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8-K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CURRENT REPORT PURSUANT TO SECTION 13 OR 15(d)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0"/>
          <w:szCs w:val="20"/>
          <w:color w:val="auto"/>
        </w:rPr>
      </w:pP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80" w:type="dxa"/>
            <w:vAlign w:val="bottom"/>
            <w:gridSpan w:val="7"/>
          </w:tcPr>
          <w:p>
            <w:pPr>
              <w:jc w:val="center"/>
              <w:ind w:right="4200"/>
              <w:spacing w:after="0"/>
              <w:rPr>
                <w:sz w:val="20"/>
                <w:szCs w:val="20"/>
                <w:color w:val="auto"/>
              </w:rPr>
            </w:pPr>
            <w:r>
              <w:rPr>
                <w:rFonts w:ascii="Arial" w:cs="Arial" w:eastAsia="Arial" w:hAnsi="Arial"/>
                <w:sz w:val="18"/>
                <w:szCs w:val="18"/>
                <w:color w:val="auto"/>
                <w:w w:val="88"/>
              </w:rPr>
              <w:t>Date of Report:</w:t>
            </w:r>
          </w:p>
        </w:tc>
        <w:tc>
          <w:tcPr>
            <w:tcW w:w="1820" w:type="dxa"/>
            <w:vAlign w:val="bottom"/>
            <w:gridSpan w:val="6"/>
          </w:tcPr>
          <w:p>
            <w:pPr>
              <w:jc w:val="center"/>
              <w:spacing w:after="0"/>
              <w:rPr>
                <w:sz w:val="20"/>
                <w:szCs w:val="20"/>
                <w:color w:val="auto"/>
              </w:rPr>
            </w:pPr>
            <w:r>
              <w:rPr>
                <w:rFonts w:ascii="Arial" w:cs="Arial" w:eastAsia="Arial" w:hAnsi="Arial"/>
                <w:sz w:val="18"/>
                <w:szCs w:val="18"/>
                <w:color w:val="auto"/>
                <w:w w:val="90"/>
              </w:rPr>
              <w:t>Commission file number</w:t>
            </w:r>
          </w:p>
        </w:tc>
      </w:tr>
      <w:tr>
        <w:trPr>
          <w:trHeight w:val="20"/>
        </w:trPr>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5920" w:type="dxa"/>
            <w:vAlign w:val="bottom"/>
            <w:gridSpan w:val="8"/>
          </w:tcPr>
          <w:p>
            <w:pPr>
              <w:jc w:val="center"/>
              <w:ind w:right="3560"/>
              <w:spacing w:after="0"/>
              <w:rPr>
                <w:sz w:val="20"/>
                <w:szCs w:val="20"/>
                <w:color w:val="auto"/>
              </w:rPr>
            </w:pPr>
            <w:r>
              <w:rPr>
                <w:rFonts w:ascii="Arial" w:cs="Arial" w:eastAsia="Arial" w:hAnsi="Arial"/>
                <w:sz w:val="18"/>
                <w:szCs w:val="18"/>
                <w:color w:val="auto"/>
                <w:w w:val="86"/>
              </w:rPr>
              <w:t>January 17, 2002</w:t>
            </w:r>
          </w:p>
        </w:tc>
        <w:tc>
          <w:tcPr>
            <w:tcW w:w="1380" w:type="dxa"/>
            <w:vAlign w:val="bottom"/>
            <w:gridSpan w:val="5"/>
          </w:tcPr>
          <w:p>
            <w:pPr>
              <w:jc w:val="center"/>
              <w:ind w:left="432"/>
              <w:spacing w:after="0"/>
              <w:rPr>
                <w:sz w:val="20"/>
                <w:szCs w:val="20"/>
                <w:color w:val="auto"/>
              </w:rPr>
            </w:pPr>
            <w:r>
              <w:rPr>
                <w:rFonts w:ascii="Arial" w:cs="Arial" w:eastAsia="Arial" w:hAnsi="Arial"/>
                <w:sz w:val="18"/>
                <w:szCs w:val="18"/>
                <w:color w:val="auto"/>
                <w:w w:val="89"/>
              </w:rPr>
              <w:t>1-5805</w:t>
            </w:r>
          </w:p>
        </w:tc>
        <w:tc>
          <w:tcPr>
            <w:tcW w:w="440" w:type="dxa"/>
            <w:vAlign w:val="bottom"/>
          </w:tcPr>
          <w:p>
            <w:pPr>
              <w:spacing w:after="0"/>
              <w:rPr>
                <w:sz w:val="20"/>
                <w:szCs w:val="20"/>
                <w:color w:val="auto"/>
              </w:rPr>
            </w:pPr>
          </w:p>
        </w:tc>
      </w:tr>
      <w:tr>
        <w:trPr>
          <w:trHeight w:val="394"/>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J.P. MORGAN CHASE &amp; CO.</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5"/>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0" w:type="dxa"/>
            <w:vAlign w:val="bottom"/>
            <w:gridSpan w:val="4"/>
          </w:tcPr>
          <w:p>
            <w:pPr>
              <w:jc w:val="center"/>
              <w:ind w:left="332"/>
              <w:spacing w:after="0"/>
              <w:rPr>
                <w:sz w:val="20"/>
                <w:szCs w:val="20"/>
                <w:color w:val="auto"/>
              </w:rPr>
            </w:pPr>
            <w:r>
              <w:rPr>
                <w:rFonts w:ascii="Arial" w:cs="Arial" w:eastAsia="Arial" w:hAnsi="Arial"/>
                <w:sz w:val="18"/>
                <w:szCs w:val="18"/>
                <w:color w:val="auto"/>
                <w:w w:val="88"/>
              </w:rPr>
              <w:t>(Exact name of registrant as specified in its charter)</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37"/>
        </w:trPr>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4400" w:type="dxa"/>
            <w:vAlign w:val="bottom"/>
            <w:gridSpan w:val="5"/>
          </w:tcPr>
          <w:p>
            <w:pPr>
              <w:spacing w:after="0"/>
              <w:rPr>
                <w:sz w:val="24"/>
                <w:szCs w:val="24"/>
                <w:color w:val="auto"/>
              </w:rPr>
            </w:pPr>
          </w:p>
        </w:tc>
        <w:tc>
          <w:tcPr>
            <w:tcW w:w="1820" w:type="dxa"/>
            <w:vAlign w:val="bottom"/>
            <w:gridSpan w:val="6"/>
          </w:tcPr>
          <w:p>
            <w:pPr>
              <w:jc w:val="center"/>
              <w:ind w:left="12"/>
              <w:spacing w:after="0"/>
              <w:rPr>
                <w:sz w:val="20"/>
                <w:szCs w:val="20"/>
                <w:color w:val="auto"/>
              </w:rPr>
            </w:pPr>
            <w:r>
              <w:rPr>
                <w:rFonts w:ascii="Arial" w:cs="Arial" w:eastAsia="Arial" w:hAnsi="Arial"/>
                <w:sz w:val="18"/>
                <w:szCs w:val="18"/>
                <w:color w:val="auto"/>
                <w:w w:val="87"/>
              </w:rPr>
              <w:t>13-2624428</w:t>
            </w:r>
          </w:p>
        </w:tc>
      </w:tr>
      <w:tr>
        <w:trPr>
          <w:trHeight w:val="20"/>
        </w:trPr>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8"/>
        </w:trPr>
        <w:tc>
          <w:tcPr>
            <w:tcW w:w="180" w:type="dxa"/>
            <w:vAlign w:val="bottom"/>
          </w:tcPr>
          <w:p>
            <w:pPr>
              <w:spacing w:after="0"/>
              <w:rPr>
                <w:sz w:val="19"/>
                <w:szCs w:val="19"/>
                <w:color w:val="auto"/>
              </w:rPr>
            </w:pPr>
          </w:p>
        </w:tc>
        <w:tc>
          <w:tcPr>
            <w:tcW w:w="5920" w:type="dxa"/>
            <w:vAlign w:val="bottom"/>
            <w:gridSpan w:val="8"/>
          </w:tcPr>
          <w:p>
            <w:pPr>
              <w:jc w:val="center"/>
              <w:ind w:right="3560"/>
              <w:spacing w:after="0"/>
              <w:rPr>
                <w:sz w:val="20"/>
                <w:szCs w:val="20"/>
                <w:color w:val="auto"/>
              </w:rPr>
            </w:pPr>
            <w:r>
              <w:rPr>
                <w:rFonts w:ascii="Arial" w:cs="Arial" w:eastAsia="Arial" w:hAnsi="Arial"/>
                <w:sz w:val="18"/>
                <w:szCs w:val="18"/>
                <w:color w:val="auto"/>
                <w:w w:val="90"/>
              </w:rPr>
              <w:t>(State or other jurisdiction of</w:t>
            </w:r>
          </w:p>
        </w:tc>
        <w:tc>
          <w:tcPr>
            <w:tcW w:w="80" w:type="dxa"/>
            <w:vAlign w:val="bottom"/>
          </w:tcPr>
          <w:p>
            <w:pPr>
              <w:spacing w:after="0"/>
              <w:rPr>
                <w:sz w:val="19"/>
                <w:szCs w:val="19"/>
                <w:color w:val="auto"/>
              </w:rPr>
            </w:pPr>
          </w:p>
        </w:tc>
        <w:tc>
          <w:tcPr>
            <w:tcW w:w="1740" w:type="dxa"/>
            <w:vAlign w:val="bottom"/>
            <w:gridSpan w:val="5"/>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80" w:type="dxa"/>
            <w:vAlign w:val="bottom"/>
            <w:gridSpan w:val="7"/>
          </w:tcPr>
          <w:p>
            <w:pPr>
              <w:jc w:val="center"/>
              <w:ind w:right="4200"/>
              <w:spacing w:after="0"/>
              <w:rPr>
                <w:sz w:val="20"/>
                <w:szCs w:val="20"/>
                <w:color w:val="auto"/>
              </w:rPr>
            </w:pPr>
            <w:r>
              <w:rPr>
                <w:rFonts w:ascii="Arial" w:cs="Arial" w:eastAsia="Arial" w:hAnsi="Arial"/>
                <w:sz w:val="18"/>
                <w:szCs w:val="18"/>
                <w:color w:val="auto"/>
                <w:w w:val="90"/>
              </w:rPr>
              <w:t>incorporation)</w:t>
            </w:r>
          </w:p>
        </w:tc>
        <w:tc>
          <w:tcPr>
            <w:tcW w:w="80" w:type="dxa"/>
            <w:vAlign w:val="bottom"/>
          </w:tcPr>
          <w:p>
            <w:pPr>
              <w:spacing w:after="0"/>
              <w:rPr>
                <w:sz w:val="19"/>
                <w:szCs w:val="19"/>
                <w:color w:val="auto"/>
              </w:rPr>
            </w:pPr>
          </w:p>
        </w:tc>
        <w:tc>
          <w:tcPr>
            <w:tcW w:w="1740" w:type="dxa"/>
            <w:vAlign w:val="bottom"/>
            <w:gridSpan w:val="5"/>
          </w:tcPr>
          <w:p>
            <w:pPr>
              <w:jc w:val="center"/>
              <w:spacing w:after="0"/>
              <w:rPr>
                <w:sz w:val="20"/>
                <w:szCs w:val="20"/>
                <w:color w:val="auto"/>
              </w:rPr>
            </w:pPr>
            <w:r>
              <w:rPr>
                <w:rFonts w:ascii="Arial" w:cs="Arial" w:eastAsia="Arial" w:hAnsi="Arial"/>
                <w:sz w:val="18"/>
                <w:szCs w:val="18"/>
                <w:color w:val="auto"/>
                <w:w w:val="94"/>
              </w:rPr>
              <w:t>Identification No.)</w:t>
            </w:r>
          </w:p>
        </w:tc>
      </w:tr>
      <w:tr>
        <w:trPr>
          <w:trHeight w:val="421"/>
        </w:trPr>
        <w:tc>
          <w:tcPr>
            <w:tcW w:w="180" w:type="dxa"/>
            <w:vAlign w:val="bottom"/>
          </w:tcPr>
          <w:p>
            <w:pPr>
              <w:spacing w:after="0"/>
              <w:rPr>
                <w:sz w:val="24"/>
                <w:szCs w:val="24"/>
                <w:color w:val="auto"/>
              </w:rPr>
            </w:pPr>
          </w:p>
        </w:tc>
        <w:tc>
          <w:tcPr>
            <w:tcW w:w="2360" w:type="dxa"/>
            <w:vAlign w:val="bottom"/>
            <w:gridSpan w:val="5"/>
          </w:tcPr>
          <w:p>
            <w:pPr>
              <w:jc w:val="center"/>
              <w:spacing w:after="0"/>
              <w:rPr>
                <w:sz w:val="20"/>
                <w:szCs w:val="20"/>
                <w:color w:val="auto"/>
              </w:rPr>
            </w:pPr>
            <w:r>
              <w:rPr>
                <w:rFonts w:ascii="Arial" w:cs="Arial" w:eastAsia="Arial" w:hAnsi="Arial"/>
                <w:sz w:val="18"/>
                <w:szCs w:val="18"/>
                <w:color w:val="auto"/>
                <w:w w:val="90"/>
              </w:rPr>
              <w:t>270 Park Avenue, New York, NY</w:t>
            </w:r>
          </w:p>
        </w:tc>
        <w:tc>
          <w:tcPr>
            <w:tcW w:w="3560" w:type="dxa"/>
            <w:vAlign w:val="bottom"/>
            <w:gridSpan w:val="3"/>
          </w:tcPr>
          <w:p>
            <w:pPr>
              <w:spacing w:after="0"/>
              <w:rPr>
                <w:sz w:val="24"/>
                <w:szCs w:val="24"/>
                <w:color w:val="auto"/>
              </w:rPr>
            </w:pPr>
          </w:p>
        </w:tc>
        <w:tc>
          <w:tcPr>
            <w:tcW w:w="1380" w:type="dxa"/>
            <w:vAlign w:val="bottom"/>
            <w:gridSpan w:val="5"/>
          </w:tcPr>
          <w:p>
            <w:pPr>
              <w:jc w:val="center"/>
              <w:ind w:left="452"/>
              <w:spacing w:after="0"/>
              <w:rPr>
                <w:sz w:val="20"/>
                <w:szCs w:val="20"/>
                <w:color w:val="auto"/>
              </w:rPr>
            </w:pPr>
            <w:r>
              <w:rPr>
                <w:rFonts w:ascii="Arial" w:cs="Arial" w:eastAsia="Arial" w:hAnsi="Arial"/>
                <w:sz w:val="18"/>
                <w:szCs w:val="18"/>
                <w:color w:val="auto"/>
                <w:w w:val="87"/>
              </w:rPr>
              <w:t>10017</w:t>
            </w:r>
          </w:p>
        </w:tc>
        <w:tc>
          <w:tcPr>
            <w:tcW w:w="4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2360" w:type="dxa"/>
            <w:vAlign w:val="bottom"/>
            <w:gridSpan w:val="5"/>
            <w:shd w:val="clear" w:color="auto" w:fill="000000"/>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r>
      <w:tr>
        <w:trPr>
          <w:trHeight w:val="235"/>
        </w:trPr>
        <w:tc>
          <w:tcPr>
            <w:tcW w:w="6100" w:type="dxa"/>
            <w:vAlign w:val="bottom"/>
            <w:gridSpan w:val="9"/>
          </w:tcPr>
          <w:p>
            <w:pPr>
              <w:jc w:val="center"/>
              <w:ind w:right="3380"/>
              <w:spacing w:after="0"/>
              <w:rPr>
                <w:sz w:val="20"/>
                <w:szCs w:val="20"/>
                <w:color w:val="auto"/>
              </w:rPr>
            </w:pPr>
            <w:r>
              <w:rPr>
                <w:rFonts w:ascii="Arial" w:cs="Arial" w:eastAsia="Arial" w:hAnsi="Arial"/>
                <w:sz w:val="18"/>
                <w:szCs w:val="18"/>
                <w:color w:val="auto"/>
                <w:w w:val="90"/>
              </w:rPr>
              <w:t>Address of principal executive offices)</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(212) 270-6000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5. Other Events</w:t>
      </w:r>
    </w:p>
    <w:p>
      <w:pPr>
        <w:spacing w:after="0" w:line="225" w:lineRule="exact"/>
        <w:rPr>
          <w:sz w:val="20"/>
          <w:szCs w:val="20"/>
          <w:color w:val="auto"/>
        </w:rPr>
      </w:pPr>
    </w:p>
    <w:p>
      <w:pPr>
        <w:jc w:val="both"/>
        <w:ind w:right="180" w:firstLine="395"/>
        <w:spacing w:after="0" w:line="259" w:lineRule="auto"/>
        <w:rPr>
          <w:sz w:val="20"/>
          <w:szCs w:val="20"/>
          <w:color w:val="auto"/>
        </w:rPr>
      </w:pPr>
      <w:r>
        <w:rPr>
          <w:rFonts w:ascii="Arial" w:cs="Arial" w:eastAsia="Arial" w:hAnsi="Arial"/>
          <w:sz w:val="18"/>
          <w:szCs w:val="18"/>
          <w:color w:val="auto"/>
        </w:rPr>
        <w:t>On January 16, 2002, J.P. Morgan Chase &amp; Co. (NYSE:JPM) announced 2001 fourth quarter and full year results. Fourth quarter 2001 operating earnings were $0.12 per share, compared with $0.37 in the fourth quarter of 2000. Operating income was $247 million in the fourth quarter, compared with $763 million one year ago.</w:t>
      </w:r>
    </w:p>
    <w:p>
      <w:pPr>
        <w:spacing w:after="0" w:line="194" w:lineRule="exact"/>
        <w:rPr>
          <w:sz w:val="20"/>
          <w:szCs w:val="20"/>
          <w:color w:val="auto"/>
        </w:rPr>
      </w:pPr>
    </w:p>
    <w:p>
      <w:pPr>
        <w:ind w:right="540" w:firstLine="395"/>
        <w:spacing w:after="0" w:line="268" w:lineRule="auto"/>
        <w:rPr>
          <w:sz w:val="20"/>
          <w:szCs w:val="20"/>
          <w:color w:val="auto"/>
        </w:rPr>
      </w:pPr>
      <w:r>
        <w:rPr>
          <w:rFonts w:ascii="Arial" w:cs="Arial" w:eastAsia="Arial" w:hAnsi="Arial"/>
          <w:sz w:val="18"/>
          <w:szCs w:val="18"/>
          <w:color w:val="auto"/>
        </w:rPr>
        <w:t>Reported net income, which includes merger and restructuring costs, was a loss of $332 million or $0.18 per share in the fourth quarter of 2001. This compares with $708 million, or $0.34 per share, in the fourth quarter of 2000.</w:t>
      </w:r>
    </w:p>
    <w:p>
      <w:pPr>
        <w:spacing w:after="0" w:line="186"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For full year 2001, operating earnings per share were $1.65, compared with $2.96 in 2000. Operating income was $3.41 billion, compared with $5.93 billion in 2000. Reported net income was $1.69 billion, or $0.80 per share, compared with $5.73 billion, or $2.86 per share, in 2000.</w:t>
      </w:r>
    </w:p>
    <w:p>
      <w:pPr>
        <w:spacing w:after="0" w:line="186" w:lineRule="exact"/>
        <w:rPr>
          <w:sz w:val="20"/>
          <w:szCs w:val="20"/>
          <w:color w:val="auto"/>
        </w:rPr>
      </w:pPr>
    </w:p>
    <w:p>
      <w:pPr>
        <w:ind w:right="40" w:firstLine="385"/>
        <w:spacing w:after="0" w:line="291" w:lineRule="auto"/>
        <w:rPr>
          <w:sz w:val="20"/>
          <w:szCs w:val="20"/>
          <w:color w:val="auto"/>
        </w:rPr>
      </w:pPr>
      <w:r>
        <w:rPr>
          <w:rFonts w:ascii="Arial" w:cs="Arial" w:eastAsia="Arial" w:hAnsi="Arial"/>
          <w:sz w:val="16"/>
          <w:szCs w:val="16"/>
          <w:color w:val="auto"/>
        </w:rPr>
        <w:t>A copy of JP Morgan’s press release is attached as an exhibit hereto. That press release may contain statements that are forward-looking within the meaning of the Private Securities Litigation Reform Act of 1995. Such statement are based upon the current beliefs and expectations of JPMorgan Chase’s management and are subject to significant risks and uncertainties. Results may differ from those set forth in the forward-looking statements. Such risks and uncertainties are described in the Quarterly Report on Form 10-Q for the quarter ended September 30, 2001 and the 2000 Annual Report on Form 10-K of J.P. Morgan Chase &amp; Co., each filed with the Securities and Exchange Commission and available at the Securities and Exchange Commission’s internet site (http://www.sec.gov), to which reference is hereby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Item 7. Financial Statements, Pro forma Financial Information and Exhibits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140"/>
              <w:spacing w:after="0"/>
              <w:rPr>
                <w:sz w:val="20"/>
                <w:szCs w:val="20"/>
                <w:color w:val="auto"/>
              </w:rPr>
            </w:pPr>
            <w:r>
              <w:rPr>
                <w:rFonts w:ascii="Arial" w:cs="Arial" w:eastAsia="Arial" w:hAnsi="Arial"/>
                <w:sz w:val="14"/>
                <w:szCs w:val="14"/>
                <w:color w:val="auto"/>
              </w:rPr>
              <w:t>Exhibit Number</w:t>
            </w:r>
          </w:p>
        </w:tc>
        <w:tc>
          <w:tcPr>
            <w:tcW w:w="7120" w:type="dxa"/>
            <w:vAlign w:val="bottom"/>
          </w:tcPr>
          <w:p>
            <w:pPr>
              <w:ind w:left="340"/>
              <w:spacing w:after="0"/>
              <w:rPr>
                <w:sz w:val="20"/>
                <w:szCs w:val="20"/>
                <w:color w:val="auto"/>
              </w:rPr>
            </w:pPr>
            <w:r>
              <w:rPr>
                <w:rFonts w:ascii="Arial" w:cs="Arial" w:eastAsia="Arial" w:hAnsi="Arial"/>
                <w:sz w:val="14"/>
                <w:szCs w:val="14"/>
                <w:color w:val="auto"/>
              </w:rPr>
              <w:t>Description</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1180" w:type="dxa"/>
            <w:vAlign w:val="bottom"/>
          </w:tcPr>
          <w:p>
            <w:pPr>
              <w:ind w:left="20"/>
              <w:spacing w:after="0"/>
              <w:rPr>
                <w:sz w:val="20"/>
                <w:szCs w:val="20"/>
                <w:color w:val="auto"/>
              </w:rPr>
            </w:pPr>
            <w:r>
              <w:rPr>
                <w:rFonts w:ascii="Arial" w:cs="Arial" w:eastAsia="Arial" w:hAnsi="Arial"/>
                <w:sz w:val="18"/>
                <w:szCs w:val="18"/>
                <w:color w:val="auto"/>
              </w:rPr>
              <w:t>(a)</w:t>
            </w:r>
          </w:p>
        </w:tc>
        <w:tc>
          <w:tcPr>
            <w:tcW w:w="712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1180" w:type="dxa"/>
            <w:vAlign w:val="bottom"/>
          </w:tcPr>
          <w:p>
            <w:pPr>
              <w:ind w:left="20"/>
              <w:spacing w:after="0"/>
              <w:rPr>
                <w:sz w:val="20"/>
                <w:szCs w:val="20"/>
                <w:color w:val="auto"/>
              </w:rPr>
            </w:pPr>
            <w:r>
              <w:rPr>
                <w:rFonts w:ascii="Arial" w:cs="Arial" w:eastAsia="Arial" w:hAnsi="Arial"/>
                <w:sz w:val="18"/>
                <w:szCs w:val="18"/>
                <w:color w:val="auto"/>
              </w:rPr>
              <w:t>(b)</w:t>
            </w:r>
          </w:p>
        </w:tc>
        <w:tc>
          <w:tcPr>
            <w:tcW w:w="7120" w:type="dxa"/>
            <w:vAlign w:val="bottom"/>
          </w:tcPr>
          <w:p>
            <w:pPr>
              <w:ind w:left="340"/>
              <w:spacing w:after="0"/>
              <w:rPr>
                <w:sz w:val="20"/>
                <w:szCs w:val="20"/>
                <w:color w:val="auto"/>
              </w:rPr>
            </w:pPr>
            <w:r>
              <w:rPr>
                <w:rFonts w:ascii="Arial" w:cs="Arial" w:eastAsia="Arial" w:hAnsi="Arial"/>
                <w:sz w:val="18"/>
                <w:szCs w:val="18"/>
                <w:color w:val="auto"/>
                <w:w w:val="88"/>
              </w:rPr>
              <w:t>Computation of Ratio of Earnings to Fixed Charges and Preferred Stock Dividend Requirements</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99.1</w:t>
            </w:r>
          </w:p>
        </w:tc>
        <w:tc>
          <w:tcPr>
            <w:tcW w:w="7120" w:type="dxa"/>
            <w:vAlign w:val="bottom"/>
          </w:tcPr>
          <w:p>
            <w:pPr>
              <w:ind w:left="340"/>
              <w:spacing w:after="0"/>
              <w:rPr>
                <w:sz w:val="20"/>
                <w:szCs w:val="20"/>
                <w:color w:val="auto"/>
              </w:rPr>
            </w:pPr>
            <w:r>
              <w:rPr>
                <w:rFonts w:ascii="Arial" w:cs="Arial" w:eastAsia="Arial" w:hAnsi="Arial"/>
                <w:sz w:val="18"/>
                <w:szCs w:val="18"/>
                <w:color w:val="auto"/>
              </w:rPr>
              <w:t>Press Release - 2001 Fourth Quarter and Full Year Earnings</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99.2</w:t>
            </w:r>
          </w:p>
        </w:tc>
        <w:tc>
          <w:tcPr>
            <w:tcW w:w="7120" w:type="dxa"/>
            <w:vAlign w:val="bottom"/>
          </w:tcPr>
          <w:p>
            <w:pPr>
              <w:ind w:left="340"/>
              <w:spacing w:after="0"/>
              <w:rPr>
                <w:sz w:val="20"/>
                <w:szCs w:val="20"/>
                <w:color w:val="auto"/>
              </w:rPr>
            </w:pPr>
            <w:r>
              <w:rPr>
                <w:rFonts w:ascii="Arial" w:cs="Arial" w:eastAsia="Arial" w:hAnsi="Arial"/>
                <w:sz w:val="18"/>
                <w:szCs w:val="18"/>
                <w:color w:val="auto"/>
              </w:rPr>
              <w:t>2001 Fourth Quarter and Full Year Financial Supplement</w:t>
            </w:r>
          </w:p>
        </w:tc>
      </w:tr>
      <w:tr>
        <w:trPr>
          <w:trHeight w:val="222"/>
        </w:trPr>
        <w:tc>
          <w:tcPr>
            <w:tcW w:w="1380" w:type="dxa"/>
            <w:vAlign w:val="bottom"/>
            <w:gridSpan w:val="2"/>
          </w:tcPr>
          <w:p>
            <w:pPr>
              <w:spacing w:after="0"/>
              <w:rPr>
                <w:sz w:val="20"/>
                <w:szCs w:val="20"/>
                <w:color w:val="auto"/>
              </w:rPr>
            </w:pPr>
            <w:r>
              <w:rPr>
                <w:rFonts w:ascii="Arial" w:cs="Arial" w:eastAsia="Arial" w:hAnsi="Arial"/>
                <w:sz w:val="18"/>
                <w:szCs w:val="18"/>
                <w:color w:val="auto"/>
              </w:rPr>
              <w:t>99.3</w:t>
            </w:r>
          </w:p>
        </w:tc>
        <w:tc>
          <w:tcPr>
            <w:tcW w:w="7120" w:type="dxa"/>
            <w:vAlign w:val="bottom"/>
          </w:tcPr>
          <w:p>
            <w:pPr>
              <w:ind w:left="340"/>
              <w:spacing w:after="0"/>
              <w:rPr>
                <w:sz w:val="20"/>
                <w:szCs w:val="20"/>
                <w:color w:val="auto"/>
              </w:rPr>
            </w:pPr>
            <w:r>
              <w:rPr>
                <w:rFonts w:ascii="Arial" w:cs="Arial" w:eastAsia="Arial" w:hAnsi="Arial"/>
                <w:sz w:val="18"/>
                <w:szCs w:val="18"/>
                <w:color w:val="auto"/>
              </w:rPr>
              <w:t>Supplemental J.P. Morgan Investment Bank Information</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Item 9.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about J.P. Morgan Chase’s Investment Bank is set forth in Exhibit 99.3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2360"/>
        <w:spacing w:after="0"/>
        <w:rPr>
          <w:sz w:val="20"/>
          <w:szCs w:val="20"/>
          <w:color w:val="auto"/>
        </w:rPr>
      </w:pPr>
      <w:r>
        <w:rPr>
          <w:rFonts w:ascii="Arial" w:cs="Arial" w:eastAsia="Arial" w:hAnsi="Arial"/>
          <w:sz w:val="18"/>
          <w:szCs w:val="18"/>
          <w:u w:val="single" w:color="auto"/>
          <w:color w:val="auto"/>
        </w:rPr>
        <w:t>J.P. MORGAN CHASE &amp; CO.</w:t>
      </w:r>
    </w:p>
    <w:p>
      <w:pPr>
        <w:spacing w:after="0" w:line="15" w:lineRule="exact"/>
        <w:rPr>
          <w:sz w:val="20"/>
          <w:szCs w:val="20"/>
          <w:color w:val="auto"/>
        </w:rPr>
      </w:pPr>
    </w:p>
    <w:p>
      <w:pPr>
        <w:jc w:val="center"/>
        <w:ind w:left="23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ind w:left="45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L. Sclafani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71120</wp:posOffset>
            </wp:positionV>
            <wp:extent cx="2881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Joseph L. Sclafani</w:t>
      </w:r>
    </w:p>
    <w:p>
      <w:pPr>
        <w:spacing w:after="0" w:line="225"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Executive Vice President</w:t>
      </w:r>
    </w:p>
    <w:p>
      <w:pPr>
        <w:spacing w:after="0" w:line="15"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jc w:val="center"/>
        <w:ind w:left="258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17, 2002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392"/>
              <w:spacing w:after="0"/>
              <w:rPr>
                <w:sz w:val="20"/>
                <w:szCs w:val="20"/>
                <w:color w:val="auto"/>
              </w:rPr>
            </w:pPr>
            <w:r>
              <w:rPr>
                <w:rFonts w:ascii="Arial" w:cs="Arial" w:eastAsia="Arial" w:hAnsi="Arial"/>
                <w:sz w:val="14"/>
                <w:szCs w:val="14"/>
                <w:color w:val="auto"/>
                <w:w w:val="94"/>
              </w:rPr>
              <w:t>Exhibit No.</w:t>
            </w:r>
          </w:p>
        </w:tc>
        <w:tc>
          <w:tcPr>
            <w:tcW w:w="8620" w:type="dxa"/>
            <w:vAlign w:val="bottom"/>
          </w:tcPr>
          <w:p>
            <w:pPr>
              <w:ind w:left="460"/>
              <w:spacing w:after="0"/>
              <w:rPr>
                <w:sz w:val="20"/>
                <w:szCs w:val="20"/>
                <w:color w:val="auto"/>
              </w:rPr>
            </w:pPr>
            <w:r>
              <w:rPr>
                <w:rFonts w:ascii="Arial" w:cs="Arial" w:eastAsia="Arial" w:hAnsi="Arial"/>
                <w:sz w:val="14"/>
                <w:szCs w:val="14"/>
                <w:color w:val="auto"/>
              </w:rPr>
              <w:t>Description</w:t>
            </w:r>
          </w:p>
        </w:tc>
        <w:tc>
          <w:tcPr>
            <w:tcW w:w="16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920" w:type="dxa"/>
            <w:vAlign w:val="bottom"/>
          </w:tcPr>
          <w:p>
            <w:pPr>
              <w:jc w:val="center"/>
              <w:ind w:right="592"/>
              <w:spacing w:after="0"/>
              <w:rPr>
                <w:sz w:val="20"/>
                <w:szCs w:val="20"/>
                <w:color w:val="auto"/>
              </w:rPr>
            </w:pPr>
            <w:r>
              <w:rPr>
                <w:rFonts w:ascii="Arial" w:cs="Arial" w:eastAsia="Arial" w:hAnsi="Arial"/>
                <w:sz w:val="18"/>
                <w:szCs w:val="18"/>
                <w:color w:val="auto"/>
                <w:w w:val="90"/>
              </w:rPr>
              <w:t>(a)</w:t>
            </w:r>
          </w:p>
        </w:tc>
        <w:tc>
          <w:tcPr>
            <w:tcW w:w="8620" w:type="dxa"/>
            <w:vAlign w:val="bottom"/>
          </w:tcPr>
          <w:p>
            <w:pPr>
              <w:ind w:left="460"/>
              <w:spacing w:after="0"/>
              <w:rPr>
                <w:sz w:val="20"/>
                <w:szCs w:val="20"/>
                <w:color w:val="auto"/>
              </w:rPr>
            </w:pPr>
            <w:r>
              <w:rPr>
                <w:rFonts w:ascii="Arial" w:cs="Arial" w:eastAsia="Arial" w:hAnsi="Arial"/>
                <w:sz w:val="18"/>
                <w:szCs w:val="18"/>
                <w:color w:val="auto"/>
              </w:rPr>
              <w:t>Computation of Ratio of Earnings to Fixed Charges</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920" w:type="dxa"/>
            <w:vAlign w:val="bottom"/>
          </w:tcPr>
          <w:p>
            <w:pPr>
              <w:jc w:val="center"/>
              <w:ind w:right="572"/>
              <w:spacing w:after="0"/>
              <w:rPr>
                <w:sz w:val="20"/>
                <w:szCs w:val="20"/>
                <w:color w:val="auto"/>
              </w:rPr>
            </w:pPr>
            <w:r>
              <w:rPr>
                <w:rFonts w:ascii="Arial" w:cs="Arial" w:eastAsia="Arial" w:hAnsi="Arial"/>
                <w:sz w:val="18"/>
                <w:szCs w:val="18"/>
                <w:color w:val="auto"/>
                <w:w w:val="99"/>
              </w:rPr>
              <w:t>(b)</w:t>
            </w:r>
          </w:p>
        </w:tc>
        <w:tc>
          <w:tcPr>
            <w:tcW w:w="8620" w:type="dxa"/>
            <w:vAlign w:val="bottom"/>
          </w:tcPr>
          <w:p>
            <w:pPr>
              <w:ind w:left="460"/>
              <w:spacing w:after="0"/>
              <w:rPr>
                <w:sz w:val="20"/>
                <w:szCs w:val="20"/>
                <w:color w:val="auto"/>
              </w:rPr>
            </w:pPr>
            <w:r>
              <w:rPr>
                <w:rFonts w:ascii="Arial" w:cs="Arial" w:eastAsia="Arial" w:hAnsi="Arial"/>
                <w:sz w:val="18"/>
                <w:szCs w:val="18"/>
                <w:color w:val="auto"/>
              </w:rPr>
              <w:t>Computation of Ratio of Earnings to Fixed Charges and Preferred Stock Dividend Requirements</w:t>
            </w: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99.1</w:t>
            </w:r>
          </w:p>
        </w:tc>
        <w:tc>
          <w:tcPr>
            <w:tcW w:w="8620" w:type="dxa"/>
            <w:vAlign w:val="bottom"/>
          </w:tcPr>
          <w:p>
            <w:pPr>
              <w:ind w:left="460"/>
              <w:spacing w:after="0"/>
              <w:rPr>
                <w:sz w:val="20"/>
                <w:szCs w:val="20"/>
                <w:color w:val="auto"/>
              </w:rPr>
            </w:pPr>
            <w:r>
              <w:rPr>
                <w:rFonts w:ascii="Arial" w:cs="Arial" w:eastAsia="Arial" w:hAnsi="Arial"/>
                <w:sz w:val="18"/>
                <w:szCs w:val="18"/>
                <w:color w:val="auto"/>
              </w:rPr>
              <w:t>Press Release – 2001 Fourth Quarter and Full Year Earnings</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99.2</w:t>
            </w:r>
          </w:p>
        </w:tc>
        <w:tc>
          <w:tcPr>
            <w:tcW w:w="8620" w:type="dxa"/>
            <w:vAlign w:val="bottom"/>
          </w:tcPr>
          <w:p>
            <w:pPr>
              <w:ind w:left="460"/>
              <w:spacing w:after="0"/>
              <w:rPr>
                <w:sz w:val="20"/>
                <w:szCs w:val="20"/>
                <w:color w:val="auto"/>
              </w:rPr>
            </w:pPr>
            <w:r>
              <w:rPr>
                <w:rFonts w:ascii="Arial" w:cs="Arial" w:eastAsia="Arial" w:hAnsi="Arial"/>
                <w:sz w:val="18"/>
                <w:szCs w:val="18"/>
                <w:color w:val="auto"/>
              </w:rPr>
              <w:t>2001 Fourth Quarter and Full Year Financial Supplement</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99.3</w:t>
            </w:r>
          </w:p>
        </w:tc>
        <w:tc>
          <w:tcPr>
            <w:tcW w:w="8620" w:type="dxa"/>
            <w:vAlign w:val="bottom"/>
          </w:tcPr>
          <w:p>
            <w:pPr>
              <w:ind w:left="460"/>
              <w:spacing w:after="0"/>
              <w:rPr>
                <w:sz w:val="20"/>
                <w:szCs w:val="20"/>
                <w:color w:val="auto"/>
              </w:rPr>
            </w:pPr>
            <w:r>
              <w:rPr>
                <w:rFonts w:ascii="Arial" w:cs="Arial" w:eastAsia="Arial" w:hAnsi="Arial"/>
                <w:sz w:val="18"/>
                <w:szCs w:val="18"/>
                <w:color w:val="auto"/>
              </w:rPr>
              <w:t>Supplemental J.P. Morgan Investment Bank Information</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20" w:type="dxa"/>
            <w:vAlign w:val="bottom"/>
          </w:tcPr>
          <w:p>
            <w:pPr>
              <w:ind w:left="4560"/>
              <w:spacing w:after="0"/>
              <w:rPr>
                <w:sz w:val="20"/>
                <w:szCs w:val="20"/>
                <w:color w:val="auto"/>
              </w:rPr>
            </w:pPr>
            <w:r>
              <w:rPr>
                <w:rFonts w:ascii="Arial" w:cs="Arial" w:eastAsia="Arial" w:hAnsi="Arial"/>
                <w:sz w:val="18"/>
                <w:szCs w:val="18"/>
                <w:color w:val="auto"/>
              </w:rPr>
              <w:t>4</w:t>
            </w:r>
          </w:p>
        </w:tc>
        <w:tc>
          <w:tcPr>
            <w:tcW w:w="1620" w:type="dxa"/>
            <w:vAlign w:val="bottom"/>
          </w:tcPr>
          <w:p>
            <w:pPr>
              <w:spacing w:after="0"/>
              <w:rPr>
                <w:sz w:val="24"/>
                <w:szCs w:val="24"/>
                <w:color w:val="auto"/>
              </w:rPr>
            </w:pPr>
          </w:p>
        </w:tc>
      </w:tr>
    </w:tbl>
    <w:p>
      <w:pPr>
        <w:sectPr>
          <w:pgSz w:w="11900" w:h="16838" w:orient="portrait"/>
          <w:cols w:equalWidth="0" w:num="1">
            <w:col w:w="11360"/>
          </w:cols>
          <w:pgMar w:left="240" w:top="941"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EXHIBIT 12(a)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December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Excluding Interest on Deposits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Income before income taxes and effect of accounting change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2,566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Fixed charges: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13,381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7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 xml:space="preserve">One-third of rents, net of income from subleases </w:t>
            </w:r>
            <w:r>
              <w:rPr>
                <w:rFonts w:ascii="Arial" w:cs="Arial" w:eastAsia="Arial" w:hAnsi="Arial"/>
                <w:sz w:val="18"/>
                <w:szCs w:val="18"/>
                <w:i w:val="1"/>
                <w:iCs w:val="1"/>
                <w:color w:val="auto"/>
              </w:rPr>
              <w:t>(a)</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060" w:type="dxa"/>
            <w:vAlign w:val="bottom"/>
            <w:gridSpan w:val="4"/>
          </w:tcPr>
          <w:p>
            <w:pPr>
              <w:spacing w:after="0"/>
              <w:rPr>
                <w:sz w:val="20"/>
                <w:szCs w:val="20"/>
                <w:color w:val="auto"/>
              </w:rPr>
            </w:pPr>
            <w:r>
              <w:rPr>
                <w:rFonts w:ascii="Arial" w:cs="Arial" w:eastAsia="Arial" w:hAnsi="Arial"/>
                <w:sz w:val="18"/>
                <w:szCs w:val="18"/>
                <w:color w:val="auto"/>
              </w:rPr>
              <w:t>Total fixed charges</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13,604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Less: Equity in undistributed income of affiliates</w:t>
            </w: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060" w:type="dxa"/>
            <w:vAlign w:val="bottom"/>
            <w:gridSpan w:val="4"/>
          </w:tcPr>
          <w:p>
            <w:pPr>
              <w:spacing w:after="0"/>
              <w:rPr>
                <w:sz w:val="20"/>
                <w:szCs w:val="20"/>
                <w:color w:val="auto"/>
              </w:rPr>
            </w:pPr>
            <w:r>
              <w:rPr>
                <w:rFonts w:ascii="Arial" w:cs="Arial" w:eastAsia="Arial" w:hAnsi="Arial"/>
                <w:sz w:val="18"/>
                <w:szCs w:val="18"/>
                <w:color w:val="auto"/>
              </w:rPr>
              <w:t>Earnings before taxes, effect of accounting change and fixed charges, excluding capitalized interest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16,081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Fixed charges, as above</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13,604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gridSpan w:val="3"/>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0060" w:type="dxa"/>
            <w:vAlign w:val="bottom"/>
            <w:gridSpan w:val="4"/>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Including Interest on Deposits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Fixed charges, as above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13,604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Add: Interest on deposits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7,998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060" w:type="dxa"/>
            <w:vAlign w:val="bottom"/>
            <w:gridSpan w:val="4"/>
          </w:tcPr>
          <w:p>
            <w:pPr>
              <w:spacing w:after="0"/>
              <w:rPr>
                <w:sz w:val="20"/>
                <w:szCs w:val="20"/>
                <w:color w:val="auto"/>
              </w:rPr>
            </w:pPr>
            <w:r>
              <w:rPr>
                <w:rFonts w:ascii="Arial" w:cs="Arial" w:eastAsia="Arial" w:hAnsi="Arial"/>
                <w:sz w:val="18"/>
                <w:szCs w:val="18"/>
                <w:color w:val="auto"/>
              </w:rPr>
              <w:t>Total fixed charges and interest on deposits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21,602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Earnings before taxes, effect of accounting change and fixed charges, excluding capitalized interest, as above</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16,081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Add: Interest on deposits</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7,998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earnings before taxes, effect of accounting change, fixed charges and interest on deposits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24,079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gridSpan w:val="3"/>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0060" w:type="dxa"/>
            <w:vAlign w:val="bottom"/>
            <w:gridSpan w:val="4"/>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60" w:type="dxa"/>
            <w:vAlign w:val="bottom"/>
            <w:gridSpan w:val="2"/>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 w:type="dxa"/>
            <w:vAlign w:val="bottom"/>
            <w:gridSpan w:val="2"/>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7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0" w:type="dxa"/>
            <w:vAlign w:val="bottom"/>
            <w:gridSpan w:val="2"/>
          </w:tcPr>
          <w:p>
            <w:pPr>
              <w:spacing w:after="0"/>
              <w:rPr>
                <w:sz w:val="20"/>
                <w:szCs w:val="20"/>
                <w:color w:val="auto"/>
              </w:rPr>
            </w:pPr>
            <w:r>
              <w:rPr>
                <w:rFonts w:ascii="Arial" w:cs="Arial" w:eastAsia="Arial" w:hAnsi="Arial"/>
                <w:sz w:val="18"/>
                <w:szCs w:val="18"/>
                <w:i w:val="1"/>
                <w:iCs w:val="1"/>
                <w:color w:val="auto"/>
              </w:rPr>
              <w:t>(a)</w:t>
            </w:r>
          </w:p>
        </w:tc>
        <w:tc>
          <w:tcPr>
            <w:tcW w:w="9700" w:type="dxa"/>
            <w:vAlign w:val="bottom"/>
            <w:gridSpan w:val="2"/>
          </w:tcPr>
          <w:p>
            <w:pPr>
              <w:ind w:left="180"/>
              <w:spacing w:after="0"/>
              <w:rPr>
                <w:sz w:val="20"/>
                <w:szCs w:val="20"/>
                <w:color w:val="auto"/>
              </w:rPr>
            </w:pPr>
            <w:r>
              <w:rPr>
                <w:rFonts w:ascii="Arial" w:cs="Arial" w:eastAsia="Arial" w:hAnsi="Arial"/>
                <w:sz w:val="18"/>
                <w:szCs w:val="18"/>
                <w:i w:val="1"/>
                <w:iCs w:val="1"/>
                <w:color w:val="auto"/>
              </w:rPr>
              <w:t>The proportion deemed representative of the interest factor.</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EXHIBIT 12(b)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Preferred Stock Dividend Requirements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Twelve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December 31,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Excluding Interest on Deposits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Income before income taxes and effect of accounting change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2,566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Fixed charges: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70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13,381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7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 xml:space="preserve">One-third of rents, net of income from subleases </w:t>
            </w:r>
            <w:r>
              <w:rPr>
                <w:rFonts w:ascii="Arial" w:cs="Arial" w:eastAsia="Arial" w:hAnsi="Arial"/>
                <w:sz w:val="18"/>
                <w:szCs w:val="18"/>
                <w:i w:val="1"/>
                <w:iCs w:val="1"/>
                <w:color w:val="auto"/>
              </w:rPr>
              <w:t>(a)</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060" w:type="dxa"/>
            <w:vAlign w:val="bottom"/>
            <w:gridSpan w:val="4"/>
          </w:tcPr>
          <w:p>
            <w:pPr>
              <w:spacing w:after="0"/>
              <w:rPr>
                <w:sz w:val="20"/>
                <w:szCs w:val="20"/>
                <w:color w:val="auto"/>
              </w:rPr>
            </w:pPr>
            <w:r>
              <w:rPr>
                <w:rFonts w:ascii="Arial" w:cs="Arial" w:eastAsia="Arial" w:hAnsi="Arial"/>
                <w:sz w:val="18"/>
                <w:szCs w:val="18"/>
                <w:color w:val="auto"/>
              </w:rPr>
              <w:t>Total fixed charges</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13,604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Less: Equity in undistributed income of affiliates</w:t>
            </w:r>
          </w:p>
        </w:tc>
        <w:tc>
          <w:tcPr>
            <w:tcW w:w="46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060" w:type="dxa"/>
            <w:vAlign w:val="bottom"/>
            <w:gridSpan w:val="4"/>
          </w:tcPr>
          <w:p>
            <w:pPr>
              <w:spacing w:after="0"/>
              <w:rPr>
                <w:sz w:val="20"/>
                <w:szCs w:val="20"/>
                <w:color w:val="auto"/>
              </w:rPr>
            </w:pPr>
            <w:r>
              <w:rPr>
                <w:rFonts w:ascii="Arial" w:cs="Arial" w:eastAsia="Arial" w:hAnsi="Arial"/>
                <w:sz w:val="18"/>
                <w:szCs w:val="18"/>
                <w:color w:val="auto"/>
              </w:rPr>
              <w:t>Earnings before taxes, effect of accounting change and fixed charges, excluding capitalized interest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16,081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Fixed charges, as above</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13,604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Preferred stock dividends</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Fixed charges including preferred stock dividends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13,670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gridSpan w:val="3"/>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0060" w:type="dxa"/>
            <w:vAlign w:val="bottom"/>
            <w:gridSpan w:val="4"/>
          </w:tcPr>
          <w:p>
            <w:pPr>
              <w:spacing w:after="0"/>
              <w:rPr>
                <w:sz w:val="20"/>
                <w:szCs w:val="20"/>
                <w:color w:val="auto"/>
              </w:rPr>
            </w:pPr>
            <w:r>
              <w:rPr>
                <w:rFonts w:ascii="Arial" w:cs="Arial" w:eastAsia="Arial" w:hAnsi="Arial"/>
                <w:sz w:val="18"/>
                <w:szCs w:val="18"/>
                <w:color w:val="auto"/>
              </w:rPr>
              <w:t>Ratio of earnings to fixed charges and preferred stock dividend requirements</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Including Interest on Deposits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Fixed charges including preferred stock dividends, as above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13,670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Add: Interest on deposits</w:t>
            </w:r>
          </w:p>
        </w:tc>
        <w:tc>
          <w:tcPr>
            <w:tcW w:w="46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7,998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0060" w:type="dxa"/>
            <w:vAlign w:val="bottom"/>
            <w:gridSpan w:val="4"/>
          </w:tcPr>
          <w:p>
            <w:pPr>
              <w:spacing w:after="0"/>
              <w:rPr>
                <w:sz w:val="20"/>
                <w:szCs w:val="20"/>
                <w:color w:val="auto"/>
              </w:rPr>
            </w:pPr>
            <w:r>
              <w:rPr>
                <w:rFonts w:ascii="Arial" w:cs="Arial" w:eastAsia="Arial" w:hAnsi="Arial"/>
                <w:sz w:val="18"/>
                <w:szCs w:val="18"/>
                <w:color w:val="auto"/>
              </w:rPr>
              <w:t>Total fixed charges including preferred stock dividends and interest on deposits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21,668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6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Earnings before taxes, effect of accounting change and fixed charges, excluding capitalized interest, as above</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16,081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Add: Interest on deposits</w:t>
            </w:r>
          </w:p>
        </w:tc>
        <w:tc>
          <w:tcPr>
            <w:tcW w:w="4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7,998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earnings before taxes, effect of accounting change, fixed charges and interest on deposits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24,079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80" w:type="dxa"/>
            <w:vAlign w:val="bottom"/>
            <w:gridSpan w:val="3"/>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gridSpan w:val="3"/>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10060" w:type="dxa"/>
            <w:vAlign w:val="bottom"/>
            <w:gridSpan w:val="4"/>
          </w:tcPr>
          <w:p>
            <w:pPr>
              <w:spacing w:after="0"/>
              <w:rPr>
                <w:sz w:val="20"/>
                <w:szCs w:val="20"/>
                <w:color w:val="auto"/>
              </w:rPr>
            </w:pPr>
            <w:r>
              <w:rPr>
                <w:rFonts w:ascii="Arial" w:cs="Arial" w:eastAsia="Arial" w:hAnsi="Arial"/>
                <w:sz w:val="18"/>
                <w:szCs w:val="18"/>
                <w:color w:val="auto"/>
              </w:rPr>
              <w:t>Ratio of earnings to fixed charges and preferred stock dividend requirements</w:t>
            </w:r>
          </w:p>
        </w:tc>
        <w:tc>
          <w:tcPr>
            <w:tcW w:w="4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60" w:type="dxa"/>
            <w:vAlign w:val="bottom"/>
            <w:gridSpan w:val="2"/>
          </w:tcPr>
          <w:p>
            <w:pPr>
              <w:spacing w:after="0"/>
              <w:rPr>
                <w:sz w:val="9"/>
                <w:szCs w:val="9"/>
                <w:color w:val="auto"/>
              </w:rPr>
            </w:pPr>
          </w:p>
        </w:tc>
        <w:tc>
          <w:tcPr>
            <w:tcW w:w="17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0" w:type="dxa"/>
            <w:vAlign w:val="bottom"/>
            <w:gridSpan w:val="2"/>
          </w:tcPr>
          <w:p>
            <w:pPr>
              <w:spacing w:after="0"/>
              <w:rPr>
                <w:sz w:val="5"/>
                <w:szCs w:val="5"/>
                <w:color w:val="auto"/>
              </w:rPr>
            </w:pPr>
          </w:p>
        </w:tc>
        <w:tc>
          <w:tcPr>
            <w:tcW w:w="17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7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60" w:type="dxa"/>
            <w:vAlign w:val="bottom"/>
            <w:gridSpan w:val="2"/>
          </w:tcPr>
          <w:p>
            <w:pPr>
              <w:spacing w:after="0"/>
              <w:rPr>
                <w:sz w:val="20"/>
                <w:szCs w:val="20"/>
                <w:color w:val="auto"/>
              </w:rPr>
            </w:pPr>
            <w:r>
              <w:rPr>
                <w:rFonts w:ascii="Arial" w:cs="Arial" w:eastAsia="Arial" w:hAnsi="Arial"/>
                <w:sz w:val="18"/>
                <w:szCs w:val="18"/>
                <w:i w:val="1"/>
                <w:iCs w:val="1"/>
                <w:color w:val="auto"/>
              </w:rPr>
              <w:t>(a)</w:t>
            </w:r>
          </w:p>
        </w:tc>
        <w:tc>
          <w:tcPr>
            <w:tcW w:w="9700" w:type="dxa"/>
            <w:vAlign w:val="bottom"/>
            <w:gridSpan w:val="2"/>
          </w:tcPr>
          <w:p>
            <w:pPr>
              <w:ind w:left="180"/>
              <w:spacing w:after="0"/>
              <w:rPr>
                <w:sz w:val="20"/>
                <w:szCs w:val="20"/>
                <w:color w:val="auto"/>
              </w:rPr>
            </w:pPr>
            <w:r>
              <w:rPr>
                <w:rFonts w:ascii="Arial" w:cs="Arial" w:eastAsia="Arial" w:hAnsi="Arial"/>
                <w:sz w:val="18"/>
                <w:szCs w:val="18"/>
                <w:i w:val="1"/>
                <w:iCs w:val="1"/>
                <w:color w:val="auto"/>
              </w:rPr>
              <w:t>The proportion deemed representative of the interest factor.</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7" w:name="page8"/>
    <w:bookmarkEnd w:id="7"/>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270 Park Avenue, New York, NY 10017-2070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NYSE symbol: JPM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www.jpmorganchase.com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News release: IMMEDIATE RELEASE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REPORTS 2001 FOURTH QUARTER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RESULTS</w:t>
      </w:r>
    </w:p>
    <w:p>
      <w:pPr>
        <w:spacing w:after="0" w:line="21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New York, January 16, 2002 </w:t>
      </w:r>
      <w:r>
        <w:rPr>
          <w:rFonts w:ascii="Arial" w:cs="Arial" w:eastAsia="Arial" w:hAnsi="Arial"/>
          <w:sz w:val="16"/>
          <w:szCs w:val="16"/>
          <w:color w:val="auto"/>
        </w:rPr>
        <w:t>– J.P. Morgan Chase &amp; Co. (NYSE: JPM) today announced fourth quarter 2001 operating earnings per share of $0.12,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with $0.37 in the fourth quarter of 2000. Operating income was $247 million in the fourth quarter, compared with $763 million one year ago.</w:t>
      </w:r>
    </w:p>
    <w:p>
      <w:pPr>
        <w:spacing w:after="0" w:line="1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Reported net income, which includes merger and restructuring costs, was a loss of $332 million, or $0.18 per share, in the fourth quarter of 2001. This compares with profits of $708 million, or $0.34 per share, in the fourth quarter of 2000.</w:t>
      </w:r>
    </w:p>
    <w:p>
      <w:pPr>
        <w:spacing w:after="0" w:line="18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For the full year 2001, operating earnings per share were $1.65, compared with $2.96 in 2000. Operating income was $3.41 billion, compared with $5.93 billion in 2000. Reported net income was $1.69 billion, or $0.80 per share, compared with $5.73 billion, or $2.86 per share, in 2000.</w:t>
      </w:r>
    </w:p>
    <w:p>
      <w:pPr>
        <w:spacing w:after="0" w:line="13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“2001 was a challenging year for JPMorgan Chase, and our financial results clearly reflect the difficult operating environment,” said William B. Harrison, Jr., Chairman and Chief Executive Officer. “Fourth quarter results were particularly affected by our exposure to private equity investments, and to Enron and Argentina. In this quarter we have moved aggressively to value those exposures to market and to build loan loss reserves further. While these actions hinder current operating results, they lay the groundwork for stronger earnings recovery when market conditions improve. We continue to be pleased with the progress of our successfully merged business platform, the receptivity of our clients to that platform, and the resulting increase in our market share for key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events for the fourth quarter and full year 2001</w:t>
      </w:r>
    </w:p>
    <w:p>
      <w:pPr>
        <w:spacing w:after="0" w:line="231" w:lineRule="exact"/>
        <w:rPr>
          <w:sz w:val="20"/>
          <w:szCs w:val="20"/>
          <w:color w:val="auto"/>
        </w:rPr>
      </w:pPr>
    </w:p>
    <w:p>
      <w:pPr>
        <w:ind w:right="300" w:firstLine="8"/>
        <w:spacing w:after="0" w:line="268" w:lineRule="auto"/>
        <w:tabs>
          <w:tab w:leader="none" w:pos="281"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Deteriorating credit conditions, exacerbated by Enron Corporation and Argentine events, as well as continued losses at JPMorgan Partners, had a negative impact on earnings.</w:t>
      </w:r>
    </w:p>
    <w:p>
      <w:pPr>
        <w:spacing w:after="0" w:line="18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Significant expense reductions were achieved through merger-related savings and aggressive right sizing related to the market environment.</w:t>
      </w:r>
    </w:p>
    <w:p>
      <w:pPr>
        <w:spacing w:after="0" w:line="248" w:lineRule="exact"/>
        <w:rPr>
          <w:rFonts w:ascii="Arial" w:cs="Arial" w:eastAsia="Arial" w:hAnsi="Arial"/>
          <w:sz w:val="16"/>
          <w:szCs w:val="16"/>
          <w:color w:val="auto"/>
        </w:rPr>
      </w:pPr>
    </w:p>
    <w:p>
      <w:pPr>
        <w:ind w:right="200" w:firstLine="8"/>
        <w:spacing w:after="0" w:line="268" w:lineRule="auto"/>
        <w:tabs>
          <w:tab w:leader="none" w:pos="281"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full year 2001, the investment banking business generated a cash ROE of 15%, while the consumer and operating services businesses achieved cash ROEs of 20% and 24%, respectively.</w:t>
      </w:r>
    </w:p>
    <w:p>
      <w:pPr>
        <w:spacing w:after="0" w:line="18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Business leadership positions were solidified through merger integration and client focus.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flagship banks successfully merged on November 10,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764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Investor Contact:</w:t>
            </w:r>
          </w:p>
        </w:tc>
        <w:tc>
          <w:tcPr>
            <w:tcW w:w="3180" w:type="dxa"/>
            <w:vAlign w:val="bottom"/>
          </w:tcPr>
          <w:p>
            <w:pPr>
              <w:ind w:left="1280"/>
              <w:spacing w:after="0"/>
              <w:rPr>
                <w:sz w:val="20"/>
                <w:szCs w:val="20"/>
                <w:color w:val="auto"/>
              </w:rPr>
            </w:pPr>
            <w:r>
              <w:rPr>
                <w:rFonts w:ascii="Arial" w:cs="Arial" w:eastAsia="Arial" w:hAnsi="Arial"/>
                <w:sz w:val="18"/>
                <w:szCs w:val="18"/>
                <w:color w:val="auto"/>
              </w:rPr>
              <w:t>John Borden</w:t>
            </w:r>
          </w:p>
        </w:tc>
        <w:tc>
          <w:tcPr>
            <w:tcW w:w="2760" w:type="dxa"/>
            <w:vAlign w:val="bottom"/>
          </w:tcPr>
          <w:p>
            <w:pPr>
              <w:ind w:left="860"/>
              <w:spacing w:after="0"/>
              <w:rPr>
                <w:sz w:val="20"/>
                <w:szCs w:val="20"/>
                <w:color w:val="auto"/>
              </w:rPr>
            </w:pPr>
            <w:r>
              <w:rPr>
                <w:rFonts w:ascii="Arial" w:cs="Arial" w:eastAsia="Arial" w:hAnsi="Arial"/>
                <w:sz w:val="18"/>
                <w:szCs w:val="18"/>
                <w:color w:val="auto"/>
              </w:rPr>
              <w:t>Media Contact:</w:t>
            </w:r>
          </w:p>
        </w:tc>
        <w:tc>
          <w:tcPr>
            <w:tcW w:w="2980" w:type="dxa"/>
            <w:vAlign w:val="bottom"/>
          </w:tcPr>
          <w:p>
            <w:pPr>
              <w:ind w:left="820"/>
              <w:spacing w:after="0"/>
              <w:rPr>
                <w:sz w:val="20"/>
                <w:szCs w:val="20"/>
                <w:color w:val="auto"/>
              </w:rPr>
            </w:pPr>
            <w:r>
              <w:rPr>
                <w:rFonts w:ascii="Arial" w:cs="Arial" w:eastAsia="Arial" w:hAnsi="Arial"/>
                <w:sz w:val="18"/>
                <w:szCs w:val="18"/>
                <w:color w:val="auto"/>
              </w:rPr>
              <w:t>Jon Diat</w:t>
            </w:r>
          </w:p>
        </w:tc>
      </w:tr>
      <w:tr>
        <w:trPr>
          <w:trHeight w:val="222"/>
        </w:trPr>
        <w:tc>
          <w:tcPr>
            <w:tcW w:w="2500" w:type="dxa"/>
            <w:vAlign w:val="bottom"/>
          </w:tcPr>
          <w:p>
            <w:pPr>
              <w:spacing w:after="0"/>
              <w:rPr>
                <w:sz w:val="19"/>
                <w:szCs w:val="19"/>
                <w:color w:val="auto"/>
              </w:rPr>
            </w:pPr>
          </w:p>
        </w:tc>
        <w:tc>
          <w:tcPr>
            <w:tcW w:w="3180" w:type="dxa"/>
            <w:vAlign w:val="bottom"/>
          </w:tcPr>
          <w:p>
            <w:pPr>
              <w:ind w:left="1280"/>
              <w:spacing w:after="0"/>
              <w:rPr>
                <w:sz w:val="20"/>
                <w:szCs w:val="20"/>
                <w:color w:val="auto"/>
              </w:rPr>
            </w:pPr>
            <w:r>
              <w:rPr>
                <w:rFonts w:ascii="Arial" w:cs="Arial" w:eastAsia="Arial" w:hAnsi="Arial"/>
                <w:sz w:val="18"/>
                <w:szCs w:val="18"/>
                <w:color w:val="auto"/>
              </w:rPr>
              <w:t>(212)270-7318</w:t>
            </w:r>
          </w:p>
        </w:tc>
        <w:tc>
          <w:tcPr>
            <w:tcW w:w="2760" w:type="dxa"/>
            <w:vAlign w:val="bottom"/>
          </w:tcPr>
          <w:p>
            <w:pPr>
              <w:spacing w:after="0"/>
              <w:rPr>
                <w:sz w:val="19"/>
                <w:szCs w:val="19"/>
                <w:color w:val="auto"/>
              </w:rPr>
            </w:pPr>
          </w:p>
        </w:tc>
        <w:tc>
          <w:tcPr>
            <w:tcW w:w="2980" w:type="dxa"/>
            <w:vAlign w:val="bottom"/>
          </w:tcPr>
          <w:p>
            <w:pPr>
              <w:ind w:left="820"/>
              <w:spacing w:after="0"/>
              <w:rPr>
                <w:sz w:val="20"/>
                <w:szCs w:val="20"/>
                <w:color w:val="auto"/>
              </w:rPr>
            </w:pPr>
            <w:r>
              <w:rPr>
                <w:rFonts w:ascii="Arial" w:cs="Arial" w:eastAsia="Arial" w:hAnsi="Arial"/>
                <w:sz w:val="18"/>
                <w:szCs w:val="18"/>
                <w:color w:val="auto"/>
              </w:rPr>
              <w:t>(212) 270-5089</w:t>
            </w:r>
          </w:p>
        </w:tc>
      </w:tr>
      <w:tr>
        <w:trPr>
          <w:trHeight w:val="228"/>
        </w:trPr>
        <w:tc>
          <w:tcPr>
            <w:tcW w:w="250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84404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19"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Developments at Enron and in Argentina during the quarter increased credit costs and reduced trading and other revenues by a total of $807 million. Separate from, and in addition to these specific charges, the firm increased loan loss reserves in response to deteriorating market conditions by an additional $510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 comparisons to full year 2000 are on a pro forma basis which assumes that the purchase of Flemings occurred at the beginning of 2000).</w:t>
      </w:r>
    </w:p>
    <w:p>
      <w:pPr>
        <w:spacing w:after="0" w:line="22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i w:val="1"/>
          <w:iCs w:val="1"/>
          <w:color w:val="auto"/>
        </w:rPr>
        <w:t xml:space="preserve">The Investment Bank </w:t>
      </w:r>
      <w:r>
        <w:rPr>
          <w:rFonts w:ascii="Arial" w:cs="Arial" w:eastAsia="Arial" w:hAnsi="Arial"/>
          <w:sz w:val="18"/>
          <w:szCs w:val="18"/>
          <w:color w:val="auto"/>
        </w:rPr>
        <w:t>had operating revenues of $3.11 billion in the fourth quarter of 2001, a decline of 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fourth quarter of 2000. For the full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revenues of $14.90 billion were down 11% from the prior year. The impact of Enron and Argentina was to reduce operating revenues by $426 million for the quarter, mostly in trading revenues.</w:t>
      </w:r>
    </w:p>
    <w:p>
      <w:pPr>
        <w:spacing w:after="0" w:line="19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Trading revenues (including related net interest income) of $969 million declined by 28% from the fourth quarter of 2000, and the full year total of $6.18 billion was down 10% from 2000. Excluding the impact of Enron and Argentina, there were positive results in fixed income trading activities that were offset by lower equity trading results.</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Investment banking fees totaled $937 million in the fourth quarter, declining 10% from the fourth quarter of 2000 but increasing 16% from the third quarter of 2001, led by increased equity underwriting fees. Equity underwriting fees of $215 million in the fourth quarter represented the highest level since the first quarter of 2000, reflecting a rebound in market activity and market share gains. Advisory revenues in the fourth quarter were down 42% from the fourth quarter 2000.</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For the full year, investment banking fees declined 20%, as the weak equity markets and lower M&amp;A activity more than offset the record year for high-grade bond underwriting fees. Advisory revenues were 34% lower, compared with a decline of 42% in the overall level of market activity. For the full year, leadership positions were maintained in leveraged and syndicated lending (#1) and U.S. high-grade bonds (#2). In addition, the Investment Bank increased its market share of global announced M&amp;A transactions to 22% (ranking #5) in 2001, from 17% (ranking #6) in 2000. There was significant momentum in U.S. equity and equity related underwriting with increasing market share in each quarter through 2001. 1 </w:t>
      </w:r>
      <w:r>
        <w:rPr>
          <w:rFonts w:ascii="Arial" w:cs="Arial" w:eastAsia="Arial" w:hAnsi="Arial"/>
          <w:sz w:val="16"/>
          <w:szCs w:val="16"/>
          <w:i w:val="1"/>
          <w:iCs w:val="1"/>
          <w:color w:val="auto"/>
        </w:rPr>
        <w:t>International Financing Review</w:t>
      </w:r>
      <w:r>
        <w:rPr>
          <w:rFonts w:ascii="Arial" w:cs="Arial" w:eastAsia="Arial" w:hAnsi="Arial"/>
          <w:sz w:val="16"/>
          <w:szCs w:val="16"/>
          <w:color w:val="auto"/>
        </w:rPr>
        <w:t xml:space="preserve"> named JPMorgan “Bank of the Year” in its annual review. See the press release financial supplement.</w:t>
      </w:r>
    </w:p>
    <w:p>
      <w:pPr>
        <w:spacing w:after="0" w:line="1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Fees and commissions of $365 million in the fourth quarter declined by 19% from the fourth quarter of 2000, and for the full year totaled $1.50 billion, down 21% from 2000. The declines were primarily due to lower margins from equity brokerage activities.</w:t>
      </w:r>
    </w:p>
    <w:p>
      <w:pPr>
        <w:spacing w:after="0" w:line="1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operating expenses for the fourth quarter of $1.88 billion declined by 33</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from the fourth quarter of last year. For the full year, cash operating expenses of $8.98 billion declined 16%</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decline was across all expense categories and reflects merger synergies, expense management initiatives and lower incentive payments. These initiatives resulted in stable operating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20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Source for the statistics in preceding four sentences is Thomson Financial Securities Data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1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despite difficult market conditions, and the Investment Bank met its full year overhead ratio target of 60%. At year-end, the Investment Bank had eliminated approximately 6,700 positions since the merger announcement date.</w:t>
      </w:r>
    </w:p>
    <w:p>
      <w:pPr>
        <w:spacing w:after="0" w:line="18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operating earnings were $379 million in the fourth quarter, a 24</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decline from the prior year. Charge-offs in the fourth quarter totaled $369 million, including $221 million related to Enron, while the provision for loan losses in excess of charge-offs was $250 million. For the full year, cash operating earnings were $2.95 billion, down 18</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from 2000. Cash ROE was 8% for the quarter and 15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for the year.</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Investment Management &amp; Private Banking </w:t>
      </w:r>
      <w:r>
        <w:rPr>
          <w:rFonts w:ascii="Arial" w:cs="Arial" w:eastAsia="Arial" w:hAnsi="Arial"/>
          <w:sz w:val="16"/>
          <w:szCs w:val="16"/>
          <w:color w:val="auto"/>
        </w:rPr>
        <w:t>had operating revenues of $729 million in the fourth quarter, a 20% decline from the fourth quarter of 2000.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were slightly lower than in the third quarter of 2001 due to non-operating charges at American Century Companies Inc. (JPMorgan Chase owns a 45% stake in American Century). For the full year, operating revenues of $3.09 billion were 20</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lower than 2000. The decline from last year was primarily a result of lower assets under management and associated lower management fees. Total assets under management at year-end of $605 billion (excluding our 45% stake in American Century) were 5</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lower than a year ago and 4</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higher than at the end of the third quarter. Net flows for the past two quarters were positive, led by significant increases in money market accounts.</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Cash operating expenses of $581 million for the quarter were 20% lower than in the same period in 2000. For the full year, cash operating expenses totaled $2.49 billion, down 13</w:t>
      </w:r>
      <w:r>
        <w:rPr>
          <w:rFonts w:ascii="Arial" w:cs="Arial" w:eastAsia="Arial" w:hAnsi="Arial"/>
          <w:sz w:val="16"/>
          <w:szCs w:val="16"/>
          <w:i w:val="1"/>
          <w:iCs w:val="1"/>
          <w:color w:val="auto"/>
        </w:rPr>
        <w:t>%</w:t>
      </w:r>
      <w:r>
        <w:rPr>
          <w:rFonts w:ascii="Arial" w:cs="Arial" w:eastAsia="Arial" w:hAnsi="Arial"/>
          <w:sz w:val="16"/>
          <w:szCs w:val="16"/>
          <w:color w:val="auto"/>
        </w:rPr>
        <w:t xml:space="preserve"> from last year. The decline in expenses was primarily driven by the elimination of approximately 1,500 positions since the merger announcement date. The expense reduction contributed to a 20% pre-tax margin in the fourth quarter and to a 19% pre-tax margin for the full year. Cash operating earnings were down 17</w:t>
      </w:r>
      <w:r>
        <w:rPr>
          <w:rFonts w:ascii="Arial" w:cs="Arial" w:eastAsia="Arial" w:hAnsi="Arial"/>
          <w:sz w:val="16"/>
          <w:szCs w:val="16"/>
          <w:i w:val="1"/>
          <w:iCs w:val="1"/>
          <w:color w:val="auto"/>
        </w:rPr>
        <w:t>%</w:t>
      </w:r>
      <w:r>
        <w:rPr>
          <w:rFonts w:ascii="Arial" w:cs="Arial" w:eastAsia="Arial" w:hAnsi="Arial"/>
          <w:sz w:val="16"/>
          <w:szCs w:val="16"/>
          <w:color w:val="auto"/>
        </w:rPr>
        <w:t xml:space="preserve"> for the quarter and 30</w:t>
      </w:r>
      <w:r>
        <w:rPr>
          <w:rFonts w:ascii="Arial" w:cs="Arial" w:eastAsia="Arial" w:hAnsi="Arial"/>
          <w:sz w:val="16"/>
          <w:szCs w:val="16"/>
          <w:i w:val="1"/>
          <w:iCs w:val="1"/>
          <w:color w:val="auto"/>
        </w:rPr>
        <w:t>%</w:t>
      </w:r>
      <w:r>
        <w:rPr>
          <w:rFonts w:ascii="Arial" w:cs="Arial" w:eastAsia="Arial" w:hAnsi="Arial"/>
          <w:sz w:val="16"/>
          <w:szCs w:val="16"/>
          <w:color w:val="auto"/>
        </w:rPr>
        <w:t xml:space="preserve"> for the full year from comparable periods in 2000.</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JPMorgan Partners </w:t>
      </w:r>
      <w:r>
        <w:rPr>
          <w:rFonts w:ascii="Arial" w:cs="Arial" w:eastAsia="Arial" w:hAnsi="Arial"/>
          <w:sz w:val="16"/>
          <w:szCs w:val="16"/>
          <w:color w:val="auto"/>
        </w:rPr>
        <w:t>had private equity losses of $385 million in the fourth quarter, compared with losses of $93 million in the fourth quarter of 2000 and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$103 million in the third quarter of 2001. JPMP continues to manage its portfolio through a difficult market environment, with limited exit opportunities. However, the decline in private equity activity through 2001 has begun to provide attractive new investment opportunities. Included in JPMP’s results for the fourth quarter are unrealized losses of $504 million, which included downward valuation adjustments of $144 million on third party fund investments and mark-to-market losses of $137 million on public securities hedges. Partially offsetting these losses were net realized gains in the quarter of $119 million. Cash operating earnings were a loss of $346 million for the quarter, compared to a loss of $139 million in the fourth quarter of 2000.</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full year, private equity losses totaled $1.18 billion, compared to $988 million in gains in 2000. Cash operating earnings reflected a loss of $1.15 billion, compared with earnings of $258 million in 2000.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Retail &amp; Middle Market Financial Services </w:t>
      </w:r>
      <w:r>
        <w:rPr>
          <w:rFonts w:ascii="Arial" w:cs="Arial" w:eastAsia="Arial" w:hAnsi="Arial"/>
          <w:sz w:val="18"/>
          <w:szCs w:val="18"/>
          <w:color w:val="auto"/>
        </w:rPr>
        <w:t>operating revenues were $2.87 billion, up 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fourth quarter of 2000. For the full year, operating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totaled $10</w:t>
      </w:r>
      <w:r>
        <w:rPr>
          <w:rFonts w:ascii="Arial" w:cs="Arial" w:eastAsia="Arial" w:hAnsi="Arial"/>
          <w:sz w:val="18"/>
          <w:szCs w:val="18"/>
          <w:b w:val="1"/>
          <w:bCs w:val="1"/>
          <w:i w:val="1"/>
          <w:iCs w:val="1"/>
          <w:color w:val="auto"/>
        </w:rPr>
        <w:t>.</w:t>
      </w:r>
      <w:r>
        <w:rPr>
          <w:rFonts w:ascii="Arial" w:cs="Arial" w:eastAsia="Arial" w:hAnsi="Arial"/>
          <w:sz w:val="18"/>
          <w:szCs w:val="18"/>
          <w:color w:val="auto"/>
        </w:rPr>
        <w:t>92 billion, up 7%. The growth reflected record mortgage and auto financing originations, growth in credit card outstandings, and higher deposit volumes in regional banking and middle market banking. These increases were partially offset by the impact of lower interest rates on deposit spreads and mortgage servicing prepayments.</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Cash operating expenses of $1.43 billion increased by 5</w:t>
      </w:r>
      <w:r>
        <w:rPr>
          <w:rFonts w:ascii="Arial" w:cs="Arial" w:eastAsia="Arial" w:hAnsi="Arial"/>
          <w:sz w:val="16"/>
          <w:szCs w:val="16"/>
          <w:i w:val="1"/>
          <w:iCs w:val="1"/>
          <w:color w:val="auto"/>
        </w:rPr>
        <w:t>%</w:t>
      </w:r>
      <w:r>
        <w:rPr>
          <w:rFonts w:ascii="Arial" w:cs="Arial" w:eastAsia="Arial" w:hAnsi="Arial"/>
          <w:sz w:val="16"/>
          <w:szCs w:val="16"/>
          <w:color w:val="auto"/>
        </w:rPr>
        <w:t xml:space="preserve"> from the fourth quarter of 2000. For the full year, cash operating expenses of $5.47 billion increased 4% over the prior year. The increases reflect higher production volumes and higher marketing expenditures. Partially offsetting these increases were $145 million in savings achieved through productivity programs including an organization-wide Six Sigma effort. Cash operating earnings of $343 million for the fourth quarter were down 25% from the prior year due largely to higher credit costs, including a $250 million provision for loan losses in excess of charge-offs. For the full year, cash operating earnings of $1.69 billion were down 5% due to higher net charge-offs and additions to loan loss reserves of $310 million. Cash ROE for the fourth quarter was 15</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for the full year was 20</w:t>
      </w:r>
      <w:r>
        <w:rPr>
          <w:rFonts w:ascii="Arial" w:cs="Arial" w:eastAsia="Arial" w:hAnsi="Arial"/>
          <w:sz w:val="16"/>
          <w:szCs w:val="16"/>
          <w:b w:val="1"/>
          <w:bCs w:val="1"/>
          <w:i w:val="1"/>
          <w:iCs w:val="1"/>
          <w:color w:val="auto"/>
        </w:rPr>
        <w:t>%</w:t>
      </w:r>
      <w:r>
        <w:rPr>
          <w:rFonts w:ascii="Arial" w:cs="Arial" w:eastAsia="Arial" w:hAnsi="Arial"/>
          <w:sz w:val="16"/>
          <w:szCs w:val="16"/>
          <w:color w:val="auto"/>
        </w:rPr>
        <w:t>.</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Mortgage originations totaled $50.4 billion in the quarter and $184.2 billion for the full year, and grew by a record 142% during 2001. Auto finance experienced a record level of originations in the quarter, increasing by 58% over the same period last year. Credit card-related outstandings grew 12</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to $41.6 billion and included a record 4 million new accounts originated during the year. The lower interest rate environment negatively affected the deposit businesses in regional banking and middle market, but both posted deposit growth compared to last year of 5</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7</w:t>
      </w:r>
      <w:r>
        <w:rPr>
          <w:rFonts w:ascii="Arial" w:cs="Arial" w:eastAsia="Arial" w:hAnsi="Arial"/>
          <w:sz w:val="16"/>
          <w:szCs w:val="16"/>
          <w:b w:val="1"/>
          <w:bCs w:val="1"/>
          <w:i w:val="1"/>
          <w:iCs w:val="1"/>
          <w:color w:val="auto"/>
        </w:rPr>
        <w:t>%</w:t>
      </w:r>
      <w:r>
        <w:rPr>
          <w:rFonts w:ascii="Arial" w:cs="Arial" w:eastAsia="Arial" w:hAnsi="Arial"/>
          <w:sz w:val="16"/>
          <w:szCs w:val="16"/>
          <w:color w:val="auto"/>
        </w:rPr>
        <w:t>, respectively.</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Treasury &amp; Securities Services </w:t>
      </w:r>
      <w:r>
        <w:rPr>
          <w:rFonts w:ascii="Arial" w:cs="Arial" w:eastAsia="Arial" w:hAnsi="Arial"/>
          <w:sz w:val="18"/>
          <w:szCs w:val="18"/>
          <w:color w:val="auto"/>
        </w:rPr>
        <w:t>operating revenues were $890 million in the fourth quarter of 2001, down 3% from the fourth quarter of 2000. For the full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revenues were $3.63 billion, up 2%. Institutional Trust operating revenues increased 15% when compared with both the fourth quarter of 2000 and the full year driven by good volumes in debt markets as well as the impact of acquisitions. Operating revenues for Treasury Services were virtually flat compared to a strong fourth quarter of 2000, but increased 3% for the full year reflecting higher product revenues in the U.S. and Europe that offset the negative effect of declining short-term interest rates on deposits. Investor Services operating revenues were down 12% when compared with the fourth quarter of 2000, and declined 4% for the full year, reflecting the impact of weaker global equity markets that resulted in lower asset levels, reduced money flows and lower business activity.</w:t>
      </w:r>
    </w:p>
    <w:p>
      <w:pPr>
        <w:spacing w:after="0" w:line="20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operating expenses increased 3% for the full year, but were flat compared with the fourth quarter of 2000 reflecting expense control in response to the weaker revenue climate. Cash operating earnings declined 9% from the fourth quarter of 2000, while full year cash operating earnings were virtually unchanged. Cash ROE was 23% in the fourth quarter and 24% for the full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Total cash operating noninterest expense was $4.65 billion in the fourth quarter, a 16</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decline from the fourth quarter of 2000. For the full year, cash operating noninterest expense was $20.05 billion, down 8</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from the prior year (pro forma for Flemings). Areas affected by the merger have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experienced declines greater than 8</w:t>
      </w:r>
      <w:r>
        <w:rPr>
          <w:rFonts w:ascii="Arial" w:cs="Arial" w:eastAsia="Arial" w:hAnsi="Arial"/>
          <w:sz w:val="18"/>
          <w:szCs w:val="18"/>
          <w:b w:val="1"/>
          <w:bCs w:val="1"/>
          <w:i w:val="1"/>
          <w:iCs w:val="1"/>
          <w:color w:val="auto"/>
        </w:rPr>
        <w:t>%</w:t>
      </w:r>
      <w:r>
        <w:rPr>
          <w:rFonts w:ascii="Arial" w:cs="Arial" w:eastAsia="Arial" w:hAnsi="Arial"/>
          <w:sz w:val="18"/>
          <w:szCs w:val="18"/>
          <w:color w:val="auto"/>
        </w:rPr>
        <w:t>; these declines were partially offset by expense growth in non-merging areas. The expense reductions reflect acceleration of merger execution and a response to the weaker market environment. As of December 31, approximately 8,200 positions have been eliminated since the merger announcement date in areas affected by the merger.</w:t>
      </w:r>
    </w:p>
    <w:p>
      <w:pPr>
        <w:spacing w:after="0" w:line="19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Amortization of intangibles was $187 million in the fourth quarter of 2001 compared to $186 million one year ago. Amortization of intangibles was $0.09 per share in the fourth quarter of 2001, and $0.09 per share one year ago. Upon the implementation of FAS 142 in 2002 we expect there will be no impairment of intangibles and we will report only operating and reported net income. Based on existing intangibles that will continue to be amortized, full year 2002 amortization is expected to be approximately $35 million per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w:t>
      </w:r>
    </w:p>
    <w:p>
      <w:pPr>
        <w:spacing w:after="0" w:line="23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b w:val="1"/>
          <w:bCs w:val="1"/>
          <w:i w:val="1"/>
          <w:iCs w:val="1"/>
          <w:color w:val="auto"/>
        </w:rPr>
        <w:t xml:space="preserve">Commercial </w:t>
      </w:r>
      <w:r>
        <w:rPr>
          <w:rFonts w:ascii="Arial" w:cs="Arial" w:eastAsia="Arial" w:hAnsi="Arial"/>
          <w:sz w:val="18"/>
          <w:szCs w:val="18"/>
          <w:color w:val="auto"/>
        </w:rPr>
        <w:t>net charge-offs in the fourth quarter of 2001 were $433 million, compared to $189 million in the previous quarter and $159 million in the fourth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2000. For the full year, commercial net charge-offs totaled $982 million compared to $400 million in 2000. The charge-off ratio was 1.58</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for the fourth quarter of 2001 and 0.87</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for the full year.</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Consumer </w:t>
      </w:r>
      <w:r>
        <w:rPr>
          <w:rFonts w:ascii="Arial" w:cs="Arial" w:eastAsia="Arial" w:hAnsi="Arial"/>
          <w:sz w:val="16"/>
          <w:szCs w:val="16"/>
          <w:color w:val="auto"/>
        </w:rPr>
        <w:t>net charge-offs on a managed basis (i.e. including securitized assets) were $649 million, up from $588 million in the fourth quarter of 2000.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 year, consumer net charge-offs totaled $2.40 billion compared with $2.07 billion in the prior year. On a managed basis, the credit card net charge-off ratio was 5.48</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in the fourth quarter of 2001, compared to 5.64% for the third quarter of 2001 and 4.86% for the fourth quarter of 2000.</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Provisions </w:t>
      </w:r>
      <w:r>
        <w:rPr>
          <w:rFonts w:ascii="Arial" w:cs="Arial" w:eastAsia="Arial" w:hAnsi="Arial"/>
          <w:sz w:val="18"/>
          <w:szCs w:val="18"/>
          <w:color w:val="auto"/>
        </w:rPr>
        <w:t>in excess of net charge-offs of $650 million were recorded in the fourth quarter, based on an analysis of expected loss and other factors.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adjust our allowance as needed in response to changes in the economic environment. For the full year, provisions in excess of net charge-offs totaled $850 million.</w:t>
      </w:r>
    </w:p>
    <w:p>
      <w:pPr>
        <w:spacing w:after="0" w:line="19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 xml:space="preserve">Total Nonperforming Assets </w:t>
      </w:r>
      <w:r>
        <w:rPr>
          <w:rFonts w:ascii="Arial" w:cs="Arial" w:eastAsia="Arial" w:hAnsi="Arial"/>
          <w:sz w:val="18"/>
          <w:szCs w:val="18"/>
          <w:color w:val="auto"/>
        </w:rPr>
        <w:t>were $3.92 billion at December 31, 2001, which includes $1.13 billion related to the Enron surety receivables and letter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this amount, which is the subject of litigation with creditworthy entities, nonperforming assets totaled $2.79 billion. This compares to $2.65 billion at September 30, 2001 and $1.92 billion as of December 31, 2000.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 and capital</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Total assets as of December 31, 2001 were $694 billion, compared with $799 billion at September 30, 2001 and $715 billion as of December 31, 2000. The majority of the reduction from the prior quarter reflects the resolution of the industry-wide clearing and settlement problems experienced in September. In addition, commercial loans declined 10% from the prior quarter while consumer loans increased 7%. The Tier One capital ratio was 8.3</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at December 31, 2001, compared to 8.2% at September 30, 2001 and 8.5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at December 31, 2000.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 xml:space="preserve">Special Items </w:t>
      </w:r>
      <w:r>
        <w:rPr>
          <w:rFonts w:ascii="Arial" w:cs="Arial" w:eastAsia="Arial" w:hAnsi="Arial"/>
          <w:sz w:val="16"/>
          <w:szCs w:val="16"/>
          <w:color w:val="auto"/>
        </w:rPr>
        <w:t>in the fourth quarter of 2001 included $841 million (pre-tax) in merger and restructuring costs. Special items in the fourth quarter of 2000 included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merger-related charges of $1.25 billion offset by gains on the sale of the Hong Kong retail business and the transfer of our Euroclear related businesses.</w:t>
      </w:r>
    </w:p>
    <w:p>
      <w:pPr>
        <w:spacing w:after="0" w:line="13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J.P. Morgan Chase &amp; Co. is a leading global financial services firm with assets of $694 billion and operations in more than 50 countries. With relationships with over 99% of the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1000 companies, the firm is a leader in investment banking, asset management, private banking, private equity, custody and transaction services and retail and middle market financial services. A component of the Dow Jones Industrial Average, JPMorgan Chase is headquartered in New York and serves more than 30 million consumer customers and the world’s most prominent corporate, institutional and government clients. Information about JPMorgan Chase is available on the internet at www.jpmorganchase.com.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will hold a presentation for the investment community on Wednesday, January 16, 2002 at 11:00 a.m. (Eastern Standard Time) to review fourth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quarter 2001 financial results. A live audio webcast of the presentation will be available on www.jpmorganchase.com. In addition, persons interested in listening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presentation by telephone may dial in at (973) 321-1040. A telephone replay of the presentation will be available beginning at 1:30 p.m. (EST)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16, 2002 and continuing through 6:00 p.m. (EST) on January 22, 2002 at (973) 341-3080. The replay also will be available on www.jpmorganchase.com.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detailed financial, statistical and business-related information is included in a financial supplement. The earnings release, the financial supplement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about the Investment Bank are available on the JPMorgan Chase web site (www.jpmorganchase.com).</w:t>
      </w:r>
    </w:p>
    <w:p>
      <w:pPr>
        <w:spacing w:after="0" w:line="219" w:lineRule="exact"/>
        <w:rPr>
          <w:sz w:val="20"/>
          <w:szCs w:val="20"/>
          <w:color w:val="auto"/>
        </w:rPr>
      </w:pPr>
    </w:p>
    <w:p>
      <w:pPr>
        <w:spacing w:after="0" w:line="302" w:lineRule="auto"/>
        <w:rPr>
          <w:sz w:val="20"/>
          <w:szCs w:val="20"/>
          <w:color w:val="auto"/>
        </w:rPr>
      </w:pPr>
      <w:r>
        <w:rPr>
          <w:rFonts w:ascii="Arial" w:cs="Arial" w:eastAsia="Arial" w:hAnsi="Arial"/>
          <w:sz w:val="15"/>
          <w:szCs w:val="15"/>
          <w:i w:val="1"/>
          <w:iCs w:val="1"/>
          <w:color w:val="auto"/>
        </w:rPr>
        <w:t>This press release contains statements that are forward-looking within the meaning of the Private Securities Litigation Reform Act of 1995. Such statements are based upon the current beliefs and expectations of JPMorgan Chase’s management and are subject to significant risks and uncertainties. Actual results may differ from those set forth in the forward-looking statements. These uncertainties could cause our results to differ materially from such forward looking statements. Such risks and uncertainties are described in our Quarterly Report on Form 10-Q for the quarter ended September 30, 2001 and in the 2000 Annual Report on</w:t>
      </w:r>
    </w:p>
    <w:p>
      <w:pPr>
        <w:spacing w:after="0" w:line="3" w:lineRule="exact"/>
        <w:rPr>
          <w:sz w:val="20"/>
          <w:szCs w:val="20"/>
          <w:color w:val="auto"/>
        </w:rPr>
      </w:pPr>
    </w:p>
    <w:p>
      <w:pPr>
        <w:ind w:right="1420"/>
        <w:spacing w:after="0" w:line="261" w:lineRule="auto"/>
        <w:rPr>
          <w:sz w:val="20"/>
          <w:szCs w:val="20"/>
          <w:color w:val="auto"/>
        </w:rPr>
      </w:pPr>
      <w:r>
        <w:rPr>
          <w:rFonts w:ascii="Arial" w:cs="Arial" w:eastAsia="Arial" w:hAnsi="Arial"/>
          <w:sz w:val="18"/>
          <w:szCs w:val="18"/>
          <w:i w:val="1"/>
          <w:iCs w:val="1"/>
          <w:color w:val="auto"/>
        </w:rPr>
        <w:t>Form 10-K, each filed with the Securities and Exchange Commission and available at the Securities and Exchange Commission’s internet site (http://www.sec.gov), to which reference is hereby made.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3" w:name="page14"/>
    <w:bookmarkEnd w:id="13"/>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and ratio data)</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right"/>
              <w:ind w:right="395"/>
              <w:spacing w:after="0"/>
              <w:rPr>
                <w:sz w:val="20"/>
                <w:szCs w:val="20"/>
                <w:color w:val="auto"/>
              </w:rPr>
            </w:pPr>
            <w:r>
              <w:rPr>
                <w:rFonts w:ascii="Arial" w:cs="Arial" w:eastAsia="Arial" w:hAnsi="Arial"/>
                <w:sz w:val="14"/>
                <w:szCs w:val="14"/>
                <w:color w:val="auto"/>
              </w:rPr>
              <w:t>4QTR 2001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3"/>
          </w:tcPr>
          <w:p>
            <w:pPr>
              <w:jc w:val="right"/>
              <w:ind w:right="335"/>
              <w:spacing w:after="0"/>
              <w:rPr>
                <w:sz w:val="20"/>
                <w:szCs w:val="20"/>
                <w:color w:val="auto"/>
              </w:rPr>
            </w:pPr>
            <w:r>
              <w:rPr>
                <w:rFonts w:ascii="Arial" w:cs="Arial" w:eastAsia="Arial" w:hAnsi="Arial"/>
                <w:sz w:val="14"/>
                <w:szCs w:val="14"/>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0"/>
              </w:rPr>
              <w:t>4QTR</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5"/>
              </w:rPr>
              <w:t>3QTR</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gridSpan w:val="3"/>
            <w:vMerge w:val="restart"/>
          </w:tcPr>
          <w:p>
            <w:pPr>
              <w:jc w:val="center"/>
              <w:ind w:right="580"/>
              <w:spacing w:after="0"/>
              <w:rPr>
                <w:sz w:val="20"/>
                <w:szCs w:val="20"/>
                <w:color w:val="auto"/>
              </w:rPr>
            </w:pPr>
            <w:r>
              <w:rPr>
                <w:rFonts w:ascii="Arial" w:cs="Arial" w:eastAsia="Arial" w:hAnsi="Arial"/>
                <w:sz w:val="14"/>
                <w:szCs w:val="14"/>
                <w:color w:val="auto"/>
                <w:w w:val="90"/>
              </w:rPr>
              <w:t>4QTR</w:t>
            </w: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color w:val="auto"/>
              </w:rPr>
              <w:t>2001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85"/>
              </w:rPr>
              <w:t>3Q 2001</w:t>
            </w:r>
          </w:p>
        </w:tc>
        <w:tc>
          <w:tcPr>
            <w:tcW w:w="34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color w:val="auto"/>
                <w:w w:val="85"/>
              </w:rPr>
              <w:t>4Q 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 STATEMENT (a)</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Investment Banking Fees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931</w:t>
            </w:r>
          </w:p>
        </w:tc>
        <w:tc>
          <w:tcPr>
            <w:tcW w:w="36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811</w:t>
            </w: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1,051</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Trading-Related Revenue (Including Trading NII)</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(44)</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Fees and Commissions</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2,271</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2,323</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Private Equity — Realized Gains</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 Unrealized Gains (Losses)</w:t>
            </w:r>
          </w:p>
        </w:tc>
        <w:tc>
          <w:tcPr>
            <w:tcW w:w="2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(471)</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(62)</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Securities Gains</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920" w:type="dxa"/>
            <w:vAlign w:val="bottom"/>
            <w:gridSpan w:val="2"/>
          </w:tcPr>
          <w:p>
            <w:pPr>
              <w:jc w:val="right"/>
              <w:ind w:right="175"/>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(35)</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Interest Income (Excluding Trading NII)</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2,725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2,509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17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OPERATING REVENUE</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6,841</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7,619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7,575</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EXPENSE:</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2,652</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2,883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3,310</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(8)</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Noncompensation Expense (b)</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1,997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 CASH EXPENSE</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4,649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4,877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5,556</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Credit Costs</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71</w:t>
            </w:r>
          </w:p>
        </w:tc>
        <w:tc>
          <w:tcPr>
            <w:tcW w:w="920" w:type="dxa"/>
            <w:vAlign w:val="bottom"/>
            <w:gridSpan w:val="2"/>
          </w:tcPr>
          <w:p>
            <w:pPr>
              <w:jc w:val="right"/>
              <w:ind w:right="175"/>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Income before Taxes</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1,352</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(73)</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(95)</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434</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949</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(64)</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Amortization of Intangibles</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920" w:type="dxa"/>
            <w:vAlign w:val="bottom"/>
            <w:gridSpan w:val="2"/>
          </w:tcPr>
          <w:p>
            <w:pPr>
              <w:jc w:val="right"/>
              <w:ind w:right="1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OPERATING EARNINGS</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763</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Restructuring/Merger Expenses &amp; Special Items</w:t>
            </w:r>
          </w:p>
        </w:tc>
        <w:tc>
          <w:tcPr>
            <w:tcW w:w="2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9"/>
                <w:szCs w:val="19"/>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(332)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Earnings per Share — Operating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0.12</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0.51</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 — Operating (Excl. JPMP)</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(51)</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Earnings per Share — Net Income (Loss) (c)</w:t>
            </w:r>
          </w:p>
        </w:tc>
        <w:tc>
          <w:tcPr>
            <w:tcW w:w="2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0.34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BASIS</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0.21</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(65)</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Shareholder Value Added</w:t>
            </w:r>
          </w:p>
        </w:tc>
        <w:tc>
          <w:tcPr>
            <w:tcW w:w="2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NM</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Return on Managed Assets</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340" w:type="dxa"/>
            <w:vAlign w:val="bottom"/>
          </w:tcPr>
          <w:p>
            <w:pPr>
              <w:spacing w:after="0"/>
              <w:rPr>
                <w:sz w:val="18"/>
                <w:szCs w:val="18"/>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84"/>
              </w:rPr>
              <w:t>(41)bp</w:t>
            </w:r>
          </w:p>
        </w:tc>
        <w:tc>
          <w:tcPr>
            <w:tcW w:w="34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8"/>
              </w:rPr>
              <w:t>(29)bp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Return on Common Equity</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w w:val="85"/>
              </w:rPr>
              <w:t>(750)</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Overhead Ratio</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w w:val="99"/>
              </w:rPr>
              <w:t>400</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Compensation Expense as a % of Revenue</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w w:val="99"/>
              </w:rPr>
              <w:t>100</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Noncompensation Expense as a % of Revenue</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w w:val="99"/>
              </w:rPr>
              <w:t>300</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COMMON SHARES OUTSTANDING</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Basic Average Shares Outstanding</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1,969.6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1,975.3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1,924.8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Diluted Average Shares Outstanding</w:t>
            </w: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2,007.4</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2,020.9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2,007.1</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Common Shares Outstanding — at Period End</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1,973.4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1,972.9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1,928.5</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7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CASH DIVIDENDS DECLARED PER SHARE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7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BOOK VALUE PER SHARE</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COMMON DIVIDEND PAYOUT RATIO (d)</w:t>
            </w:r>
          </w:p>
        </w:tc>
        <w:tc>
          <w:tcPr>
            <w:tcW w:w="2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RATIOS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Tier I Capital Ratio</w:t>
            </w:r>
          </w:p>
        </w:tc>
        <w:tc>
          <w:tcPr>
            <w:tcW w:w="2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8.3%(e)</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10bp</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ind w:left="100"/>
              <w:spacing w:after="0"/>
              <w:rPr>
                <w:sz w:val="20"/>
                <w:szCs w:val="20"/>
                <w:color w:val="auto"/>
              </w:rPr>
            </w:pPr>
            <w:r>
              <w:rPr>
                <w:rFonts w:ascii="Arial" w:cs="Arial" w:eastAsia="Arial" w:hAnsi="Arial"/>
                <w:sz w:val="18"/>
                <w:szCs w:val="18"/>
                <w:color w:val="auto"/>
                <w:w w:val="88"/>
              </w:rPr>
              <w:t>(20)bp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Capital Ratio</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11.9(e)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154"/>
              <w:spacing w:after="0"/>
              <w:rPr>
                <w:sz w:val="20"/>
                <w:szCs w:val="20"/>
                <w:color w:val="auto"/>
              </w:rPr>
            </w:pPr>
            <w:r>
              <w:rPr>
                <w:rFonts w:ascii="Arial" w:cs="Arial" w:eastAsia="Arial" w:hAnsi="Arial"/>
                <w:sz w:val="18"/>
                <w:szCs w:val="18"/>
                <w:color w:val="auto"/>
              </w:rPr>
              <w:t>30</w:t>
            </w:r>
          </w:p>
        </w:tc>
        <w:tc>
          <w:tcPr>
            <w:tcW w:w="920" w:type="dxa"/>
            <w:vAlign w:val="bottom"/>
            <w:gridSpan w:val="2"/>
          </w:tcPr>
          <w:p>
            <w:pPr>
              <w:jc w:val="right"/>
              <w:ind w:right="1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Tier I Leverage</w:t>
            </w:r>
          </w:p>
        </w:tc>
        <w:tc>
          <w:tcPr>
            <w:tcW w:w="2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5.2(e)</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EEEEEE"/>
          </w:tcPr>
          <w:p>
            <w:pPr>
              <w:jc w:val="right"/>
              <w:ind w:right="1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[Additional columns below]</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00" w:lineRule="exact"/>
        <w:rPr>
          <w:sz w:val="20"/>
          <w:szCs w:val="20"/>
          <w:color w:val="auto"/>
        </w:rPr>
      </w:pPr>
    </w:p>
    <w:p>
      <w:pPr>
        <w:spacing w:after="0" w:line="287"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67310</wp:posOffset>
            </wp:positionV>
            <wp:extent cx="1689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ectPr>
          <w:pgSz w:w="11900" w:h="16838" w:orient="portrait"/>
          <w:cols w:equalWidth="0" w:num="1">
            <w:col w:w="10280"/>
          </w:cols>
          <w:pgMar w:left="240" w:top="1440" w:right="137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14"/>
              <w:spacing w:after="0"/>
              <w:rPr>
                <w:sz w:val="20"/>
                <w:szCs w:val="20"/>
                <w:color w:val="auto"/>
              </w:rPr>
            </w:pPr>
            <w:r>
              <w:rPr>
                <w:rFonts w:ascii="Arial" w:cs="Arial" w:eastAsia="Arial" w:hAnsi="Arial"/>
                <w:sz w:val="14"/>
                <w:szCs w:val="14"/>
                <w:color w:val="auto"/>
                <w:w w:val="97"/>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2001</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2000</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ind w:left="320"/>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 STATEMENT (a)</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REVENUE:</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Investment Banking Fees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3,612</w:t>
            </w:r>
          </w:p>
        </w:tc>
        <w:tc>
          <w:tcPr>
            <w:tcW w:w="3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4,362</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Trading-Related Revenue (Including Trading NII)</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6,279</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7,142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Fees and Commissions</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8,868</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8,879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Private Equity — Realized Gains</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 Unrealized Gains (Losses)</w:t>
            </w:r>
          </w:p>
        </w:tc>
        <w:tc>
          <w:tcPr>
            <w:tcW w:w="3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8"/>
              </w:rPr>
              <w:t>(1,884)</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8"/>
              </w:rPr>
              <w:t>(1,036)</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Securities Gains</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Interest Income (Excluding Trading NII)</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10,846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10,018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OPERATING REVENUE</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30,098</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32,793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EXPENSE:</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Compensation Expense</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11,944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12,748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Noncompensation Expense (b)</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8,103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8,117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CASH EXPENSE</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20,047</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20,865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Credit Costs</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4,233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2,367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Income before Taxes</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5,818</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9,561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3,106</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4,138</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6,455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Amortization of Intangibles</w:t>
            </w: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528</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OPERATING EARNINGS</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3,409</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Restructuring/Merger Expenses &amp; Special Items</w:t>
            </w:r>
          </w:p>
        </w:tc>
        <w:tc>
          <w:tcPr>
            <w:tcW w:w="34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(1,715)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1,694</w:t>
            </w:r>
          </w:p>
        </w:tc>
        <w:tc>
          <w:tcPr>
            <w:tcW w:w="3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5,727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5"/>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 — Operating</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Diluted Earnings per Share — Operating (Excl. JPMP)</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 — Net Income (Loss) (c)</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0.80</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CASH OPERATING BASIS</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Shareholder Value Added</w:t>
            </w:r>
          </w:p>
        </w:tc>
        <w:tc>
          <w:tcPr>
            <w:tcW w:w="3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Return on Managed Assets</w:t>
            </w:r>
          </w:p>
        </w:tc>
        <w:tc>
          <w:tcPr>
            <w:tcW w:w="34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0.55%</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0.93%</w:t>
            </w: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(38)bp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Return on Common Equity</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Overhead Ratio</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Compensation Expense as a % of Revenue</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Noncompensation Expense as a % of Revenue</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COMMON SHARES OUTSTANDING</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Basic Average Shares Outstanding</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1,972.4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1,884.1</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Diluted Average Shares Outstanding</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2,023.6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1,969.0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Common Shares Outstanding — at Period End</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1,973.4</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1,928.5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BOOK VALUE PER SHARE</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COMMON DIVIDEND PAYOUT RATIO (d)</w:t>
            </w:r>
          </w:p>
        </w:tc>
        <w:tc>
          <w:tcPr>
            <w:tcW w:w="3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CAPITAL RATIOS</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Tier I Capital Ratio</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Total Capital Ratio</w:t>
            </w: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Tier I Leverage</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320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page 11 for a reconciliation between reported results and operating results.</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Excludes the amortization of intangibles.</w:t>
      </w:r>
    </w:p>
    <w:p>
      <w:pPr>
        <w:spacing w:after="0" w:line="9" w:lineRule="exact"/>
        <w:rPr>
          <w:rFonts w:ascii="Arial" w:cs="Arial" w:eastAsia="Arial" w:hAnsi="Arial"/>
          <w:sz w:val="18"/>
          <w:szCs w:val="18"/>
          <w:color w:val="auto"/>
        </w:rPr>
      </w:pPr>
    </w:p>
    <w:p>
      <w:pPr>
        <w:ind w:left="280" w:right="1039" w:hanging="272"/>
        <w:spacing w:after="0" w:line="250" w:lineRule="auto"/>
        <w:tabs>
          <w:tab w:leader="none" w:pos="299" w:val="left"/>
        </w:tabs>
        <w:numPr>
          <w:ilvl w:val="0"/>
          <w:numId w:val="2"/>
        </w:numPr>
        <w:rPr>
          <w:rFonts w:ascii="Arial" w:cs="Arial" w:eastAsia="Arial" w:hAnsi="Arial"/>
          <w:sz w:val="18"/>
          <w:szCs w:val="18"/>
          <w:color w:val="auto"/>
        </w:rPr>
      </w:pPr>
      <w:r>
        <w:rPr>
          <w:rFonts w:ascii="Arial" w:cs="Arial" w:eastAsia="Arial" w:hAnsi="Arial"/>
          <w:sz w:val="18"/>
          <w:szCs w:val="18"/>
          <w:color w:val="auto"/>
        </w:rPr>
        <w:t>Diluted earnings per share have been reduced by $0.01 in the year ended December 31, 2001 due to the impact of the adoption of SFAS 133 relating to the accounting for derivative instruments and hedging activities.</w:t>
      </w: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basis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bp — Denotes basis points; 100 bp equals 1%</w:t>
      </w:r>
    </w:p>
    <w:p>
      <w:pPr>
        <w:spacing w:after="0" w:line="21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6" w:right="1440" w:bottom="1134" w:gutter="0" w:footer="0" w:header="0"/>
        </w:sectPr>
      </w:pPr>
    </w:p>
    <w:bookmarkStart w:id="15" w:name="page16"/>
    <w:bookmarkEnd w:id="15"/>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LINES OF BUSINESS FINANCIAL HIGHLIGHTS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and ratio data)</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left="374"/>
              <w:spacing w:after="0"/>
              <w:rPr>
                <w:sz w:val="20"/>
                <w:szCs w:val="20"/>
                <w:color w:val="auto"/>
              </w:rPr>
            </w:pPr>
            <w:r>
              <w:rPr>
                <w:rFonts w:ascii="Arial" w:cs="Arial" w:eastAsia="Arial" w:hAnsi="Arial"/>
                <w:sz w:val="14"/>
                <w:szCs w:val="14"/>
                <w:color w:val="auto"/>
                <w:w w:val="88"/>
              </w:rPr>
              <w:t>4QTR 2001</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center"/>
              <w:ind w:right="780"/>
              <w:spacing w:after="0"/>
              <w:rPr>
                <w:sz w:val="20"/>
                <w:szCs w:val="20"/>
                <w:color w:val="auto"/>
              </w:rPr>
            </w:pPr>
            <w:r>
              <w:rPr>
                <w:rFonts w:ascii="Arial" w:cs="Arial" w:eastAsia="Arial" w:hAnsi="Arial"/>
                <w:sz w:val="14"/>
                <w:szCs w:val="14"/>
                <w:color w:val="auto"/>
                <w:w w:val="90"/>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color w:val="auto"/>
              </w:rPr>
              <w:t>4QTR</w:t>
            </w:r>
          </w:p>
        </w:tc>
        <w:tc>
          <w:tcPr>
            <w:tcW w:w="140" w:type="dxa"/>
            <w:vAlign w:val="bottom"/>
          </w:tcPr>
          <w:p>
            <w:pPr>
              <w:spacing w:after="0"/>
              <w:rPr>
                <w:sz w:val="20"/>
                <w:szCs w:val="20"/>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3QTR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center"/>
              <w:ind w:right="700"/>
              <w:spacing w:after="0"/>
              <w:rPr>
                <w:sz w:val="20"/>
                <w:szCs w:val="20"/>
                <w:color w:val="auto"/>
              </w:rPr>
            </w:pPr>
            <w:r>
              <w:rPr>
                <w:rFonts w:ascii="Arial" w:cs="Arial" w:eastAsia="Arial" w:hAnsi="Arial"/>
                <w:sz w:val="14"/>
                <w:szCs w:val="14"/>
                <w:color w:val="auto"/>
                <w:w w:val="90"/>
              </w:rPr>
              <w:t>4QTR</w:t>
            </w:r>
          </w:p>
        </w:tc>
        <w:tc>
          <w:tcPr>
            <w:tcW w:w="1100" w:type="dxa"/>
            <w:vAlign w:val="bottom"/>
            <w:gridSpan w:val="3"/>
          </w:tcPr>
          <w:p>
            <w:pPr>
              <w:jc w:val="center"/>
              <w:ind w:right="660"/>
              <w:spacing w:after="0"/>
              <w:rPr>
                <w:sz w:val="20"/>
                <w:szCs w:val="20"/>
                <w:color w:val="auto"/>
              </w:rPr>
            </w:pPr>
            <w:r>
              <w:rPr>
                <w:rFonts w:ascii="Arial" w:cs="Arial" w:eastAsia="Arial" w:hAnsi="Arial"/>
                <w:sz w:val="14"/>
                <w:szCs w:val="14"/>
                <w:color w:val="auto"/>
                <w:w w:val="85"/>
              </w:rPr>
              <w:t>3Q</w:t>
            </w:r>
          </w:p>
        </w:tc>
        <w:tc>
          <w:tcPr>
            <w:tcW w:w="1220" w:type="dxa"/>
            <w:vAlign w:val="bottom"/>
            <w:gridSpan w:val="2"/>
          </w:tcPr>
          <w:p>
            <w:pPr>
              <w:jc w:val="center"/>
              <w:ind w:right="780"/>
              <w:spacing w:after="0"/>
              <w:rPr>
                <w:sz w:val="20"/>
                <w:szCs w:val="20"/>
                <w:color w:val="auto"/>
              </w:rPr>
            </w:pPr>
            <w:r>
              <w:rPr>
                <w:rFonts w:ascii="Arial" w:cs="Arial" w:eastAsia="Arial" w:hAnsi="Arial"/>
                <w:sz w:val="14"/>
                <w:szCs w:val="14"/>
                <w:color w:val="auto"/>
                <w:w w:val="85"/>
              </w:rPr>
              <w:t>4Q</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2001</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6"/>
              </w:rPr>
              <w:t>2001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6"/>
              </w:rPr>
              <w:t>2000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color w:val="auto"/>
              </w:rPr>
              <w:t>2001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rPr>
              <w:t>2000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Bank</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3,106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3,587</w:t>
            </w: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3,707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Investment Management &amp; Private Banking</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Retail &amp; Middle Market Financial Services</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2,868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2,785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2,591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234"/>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233"/>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Treasury &amp; Securities Services</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890</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Corporate (b)</w:t>
            </w:r>
          </w:p>
        </w:tc>
        <w:tc>
          <w:tcPr>
            <w:tcW w:w="380" w:type="dxa"/>
            <w:vAlign w:val="bottom"/>
          </w:tcPr>
          <w:p>
            <w:pPr>
              <w:spacing w:after="0"/>
              <w:rPr>
                <w:sz w:val="19"/>
                <w:szCs w:val="19"/>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OPERATING REVENUE EXCLUDING JPMP</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7,286</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7,798</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7,711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(7)</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JPMorgan Partners</w:t>
            </w:r>
          </w:p>
        </w:tc>
        <w:tc>
          <w:tcPr>
            <w:tcW w:w="380" w:type="dxa"/>
            <w:vAlign w:val="bottom"/>
          </w:tcPr>
          <w:p>
            <w:pPr>
              <w:spacing w:after="0"/>
              <w:rPr>
                <w:sz w:val="19"/>
                <w:szCs w:val="19"/>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w w:val="85"/>
              </w:rPr>
              <w:t>(149)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w w:val="85"/>
              </w:rPr>
              <w:t>(227)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OPERATING REVENUE (b)</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6,841</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7,619</w:t>
            </w: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7,575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Investment Bank</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379</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(47)</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Management &amp; Private Banking</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Retail &amp; Middle Market Financial Services</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343</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(22)</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Treasury &amp; Securities Services</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Corporate (b)</w:t>
            </w:r>
          </w:p>
        </w:tc>
        <w:tc>
          <w:tcPr>
            <w:tcW w:w="3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(187)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w w:val="85"/>
              </w:rPr>
              <w:t>(159)</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CASH OPERATING EARNINGS EXCLUDING JPMP</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780</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1,375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1,088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JPMorgan Partners</w:t>
            </w:r>
          </w:p>
        </w:tc>
        <w:tc>
          <w:tcPr>
            <w:tcW w:w="3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(157)</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(139)</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w w:val="85"/>
              </w:rPr>
              <w:t>(120)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w w:val="85"/>
              </w:rPr>
              <w:t>(149)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CASH OPERATING EARNINGS (c)</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434</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1,218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Less: Amortization of Intangibles</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OPERATING EARNINGS (c)</w:t>
            </w:r>
          </w:p>
        </w:tc>
        <w:tc>
          <w:tcPr>
            <w:tcW w:w="3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1,036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Restructuring/Merger Expenses &amp; Special Items</w:t>
            </w:r>
          </w:p>
        </w:tc>
        <w:tc>
          <w:tcPr>
            <w:tcW w:w="3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(579)</w:t>
            </w: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9"/>
              </w:rPr>
              <w:t>(587)</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NM</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3"/>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NET INCOME (LOSS) (c)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rPr>
              <w:t>(332)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708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color w:val="auto"/>
              </w:rPr>
              <w:t>NM</w:t>
            </w:r>
          </w:p>
        </w:tc>
        <w:tc>
          <w:tcPr>
            <w:tcW w:w="1220" w:type="dxa"/>
            <w:vAlign w:val="bottom"/>
            <w:gridSpan w:val="2"/>
          </w:tcPr>
          <w:p>
            <w:pPr>
              <w:jc w:val="right"/>
              <w:ind w:right="8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DILUTED</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CASH OPERATING EARNINGS EXCLUDING JPMP</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0.38</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Impact of JPMP</w:t>
            </w:r>
          </w:p>
        </w:tc>
        <w:tc>
          <w:tcPr>
            <w:tcW w:w="3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w w:val="93"/>
              </w:rPr>
              <w:t>(0.17)</w:t>
            </w: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(0.07)</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w w:val="85"/>
              </w:rPr>
              <w:t>(143)</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w w:val="85"/>
              </w:rPr>
              <w:t>(143)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EARNINGS (c)</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(65)</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(54)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Impact of Intangibles</w:t>
            </w:r>
          </w:p>
        </w:tc>
        <w:tc>
          <w:tcPr>
            <w:tcW w:w="380" w:type="dxa"/>
            <w:vAlign w:val="bottom"/>
          </w:tcPr>
          <w:p>
            <w:pPr>
              <w:spacing w:after="0"/>
              <w:rPr>
                <w:sz w:val="19"/>
                <w:szCs w:val="19"/>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w w:val="93"/>
              </w:rPr>
              <w:t>(0.09)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(0.09)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(0.09)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OPERATING EARNINGS (c)</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(76)</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(68)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Restructuring/Merger Expenses &amp; Special Items</w:t>
            </w:r>
          </w:p>
        </w:tc>
        <w:tc>
          <w:tcPr>
            <w:tcW w:w="380" w:type="dxa"/>
            <w:vAlign w:val="bottom"/>
          </w:tcPr>
          <w:p>
            <w:pPr>
              <w:spacing w:after="0"/>
              <w:rPr>
                <w:sz w:val="19"/>
                <w:szCs w:val="19"/>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color w:val="auto"/>
                <w:w w:val="93"/>
              </w:rPr>
              <w:t>(0.29)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(0.29)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(0.03)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NM</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(c)</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EEEEEE"/>
          </w:tcPr>
          <w:p>
            <w:pPr>
              <w:jc w:val="right"/>
              <w:ind w:right="580"/>
              <w:spacing w:after="0"/>
              <w:rPr>
                <w:sz w:val="20"/>
                <w:szCs w:val="20"/>
                <w:color w:val="auto"/>
              </w:rPr>
            </w:pPr>
            <w:r>
              <w:rPr>
                <w:rFonts w:ascii="Arial" w:cs="Arial" w:eastAsia="Arial" w:hAnsi="Arial"/>
                <w:sz w:val="18"/>
                <w:szCs w:val="18"/>
                <w:color w:val="auto"/>
                <w:w w:val="92"/>
              </w:rPr>
              <w:t>(0.18)(d)</w:t>
            </w:r>
          </w:p>
        </w:tc>
        <w:tc>
          <w:tcPr>
            <w:tcW w:w="1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ind w:left="80"/>
              <w:spacing w:after="0"/>
              <w:rPr>
                <w:sz w:val="20"/>
                <w:szCs w:val="20"/>
                <w:color w:val="auto"/>
              </w:rPr>
            </w:pPr>
            <w:r>
              <w:rPr>
                <w:rFonts w:ascii="Arial" w:cs="Arial" w:eastAsia="Arial" w:hAnsi="Arial"/>
                <w:sz w:val="18"/>
                <w:szCs w:val="18"/>
                <w:color w:val="auto"/>
              </w:rPr>
              <w:t>NM</w:t>
            </w:r>
          </w:p>
        </w:tc>
        <w:tc>
          <w:tcPr>
            <w:tcW w:w="64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NM</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CASH OPERATING RETURN ON COMMON EQUITY</w:t>
            </w: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60" w:type="dxa"/>
            <w:vAlign w:val="bottom"/>
            <w:gridSpan w:val="2"/>
            <w:vMerge w:val="continue"/>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Investment Bank</w:t>
            </w:r>
          </w:p>
        </w:tc>
        <w:tc>
          <w:tcPr>
            <w:tcW w:w="38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7"/>
              </w:rPr>
              <w:t>15.1%</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(730)bp</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(150)bp</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Management &amp; Private Banking</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Retail &amp; Middle Market Financial Services</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w w:val="85"/>
              </w:rPr>
              <w:t>(460)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w w:val="85"/>
              </w:rPr>
              <w:t>(620)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Treasury &amp; Securities Services</w:t>
            </w:r>
          </w:p>
        </w:tc>
        <w:tc>
          <w:tcPr>
            <w:tcW w:w="3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w w:val="85"/>
              </w:rPr>
              <w:t>(200)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w w:val="85"/>
              </w:rPr>
              <w:t>(200)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RETURN ON COMMON EQUITY (c)</w:t>
            </w:r>
          </w:p>
        </w:tc>
        <w:tc>
          <w:tcPr>
            <w:tcW w:w="38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w w:val="85"/>
              </w:rPr>
              <w:t>(750)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w w:val="85"/>
              </w:rPr>
              <w:t>(510)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RETURN ON COMMON EQUITY (c)</w:t>
            </w:r>
          </w:p>
        </w:tc>
        <w:tc>
          <w:tcPr>
            <w:tcW w:w="3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74"/>
              <w:spacing w:after="0"/>
              <w:rPr>
                <w:sz w:val="20"/>
                <w:szCs w:val="20"/>
                <w:color w:val="auto"/>
              </w:rPr>
            </w:pPr>
            <w:r>
              <w:rPr>
                <w:rFonts w:ascii="Arial" w:cs="Arial" w:eastAsia="Arial" w:hAnsi="Arial"/>
                <w:sz w:val="18"/>
                <w:szCs w:val="18"/>
                <w:color w:val="auto"/>
                <w:w w:val="85"/>
              </w:rPr>
              <w:t>(760)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73"/>
              <w:spacing w:after="0"/>
              <w:rPr>
                <w:sz w:val="20"/>
                <w:szCs w:val="20"/>
                <w:color w:val="auto"/>
              </w:rPr>
            </w:pPr>
            <w:r>
              <w:rPr>
                <w:rFonts w:ascii="Arial" w:cs="Arial" w:eastAsia="Arial" w:hAnsi="Arial"/>
                <w:sz w:val="18"/>
                <w:szCs w:val="18"/>
                <w:color w:val="auto"/>
                <w:w w:val="85"/>
              </w:rPr>
              <w:t>(510)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ind w:left="340"/>
              <w:spacing w:after="0"/>
              <w:rPr>
                <w:sz w:val="20"/>
                <w:szCs w:val="20"/>
                <w:color w:val="auto"/>
              </w:rPr>
            </w:pPr>
            <w:r>
              <w:rPr>
                <w:rFonts w:ascii="Arial" w:cs="Arial" w:eastAsia="Arial" w:hAnsi="Arial"/>
                <w:sz w:val="18"/>
                <w:szCs w:val="18"/>
                <w:color w:val="auto"/>
                <w:w w:val="91"/>
              </w:rPr>
              <w:t>[Additional columns below]</w:t>
            </w: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[Continued from above table, first column(s) repeated]</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2001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color w:val="auto"/>
                <w:w w:val="96"/>
              </w:rPr>
              <w:t>FULL YEAR</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tcPr>
          <w:p>
            <w:pPr>
              <w:jc w:val="center"/>
              <w:ind w:left="254"/>
              <w:spacing w:after="0"/>
              <w:rPr>
                <w:sz w:val="20"/>
                <w:szCs w:val="20"/>
                <w:color w:val="auto"/>
              </w:rPr>
            </w:pPr>
            <w:r>
              <w:rPr>
                <w:rFonts w:ascii="Arial" w:cs="Arial" w:eastAsia="Arial" w:hAnsi="Arial"/>
                <w:sz w:val="14"/>
                <w:szCs w:val="14"/>
                <w:color w:val="auto"/>
                <w:w w:val="90"/>
              </w:rPr>
              <w:t>Over (Under)</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60325</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86"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Proforma</w:t>
      </w:r>
    </w:p>
    <w:p>
      <w:pPr>
        <w:sectPr>
          <w:pgSz w:w="11900" w:h="16899" w:orient="portrait"/>
          <w:cols w:equalWidth="0" w:num="1">
            <w:col w:w="11420"/>
          </w:cols>
          <w:pgMar w:left="240" w:top="1440"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color w:val="auto"/>
              </w:rPr>
              <w:t>2001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color w:val="auto"/>
              </w:rPr>
              <w:t>2000</w:t>
            </w:r>
          </w:p>
        </w:tc>
        <w:tc>
          <w:tcPr>
            <w:tcW w:w="260" w:type="dxa"/>
            <w:vAlign w:val="bottom"/>
          </w:tcPr>
          <w:p>
            <w:pPr>
              <w:spacing w:after="0"/>
              <w:rPr>
                <w:sz w:val="14"/>
                <w:szCs w:val="14"/>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840" w:type="dxa"/>
            <w:vAlign w:val="bottom"/>
          </w:tcPr>
          <w:p>
            <w:pPr>
              <w:jc w:val="right"/>
              <w:ind w:right="122"/>
              <w:spacing w:after="0"/>
              <w:rPr>
                <w:sz w:val="20"/>
                <w:szCs w:val="20"/>
                <w:color w:val="auto"/>
              </w:rPr>
            </w:pPr>
            <w:r>
              <w:rPr>
                <w:rFonts w:ascii="Arial" w:cs="Arial" w:eastAsia="Arial" w:hAnsi="Arial"/>
                <w:sz w:val="14"/>
                <w:szCs w:val="14"/>
                <w:color w:val="auto"/>
              </w:rPr>
              <w:t>2000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OPERATING REVENUE</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 Bank</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14,899</w:t>
            </w:r>
          </w:p>
        </w:tc>
        <w:tc>
          <w:tcPr>
            <w:tcW w:w="2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15,963</w:t>
            </w:r>
          </w:p>
        </w:tc>
        <w:tc>
          <w:tcPr>
            <w:tcW w:w="2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Investment Management &amp; Private Banking</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3,362</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EEEEEE"/>
          </w:tcPr>
          <w:p>
            <w:pPr>
              <w:jc w:val="right"/>
              <w:ind w:right="14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Retail &amp; Middle Market Financial Services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10,915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79"/>
              </w:rPr>
              <w:t>10,176</w:t>
            </w:r>
          </w:p>
        </w:tc>
        <w:tc>
          <w:tcPr>
            <w:tcW w:w="260" w:type="dxa"/>
            <w:vAlign w:val="bottom"/>
          </w:tcPr>
          <w:p>
            <w:pPr>
              <w:spacing w:after="0"/>
              <w:rPr>
                <w:sz w:val="18"/>
                <w:szCs w:val="18"/>
                <w:color w:val="auto"/>
              </w:rPr>
            </w:pP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Treasury &amp; Securities Services</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3,564</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Corporate (b)</w:t>
            </w:r>
          </w:p>
        </w:tc>
        <w:tc>
          <w:tcPr>
            <w:tcW w:w="2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(1,061)</w:t>
            </w:r>
          </w:p>
        </w:tc>
        <w:tc>
          <w:tcPr>
            <w:tcW w:w="1100" w:type="dxa"/>
            <w:vAlign w:val="bottom"/>
            <w:gridSpan w:val="2"/>
          </w:tcPr>
          <w:p>
            <w:pPr>
              <w:jc w:val="right"/>
              <w:ind w:right="212"/>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OPERATING REVENUE EXCLUDING JPMP</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31,555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32,004</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w:t>
            </w:r>
          </w:p>
        </w:tc>
        <w:tc>
          <w:tcPr>
            <w:tcW w:w="1080" w:type="dxa"/>
            <w:vAlign w:val="bottom"/>
            <w:gridSpan w:val="2"/>
            <w:shd w:val="clear" w:color="auto" w:fill="EEEEEE"/>
          </w:tcPr>
          <w:p>
            <w:pPr>
              <w:jc w:val="right"/>
              <w:ind w:right="14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JPMorgan Partners</w:t>
            </w:r>
          </w:p>
        </w:tc>
        <w:tc>
          <w:tcPr>
            <w:tcW w:w="2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(1,457)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OPERATING REVENUE (b)</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30,098</w:t>
            </w: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32,793</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EEEEEE"/>
          </w:tcPr>
          <w:p>
            <w:pPr>
              <w:jc w:val="right"/>
              <w:ind w:right="14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5"/>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40" w:type="dxa"/>
            <w:vAlign w:val="bottom"/>
            <w:gridSpan w:val="2"/>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Investment Bank</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2,945</w:t>
            </w: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3,486</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EEEEEE"/>
          </w:tcPr>
          <w:p>
            <w:pPr>
              <w:jc w:val="right"/>
              <w:ind w:right="14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 Management &amp; Private Banking</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18"/>
                <w:szCs w:val="18"/>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Retail &amp; Middle Market Financial Services</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1,688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7"/>
              </w:rPr>
              <w:t>1,785</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Treasury &amp; Securities Services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Corporate (b)</w:t>
            </w: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(507)</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(334)</w:t>
            </w: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(52)</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CASH OPERATING EARNINGS EXCLUDING JPMP</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6,197</w:t>
            </w:r>
          </w:p>
        </w:tc>
        <w:tc>
          <w:tcPr>
            <w:tcW w:w="260" w:type="dxa"/>
            <w:vAlign w:val="bottom"/>
          </w:tcPr>
          <w:p>
            <w:pPr>
              <w:spacing w:after="0"/>
              <w:rPr>
                <w:sz w:val="24"/>
                <w:szCs w:val="24"/>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JPMorgan Partners</w:t>
            </w: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(1,148)</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NM</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CASH OPERATING EARNINGS (c)</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6,455</w:t>
            </w:r>
          </w:p>
        </w:tc>
        <w:tc>
          <w:tcPr>
            <w:tcW w:w="260" w:type="dxa"/>
            <w:vAlign w:val="bottom"/>
          </w:tcPr>
          <w:p>
            <w:pPr>
              <w:spacing w:after="0"/>
              <w:rPr>
                <w:sz w:val="24"/>
                <w:szCs w:val="24"/>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Less: Amortization of Intangibles</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528</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38</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OPERATING EARNINGS (c)</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5,927</w:t>
            </w:r>
          </w:p>
        </w:tc>
        <w:tc>
          <w:tcPr>
            <w:tcW w:w="260" w:type="dxa"/>
            <w:vAlign w:val="bottom"/>
          </w:tcPr>
          <w:p>
            <w:pPr>
              <w:spacing w:after="0"/>
              <w:rPr>
                <w:sz w:val="24"/>
                <w:szCs w:val="24"/>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Restructuring/Merger Expenses &amp; Special Items</w:t>
            </w: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(1,715)</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NM</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10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20" w:type="dxa"/>
            <w:vAlign w:val="bottom"/>
          </w:tcPr>
          <w:p>
            <w:pPr>
              <w:ind w:left="480"/>
              <w:spacing w:after="0"/>
              <w:rPr>
                <w:sz w:val="20"/>
                <w:szCs w:val="20"/>
                <w:color w:val="auto"/>
              </w:rPr>
            </w:pPr>
            <w:r>
              <w:rPr>
                <w:rFonts w:ascii="Arial" w:cs="Arial" w:eastAsia="Arial" w:hAnsi="Arial"/>
                <w:sz w:val="18"/>
                <w:szCs w:val="18"/>
                <w:color w:val="auto"/>
              </w:rPr>
              <w:t>NET INCOME (LOSS) (c)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1,694</w:t>
            </w:r>
          </w:p>
        </w:tc>
        <w:tc>
          <w:tcPr>
            <w:tcW w:w="2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5,727</w:t>
            </w:r>
          </w:p>
        </w:tc>
        <w:tc>
          <w:tcPr>
            <w:tcW w:w="260" w:type="dxa"/>
            <w:vAlign w:val="bottom"/>
          </w:tcPr>
          <w:p>
            <w:pPr>
              <w:spacing w:after="0"/>
              <w:rPr>
                <w:sz w:val="24"/>
                <w:szCs w:val="24"/>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DILUTED</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OPERATING EARNINGS EXCLUDING JPMP</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8"/>
                <w:szCs w:val="18"/>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Impact of JPMP</w:t>
            </w: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(0.57)</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NM</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CASH OPERATING EARNINGS (c)</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24"/>
                <w:szCs w:val="24"/>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Impact of Intangibles</w:t>
            </w: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(0.36)</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(0.27)</w:t>
            </w: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OPERATING EARNINGS (c)</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24"/>
                <w:szCs w:val="24"/>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Restructuring/Merger Expenses &amp; Special Items</w:t>
            </w: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NM</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40" w:type="dxa"/>
            <w:vAlign w:val="bottom"/>
            <w:gridSpan w:val="2"/>
          </w:tcPr>
          <w:p>
            <w:pPr>
              <w:spacing w:after="0"/>
              <w:rPr>
                <w:sz w:val="20"/>
                <w:szCs w:val="20"/>
                <w:color w:val="auto"/>
              </w:rPr>
            </w:pPr>
            <w:r>
              <w:rPr>
                <w:rFonts w:ascii="Arial" w:cs="Arial" w:eastAsia="Arial" w:hAnsi="Arial"/>
                <w:sz w:val="18"/>
                <w:szCs w:val="18"/>
                <w:color w:val="auto"/>
              </w:rPr>
              <w:t>NET INCOME (LOSS) (c)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24"/>
                <w:szCs w:val="24"/>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CASH OPERATING RETURN ON COMMON EQUITY</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 Bank</w:t>
            </w:r>
          </w:p>
        </w:tc>
        <w:tc>
          <w:tcPr>
            <w:tcW w:w="2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(320)bp</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Investment Management &amp; Private Banking</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(550)</w:t>
            </w:r>
          </w:p>
        </w:tc>
        <w:tc>
          <w:tcPr>
            <w:tcW w:w="1080" w:type="dxa"/>
            <w:vAlign w:val="bottom"/>
            <w:gridSpan w:val="2"/>
            <w:shd w:val="clear" w:color="auto" w:fill="EEEEEE"/>
          </w:tcPr>
          <w:p>
            <w:pPr>
              <w:jc w:val="right"/>
              <w:ind w:right="142"/>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Retail &amp; Middle Market Financial Services</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Treasury &amp; Securities Services</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(40)</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OPERATING RETURN ON COMMON EQUITY (c)</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100" w:type="dxa"/>
            <w:vAlign w:val="bottom"/>
            <w:gridSpan w:val="2"/>
          </w:tcPr>
          <w:p>
            <w:pPr>
              <w:jc w:val="right"/>
              <w:ind w:right="152"/>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OPERATING RETURN ON COMMON EQUITY (c)</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208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40" w:hanging="532"/>
        <w:spacing w:after="0" w:line="25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results assume that the purchase of Flemings occurred at the beginning of 2000 and primarily affected the Investment Bank, Investment Management &amp; Private Banking and total consolidated results.</w:t>
      </w:r>
    </w:p>
    <w:p>
      <w:pPr>
        <w:ind w:left="540" w:hanging="532"/>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LabMorgan, Support Units and the effects remaining at the corporate level after the implementation of management accounting policies.</w:t>
      </w:r>
    </w:p>
    <w:p>
      <w:pPr>
        <w:spacing w:after="0" w:line="32" w:lineRule="exact"/>
        <w:rPr>
          <w:rFonts w:ascii="Arial" w:cs="Arial" w:eastAsia="Arial" w:hAnsi="Arial"/>
          <w:sz w:val="16"/>
          <w:szCs w:val="16"/>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consolidated JPMorgan Chase.</w:t>
      </w:r>
    </w:p>
    <w:p>
      <w:pPr>
        <w:spacing w:after="0" w:line="9" w:lineRule="exact"/>
        <w:rPr>
          <w:rFonts w:ascii="Arial" w:cs="Arial" w:eastAsia="Arial" w:hAnsi="Arial"/>
          <w:sz w:val="18"/>
          <w:szCs w:val="18"/>
          <w:color w:val="auto"/>
        </w:rPr>
      </w:pPr>
    </w:p>
    <w:p>
      <w:pPr>
        <w:ind w:left="540" w:right="40" w:hanging="532"/>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EPS is reported as $(0.18) which is the same as basic EPS, instead of $(0.17), since using diluted average shares outstanding would cause antidilution. As a result, the net loss earnings per share does not foot by $(0.01).</w:t>
      </w:r>
    </w:p>
    <w:p>
      <w:pPr>
        <w:spacing w:after="0" w:line="19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29" w:right="839" w:bottom="1440" w:gutter="0" w:footer="0" w:header="0"/>
        </w:sectPr>
      </w:pPr>
    </w:p>
    <w:bookmarkStart w:id="17" w:name="page18"/>
    <w:bookmarkEnd w:id="17"/>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59"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Dec 31, 2001</w:t>
      </w:r>
    </w:p>
    <w:p>
      <w:pPr>
        <w:ind w:left="9740"/>
        <w:spacing w:after="0"/>
        <w:rPr>
          <w:sz w:val="20"/>
          <w:szCs w:val="20"/>
          <w:color w:val="auto"/>
        </w:rPr>
      </w:pPr>
      <w:r>
        <w:rPr>
          <w:rFonts w:ascii="Arial" w:cs="Arial" w:eastAsia="Arial" w:hAnsi="Arial"/>
          <w:sz w:val="14"/>
          <w:szCs w:val="14"/>
          <w:color w:val="auto"/>
        </w:rPr>
        <w:t>Over (Under)</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50"/>
        </w:trPr>
        <w:tc>
          <w:tcPr>
            <w:tcW w:w="20" w:type="dxa"/>
            <w:vAlign w:val="bottom"/>
          </w:tcPr>
          <w:p>
            <w:pPr>
              <w:spacing w:after="0"/>
              <w:rPr>
                <w:sz w:val="4"/>
                <w:szCs w:val="4"/>
                <w:color w:val="auto"/>
              </w:rPr>
            </w:pPr>
          </w:p>
        </w:tc>
        <w:tc>
          <w:tcPr>
            <w:tcW w:w="4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w w:val="90"/>
              </w:rPr>
              <w:t>Dec 31st</w:t>
            </w: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w w:val="89"/>
              </w:rPr>
              <w:t>Sep 30th</w:t>
            </w: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color w:val="auto"/>
              </w:rPr>
              <w:t>Dec 31st</w:t>
            </w:r>
          </w:p>
        </w:tc>
        <w:tc>
          <w:tcPr>
            <w:tcW w:w="6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color w:val="auto"/>
              </w:rPr>
              <w:t>2001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2001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2"/>
              </w:rPr>
              <w:t>Sep 30, 01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Dec 31, 00</w:t>
            </w:r>
          </w:p>
        </w:tc>
        <w:tc>
          <w:tcPr>
            <w:tcW w:w="0" w:type="dxa"/>
            <w:vAlign w:val="bottom"/>
          </w:tcPr>
          <w:p>
            <w:pPr>
              <w:spacing w:after="0"/>
              <w:rPr>
                <w:sz w:val="1"/>
                <w:szCs w:val="1"/>
                <w:color w:val="auto"/>
              </w:rPr>
            </w:pPr>
          </w:p>
        </w:tc>
      </w:tr>
      <w:tr>
        <w:trPr>
          <w:trHeight w:val="95"/>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22,600</w:t>
            </w:r>
          </w:p>
        </w:tc>
        <w:tc>
          <w:tcPr>
            <w:tcW w:w="2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22,299</w:t>
            </w:r>
          </w:p>
        </w:tc>
        <w:tc>
          <w:tcPr>
            <w:tcW w:w="2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23,972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Deposits with Banks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139"/>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w w:val="96"/>
              </w:rPr>
              <w:t>Federal Funds Sold and Securities Purchased under Resale</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63,727</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78,997</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69,474</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Securities Borrowed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3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Trading Assets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189,405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250,550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215,622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59,760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9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Loans (Net of Allowance for Loan Losses)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212,920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219,411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212,385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14,683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Investments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9,197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9,628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11,428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71,296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90,424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52,235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13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693,575</w:t>
            </w:r>
          </w:p>
        </w:tc>
        <w:tc>
          <w:tcPr>
            <w:tcW w:w="2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799,300</w:t>
            </w:r>
          </w:p>
        </w:tc>
        <w:tc>
          <w:tcPr>
            <w:tcW w:w="2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715,348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5"/>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Deposits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293,650</w:t>
            </w:r>
          </w:p>
        </w:tc>
        <w:tc>
          <w:tcPr>
            <w:tcW w:w="2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281,604</w:t>
            </w:r>
          </w:p>
        </w:tc>
        <w:tc>
          <w:tcPr>
            <w:tcW w:w="2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279,365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88"/>
              </w:rPr>
              <w:t>Federal Funds Purchased and Securities Sold under Repurchase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128,445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181,775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131,738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ind w:right="9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18,510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24,851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Borrowed Funds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10,835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880" w:type="dxa"/>
            <w:vAlign w:val="bottom"/>
            <w:gridSpan w:val="2"/>
          </w:tcPr>
          <w:p>
            <w:pPr>
              <w:jc w:val="right"/>
              <w:ind w:right="99"/>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Trading Liabilities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109,051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129,411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128,674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0"/>
              </w:rPr>
              <w:t>Accounts Payable and Other Liabilities (Including the Allowance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for Credit Losses)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75,231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13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39,183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42,315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4"/>
              </w:rPr>
              <w:t>Guaranteed Preferred Beneficial Interests in the Firm’s Junior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Subordinated Deferrable Interest Debentures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3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651,926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756,015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672,460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PREFERRED STOCK OF SUBSIDIARY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1,009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restart"/>
          </w:tcPr>
          <w:p>
            <w:pPr>
              <w:jc w:val="right"/>
              <w:ind w:right="113"/>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9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1,997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Capital Surplus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3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26,993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28,021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28,096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8"/>
                <w:szCs w:val="18"/>
                <w:color w:val="auto"/>
              </w:rPr>
              <w:t>NM</w:t>
            </w:r>
          </w:p>
        </w:tc>
        <w:tc>
          <w:tcPr>
            <w:tcW w:w="880" w:type="dxa"/>
            <w:vAlign w:val="bottom"/>
            <w:gridSpan w:val="2"/>
          </w:tcPr>
          <w:p>
            <w:pPr>
              <w:jc w:val="right"/>
              <w:ind w:right="99"/>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Treasury Stock, at Cost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(953)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8"/>
        </w:trPr>
        <w:tc>
          <w:tcPr>
            <w:tcW w:w="46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6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41,099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42,735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42,338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 PREFERRED STOCK OF</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SUBSIDIARY AND STOCKHOLDERS’ EQUITY</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693,575</w:t>
            </w:r>
          </w:p>
        </w:tc>
        <w:tc>
          <w:tcPr>
            <w:tcW w:w="24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799,300</w:t>
            </w:r>
          </w:p>
        </w:tc>
        <w:tc>
          <w:tcPr>
            <w:tcW w:w="240" w:type="dxa"/>
            <w:vAlign w:val="bottom"/>
            <w:shd w:val="clear" w:color="auto" w:fill="EEEEEE"/>
          </w:tcPr>
          <w:p>
            <w:pPr>
              <w:spacing w:after="0"/>
              <w:rPr>
                <w:sz w:val="19"/>
                <w:szCs w:val="19"/>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715,348</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62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440" w:right="799" w:bottom="1440" w:gutter="0" w:footer="0" w:header="0"/>
        </w:sectPr>
      </w:pPr>
    </w:p>
    <w:bookmarkStart w:id="18" w:name="page19"/>
    <w:bookmarkEnd w:id="18"/>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CREDIT-RELATED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59" w:lineRule="exact"/>
        <w:rPr>
          <w:sz w:val="20"/>
          <w:szCs w:val="20"/>
          <w:color w:val="auto"/>
        </w:rPr>
      </w:pPr>
    </w:p>
    <w:p>
      <w:pPr>
        <w:ind w:left="9940"/>
        <w:spacing w:after="0"/>
        <w:rPr>
          <w:sz w:val="20"/>
          <w:szCs w:val="20"/>
          <w:color w:val="auto"/>
        </w:rPr>
      </w:pPr>
      <w:r>
        <w:rPr>
          <w:rFonts w:ascii="Arial" w:cs="Arial" w:eastAsia="Arial" w:hAnsi="Arial"/>
          <w:sz w:val="14"/>
          <w:szCs w:val="14"/>
          <w:color w:val="auto"/>
        </w:rPr>
        <w:t>Dec 31, 2001</w:t>
      </w:r>
    </w:p>
    <w:p>
      <w:pPr>
        <w:ind w:left="9940"/>
        <w:spacing w:after="0"/>
        <w:rPr>
          <w:sz w:val="20"/>
          <w:szCs w:val="20"/>
          <w:color w:val="auto"/>
        </w:rPr>
      </w:pPr>
      <w:r>
        <w:rPr>
          <w:rFonts w:ascii="Arial" w:cs="Arial" w:eastAsia="Arial" w:hAnsi="Arial"/>
          <w:sz w:val="14"/>
          <w:szCs w:val="14"/>
          <w:color w:val="auto"/>
        </w:rPr>
        <w:t>Over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6016625</wp:posOffset>
            </wp:positionH>
            <wp:positionV relativeFrom="paragraph">
              <wp:posOffset>59690</wp:posOffset>
            </wp:positionV>
            <wp:extent cx="10547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Dec 31st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Sep 30th</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Dec 31st</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color w:val="auto"/>
              </w:rPr>
              <w:t>2001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color w:val="auto"/>
              </w:rPr>
              <w:t>2001</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color w:val="auto"/>
              </w:rPr>
              <w:t>2000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8"/>
              </w:rPr>
              <w:t>Sep 30, 01</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Dec 31, 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CREDIT-RELATED ASSETS:</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Commercial Loans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104,864</w:t>
            </w:r>
          </w:p>
        </w:tc>
        <w:tc>
          <w:tcPr>
            <w:tcW w:w="4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116,578</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119,460</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Derivative and FX Contracts</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71,157</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85,407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76,373</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EEEEEE"/>
          </w:tcPr>
          <w:p>
            <w:pPr>
              <w:jc w:val="right"/>
              <w:ind w:right="15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9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Total Commercial Credit-Related Assets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176,021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201,985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195,833</w:t>
            </w:r>
          </w:p>
        </w:tc>
        <w:tc>
          <w:tcPr>
            <w:tcW w:w="34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15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Managed Consumer Loans (a)</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134,004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125,431</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114,461</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Total Managed Credit-Related Assets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310,025</w:t>
            </w:r>
          </w:p>
        </w:tc>
        <w:tc>
          <w:tcPr>
            <w:tcW w:w="4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327,416</w:t>
            </w: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310,294</w:t>
            </w:r>
          </w:p>
        </w:tc>
        <w:tc>
          <w:tcPr>
            <w:tcW w:w="34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72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NET CHARGE-OFFS: (b)</w:t>
            </w: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433</w:t>
            </w:r>
          </w:p>
        </w:tc>
        <w:tc>
          <w:tcPr>
            <w:tcW w:w="440" w:type="dxa"/>
            <w:vAlign w:val="bottom"/>
          </w:tcPr>
          <w:p>
            <w:pPr>
              <w:spacing w:after="0"/>
              <w:rPr>
                <w:sz w:val="18"/>
                <w:szCs w:val="18"/>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340" w:type="dxa"/>
            <w:vAlign w:val="bottom"/>
          </w:tcPr>
          <w:p>
            <w:pPr>
              <w:spacing w:after="0"/>
              <w:rPr>
                <w:sz w:val="18"/>
                <w:szCs w:val="1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94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auto"/>
              </w:rPr>
              <w:t>129</w:t>
            </w:r>
          </w:p>
        </w:tc>
        <w:tc>
          <w:tcPr>
            <w:tcW w:w="980" w:type="dxa"/>
            <w:vAlign w:val="bottom"/>
            <w:gridSpan w:val="2"/>
            <w:vMerge w:val="restart"/>
          </w:tcPr>
          <w:p>
            <w:pPr>
              <w:jc w:val="right"/>
              <w:ind w:right="217"/>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Commercial Loans</w:t>
            </w:r>
          </w:p>
        </w:tc>
        <w:tc>
          <w:tcPr>
            <w:tcW w:w="580" w:type="dxa"/>
            <w:vAlign w:val="bottom"/>
            <w:gridSpan w:val="2"/>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Credit Card — Managed</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 Other Consumer</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9"/>
                <w:szCs w:val="19"/>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18"/>
                <w:szCs w:val="18"/>
                <w:color w:val="auto"/>
              </w:rPr>
              <w:t>21</w:t>
            </w:r>
          </w:p>
        </w:tc>
        <w:tc>
          <w:tcPr>
            <w:tcW w:w="980" w:type="dxa"/>
            <w:vAlign w:val="bottom"/>
            <w:gridSpan w:val="2"/>
          </w:tcPr>
          <w:p>
            <w:pPr>
              <w:jc w:val="right"/>
              <w:ind w:right="217"/>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Managed Consumer Loans</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649</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495</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FFIEC Conformity</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Managed Net Charge-offs</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1,082</w:t>
            </w:r>
          </w:p>
        </w:tc>
        <w:tc>
          <w:tcPr>
            <w:tcW w:w="4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815</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747</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5"/>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NONPERFORMING ASSETS:</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Commercial Loans</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1,997</w:t>
            </w:r>
          </w:p>
        </w:tc>
        <w:tc>
          <w:tcPr>
            <w:tcW w:w="4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2,018</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1,434</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Derivative and FX Contracts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18"/>
                <w:szCs w:val="18"/>
                <w:color w:val="auto"/>
              </w:rPr>
              <w:t>270</w:t>
            </w:r>
          </w:p>
        </w:tc>
        <w:tc>
          <w:tcPr>
            <w:tcW w:w="980" w:type="dxa"/>
            <w:vAlign w:val="bottom"/>
            <w:gridSpan w:val="2"/>
          </w:tcPr>
          <w:p>
            <w:pPr>
              <w:jc w:val="right"/>
              <w:ind w:right="217"/>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Consumer Loans (a)</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499</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Assets Acquired in Loan Satisfactions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217"/>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2,790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2,646</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1,923</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Receivables (c)</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80" w:type="dxa"/>
            <w:vAlign w:val="bottom"/>
          </w:tcPr>
          <w:p>
            <w:pPr>
              <w:jc w:val="right"/>
              <w:ind w:right="119"/>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740"/>
              <w:spacing w:after="0"/>
              <w:rPr>
                <w:sz w:val="20"/>
                <w:szCs w:val="20"/>
                <w:color w:val="auto"/>
              </w:rPr>
            </w:pPr>
            <w:r>
              <w:rPr>
                <w:rFonts w:ascii="Arial" w:cs="Arial" w:eastAsia="Arial" w:hAnsi="Arial"/>
                <w:sz w:val="18"/>
                <w:szCs w:val="18"/>
                <w:color w:val="auto"/>
              </w:rPr>
              <w:t>Total Nonperforming Assets</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3,920(d)</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2,646</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1,923</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05"/>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w w:val="97"/>
              </w:rPr>
              <w:t>SELECTED COUNTRY TOTAL EXPOSURE (in billions)</w:t>
            </w: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Argentina</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0.6(e)</w:t>
            </w: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w:t>
            </w:r>
          </w:p>
        </w:tc>
        <w:tc>
          <w:tcPr>
            <w:tcW w:w="34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EEEEEE"/>
          </w:tcPr>
          <w:p>
            <w:pPr>
              <w:jc w:val="right"/>
              <w:ind w:right="17"/>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Brazil</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1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Turkey</w:t>
            </w:r>
          </w:p>
        </w:tc>
        <w:tc>
          <w:tcPr>
            <w:tcW w:w="2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0.3(e)</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50</w:t>
            </w:r>
          </w:p>
        </w:tc>
        <w:tc>
          <w:tcPr>
            <w:tcW w:w="980" w:type="dxa"/>
            <w:vAlign w:val="bottom"/>
            <w:gridSpan w:val="2"/>
            <w:shd w:val="clear" w:color="auto" w:fill="EEEEEE"/>
          </w:tcPr>
          <w:p>
            <w:pPr>
              <w:jc w:val="right"/>
              <w:ind w:right="157"/>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credit card receivables that have been securitized.</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charge-offs are presented for the quarter ended as of the date indicated.</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amount relates to the Enron surety receivables and letter of credit, which is the subject of litigation with credit-worthy entities.</w:t>
      </w:r>
    </w:p>
    <w:p>
      <w:pPr>
        <w:spacing w:after="0" w:line="9" w:lineRule="exact"/>
        <w:rPr>
          <w:rFonts w:ascii="Arial" w:cs="Arial" w:eastAsia="Arial" w:hAnsi="Arial"/>
          <w:sz w:val="18"/>
          <w:szCs w:val="18"/>
          <w:color w:val="auto"/>
        </w:rPr>
      </w:pPr>
    </w:p>
    <w:p>
      <w:pPr>
        <w:ind w:left="540" w:right="200" w:hanging="53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Nonperforming assets have not been reduced for credit protection (single name credit default swaps and collateralized loan obligations) aggregating $42 million related to nonperforming counterparties at December 31, 2001.</w:t>
      </w: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w:t>
      </w:r>
    </w:p>
    <w:p>
      <w:pPr>
        <w:spacing w:after="0" w:line="2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sectPr>
      </w:pPr>
    </w:p>
    <w:bookmarkStart w:id="19" w:name="page20"/>
    <w:bookmarkEnd w:id="19"/>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REPORTED TO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7"/>
          </w:tcPr>
          <w:p>
            <w:pPr>
              <w:ind w:left="140"/>
              <w:spacing w:after="0"/>
              <w:rPr>
                <w:sz w:val="20"/>
                <w:szCs w:val="20"/>
                <w:color w:val="auto"/>
              </w:rPr>
            </w:pPr>
            <w:r>
              <w:rPr>
                <w:rFonts w:ascii="Arial" w:cs="Arial" w:eastAsia="Arial" w:hAnsi="Arial"/>
                <w:sz w:val="14"/>
                <w:szCs w:val="14"/>
                <w:color w:val="auto"/>
                <w:w w:val="91"/>
              </w:rPr>
              <w:t>FOURTH QUARTER 2001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color w:val="auto"/>
                <w:w w:val="89"/>
              </w:rPr>
              <w:t>REPORTED</w:t>
            </w:r>
          </w:p>
        </w:tc>
        <w:tc>
          <w:tcPr>
            <w:tcW w:w="320" w:type="dxa"/>
            <w:vAlign w:val="bottom"/>
          </w:tcPr>
          <w:p>
            <w:pPr>
              <w:spacing w:after="0"/>
              <w:rPr>
                <w:sz w:val="20"/>
                <w:szCs w:val="20"/>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color w:val="auto"/>
                <w:w w:val="99"/>
              </w:rPr>
              <w:t>CREDIT</w:t>
            </w:r>
          </w:p>
        </w:tc>
        <w:tc>
          <w:tcPr>
            <w:tcW w:w="320" w:type="dxa"/>
            <w:vAlign w:val="bottom"/>
          </w:tcPr>
          <w:p>
            <w:pPr>
              <w:spacing w:after="0"/>
              <w:rPr>
                <w:sz w:val="20"/>
                <w:szCs w:val="20"/>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color w:val="auto"/>
              </w:rPr>
              <w:t>SPECIAL</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RESULTS</w:t>
            </w:r>
          </w:p>
        </w:tc>
        <w:tc>
          <w:tcPr>
            <w:tcW w:w="32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5"/>
              </w:rPr>
              <w:t>CARD</w:t>
            </w:r>
          </w:p>
        </w:tc>
        <w:tc>
          <w:tcPr>
            <w:tcW w:w="320" w:type="dxa"/>
            <w:vAlign w:val="bottom"/>
          </w:tcPr>
          <w:p>
            <w:pPr>
              <w:spacing w:after="0"/>
              <w:rPr>
                <w:sz w:val="12"/>
                <w:szCs w:val="12"/>
                <w:color w:val="auto"/>
              </w:rPr>
            </w:pPr>
          </w:p>
        </w:tc>
        <w:tc>
          <w:tcPr>
            <w:tcW w:w="7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ITEMS</w:t>
            </w:r>
          </w:p>
        </w:tc>
        <w:tc>
          <w:tcPr>
            <w:tcW w:w="3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OPERATING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color w:val="auto"/>
                <w:w w:val="81"/>
              </w:rPr>
              <w:t>(a)</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(b)</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color w:val="auto"/>
              </w:rPr>
              <w:t>(c)</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BASIS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INCOME STATEMENT</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Revenue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$6,577</w:t>
            </w:r>
          </w:p>
        </w:tc>
        <w:tc>
          <w:tcPr>
            <w:tcW w:w="240" w:type="dxa"/>
            <w:vAlign w:val="bottom"/>
          </w:tcPr>
          <w:p>
            <w:pPr>
              <w:spacing w:after="0"/>
              <w:rPr>
                <w:sz w:val="18"/>
                <w:szCs w:val="18"/>
                <w:color w:val="auto"/>
              </w:rPr>
            </w:pP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264</w:t>
            </w:r>
          </w:p>
        </w:tc>
        <w:tc>
          <w:tcPr>
            <w:tcW w:w="16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Cash Expense</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4,649</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4"/>
              </w:rPr>
              <w:t>4,649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Operating Margin</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1,741</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264</w:t>
            </w: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4"/>
              </w:rPr>
              <w:t>2,005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Credit Costs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264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Merger and Restructuring Costs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Merger and Restructuring Costs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(841)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 Expense</w:t>
            </w:r>
          </w:p>
        </w:tc>
        <w:tc>
          <w:tcPr>
            <w:tcW w:w="9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(568)</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841</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Tax Expense (Benefit)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262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 (332)</w:t>
            </w:r>
          </w:p>
        </w:tc>
        <w:tc>
          <w:tcPr>
            <w:tcW w:w="480" w:type="dxa"/>
            <w:vAlign w:val="bottom"/>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579</w:t>
            </w: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08"/>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Add Back: Amortization of Intangibles</w:t>
            </w: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316"/>
        </w:trPr>
        <w:tc>
          <w:tcPr>
            <w:tcW w:w="4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Cash Earnings</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108"/>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3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90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 (0.18)</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Diluted</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(0.18)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CASH EARNINGS PER SHARE</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tcPr>
          <w:p>
            <w:pPr>
              <w:jc w:val="right"/>
              <w:ind w:right="140"/>
              <w:spacing w:after="0"/>
              <w:rPr>
                <w:sz w:val="20"/>
                <w:szCs w:val="20"/>
                <w:color w:val="auto"/>
              </w:rPr>
            </w:pPr>
            <w:r>
              <w:rPr>
                <w:rFonts w:ascii="Arial" w:cs="Arial" w:eastAsia="Arial" w:hAnsi="Arial"/>
                <w:sz w:val="14"/>
                <w:szCs w:val="14"/>
                <w:color w:val="auto"/>
                <w:w w:val="96"/>
              </w:rPr>
              <w:t>FOURTH QUARTER 2000</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64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w w:val="89"/>
              </w:rPr>
              <w:t>REPORTED</w:t>
            </w:r>
          </w:p>
        </w:tc>
        <w:tc>
          <w:tcPr>
            <w:tcW w:w="320" w:type="dxa"/>
            <w:vAlign w:val="bottom"/>
          </w:tcPr>
          <w:p>
            <w:pPr>
              <w:spacing w:after="0"/>
              <w:rPr>
                <w:sz w:val="20"/>
                <w:szCs w:val="20"/>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color w:val="auto"/>
                <w:w w:val="99"/>
              </w:rPr>
              <w:t>CREDIT</w:t>
            </w:r>
          </w:p>
        </w:tc>
        <w:tc>
          <w:tcPr>
            <w:tcW w:w="340" w:type="dxa"/>
            <w:vAlign w:val="bottom"/>
          </w:tcPr>
          <w:p>
            <w:pPr>
              <w:spacing w:after="0"/>
              <w:rPr>
                <w:sz w:val="20"/>
                <w:szCs w:val="20"/>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color w:val="auto"/>
                <w:w w:val="91"/>
              </w:rPr>
              <w:t>SPECIAL</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RESULTS</w:t>
            </w:r>
          </w:p>
        </w:tc>
        <w:tc>
          <w:tcPr>
            <w:tcW w:w="320" w:type="dxa"/>
            <w:vAlign w:val="bottom"/>
          </w:tcPr>
          <w:p>
            <w:pPr>
              <w:spacing w:after="0"/>
              <w:rPr>
                <w:sz w:val="12"/>
                <w:szCs w:val="12"/>
                <w:color w:val="auto"/>
              </w:rPr>
            </w:pPr>
          </w:p>
        </w:tc>
        <w:tc>
          <w:tcPr>
            <w:tcW w:w="5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CARD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ITEMS</w:t>
            </w:r>
          </w:p>
        </w:tc>
        <w:tc>
          <w:tcPr>
            <w:tcW w:w="32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OPERATING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color w:val="auto"/>
                <w:w w:val="81"/>
              </w:rPr>
              <w:t>(a)</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(b)</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(c)</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BASIS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INCOME STATEMENT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8,543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(1,226)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Cash Expense</w:t>
            </w:r>
          </w:p>
        </w:tc>
        <w:tc>
          <w:tcPr>
            <w:tcW w:w="2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4"/>
              </w:rPr>
              <w:t>5,556</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4"/>
              </w:rPr>
              <w:t>5,556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4"/>
              </w:rPr>
              <w:t>2,801</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79"/>
              </w:rPr>
              <w:t>258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(1,226)</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4"/>
              </w:rPr>
              <w:t>1,833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Credit Costs</w:t>
            </w:r>
          </w:p>
        </w:tc>
        <w:tc>
          <w:tcPr>
            <w:tcW w:w="24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258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Merger and Restructuring Costs</w:t>
            </w:r>
          </w:p>
        </w:tc>
        <w:tc>
          <w:tcPr>
            <w:tcW w:w="2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4"/>
              </w:rPr>
              <w:t>2,392</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7"/>
              </w:rPr>
              <w:t>(1,226)</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4"/>
              </w:rPr>
              <w:t>1,166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Merger and Restructuring Costs</w:t>
            </w:r>
          </w:p>
        </w:tc>
        <w:tc>
          <w:tcPr>
            <w:tcW w:w="24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1,302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(1,302)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 Expense</w:t>
            </w:r>
          </w:p>
        </w:tc>
        <w:tc>
          <w:tcPr>
            <w:tcW w:w="24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84"/>
              </w:rPr>
              <w:t>1,090</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4"/>
              </w:rPr>
              <w:t>1,166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Tax Expense (Benefit)</w:t>
            </w:r>
          </w:p>
        </w:tc>
        <w:tc>
          <w:tcPr>
            <w:tcW w:w="24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708</w:t>
            </w:r>
          </w:p>
        </w:tc>
        <w:tc>
          <w:tcPr>
            <w:tcW w:w="48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108"/>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Add Back: Amortization of Intangibles</w:t>
            </w: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316"/>
        </w:trPr>
        <w:tc>
          <w:tcPr>
            <w:tcW w:w="4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Cash Earnings</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108"/>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Basic</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412"/>
              <w:spacing w:after="0"/>
              <w:rPr>
                <w:sz w:val="20"/>
                <w:szCs w:val="20"/>
                <w:color w:val="auto"/>
              </w:rPr>
            </w:pPr>
            <w:r>
              <w:rPr>
                <w:rFonts w:ascii="Arial" w:cs="Arial" w:eastAsia="Arial" w:hAnsi="Arial"/>
                <w:sz w:val="18"/>
                <w:szCs w:val="18"/>
                <w:color w:val="auto"/>
                <w:w w:val="96"/>
              </w:rPr>
              <w:t>0.36</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0.39</w:t>
            </w:r>
          </w:p>
        </w:tc>
      </w:tr>
      <w:tr>
        <w:trPr>
          <w:trHeight w:val="218"/>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EEEEEE"/>
          </w:tcPr>
          <w:p>
            <w:pPr>
              <w:spacing w:after="0"/>
              <w:rPr>
                <w:sz w:val="18"/>
                <w:szCs w:val="18"/>
                <w:color w:val="auto"/>
              </w:rPr>
            </w:pPr>
          </w:p>
        </w:tc>
        <w:tc>
          <w:tcPr>
            <w:tcW w:w="1860" w:type="dxa"/>
            <w:vAlign w:val="bottom"/>
            <w:shd w:val="clear" w:color="auto" w:fill="EEEEEE"/>
          </w:tcPr>
          <w:p>
            <w:pPr>
              <w:jc w:val="right"/>
              <w:ind w:right="1412"/>
              <w:spacing w:after="0"/>
              <w:rPr>
                <w:sz w:val="20"/>
                <w:szCs w:val="20"/>
                <w:color w:val="auto"/>
              </w:rPr>
            </w:pPr>
            <w:r>
              <w:rPr>
                <w:rFonts w:ascii="Arial" w:cs="Arial" w:eastAsia="Arial" w:hAnsi="Arial"/>
                <w:sz w:val="18"/>
                <w:szCs w:val="18"/>
                <w:color w:val="auto"/>
                <w:w w:val="96"/>
              </w:rPr>
              <w:t>0.34</w:t>
            </w:r>
          </w:p>
        </w:tc>
        <w:tc>
          <w:tcPr>
            <w:tcW w:w="16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w w:val="96"/>
              </w:rPr>
              <w:t>0.37</w:t>
            </w:r>
          </w:p>
        </w:tc>
      </w:tr>
      <w:tr>
        <w:trPr>
          <w:trHeight w:val="208"/>
        </w:trPr>
        <w:tc>
          <w:tcPr>
            <w:tcW w:w="3340" w:type="dxa"/>
            <w:vAlign w:val="bottom"/>
          </w:tcPr>
          <w:p>
            <w:pPr>
              <w:spacing w:after="0"/>
              <w:rPr>
                <w:sz w:val="20"/>
                <w:szCs w:val="20"/>
                <w:color w:val="auto"/>
              </w:rPr>
            </w:pPr>
            <w:r>
              <w:rPr>
                <w:rFonts w:ascii="Arial" w:cs="Arial" w:eastAsia="Arial" w:hAnsi="Arial"/>
                <w:sz w:val="18"/>
                <w:szCs w:val="18"/>
                <w:color w:val="auto"/>
              </w:rPr>
              <w:t>CASH EARNINGS PER SHARE</w:t>
            </w:r>
          </w:p>
        </w:tc>
        <w:tc>
          <w:tcPr>
            <w:tcW w:w="10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Basic</w:t>
            </w:r>
          </w:p>
        </w:tc>
        <w:tc>
          <w:tcPr>
            <w:tcW w:w="10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2"/>
              <w:spacing w:after="0"/>
              <w:rPr>
                <w:sz w:val="20"/>
                <w:szCs w:val="20"/>
                <w:color w:val="auto"/>
              </w:rPr>
            </w:pPr>
            <w:r>
              <w:rPr>
                <w:rFonts w:ascii="Arial" w:cs="Arial" w:eastAsia="Arial" w:hAnsi="Arial"/>
                <w:sz w:val="18"/>
                <w:szCs w:val="18"/>
                <w:color w:val="auto"/>
                <w:w w:val="96"/>
              </w:rPr>
              <w:t>0.48</w:t>
            </w:r>
          </w:p>
        </w:tc>
      </w:tr>
      <w:tr>
        <w:trPr>
          <w:trHeight w:val="218"/>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w w:val="96"/>
              </w:rPr>
              <w:t>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7646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9"/>
          </w:tcPr>
          <w:p>
            <w:pPr>
              <w:ind w:left="60"/>
              <w:spacing w:after="0"/>
              <w:rPr>
                <w:sz w:val="20"/>
                <w:szCs w:val="20"/>
                <w:color w:val="auto"/>
              </w:rPr>
            </w:pPr>
            <w:r>
              <w:rPr>
                <w:rFonts w:ascii="Arial" w:cs="Arial" w:eastAsia="Arial" w:hAnsi="Arial"/>
                <w:sz w:val="14"/>
                <w:szCs w:val="14"/>
                <w:color w:val="auto"/>
              </w:rPr>
              <w:t>FULL YEAR 2001</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6"/>
          </w:tcPr>
          <w:p>
            <w:pPr>
              <w:jc w:val="center"/>
              <w:ind w:right="1720"/>
              <w:spacing w:after="0"/>
              <w:rPr>
                <w:sz w:val="20"/>
                <w:szCs w:val="20"/>
                <w:color w:val="auto"/>
              </w:rPr>
            </w:pPr>
            <w:r>
              <w:rPr>
                <w:rFonts w:ascii="Arial" w:cs="Arial" w:eastAsia="Arial" w:hAnsi="Arial"/>
                <w:sz w:val="14"/>
                <w:szCs w:val="14"/>
                <w:color w:val="auto"/>
                <w:w w:val="93"/>
              </w:rPr>
              <w:t>FULL YEAR 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20" w:type="dxa"/>
            <w:vAlign w:val="bottom"/>
            <w:gridSpan w:val="7"/>
          </w:tcPr>
          <w:p>
            <w:pPr>
              <w:jc w:val="center"/>
              <w:ind w:right="40"/>
              <w:spacing w:after="0"/>
              <w:rPr>
                <w:sz w:val="20"/>
                <w:szCs w:val="20"/>
                <w:color w:val="auto"/>
              </w:rPr>
            </w:pPr>
            <w:r>
              <w:rPr>
                <w:rFonts w:ascii="Arial" w:cs="Arial" w:eastAsia="Arial" w:hAnsi="Arial"/>
                <w:sz w:val="14"/>
                <w:szCs w:val="14"/>
                <w:color w:val="auto"/>
                <w:w w:val="89"/>
              </w:rPr>
              <w:t>REPORTED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7"/>
          </w:tcPr>
          <w:p>
            <w:pPr>
              <w:jc w:val="center"/>
              <w:ind w:right="260"/>
              <w:spacing w:after="0"/>
              <w:rPr>
                <w:sz w:val="20"/>
                <w:szCs w:val="20"/>
                <w:color w:val="auto"/>
              </w:rPr>
            </w:pPr>
            <w:r>
              <w:rPr>
                <w:rFonts w:ascii="Arial" w:cs="Arial" w:eastAsia="Arial" w:hAnsi="Arial"/>
                <w:sz w:val="14"/>
                <w:szCs w:val="14"/>
                <w:color w:val="auto"/>
                <w:w w:val="92"/>
              </w:rPr>
              <w:t>CREDIT</w:t>
            </w:r>
          </w:p>
        </w:tc>
        <w:tc>
          <w:tcPr>
            <w:tcW w:w="1100" w:type="dxa"/>
            <w:vAlign w:val="bottom"/>
            <w:gridSpan w:val="3"/>
          </w:tcPr>
          <w:p>
            <w:pPr>
              <w:jc w:val="center"/>
              <w:spacing w:after="0"/>
              <w:rPr>
                <w:sz w:val="20"/>
                <w:szCs w:val="20"/>
                <w:color w:val="auto"/>
              </w:rPr>
            </w:pPr>
            <w:r>
              <w:rPr>
                <w:rFonts w:ascii="Arial" w:cs="Arial" w:eastAsia="Arial" w:hAnsi="Arial"/>
                <w:sz w:val="14"/>
                <w:szCs w:val="14"/>
                <w:color w:val="auto"/>
                <w:w w:val="91"/>
              </w:rPr>
              <w:t>SPECIAL</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6"/>
          </w:tcPr>
          <w:p>
            <w:pPr>
              <w:jc w:val="center"/>
              <w:ind w:right="300"/>
              <w:spacing w:after="0" w:line="149" w:lineRule="exact"/>
              <w:rPr>
                <w:sz w:val="20"/>
                <w:szCs w:val="20"/>
                <w:color w:val="auto"/>
              </w:rPr>
            </w:pPr>
            <w:r>
              <w:rPr>
                <w:rFonts w:ascii="Arial" w:cs="Arial" w:eastAsia="Arial" w:hAnsi="Arial"/>
                <w:sz w:val="14"/>
                <w:szCs w:val="14"/>
                <w:color w:val="auto"/>
                <w:w w:val="89"/>
              </w:rPr>
              <w:t>RESULTS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6"/>
          </w:tcPr>
          <w:p>
            <w:pPr>
              <w:jc w:val="center"/>
              <w:ind w:right="400"/>
              <w:spacing w:after="0" w:line="149" w:lineRule="exact"/>
              <w:rPr>
                <w:sz w:val="20"/>
                <w:szCs w:val="20"/>
                <w:color w:val="auto"/>
              </w:rPr>
            </w:pPr>
            <w:r>
              <w:rPr>
                <w:rFonts w:ascii="Arial" w:cs="Arial" w:eastAsia="Arial" w:hAnsi="Arial"/>
                <w:sz w:val="14"/>
                <w:szCs w:val="14"/>
                <w:color w:val="auto"/>
                <w:w w:val="95"/>
              </w:rPr>
              <w:t>CARD</w:t>
            </w:r>
          </w:p>
        </w:tc>
        <w:tc>
          <w:tcPr>
            <w:tcW w:w="32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ITEMS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6"/>
          </w:tcPr>
          <w:p>
            <w:pPr>
              <w:jc w:val="center"/>
              <w:ind w:right="1720"/>
              <w:spacing w:after="0" w:line="149" w:lineRule="exact"/>
              <w:rPr>
                <w:sz w:val="20"/>
                <w:szCs w:val="20"/>
                <w:color w:val="auto"/>
              </w:rPr>
            </w:pPr>
            <w:r>
              <w:rPr>
                <w:rFonts w:ascii="Arial" w:cs="Arial" w:eastAsia="Arial" w:hAnsi="Arial"/>
                <w:sz w:val="14"/>
                <w:szCs w:val="14"/>
                <w:color w:val="auto"/>
                <w:w w:val="92"/>
              </w:rPr>
              <w:t>OPERATING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5"/>
          </w:tcPr>
          <w:p>
            <w:pPr>
              <w:jc w:val="center"/>
              <w:ind w:right="380"/>
              <w:spacing w:after="0"/>
              <w:rPr>
                <w:sz w:val="20"/>
                <w:szCs w:val="20"/>
                <w:color w:val="auto"/>
              </w:rPr>
            </w:pPr>
            <w:r>
              <w:rPr>
                <w:rFonts w:ascii="Arial" w:cs="Arial" w:eastAsia="Arial" w:hAnsi="Arial"/>
                <w:sz w:val="14"/>
                <w:szCs w:val="14"/>
                <w:color w:val="auto"/>
                <w:w w:val="81"/>
              </w:rPr>
              <w:t>(a)</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jc w:val="center"/>
              <w:ind w:right="480"/>
              <w:spacing w:after="0"/>
              <w:rPr>
                <w:sz w:val="20"/>
                <w:szCs w:val="20"/>
                <w:color w:val="auto"/>
              </w:rPr>
            </w:pPr>
            <w:r>
              <w:rPr>
                <w:rFonts w:ascii="Arial" w:cs="Arial" w:eastAsia="Arial" w:hAnsi="Arial"/>
                <w:sz w:val="14"/>
                <w:szCs w:val="14"/>
                <w:color w:val="auto"/>
                <w:w w:val="93"/>
              </w:rPr>
              <w:t>(b)</w:t>
            </w:r>
          </w:p>
        </w:tc>
        <w:tc>
          <w:tcPr>
            <w:tcW w:w="3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color w:val="auto"/>
                <w:w w:val="85"/>
              </w:rPr>
              <w:t>(c)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4"/>
          </w:tcPr>
          <w:p>
            <w:pPr>
              <w:jc w:val="center"/>
              <w:ind w:right="2060"/>
              <w:spacing w:after="0"/>
              <w:rPr>
                <w:sz w:val="20"/>
                <w:szCs w:val="20"/>
                <w:color w:val="auto"/>
              </w:rPr>
            </w:pPr>
            <w:r>
              <w:rPr>
                <w:rFonts w:ascii="Arial" w:cs="Arial" w:eastAsia="Arial" w:hAnsi="Arial"/>
                <w:sz w:val="14"/>
                <w:szCs w:val="14"/>
                <w:color w:val="auto"/>
                <w:w w:val="92"/>
              </w:rPr>
              <w:t>BASIS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INCOME STATEMENT</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$29,050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$30,098</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Cash Expense</w:t>
            </w:r>
          </w:p>
        </w:tc>
        <w:tc>
          <w:tcPr>
            <w:tcW w:w="8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20,047</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3"/>
              </w:rPr>
              <w:t>20,047</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Operating Margin</w:t>
            </w:r>
          </w:p>
        </w:tc>
        <w:tc>
          <w:tcPr>
            <w:tcW w:w="8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8,274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78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1,048</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9,322</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Credit Costs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3,185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4,233</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Merger and Restructuring Costs</w:t>
            </w:r>
          </w:p>
        </w:tc>
        <w:tc>
          <w:tcPr>
            <w:tcW w:w="8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5,089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5,089</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Merger and Restructuring Costs</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2,523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(2,523)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3"/>
          </w:tcPr>
          <w:p>
            <w:pPr>
              <w:jc w:val="right"/>
              <w:ind w:right="232"/>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w w:val="96"/>
              </w:rPr>
              <w:t>Income before Income Tax Expense and Effect of Accounting</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w:t>
            </w:r>
          </w:p>
        </w:tc>
        <w:tc>
          <w:tcPr>
            <w:tcW w:w="8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2,566</w:t>
            </w:r>
          </w:p>
        </w:tc>
        <w:tc>
          <w:tcPr>
            <w:tcW w:w="2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8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2,523</w:t>
            </w: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5,089</w:t>
            </w:r>
          </w:p>
        </w:tc>
        <w:tc>
          <w:tcPr>
            <w:tcW w:w="320" w:type="dxa"/>
            <w:vAlign w:val="bottom"/>
            <w:shd w:val="clear" w:color="auto" w:fill="EEEEE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Tax Expense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1,680</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Effect of Accounting Change</w:t>
            </w:r>
          </w:p>
        </w:tc>
        <w:tc>
          <w:tcPr>
            <w:tcW w:w="8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1,719</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7"/>
              </w:rPr>
              <w:t>1,690</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3,409</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Effect of Change in Accounting Principle</w:t>
            </w:r>
          </w:p>
        </w:tc>
        <w:tc>
          <w:tcPr>
            <w:tcW w:w="1020" w:type="dxa"/>
            <w:vAlign w:val="bottom"/>
            <w:gridSpan w:val="5"/>
          </w:tcPr>
          <w:p>
            <w:pPr>
              <w:jc w:val="right"/>
              <w:ind w:right="52"/>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8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3"/>
          </w:tcPr>
          <w:p>
            <w:pPr>
              <w:jc w:val="right"/>
              <w:ind w:right="232"/>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$ 1,694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60" w:type="dxa"/>
            <w:vAlign w:val="bottom"/>
            <w:gridSpan w:val="7"/>
            <w:shd w:val="clear" w:color="auto" w:fill="EEEEEE"/>
          </w:tcPr>
          <w:p>
            <w:pPr>
              <w:jc w:val="right"/>
              <w:ind w:right="480"/>
              <w:spacing w:after="0"/>
              <w:rPr>
                <w:sz w:val="20"/>
                <w:szCs w:val="20"/>
                <w:color w:val="auto"/>
              </w:rPr>
            </w:pPr>
            <w:r>
              <w:rPr>
                <w:rFonts w:ascii="Arial" w:cs="Arial" w:eastAsia="Arial" w:hAnsi="Arial"/>
                <w:sz w:val="18"/>
                <w:szCs w:val="18"/>
                <w:color w:val="auto"/>
              </w:rPr>
              <w:t>$   —</w:t>
            </w:r>
          </w:p>
        </w:tc>
        <w:tc>
          <w:tcPr>
            <w:tcW w:w="1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color w:val="auto"/>
              </w:rPr>
              <w:t>$ 1,715</w:t>
            </w:r>
          </w:p>
        </w:tc>
        <w:tc>
          <w:tcPr>
            <w:tcW w:w="10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$ 3,409</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Add Back: Amortization of Intangibles</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729</w:t>
            </w: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Cash Earnings</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4,138</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220" w:type="dxa"/>
            <w:vAlign w:val="bottom"/>
            <w:gridSpan w:val="7"/>
            <w:shd w:val="clear" w:color="auto" w:fill="EEEEEE"/>
          </w:tcPr>
          <w:p>
            <w:pPr>
              <w:jc w:val="right"/>
              <w:ind w:right="200"/>
              <w:spacing w:after="0"/>
              <w:rPr>
                <w:sz w:val="20"/>
                <w:szCs w:val="20"/>
                <w:color w:val="auto"/>
              </w:rPr>
            </w:pPr>
            <w:r>
              <w:rPr>
                <w:rFonts w:ascii="Arial" w:cs="Arial" w:eastAsia="Arial" w:hAnsi="Arial"/>
                <w:sz w:val="18"/>
                <w:szCs w:val="18"/>
                <w:color w:val="auto"/>
              </w:rPr>
              <w:t>$  0.83(d)</w:t>
            </w: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5"/>
          </w:tcPr>
          <w:p>
            <w:pPr>
              <w:jc w:val="right"/>
              <w:ind w:right="200"/>
              <w:spacing w:after="0"/>
              <w:rPr>
                <w:sz w:val="20"/>
                <w:szCs w:val="20"/>
                <w:color w:val="auto"/>
              </w:rPr>
            </w:pPr>
            <w:r>
              <w:rPr>
                <w:rFonts w:ascii="Arial" w:cs="Arial" w:eastAsia="Arial" w:hAnsi="Arial"/>
                <w:sz w:val="18"/>
                <w:szCs w:val="18"/>
                <w:color w:val="auto"/>
              </w:rPr>
              <w:t>0.80(d)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CASH EARNINGS PER SHARE</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2"/>
          </w:tcPr>
          <w:p>
            <w:pPr>
              <w:ind w:left="60"/>
              <w:spacing w:after="0"/>
              <w:rPr>
                <w:sz w:val="20"/>
                <w:szCs w:val="20"/>
                <w:color w:val="auto"/>
              </w:rPr>
            </w:pPr>
            <w:r>
              <w:rPr>
                <w:rFonts w:ascii="Arial" w:cs="Arial" w:eastAsia="Arial" w:hAnsi="Arial"/>
                <w:sz w:val="18"/>
                <w:szCs w:val="18"/>
                <w:color w:val="auto"/>
                <w:w w:val="91"/>
              </w:rPr>
              <w:t>[Additional columns below]</w:t>
            </w:r>
          </w:p>
        </w:tc>
        <w:tc>
          <w:tcPr>
            <w:tcW w:w="0" w:type="dxa"/>
            <w:vAlign w:val="bottom"/>
          </w:tcPr>
          <w:p>
            <w:pPr>
              <w:spacing w:after="0"/>
              <w:rPr>
                <w:sz w:val="1"/>
                <w:szCs w:val="1"/>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[Continued from above table, first column(s) repeated]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color w:val="auto"/>
                <w:w w:val="91"/>
              </w:rPr>
              <w:t>FULL YEAR 2000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gridSpan w:val="2"/>
          </w:tcPr>
          <w:p>
            <w:pPr>
              <w:spacing w:after="0"/>
              <w:rPr>
                <w:sz w:val="8"/>
                <w:szCs w:val="8"/>
                <w:color w:val="auto"/>
              </w:rPr>
            </w:pPr>
          </w:p>
        </w:tc>
        <w:tc>
          <w:tcPr>
            <w:tcW w:w="400" w:type="dxa"/>
            <w:vAlign w:val="bottom"/>
            <w:tcBorders>
              <w:bottom w:val="single" w:sz="8" w:color="808080"/>
            </w:tcBorders>
            <w:gridSpan w:val="2"/>
          </w:tcPr>
          <w:p>
            <w:pPr>
              <w:spacing w:after="0"/>
              <w:rPr>
                <w:sz w:val="8"/>
                <w:szCs w:val="8"/>
                <w:color w:val="auto"/>
              </w:rPr>
            </w:pPr>
          </w:p>
        </w:tc>
        <w:tc>
          <w:tcPr>
            <w:tcW w:w="1100" w:type="dxa"/>
            <w:vAlign w:val="bottom"/>
            <w:tcBorders>
              <w:bottom w:val="single" w:sz="8" w:color="808080"/>
            </w:tcBorders>
            <w:gridSpan w:val="3"/>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5"/>
          </w:tcPr>
          <w:p>
            <w:pPr>
              <w:jc w:val="center"/>
              <w:ind w:left="26"/>
              <w:spacing w:after="0"/>
              <w:rPr>
                <w:sz w:val="20"/>
                <w:szCs w:val="20"/>
                <w:color w:val="auto"/>
              </w:rPr>
            </w:pPr>
            <w:r>
              <w:rPr>
                <w:rFonts w:ascii="Arial" w:cs="Arial" w:eastAsia="Arial" w:hAnsi="Arial"/>
                <w:sz w:val="14"/>
                <w:szCs w:val="14"/>
                <w:color w:val="auto"/>
                <w:w w:val="89"/>
              </w:rPr>
              <w:t>REPORTED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5"/>
          </w:tcPr>
          <w:p>
            <w:pPr>
              <w:jc w:val="center"/>
              <w:ind w:right="240"/>
              <w:spacing w:after="0"/>
              <w:rPr>
                <w:sz w:val="20"/>
                <w:szCs w:val="20"/>
                <w:color w:val="auto"/>
              </w:rPr>
            </w:pPr>
            <w:r>
              <w:rPr>
                <w:rFonts w:ascii="Arial" w:cs="Arial" w:eastAsia="Arial" w:hAnsi="Arial"/>
                <w:sz w:val="14"/>
                <w:szCs w:val="14"/>
                <w:color w:val="auto"/>
                <w:w w:val="92"/>
              </w:rPr>
              <w:t>CREDIT</w:t>
            </w:r>
          </w:p>
        </w:tc>
        <w:tc>
          <w:tcPr>
            <w:tcW w:w="1100" w:type="dxa"/>
            <w:vAlign w:val="bottom"/>
            <w:gridSpan w:val="3"/>
          </w:tcPr>
          <w:p>
            <w:pPr>
              <w:jc w:val="center"/>
              <w:spacing w:after="0"/>
              <w:rPr>
                <w:sz w:val="20"/>
                <w:szCs w:val="20"/>
                <w:color w:val="auto"/>
              </w:rPr>
            </w:pPr>
            <w:r>
              <w:rPr>
                <w:rFonts w:ascii="Arial" w:cs="Arial" w:eastAsia="Arial" w:hAnsi="Arial"/>
                <w:sz w:val="14"/>
                <w:szCs w:val="14"/>
                <w:color w:val="auto"/>
                <w:w w:val="91"/>
              </w:rPr>
              <w:t>SPECIAL</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9"/>
              </w:rPr>
              <w:t>RESULTS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5"/>
          </w:tcPr>
          <w:p>
            <w:pPr>
              <w:jc w:val="center"/>
              <w:ind w:right="240"/>
              <w:spacing w:after="0" w:line="149" w:lineRule="exact"/>
              <w:rPr>
                <w:sz w:val="20"/>
                <w:szCs w:val="20"/>
                <w:color w:val="auto"/>
              </w:rPr>
            </w:pPr>
            <w:r>
              <w:rPr>
                <w:rFonts w:ascii="Arial" w:cs="Arial" w:eastAsia="Arial" w:hAnsi="Arial"/>
                <w:sz w:val="14"/>
                <w:szCs w:val="14"/>
                <w:color w:val="auto"/>
                <w:w w:val="90"/>
              </w:rPr>
              <w:t>CARD</w:t>
            </w:r>
          </w:p>
        </w:tc>
        <w:tc>
          <w:tcPr>
            <w:tcW w:w="32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ITEMS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6"/>
          </w:tcPr>
          <w:p>
            <w:pPr>
              <w:jc w:val="center"/>
              <w:ind w:right="1740"/>
              <w:spacing w:after="0" w:line="149" w:lineRule="exact"/>
              <w:rPr>
                <w:sz w:val="20"/>
                <w:szCs w:val="20"/>
                <w:color w:val="auto"/>
              </w:rPr>
            </w:pPr>
            <w:r>
              <w:rPr>
                <w:rFonts w:ascii="Arial" w:cs="Arial" w:eastAsia="Arial" w:hAnsi="Arial"/>
                <w:sz w:val="14"/>
                <w:szCs w:val="14"/>
                <w:color w:val="auto"/>
                <w:w w:val="89"/>
              </w:rPr>
              <w:t>OPERATING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4"/>
          </w:tcPr>
          <w:p>
            <w:pPr>
              <w:jc w:val="center"/>
              <w:ind w:right="100"/>
              <w:spacing w:after="0"/>
              <w:rPr>
                <w:sz w:val="20"/>
                <w:szCs w:val="20"/>
                <w:color w:val="auto"/>
              </w:rPr>
            </w:pPr>
            <w:r>
              <w:rPr>
                <w:rFonts w:ascii="Arial" w:cs="Arial" w:eastAsia="Arial" w:hAnsi="Arial"/>
                <w:sz w:val="14"/>
                <w:szCs w:val="14"/>
                <w:color w:val="auto"/>
                <w:w w:val="81"/>
              </w:rPr>
              <w:t>(a)</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4"/>
          </w:tcPr>
          <w:p>
            <w:pPr>
              <w:jc w:val="center"/>
              <w:ind w:right="400"/>
              <w:spacing w:after="0"/>
              <w:rPr>
                <w:sz w:val="20"/>
                <w:szCs w:val="20"/>
                <w:color w:val="auto"/>
              </w:rPr>
            </w:pPr>
            <w:r>
              <w:rPr>
                <w:rFonts w:ascii="Arial" w:cs="Arial" w:eastAsia="Arial" w:hAnsi="Arial"/>
                <w:sz w:val="14"/>
                <w:szCs w:val="14"/>
                <w:color w:val="auto"/>
                <w:w w:val="93"/>
              </w:rPr>
              <w:t>(b)</w:t>
            </w:r>
          </w:p>
        </w:tc>
        <w:tc>
          <w:tcPr>
            <w:tcW w:w="32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color w:val="auto"/>
                <w:w w:val="85"/>
              </w:rPr>
              <w:t>(c)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gridSpan w:val="4"/>
          </w:tcPr>
          <w:p>
            <w:pPr>
              <w:jc w:val="center"/>
              <w:ind w:right="2060"/>
              <w:spacing w:after="0"/>
              <w:rPr>
                <w:sz w:val="20"/>
                <w:szCs w:val="20"/>
                <w:color w:val="auto"/>
              </w:rPr>
            </w:pPr>
            <w:r>
              <w:rPr>
                <w:rFonts w:ascii="Arial" w:cs="Arial" w:eastAsia="Arial" w:hAnsi="Arial"/>
                <w:sz w:val="14"/>
                <w:szCs w:val="14"/>
                <w:color w:val="auto"/>
                <w:w w:val="92"/>
              </w:rPr>
              <w:t>BASIS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INCOME STATEMENT</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Revenue</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$32,934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$(1,131)</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$32,793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Cash Expense</w:t>
            </w: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20,865</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20,865</w:t>
            </w: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Operating Margin</w:t>
            </w: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11,541</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6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(1,131)</w:t>
            </w: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11,400</w:t>
            </w: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Credit Costs</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1,377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2,367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Merger and Restructuring Costs</w:t>
            </w: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10,164</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(1,131)</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9,033</w:t>
            </w: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Merger and Restructuring Costs</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w w:val="96"/>
              </w:rPr>
              <w:t>Income before Income Tax Expense and Effect of Accounting</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w:t>
            </w: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8,733</w:t>
            </w:r>
          </w:p>
        </w:tc>
        <w:tc>
          <w:tcPr>
            <w:tcW w:w="1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8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9,033</w:t>
            </w:r>
          </w:p>
        </w:tc>
        <w:tc>
          <w:tcPr>
            <w:tcW w:w="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Tax Expense</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3,006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3,106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Effect of Accounting Change</w:t>
            </w: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5,727</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8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5,927</w:t>
            </w: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Effect of Change in Accounting Principle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$ 5,727</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40" w:type="dxa"/>
            <w:vAlign w:val="bottom"/>
            <w:gridSpan w:val="5"/>
            <w:shd w:val="clear" w:color="auto" w:fill="EEEEEE"/>
          </w:tcPr>
          <w:p>
            <w:pPr>
              <w:jc w:val="right"/>
              <w:ind w:right="400"/>
              <w:spacing w:after="0"/>
              <w:rPr>
                <w:sz w:val="20"/>
                <w:szCs w:val="20"/>
                <w:color w:val="auto"/>
              </w:rPr>
            </w:pPr>
            <w:r>
              <w:rPr>
                <w:rFonts w:ascii="Arial" w:cs="Arial" w:eastAsia="Arial" w:hAnsi="Arial"/>
                <w:sz w:val="18"/>
                <w:szCs w:val="18"/>
                <w:color w:val="auto"/>
              </w:rPr>
              <w:t>$ —</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w:t>
            </w:r>
          </w:p>
        </w:tc>
        <w:tc>
          <w:tcPr>
            <w:tcW w:w="10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$ 5,927</w:t>
            </w:r>
          </w:p>
        </w:tc>
        <w:tc>
          <w:tcPr>
            <w:tcW w:w="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Add Back: Amortization of Intangibles</w:t>
            </w:r>
          </w:p>
        </w:tc>
        <w:tc>
          <w:tcPr>
            <w:tcW w:w="13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Cash Earnings</w:t>
            </w:r>
          </w:p>
        </w:tc>
        <w:tc>
          <w:tcPr>
            <w:tcW w:w="1380" w:type="dxa"/>
            <w:vAlign w:val="bottom"/>
            <w:shd w:val="clear" w:color="auto" w:fill="EEEEEE"/>
          </w:tcPr>
          <w:p>
            <w:pPr>
              <w:spacing w:after="0"/>
              <w:rPr>
                <w:sz w:val="18"/>
                <w:szCs w:val="18"/>
                <w:color w:val="auto"/>
              </w:rPr>
            </w:pPr>
          </w:p>
        </w:tc>
        <w:tc>
          <w:tcPr>
            <w:tcW w:w="320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6,455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3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200" w:type="dxa"/>
            <w:vAlign w:val="bottom"/>
            <w:shd w:val="clear" w:color="auto" w:fill="EEEEEE"/>
          </w:tcPr>
          <w:p>
            <w:pPr>
              <w:jc w:val="right"/>
              <w:ind w:right="2712"/>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Diluted</w:t>
            </w:r>
          </w:p>
        </w:tc>
        <w:tc>
          <w:tcPr>
            <w:tcW w:w="1380" w:type="dxa"/>
            <w:vAlign w:val="bottom"/>
          </w:tcPr>
          <w:p>
            <w:pPr>
              <w:spacing w:after="0"/>
              <w:rPr>
                <w:sz w:val="18"/>
                <w:szCs w:val="18"/>
                <w:color w:val="auto"/>
              </w:rPr>
            </w:pPr>
          </w:p>
        </w:tc>
        <w:tc>
          <w:tcPr>
            <w:tcW w:w="3200" w:type="dxa"/>
            <w:vAlign w:val="bottom"/>
          </w:tcPr>
          <w:p>
            <w:pPr>
              <w:jc w:val="right"/>
              <w:ind w:right="2712"/>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CASH EARNINGS PER SHARE</w:t>
            </w:r>
          </w:p>
        </w:tc>
        <w:tc>
          <w:tcPr>
            <w:tcW w:w="1380" w:type="dxa"/>
            <w:vAlign w:val="bottom"/>
            <w:shd w:val="clear" w:color="auto" w:fill="EEEEEE"/>
          </w:tcPr>
          <w:p>
            <w:pPr>
              <w:spacing w:after="0"/>
              <w:rPr>
                <w:sz w:val="18"/>
                <w:szCs w:val="18"/>
                <w:color w:val="auto"/>
              </w:rPr>
            </w:pPr>
          </w:p>
        </w:tc>
        <w:tc>
          <w:tcPr>
            <w:tcW w:w="3200" w:type="dxa"/>
            <w:vAlign w:val="bottom"/>
            <w:shd w:val="clear" w:color="auto" w:fill="EEEEEE"/>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w:t>
            </w:r>
          </w:p>
        </w:tc>
        <w:tc>
          <w:tcPr>
            <w:tcW w:w="1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380" w:type="dxa"/>
            <w:vAlign w:val="bottom"/>
            <w:shd w:val="clear" w:color="auto" w:fill="EEEEEE"/>
          </w:tcPr>
          <w:p>
            <w:pPr>
              <w:spacing w:after="0"/>
              <w:rPr>
                <w:sz w:val="18"/>
                <w:szCs w:val="18"/>
                <w:color w:val="auto"/>
              </w:rPr>
            </w:pPr>
          </w:p>
        </w:tc>
        <w:tc>
          <w:tcPr>
            <w:tcW w:w="3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76465"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1320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condensed results as reported in JPMorgan Chase’s financial statements.</w:t>
      </w:r>
    </w:p>
    <w:p>
      <w:pPr>
        <w:spacing w:after="0" w:line="15" w:lineRule="exact"/>
        <w:rPr>
          <w:rFonts w:ascii="Arial" w:cs="Arial" w:eastAsia="Arial" w:hAnsi="Arial"/>
          <w:sz w:val="18"/>
          <w:szCs w:val="18"/>
          <w:color w:val="auto"/>
        </w:rPr>
      </w:pPr>
    </w:p>
    <w:p>
      <w:pPr>
        <w:ind w:left="540" w:right="60" w:hanging="532"/>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column excludes the impact of credit card securitizations. For receivables that have been securitized, amounts that would have been reported as net interest income and as provision for loan losses are instead reported as components of noninterest revenue.</w:t>
      </w:r>
    </w:p>
    <w:p>
      <w:pPr>
        <w:ind w:left="540" w:hanging="532"/>
        <w:spacing w:after="0" w:line="28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merger and restructuring costs and special items. The 2001 fourth quarter and full year include $841 million and $2,523 million, respectively, in merger and restructuring expenses. The 2000 fourth quarter includes an $827 million gain on the sale of the Hong Kong retail banking business, a $399 million gain from the transfer of Euroclear related business, $52 million of restructuring costs associated with previously announced relocation initiatives ($181 million for the full year) and $1,250 million in merger expenses. Also included in the 2000 full year was an $81 million gain from the sale of a business in Panama and a $176 million loss resulting from the economic hedge of the purchase price of Flemings prior to its acquisition.</w:t>
      </w:r>
    </w:p>
    <w:p>
      <w:pPr>
        <w:spacing w:after="0" w:line="3" w:lineRule="exact"/>
        <w:rPr>
          <w:rFonts w:ascii="Arial" w:cs="Arial" w:eastAsia="Arial" w:hAnsi="Arial"/>
          <w:sz w:val="16"/>
          <w:szCs w:val="16"/>
          <w:color w:val="auto"/>
        </w:rPr>
      </w:pPr>
    </w:p>
    <w:p>
      <w:pPr>
        <w:ind w:left="540" w:right="100" w:hanging="532"/>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effect of the accounting change. Excluding the accounting change, basic and diluted net income per share for the full year 2001 were $0.84 and $0.81, respectively.</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00"/>
          </w:cols>
          <w:pgMar w:left="240" w:top="131" w:right="359" w:bottom="1440" w:gutter="0" w:footer="0" w:header="0"/>
        </w:sectPr>
      </w:pPr>
    </w:p>
    <w:bookmarkStart w:id="22" w:name="page23"/>
    <w:bookmarkEnd w:id="22"/>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2858770</wp:posOffset>
            </wp:positionH>
            <wp:positionV relativeFrom="page">
              <wp:posOffset>603250</wp:posOffset>
            </wp:positionV>
            <wp:extent cx="184404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0"/>
          <w:szCs w:val="30"/>
          <w:color w:val="auto"/>
        </w:rPr>
        <w:t>PRESS RELEASE FINANCIAL SUPPLEMENT</w:t>
      </w:r>
    </w:p>
    <w:p>
      <w:pPr>
        <w:sectPr>
          <w:pgSz w:w="11900" w:h="16838" w:orient="portrait"/>
          <w:cols w:equalWidth="0" w:num="1">
            <w:col w:w="9019"/>
          </w:cols>
          <w:pgMar w:left="1440" w:top="1440" w:right="1440" w:bottom="1440" w:gutter="0" w:footer="0" w:header="0"/>
        </w:sect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30"/>
          <w:szCs w:val="30"/>
          <w:color w:val="auto"/>
        </w:rPr>
        <w:t>FOURTH QUARTER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443230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3" w:name="page24"/>
    <w:bookmarkEnd w:id="23"/>
    <w:p>
      <w:pPr>
        <w:spacing w:after="0" w:line="1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CHASE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7"/>
              </w:rPr>
              <w:t>JPMorgan Chase Consolidated</w:t>
            </w:r>
          </w:p>
        </w:tc>
        <w:tc>
          <w:tcPr>
            <w:tcW w:w="5620" w:type="dxa"/>
            <w:vAlign w:val="bottom"/>
            <w:vMerge w:val="restart"/>
          </w:tcPr>
          <w:p>
            <w:pPr>
              <w:spacing w:after="0"/>
              <w:rPr>
                <w:sz w:val="14"/>
                <w:szCs w:val="14"/>
                <w:color w:val="auto"/>
              </w:rPr>
            </w:pPr>
          </w:p>
        </w:tc>
        <w:tc>
          <w:tcPr>
            <w:tcW w:w="3360" w:type="dxa"/>
            <w:vAlign w:val="bottom"/>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8"/>
        </w:trPr>
        <w:tc>
          <w:tcPr>
            <w:tcW w:w="2340" w:type="dxa"/>
            <w:vAlign w:val="bottom"/>
            <w:tcBorders>
              <w:bottom w:val="single" w:sz="8" w:color="auto"/>
            </w:tcBorders>
            <w:gridSpan w:val="4"/>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7960" w:type="dxa"/>
            <w:vAlign w:val="bottom"/>
            <w:gridSpan w:val="5"/>
          </w:tcPr>
          <w:p>
            <w:pPr>
              <w:spacing w:after="0"/>
              <w:rPr>
                <w:sz w:val="20"/>
                <w:szCs w:val="20"/>
                <w:color w:val="auto"/>
              </w:rPr>
            </w:pPr>
            <w:r>
              <w:rPr>
                <w:rFonts w:ascii="Arial" w:cs="Arial" w:eastAsia="Arial" w:hAnsi="Arial"/>
                <w:sz w:val="18"/>
                <w:szCs w:val="18"/>
                <w:color w:val="auto"/>
              </w:rPr>
              <w:t>Statement of Income — Reported Basis</w:t>
            </w:r>
          </w:p>
        </w:tc>
        <w:tc>
          <w:tcPr>
            <w:tcW w:w="3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Lines of Business Financial Highlights Summary</w:t>
            </w:r>
          </w:p>
        </w:tc>
        <w:tc>
          <w:tcPr>
            <w:tcW w:w="3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Statement of Income — Operating Basis Excluding JPMorgan Partners</w:t>
            </w:r>
          </w:p>
        </w:tc>
        <w:tc>
          <w:tcPr>
            <w:tcW w:w="3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Statement of Income — Operating Basis</w:t>
            </w:r>
          </w:p>
        </w:tc>
        <w:tc>
          <w:tcPr>
            <w:tcW w:w="3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960" w:type="dxa"/>
            <w:vAlign w:val="bottom"/>
            <w:gridSpan w:val="5"/>
          </w:tcPr>
          <w:p>
            <w:pPr>
              <w:spacing w:after="0"/>
              <w:rPr>
                <w:sz w:val="20"/>
                <w:szCs w:val="20"/>
                <w:color w:val="auto"/>
              </w:rPr>
            </w:pPr>
            <w:r>
              <w:rPr>
                <w:rFonts w:ascii="Arial" w:cs="Arial" w:eastAsia="Arial" w:hAnsi="Arial"/>
                <w:sz w:val="18"/>
                <w:szCs w:val="18"/>
                <w:color w:val="auto"/>
              </w:rPr>
              <w:t>Reconciliation from Reported to Operating Basis</w:t>
            </w:r>
          </w:p>
        </w:tc>
        <w:tc>
          <w:tcPr>
            <w:tcW w:w="3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0"/>
        </w:trPr>
        <w:tc>
          <w:tcPr>
            <w:tcW w:w="7960" w:type="dxa"/>
            <w:vAlign w:val="bottom"/>
            <w:gridSpan w:val="5"/>
          </w:tcPr>
          <w:p>
            <w:pPr>
              <w:spacing w:after="0" w:line="190" w:lineRule="exact"/>
              <w:rPr>
                <w:sz w:val="20"/>
                <w:szCs w:val="20"/>
                <w:color w:val="auto"/>
              </w:rPr>
            </w:pPr>
            <w:r>
              <w:rPr>
                <w:rFonts w:ascii="Arial" w:cs="Arial" w:eastAsia="Arial" w:hAnsi="Arial"/>
                <w:sz w:val="18"/>
                <w:szCs w:val="18"/>
                <w:b w:val="1"/>
                <w:bCs w:val="1"/>
                <w:color w:val="auto"/>
              </w:rPr>
              <w:t>Segment Detail</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960" w:type="dxa"/>
            <w:vAlign w:val="bottom"/>
            <w:gridSpan w:val="5"/>
          </w:tcPr>
          <w:p>
            <w:pPr>
              <w:spacing w:after="0"/>
              <w:rPr>
                <w:sz w:val="20"/>
                <w:szCs w:val="20"/>
                <w:color w:val="auto"/>
              </w:rPr>
            </w:pPr>
            <w:r>
              <w:rPr>
                <w:rFonts w:ascii="Arial" w:cs="Arial" w:eastAsia="Arial" w:hAnsi="Arial"/>
                <w:sz w:val="18"/>
                <w:szCs w:val="18"/>
                <w:color w:val="auto"/>
              </w:rPr>
              <w:t>Investment Bank</w:t>
            </w:r>
          </w:p>
        </w:tc>
        <w:tc>
          <w:tcPr>
            <w:tcW w:w="3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Investment Management &amp; Private Banking</w:t>
            </w:r>
          </w:p>
        </w:tc>
        <w:tc>
          <w:tcPr>
            <w:tcW w:w="3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Treasury &amp; Securities Services</w:t>
            </w:r>
          </w:p>
        </w:tc>
        <w:tc>
          <w:tcPr>
            <w:tcW w:w="33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JPMorgan Partners</w:t>
            </w:r>
          </w:p>
        </w:tc>
        <w:tc>
          <w:tcPr>
            <w:tcW w:w="33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Investment Portfolio — Private and Public Securities</w:t>
            </w:r>
          </w:p>
        </w:tc>
        <w:tc>
          <w:tcPr>
            <w:tcW w:w="33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7960" w:type="dxa"/>
            <w:vAlign w:val="bottom"/>
            <w:gridSpan w:val="5"/>
          </w:tcPr>
          <w:p>
            <w:pPr>
              <w:spacing w:after="0"/>
              <w:rPr>
                <w:sz w:val="20"/>
                <w:szCs w:val="20"/>
                <w:color w:val="auto"/>
              </w:rPr>
            </w:pPr>
            <w:r>
              <w:rPr>
                <w:rFonts w:ascii="Arial" w:cs="Arial" w:eastAsia="Arial" w:hAnsi="Arial"/>
                <w:sz w:val="18"/>
                <w:szCs w:val="18"/>
                <w:color w:val="auto"/>
              </w:rPr>
              <w:t>Retail &amp; Middle Market Financial Services</w:t>
            </w:r>
          </w:p>
        </w:tc>
        <w:tc>
          <w:tcPr>
            <w:tcW w:w="33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0"/>
        </w:trPr>
        <w:tc>
          <w:tcPr>
            <w:tcW w:w="154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b w:val="1"/>
                <w:bCs w:val="1"/>
                <w:color w:val="auto"/>
                <w:w w:val="88"/>
              </w:rPr>
              <w:t>Supplemental Detail</w:t>
            </w:r>
          </w:p>
        </w:tc>
        <w:tc>
          <w:tcPr>
            <w:tcW w:w="6420" w:type="dxa"/>
            <w:vAlign w:val="bottom"/>
            <w:gridSpan w:val="2"/>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gridSpan w:val="5"/>
          </w:tcPr>
          <w:p>
            <w:pPr>
              <w:spacing w:after="0"/>
              <w:rPr>
                <w:sz w:val="20"/>
                <w:szCs w:val="20"/>
                <w:color w:val="auto"/>
              </w:rPr>
            </w:pPr>
            <w:r>
              <w:rPr>
                <w:rFonts w:ascii="Arial" w:cs="Arial" w:eastAsia="Arial" w:hAnsi="Arial"/>
                <w:sz w:val="18"/>
                <w:szCs w:val="18"/>
                <w:color w:val="auto"/>
              </w:rPr>
              <w:t>Noninterest Revenue and Noninterest Expense Detail</w:t>
            </w:r>
          </w:p>
        </w:tc>
        <w:tc>
          <w:tcPr>
            <w:tcW w:w="33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Consolidated Balance Sheet</w:t>
            </w:r>
          </w:p>
        </w:tc>
        <w:tc>
          <w:tcPr>
            <w:tcW w:w="3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Condensed Average Balance Sheet and Annualized Yields</w:t>
            </w:r>
          </w:p>
        </w:tc>
        <w:tc>
          <w:tcPr>
            <w:tcW w:w="33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960" w:type="dxa"/>
            <w:vAlign w:val="bottom"/>
            <w:gridSpan w:val="5"/>
          </w:tcPr>
          <w:p>
            <w:pPr>
              <w:spacing w:after="0"/>
              <w:rPr>
                <w:sz w:val="20"/>
                <w:szCs w:val="20"/>
                <w:color w:val="auto"/>
              </w:rPr>
            </w:pPr>
            <w:r>
              <w:rPr>
                <w:rFonts w:ascii="Arial" w:cs="Arial" w:eastAsia="Arial" w:hAnsi="Arial"/>
                <w:sz w:val="18"/>
                <w:szCs w:val="18"/>
                <w:color w:val="auto"/>
              </w:rPr>
              <w:t>Credit-Related Information</w:t>
            </w:r>
          </w:p>
        </w:tc>
        <w:tc>
          <w:tcPr>
            <w:tcW w:w="3360" w:type="dxa"/>
            <w:vAlign w:val="bottom"/>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0"/>
        </w:trPr>
        <w:tc>
          <w:tcPr>
            <w:tcW w:w="7960" w:type="dxa"/>
            <w:vAlign w:val="bottom"/>
            <w:gridSpan w:val="5"/>
          </w:tcPr>
          <w:p>
            <w:pPr>
              <w:spacing w:after="0"/>
              <w:rPr>
                <w:sz w:val="20"/>
                <w:szCs w:val="20"/>
                <w:color w:val="auto"/>
              </w:rPr>
            </w:pPr>
            <w:r>
              <w:rPr>
                <w:rFonts w:ascii="Arial" w:cs="Arial" w:eastAsia="Arial" w:hAnsi="Arial"/>
                <w:sz w:val="18"/>
                <w:szCs w:val="18"/>
                <w:color w:val="auto"/>
              </w:rPr>
              <w:t>Capital</w:t>
            </w:r>
          </w:p>
        </w:tc>
        <w:tc>
          <w:tcPr>
            <w:tcW w:w="33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0"/>
        </w:trPr>
        <w:tc>
          <w:tcPr>
            <w:tcW w:w="138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b w:val="1"/>
                <w:bCs w:val="1"/>
                <w:color w:val="auto"/>
                <w:w w:val="86"/>
              </w:rPr>
              <w:t>Glossary of Terms</w:t>
            </w:r>
          </w:p>
        </w:tc>
        <w:tc>
          <w:tcPr>
            <w:tcW w:w="6580" w:type="dxa"/>
            <w:vAlign w:val="bottom"/>
            <w:gridSpan w:val="3"/>
          </w:tcPr>
          <w:p>
            <w:pPr>
              <w:spacing w:after="0"/>
              <w:rPr>
                <w:sz w:val="16"/>
                <w:szCs w:val="16"/>
                <w:color w:val="auto"/>
              </w:rPr>
            </w:pPr>
          </w:p>
        </w:tc>
        <w:tc>
          <w:tcPr>
            <w:tcW w:w="3360" w:type="dxa"/>
            <w:vAlign w:val="bottom"/>
          </w:tcPr>
          <w:p>
            <w:pPr>
              <w:jc w:val="right"/>
              <w:spacing w:after="0" w:line="190"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December 31, 2000, J.P. Morgan &amp; Co. Incorporated (“J.P. Morgan”) merged with and into The Chase Manhattan Corporation (“Chase”). Upon consummation of the merger, Chase changed its name to J.P. Morgan Chase &amp; Co. (“JPMorgan Chase” or “the Firm”). The merger was accounted for as a pooling of interests and, accordingly, the information included in this document reflects the combined results of Chase and J.P. Morgan as if the merger had been in effect for all periods presented. In addition, certain amounts have been reclassified to conform to the current presentation.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INCOME — REPORTED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and ratio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4QTR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3QTR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1QTR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Investment Banking Fees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931</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Trading Revenue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1,301</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1,261</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Fees and Commissions</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2,424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2,331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 Realized Gains (Losses)</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Private Equity — Unrealized Gains (Losses)</w:t>
            </w: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Securities Gains</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Noninterest Revenue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3,633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4,690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4,090</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5,835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6,082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7,709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8,469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5,688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6,762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7,461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2,944</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2,659</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2,781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2,418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2,461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Revenue before Provision for Loan Losses</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6,577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7,349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6,871</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8,253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520"/>
              <w:spacing w:after="0"/>
              <w:rPr>
                <w:sz w:val="20"/>
                <w:szCs w:val="20"/>
                <w:color w:val="auto"/>
              </w:rPr>
            </w:pPr>
            <w:r>
              <w:rPr>
                <w:rFonts w:ascii="Arial" w:cs="Arial" w:eastAsia="Arial" w:hAnsi="Arial"/>
                <w:sz w:val="18"/>
                <w:szCs w:val="18"/>
                <w:b w:val="1"/>
                <w:bCs w:val="1"/>
                <w:color w:val="auto"/>
              </w:rPr>
              <w:t>TOTAL NET REVENUE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5,109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6,604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6,346</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7,806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8,134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520"/>
              <w:spacing w:after="0"/>
              <w:rPr>
                <w:sz w:val="20"/>
                <w:szCs w:val="20"/>
                <w:color w:val="auto"/>
              </w:rPr>
            </w:pPr>
            <w:r>
              <w:rPr>
                <w:rFonts w:ascii="Arial" w:cs="Arial" w:eastAsia="Arial" w:hAnsi="Arial"/>
                <w:sz w:val="18"/>
                <w:szCs w:val="18"/>
                <w:b w:val="1"/>
                <w:bCs w:val="1"/>
                <w:color w:val="auto"/>
              </w:rPr>
              <w:t>EXPENSE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Compensation Expense</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2,883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Occupancy Expense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Technology and Communications</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Merger and Restructuring Costs</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841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876</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5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1,023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1,047</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0" w:type="dxa"/>
            <w:vAlign w:val="bottom"/>
          </w:tcPr>
          <w:p>
            <w:pPr>
              <w:ind w:left="520"/>
              <w:spacing w:after="0"/>
              <w:rPr>
                <w:sz w:val="20"/>
                <w:szCs w:val="20"/>
                <w:color w:val="auto"/>
              </w:rPr>
            </w:pPr>
            <w:r>
              <w:rPr>
                <w:rFonts w:ascii="Arial" w:cs="Arial" w:eastAsia="Arial" w:hAnsi="Arial"/>
                <w:sz w:val="18"/>
                <w:szCs w:val="18"/>
                <w:b w:val="1"/>
                <w:bCs w:val="1"/>
                <w:color w:val="auto"/>
              </w:rPr>
              <w:t>TOTAL NONINTEREST EXPENSE</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5,677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5,935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5,761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5,926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7,044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 Expense and Effect of Accounting</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w:t>
            </w:r>
          </w:p>
        </w:tc>
        <w:tc>
          <w:tcPr>
            <w:tcW w:w="18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669</w:t>
            </w:r>
          </w:p>
        </w:tc>
        <w:tc>
          <w:tcPr>
            <w:tcW w:w="2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1,880</w:t>
            </w: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BEFORE EFFECT OF ACCOUNTING CHANGE</w:t>
            </w: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b w:val="1"/>
                <w:bCs w:val="1"/>
                <w:color w:val="auto"/>
              </w:rPr>
              <w:t>(332)</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449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378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1,224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708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Effect of Change in Accounting Principle</w:t>
            </w:r>
          </w:p>
        </w:tc>
        <w:tc>
          <w:tcPr>
            <w:tcW w:w="1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b w:val="1"/>
                <w:bCs w:val="1"/>
                <w:color w:val="auto"/>
              </w:rPr>
              <w:t>(332)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449</w:t>
            </w:r>
          </w:p>
        </w:tc>
        <w:tc>
          <w:tcPr>
            <w:tcW w:w="2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378</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1,199</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708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 (LOSS) PER SHARE (a)</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(0.18)</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PERFORMANCE RATIOS</w:t>
            </w: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Return on Average Assets</w:t>
            </w:r>
          </w:p>
        </w:tc>
        <w:tc>
          <w:tcPr>
            <w:tcW w:w="18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Return on Average Common Equity</w:t>
            </w: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FULL-TIME EQUIVALENT EMPLOYEES (b)</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95,812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96,633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97,224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98,518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99,757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808080"/>
            </w:tcBorders>
          </w:tcPr>
          <w:p>
            <w:pPr>
              <w:spacing w:after="0"/>
              <w:rPr>
                <w:sz w:val="18"/>
                <w:szCs w:val="18"/>
                <w:color w:val="auto"/>
              </w:rPr>
            </w:pPr>
          </w:p>
        </w:tc>
        <w:tc>
          <w:tcPr>
            <w:tcW w:w="56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60" w:type="dxa"/>
            <w:vAlign w:val="bottom"/>
            <w:gridSpan w:val="2"/>
          </w:tcPr>
          <w:p>
            <w:pPr>
              <w:ind w:left="940"/>
              <w:spacing w:after="0"/>
              <w:rPr>
                <w:sz w:val="20"/>
                <w:szCs w:val="20"/>
                <w:color w:val="auto"/>
              </w:rPr>
            </w:pPr>
            <w:r>
              <w:rPr>
                <w:rFonts w:ascii="Arial" w:cs="Arial" w:eastAsia="Arial" w:hAnsi="Arial"/>
                <w:sz w:val="14"/>
                <w:szCs w:val="14"/>
                <w:b w:val="1"/>
                <w:bCs w:val="1"/>
                <w:color w:val="auto"/>
              </w:rPr>
              <w:t>4QTR 2001</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960" w:type="dxa"/>
            <w:vAlign w:val="bottom"/>
            <w:gridSpan w:val="2"/>
          </w:tcPr>
          <w:p>
            <w:pPr>
              <w:ind w:left="880"/>
              <w:spacing w:after="0"/>
              <w:rPr>
                <w:sz w:val="20"/>
                <w:szCs w:val="20"/>
                <w:color w:val="auto"/>
              </w:rPr>
            </w:pPr>
            <w:r>
              <w:rPr>
                <w:rFonts w:ascii="Arial" w:cs="Arial" w:eastAsia="Arial" w:hAnsi="Arial"/>
                <w:sz w:val="14"/>
                <w:szCs w:val="14"/>
                <w:b w:val="1"/>
                <w:bCs w:val="1"/>
                <w:color w:val="auto"/>
              </w:rPr>
              <w:t>Over (Under)</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FULL YEAR</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57"/>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960" w:type="dxa"/>
            <w:vAlign w:val="bottom"/>
            <w:gridSpan w:val="2"/>
          </w:tcPr>
          <w:p>
            <w:pPr>
              <w:ind w:left="320"/>
              <w:spacing w:after="0"/>
              <w:rPr>
                <w:sz w:val="20"/>
                <w:szCs w:val="20"/>
                <w:color w:val="auto"/>
              </w:rPr>
            </w:pPr>
            <w:r>
              <w:rPr>
                <w:rFonts w:ascii="Arial" w:cs="Arial" w:eastAsia="Arial" w:hAnsi="Arial"/>
                <w:sz w:val="14"/>
                <w:szCs w:val="14"/>
                <w:b w:val="1"/>
                <w:bCs w:val="1"/>
                <w:color w:val="auto"/>
              </w:rPr>
              <w:t>3Q 2001</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4Q 2000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22"/>
                <w:szCs w:val="22"/>
                <w:color w:val="auto"/>
              </w:rPr>
            </w:pPr>
          </w:p>
        </w:tc>
        <w:tc>
          <w:tcPr>
            <w:tcW w:w="136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1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Investment Banking Fees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4,362</w:t>
            </w:r>
          </w:p>
        </w:tc>
        <w:tc>
          <w:tcPr>
            <w:tcW w:w="300" w:type="dxa"/>
            <w:vAlign w:val="bottom"/>
          </w:tcPr>
          <w:p>
            <w:pPr>
              <w:spacing w:after="0"/>
              <w:rPr>
                <w:sz w:val="18"/>
                <w:szCs w:val="18"/>
                <w:color w:val="auto"/>
              </w:rPr>
            </w:pPr>
          </w:p>
        </w:tc>
        <w:tc>
          <w:tcPr>
            <w:tcW w:w="1360" w:type="dxa"/>
            <w:vAlign w:val="bottom"/>
            <w:gridSpan w:val="2"/>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Trading Revenue</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(73)</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(69)</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4,918</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6,298</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Fees and Commissions</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18"/>
                <w:szCs w:val="18"/>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9,208</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9,229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 Realized Gains (Losses)</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(60)</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2,051</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Private Equity — Unrealized Gains (Losses)</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(62)</w:t>
            </w:r>
          </w:p>
        </w:tc>
        <w:tc>
          <w:tcPr>
            <w:tcW w:w="860" w:type="dxa"/>
            <w:vAlign w:val="bottom"/>
          </w:tcPr>
          <w:p>
            <w:pPr>
              <w:spacing w:after="0"/>
              <w:rPr>
                <w:sz w:val="18"/>
                <w:szCs w:val="18"/>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(1,884)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(1,036)</w:t>
            </w: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Securities Gains</w:t>
            </w:r>
          </w:p>
        </w:tc>
        <w:tc>
          <w:tcPr>
            <w:tcW w:w="11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42</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71</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866</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37"/>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Revenue</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877</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2,289</w:t>
            </w:r>
          </w:p>
        </w:tc>
        <w:tc>
          <w:tcPr>
            <w:tcW w:w="300" w:type="dxa"/>
            <w:vAlign w:val="bottom"/>
          </w:tcPr>
          <w:p>
            <w:pPr>
              <w:spacing w:after="0"/>
              <w:rPr>
                <w:sz w:val="19"/>
                <w:szCs w:val="19"/>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Noninterest Revenue</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(23)</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18,248</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23,422</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Interest Income</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32,181</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36,643</w:t>
            </w:r>
          </w:p>
        </w:tc>
        <w:tc>
          <w:tcPr>
            <w:tcW w:w="300" w:type="dxa"/>
            <w:vAlign w:val="bottom"/>
          </w:tcPr>
          <w:p>
            <w:pPr>
              <w:spacing w:after="0"/>
              <w:rPr>
                <w:sz w:val="18"/>
                <w:szCs w:val="18"/>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(23)</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(48)</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21,379</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27,131</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4400" w:type="dxa"/>
            <w:vAlign w:val="bottom"/>
            <w:gridSpan w:val="2"/>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24"/>
                <w:szCs w:val="24"/>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10,802</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9,512</w:t>
            </w:r>
          </w:p>
        </w:tc>
        <w:tc>
          <w:tcPr>
            <w:tcW w:w="300" w:type="dxa"/>
            <w:vAlign w:val="bottom"/>
          </w:tcPr>
          <w:p>
            <w:pPr>
              <w:spacing w:after="0"/>
              <w:rPr>
                <w:sz w:val="24"/>
                <w:szCs w:val="24"/>
                <w:color w:val="auto"/>
              </w:rPr>
            </w:pPr>
          </w:p>
        </w:tc>
        <w:tc>
          <w:tcPr>
            <w:tcW w:w="1360" w:type="dxa"/>
            <w:vAlign w:val="bottom"/>
            <w:gridSpan w:val="2"/>
          </w:tcPr>
          <w:p>
            <w:pPr>
              <w:jc w:val="right"/>
              <w:ind w:right="237"/>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Revenue before Provision for Loan Losses</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(11)</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(23)</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29,050</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32,934</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97</w:t>
            </w:r>
          </w:p>
        </w:tc>
        <w:tc>
          <w:tcPr>
            <w:tcW w:w="86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3,185</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1,377</w:t>
            </w:r>
          </w:p>
        </w:tc>
        <w:tc>
          <w:tcPr>
            <w:tcW w:w="300" w:type="dxa"/>
            <w:vAlign w:val="bottom"/>
          </w:tcPr>
          <w:p>
            <w:pPr>
              <w:spacing w:after="0"/>
              <w:rPr>
                <w:sz w:val="19"/>
                <w:szCs w:val="19"/>
                <w:color w:val="auto"/>
              </w:rPr>
            </w:pPr>
          </w:p>
        </w:tc>
        <w:tc>
          <w:tcPr>
            <w:tcW w:w="1360" w:type="dxa"/>
            <w:vAlign w:val="bottom"/>
            <w:gridSpan w:val="2"/>
          </w:tcPr>
          <w:p>
            <w:pPr>
              <w:jc w:val="right"/>
              <w:ind w:right="237"/>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TOTAL NET REVENUE</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(23)</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(37)</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25,865</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31,557</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w:t>
            </w:r>
          </w:p>
        </w:tc>
        <w:tc>
          <w:tcPr>
            <w:tcW w:w="1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Compensation Expense</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18"/>
                <w:szCs w:val="18"/>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11,944</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12,748</w:t>
            </w:r>
          </w:p>
        </w:tc>
        <w:tc>
          <w:tcPr>
            <w:tcW w:w="300" w:type="dxa"/>
            <w:vAlign w:val="bottom"/>
          </w:tcPr>
          <w:p>
            <w:pPr>
              <w:spacing w:after="0"/>
              <w:rPr>
                <w:sz w:val="18"/>
                <w:szCs w:val="18"/>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Occupancy Expense</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1,348</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1,294</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3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2,631</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2,454</w:t>
            </w:r>
          </w:p>
        </w:tc>
        <w:tc>
          <w:tcPr>
            <w:tcW w:w="300" w:type="dxa"/>
            <w:vAlign w:val="bottom"/>
          </w:tcPr>
          <w:p>
            <w:pPr>
              <w:spacing w:after="0"/>
              <w:rPr>
                <w:sz w:val="18"/>
                <w:szCs w:val="18"/>
                <w:color w:val="auto"/>
              </w:rPr>
            </w:pPr>
          </w:p>
        </w:tc>
        <w:tc>
          <w:tcPr>
            <w:tcW w:w="1360" w:type="dxa"/>
            <w:vAlign w:val="bottom"/>
            <w:gridSpan w:val="2"/>
          </w:tcPr>
          <w:p>
            <w:pPr>
              <w:jc w:val="right"/>
              <w:ind w:right="237"/>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Merger and Restructuring Costs</w:t>
            </w:r>
          </w:p>
        </w:tc>
        <w:tc>
          <w:tcPr>
            <w:tcW w:w="11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(35)</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2,523</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1,431</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37"/>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10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8"/>
                <w:szCs w:val="18"/>
                <w:color w:val="auto"/>
              </w:rPr>
            </w:pPr>
          </w:p>
        </w:tc>
        <w:tc>
          <w:tcPr>
            <w:tcW w:w="60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729</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Pr>
          <w:p>
            <w:pPr>
              <w:spacing w:after="0"/>
              <w:rPr>
                <w:sz w:val="18"/>
                <w:szCs w:val="18"/>
                <w:color w:val="auto"/>
              </w:rPr>
            </w:pPr>
          </w:p>
        </w:tc>
        <w:tc>
          <w:tcPr>
            <w:tcW w:w="1360" w:type="dxa"/>
            <w:vAlign w:val="bottom"/>
            <w:gridSpan w:val="2"/>
          </w:tcPr>
          <w:p>
            <w:pPr>
              <w:jc w:val="right"/>
              <w:ind w:right="23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Other Expense</w:t>
            </w:r>
          </w:p>
        </w:tc>
        <w:tc>
          <w:tcPr>
            <w:tcW w:w="11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w:t>
            </w: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(17)</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4,124</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4,369</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380" w:type="dxa"/>
            <w:vAlign w:val="bottom"/>
          </w:tcPr>
          <w:p>
            <w:pPr>
              <w:ind w:left="260"/>
              <w:spacing w:after="0"/>
              <w:rPr>
                <w:sz w:val="20"/>
                <w:szCs w:val="20"/>
                <w:color w:val="auto"/>
              </w:rPr>
            </w:pPr>
            <w:r>
              <w:rPr>
                <w:rFonts w:ascii="Arial" w:cs="Arial" w:eastAsia="Arial" w:hAnsi="Arial"/>
                <w:sz w:val="18"/>
                <w:szCs w:val="18"/>
                <w:b w:val="1"/>
                <w:bCs w:val="1"/>
                <w:color w:val="auto"/>
              </w:rPr>
              <w:t>TOTAL NONINTEREST EXPENSE</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24"/>
                <w:szCs w:val="24"/>
                <w:color w:val="auto"/>
              </w:rPr>
            </w:pPr>
          </w:p>
        </w:tc>
        <w:tc>
          <w:tcPr>
            <w:tcW w:w="60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23,299</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22,824</w:t>
            </w:r>
          </w:p>
        </w:tc>
        <w:tc>
          <w:tcPr>
            <w:tcW w:w="300" w:type="dxa"/>
            <w:vAlign w:val="bottom"/>
          </w:tcPr>
          <w:p>
            <w:pPr>
              <w:spacing w:after="0"/>
              <w:rPr>
                <w:sz w:val="24"/>
                <w:szCs w:val="24"/>
                <w:color w:val="auto"/>
              </w:rPr>
            </w:pPr>
          </w:p>
        </w:tc>
        <w:tc>
          <w:tcPr>
            <w:tcW w:w="1360" w:type="dxa"/>
            <w:vAlign w:val="bottom"/>
            <w:gridSpan w:val="2"/>
          </w:tcPr>
          <w:p>
            <w:pPr>
              <w:jc w:val="right"/>
              <w:ind w:right="2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w w:val="96"/>
              </w:rPr>
              <w:t>Income (Loss) before Income Tax Expense and Effect of</w:t>
            </w:r>
          </w:p>
        </w:tc>
        <w:tc>
          <w:tcPr>
            <w:tcW w:w="1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Change</w:t>
            </w:r>
          </w:p>
        </w:tc>
        <w:tc>
          <w:tcPr>
            <w:tcW w:w="1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NM</w:t>
            </w: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2,566</w:t>
            </w:r>
          </w:p>
        </w:tc>
        <w:tc>
          <w:tcPr>
            <w:tcW w:w="28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8,733</w:t>
            </w:r>
          </w:p>
        </w:tc>
        <w:tc>
          <w:tcPr>
            <w:tcW w:w="3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847</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19"/>
                <w:szCs w:val="19"/>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8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INCOME BEFORE EFFECT OF ACCOUNTING</w:t>
            </w:r>
          </w:p>
        </w:tc>
        <w:tc>
          <w:tcPr>
            <w:tcW w:w="11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0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CHANGE</w:t>
            </w:r>
          </w:p>
        </w:tc>
        <w:tc>
          <w:tcPr>
            <w:tcW w:w="1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NM</w:t>
            </w: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1,719</w:t>
            </w:r>
          </w:p>
        </w:tc>
        <w:tc>
          <w:tcPr>
            <w:tcW w:w="28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20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5,727</w:t>
            </w:r>
          </w:p>
        </w:tc>
        <w:tc>
          <w:tcPr>
            <w:tcW w:w="30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Net Effect of Change in Accounting Principle</w:t>
            </w: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ind w:right="31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440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1,694</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5,727</w:t>
            </w:r>
          </w:p>
        </w:tc>
        <w:tc>
          <w:tcPr>
            <w:tcW w:w="300" w:type="dxa"/>
            <w:vAlign w:val="bottom"/>
          </w:tcPr>
          <w:p>
            <w:pPr>
              <w:spacing w:after="0"/>
              <w:rPr>
                <w:sz w:val="19"/>
                <w:szCs w:val="19"/>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92"/>
        </w:trPr>
        <w:tc>
          <w:tcPr>
            <w:tcW w:w="4400" w:type="dxa"/>
            <w:vAlign w:val="bottom"/>
            <w:gridSpan w:val="2"/>
          </w:tcPr>
          <w:p>
            <w:pPr>
              <w:spacing w:after="0"/>
              <w:rPr>
                <w:sz w:val="8"/>
                <w:szCs w:val="8"/>
                <w:color w:val="auto"/>
              </w:rPr>
            </w:pPr>
          </w:p>
        </w:tc>
        <w:tc>
          <w:tcPr>
            <w:tcW w:w="1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NET INCOME (LOSS) PER SHARE (a)</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NM</w:t>
            </w: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0.83</w:t>
            </w: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Diluted</w:t>
            </w: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0.80</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8"/>
                <w:szCs w:val="18"/>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PERFORMANCE RATIOS</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Return on Average Assets</w:t>
            </w:r>
          </w:p>
        </w:tc>
        <w:tc>
          <w:tcPr>
            <w:tcW w:w="1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NM</w:t>
            </w: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0.23%</w:t>
            </w: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0.85%</w:t>
            </w: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Return on Average Common Equity</w:t>
            </w:r>
          </w:p>
        </w:tc>
        <w:tc>
          <w:tcPr>
            <w:tcW w:w="1960" w:type="dxa"/>
            <w:vAlign w:val="bottom"/>
            <w:gridSpan w:val="2"/>
          </w:tcPr>
          <w:p>
            <w:pPr>
              <w:ind w:left="680"/>
              <w:spacing w:after="0"/>
              <w:rPr>
                <w:sz w:val="20"/>
                <w:szCs w:val="20"/>
                <w:color w:val="auto"/>
              </w:rPr>
            </w:pPr>
            <w:r>
              <w:rPr>
                <w:rFonts w:ascii="Arial" w:cs="Arial" w:eastAsia="Arial" w:hAnsi="Arial"/>
                <w:sz w:val="18"/>
                <w:szCs w:val="18"/>
                <w:color w:val="auto"/>
              </w:rPr>
              <w:t>NM</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8"/>
                <w:szCs w:val="18"/>
                <w:color w:val="auto"/>
              </w:rPr>
            </w:pPr>
          </w:p>
        </w:tc>
        <w:tc>
          <w:tcPr>
            <w:tcW w:w="1360" w:type="dxa"/>
            <w:vAlign w:val="bottom"/>
            <w:gridSpan w:val="2"/>
          </w:tcPr>
          <w:p>
            <w:pPr>
              <w:jc w:val="right"/>
              <w:ind w:right="177"/>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FULL-TIME EQUIVALENT EMPLOYEES (b)</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0" w:right="340" w:hanging="532"/>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Basic and diluted earnings per share have been reduced by $0.01 in the year ended December 31, 2001 due to the impact of the adoption of SFAS 133 relating to the accounting for derivative instruments and hedging activities.</w:t>
      </w: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actual period end amount for each respective quarter.</w:t>
      </w:r>
    </w:p>
    <w:p>
      <w:pPr>
        <w:spacing w:after="0" w:line="219"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1" w:right="239" w:bottom="0" w:gutter="0" w:footer="0" w:header="0"/>
        </w:sectPr>
      </w:pPr>
    </w:p>
    <w:bookmarkStart w:id="26" w:name="page27"/>
    <w:bookmarkEnd w:id="26"/>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BUSINESS FINANCIAL HIGHLIGHTS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and ratio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3QTR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2QTR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1QTR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Investment Bank</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3,106</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3,587</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3,773</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4,433</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3,707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 Management &amp; Private Banking</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Retail &amp; Middle Market Financial Services</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2,868</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2,785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2,674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2,588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2,591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Treasury &amp; Securities Services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890</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Corporate (b)</w:t>
            </w:r>
          </w:p>
        </w:tc>
        <w:tc>
          <w:tcPr>
            <w:tcW w:w="40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(307)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OPERATING REVENUE EXCLUDING JPMP</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7,286</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7,798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8,037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8,434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7,711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JPMorgan Partners</w:t>
            </w:r>
          </w:p>
        </w:tc>
        <w:tc>
          <w:tcPr>
            <w:tcW w:w="40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(445)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(179)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(893)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OPERATING REVENUE (c)</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6,841</w:t>
            </w:r>
          </w:p>
        </w:tc>
        <w:tc>
          <w:tcPr>
            <w:tcW w:w="5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7,619</w:t>
            </w:r>
          </w:p>
        </w:tc>
        <w:tc>
          <w:tcPr>
            <w:tcW w:w="2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7,144</w:t>
            </w:r>
          </w:p>
        </w:tc>
        <w:tc>
          <w:tcPr>
            <w:tcW w:w="2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8,494</w:t>
            </w:r>
          </w:p>
        </w:tc>
        <w:tc>
          <w:tcPr>
            <w:tcW w:w="2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7,575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Investment Bank</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379</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712</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1,059</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 Management &amp; Private Banking</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Retail &amp; Middle Market Financial Services</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343</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Treasury &amp; Securities Services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Corporate (b)</w:t>
            </w:r>
          </w:p>
        </w:tc>
        <w:tc>
          <w:tcPr>
            <w:tcW w:w="40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(225)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(157)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CASH OPERATING EARNINGS EXCLUDING JPMP</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780</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1,375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1,497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1,634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1,088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JPMorgan Partners</w:t>
            </w:r>
          </w:p>
        </w:tc>
        <w:tc>
          <w:tcPr>
            <w:tcW w:w="40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(346)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(157)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(624)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CASH OPERATING EARNINGS (c)</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434</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1,218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873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1,613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949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4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187</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OPERATING EARNINGS (c)</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247</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1,036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690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1,436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763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Restructuring/Merger Expenses &amp; Special Items</w:t>
            </w:r>
          </w:p>
        </w:tc>
        <w:tc>
          <w:tcPr>
            <w:tcW w:w="400" w:type="dxa"/>
            <w:vAlign w:val="bottom"/>
          </w:tcPr>
          <w:p>
            <w:pPr>
              <w:spacing w:after="0"/>
              <w:rPr>
                <w:sz w:val="19"/>
                <w:szCs w:val="19"/>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(579)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(237)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NET INCOME (LOSS) (c)</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b w:val="1"/>
                <w:bCs w:val="1"/>
                <w:color w:val="auto"/>
                <w:w w:val="99"/>
              </w:rPr>
              <w:t>(332)</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449</w:t>
            </w:r>
          </w:p>
        </w:tc>
        <w:tc>
          <w:tcPr>
            <w:tcW w:w="2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378</w:t>
            </w:r>
          </w:p>
        </w:tc>
        <w:tc>
          <w:tcPr>
            <w:tcW w:w="2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1,199</w:t>
            </w:r>
          </w:p>
        </w:tc>
        <w:tc>
          <w:tcPr>
            <w:tcW w:w="22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708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 PER SHARE — DILUTED</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CASH OPERATING EARNINGS EXCLUDING JPMP</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5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0.67</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0.73</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Impact of JPMP</w:t>
            </w:r>
          </w:p>
        </w:tc>
        <w:tc>
          <w:tcPr>
            <w:tcW w:w="4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(0.17)</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(0.07)</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(0.31)</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(0.02)</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(0.07)</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CASH OPERATING EARNINGS (c)</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0.60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Impact of Intangibles</w:t>
            </w:r>
          </w:p>
        </w:tc>
        <w:tc>
          <w:tcPr>
            <w:tcW w:w="4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(0.09)</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(0.09)</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(0.09)</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(0.08)</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(0.09)</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OPERATING EARNINGS (c)</w:t>
            </w:r>
          </w:p>
        </w:tc>
        <w:tc>
          <w:tcPr>
            <w:tcW w:w="4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0.51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0.70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0.37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Restructuring/Merger Expenses &amp; Special Items</w:t>
            </w:r>
          </w:p>
        </w:tc>
        <w:tc>
          <w:tcPr>
            <w:tcW w:w="4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9"/>
              </w:rPr>
              <w:t>(0.29)</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(0.29)</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(0.15)</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(0.12)</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9"/>
              </w:rPr>
              <w:t>(0.03)</w:t>
            </w:r>
          </w:p>
        </w:tc>
        <w:tc>
          <w:tcPr>
            <w:tcW w:w="0" w:type="dxa"/>
            <w:vAlign w:val="bottom"/>
          </w:tcPr>
          <w:p>
            <w:pPr>
              <w:spacing w:after="0"/>
              <w:rPr>
                <w:sz w:val="1"/>
                <w:szCs w:val="1"/>
                <w:color w:val="auto"/>
              </w:rPr>
            </w:pPr>
          </w:p>
        </w:tc>
      </w:tr>
      <w:tr>
        <w:trPr>
          <w:trHeight w:val="108"/>
        </w:trPr>
        <w:tc>
          <w:tcPr>
            <w:tcW w:w="56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NET INCOME (LOSS) (c)</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(0.18) (d)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2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2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2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CASH OPERATING RETURN ON COMMON EQUITY</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 Bank</w:t>
            </w:r>
          </w:p>
        </w:tc>
        <w:tc>
          <w:tcPr>
            <w:tcW w:w="40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7"/>
              </w:rPr>
              <w:t>15.1%</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7"/>
              </w:rPr>
              <w:t>16.6%</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7"/>
              </w:rPr>
              <w:t>20.8%</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Investment Management &amp; Private Banking</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Retail &amp; Middle Market Financial Services</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15.3</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Treasury &amp; Securities Services</w:t>
            </w: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CASH OPERATING RETURN ON COMMON EQUITY (c)</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4.0</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OPERATING RETURN ON COMMON EQUITY (c)</w:t>
            </w:r>
          </w:p>
        </w:tc>
        <w:tc>
          <w:tcPr>
            <w:tcW w:w="4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2.2</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018"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00" w:type="dxa"/>
            <w:vAlign w:val="bottom"/>
            <w:gridSpan w:val="3"/>
          </w:tcPr>
          <w:p>
            <w:pPr>
              <w:jc w:val="right"/>
              <w:ind w:right="475"/>
              <w:spacing w:after="0"/>
              <w:rPr>
                <w:sz w:val="20"/>
                <w:szCs w:val="20"/>
                <w:color w:val="auto"/>
              </w:rPr>
            </w:pPr>
            <w:r>
              <w:rPr>
                <w:rFonts w:ascii="Arial" w:cs="Arial" w:eastAsia="Arial" w:hAnsi="Arial"/>
                <w:sz w:val="14"/>
                <w:szCs w:val="14"/>
                <w:b w:val="1"/>
                <w:bCs w:val="1"/>
                <w:color w:val="auto"/>
              </w:rPr>
              <w:t>4QTR 2001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0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Over (Under)</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20" w:type="dxa"/>
            <w:vAlign w:val="bottom"/>
            <w:gridSpan w:val="7"/>
          </w:tcPr>
          <w:p>
            <w:pPr>
              <w:ind w:left="420"/>
              <w:spacing w:after="0"/>
              <w:rPr>
                <w:sz w:val="20"/>
                <w:szCs w:val="20"/>
                <w:color w:val="auto"/>
              </w:rPr>
            </w:pPr>
            <w:r>
              <w:rPr>
                <w:rFonts w:ascii="Arial" w:cs="Arial" w:eastAsia="Arial" w:hAnsi="Arial"/>
                <w:sz w:val="14"/>
                <w:szCs w:val="14"/>
                <w:b w:val="1"/>
                <w:bCs w:val="1"/>
                <w:color w:val="auto"/>
              </w:rPr>
              <w:t>FULL YEAR</w:t>
            </w: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6"/>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3Q 2001</w:t>
            </w:r>
          </w:p>
        </w:tc>
        <w:tc>
          <w:tcPr>
            <w:tcW w:w="2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4Q 2000</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2"/>
                <w:szCs w:val="22"/>
                <w:color w:val="auto"/>
              </w:rPr>
            </w:pPr>
          </w:p>
        </w:tc>
        <w:tc>
          <w:tcPr>
            <w:tcW w:w="760" w:type="dxa"/>
            <w:vAlign w:val="bottom"/>
          </w:tcPr>
          <w:p>
            <w:pPr>
              <w:jc w:val="right"/>
              <w:ind w:right="66"/>
              <w:spacing w:after="0"/>
              <w:rPr>
                <w:sz w:val="20"/>
                <w:szCs w:val="20"/>
                <w:color w:val="auto"/>
              </w:rPr>
            </w:pPr>
            <w:r>
              <w:rPr>
                <w:rFonts w:ascii="Arial" w:cs="Arial" w:eastAsia="Arial" w:hAnsi="Arial"/>
                <w:sz w:val="14"/>
                <w:szCs w:val="14"/>
                <w:b w:val="1"/>
                <w:bCs w:val="1"/>
                <w:color w:val="auto"/>
              </w:rPr>
              <w:t>2000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Investment Bank</w:t>
            </w: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14,899</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15,963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Investment Management &amp; Private Banking</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3,085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(8)</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Retail &amp; Middle Market Financial Services</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155"/>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9"/>
              </w:rPr>
              <w:t>10,915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10,176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Treasury &amp; Securities Services</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3,632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Corporate (b)</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155"/>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(1,061)</w:t>
            </w:r>
          </w:p>
        </w:tc>
        <w:tc>
          <w:tcPr>
            <w:tcW w:w="28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OPERATING REVENUE EXCLUDING JPMP</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31,555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32,004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JPMorgan Partners</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(149)</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(1,457)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OPERATING REVENUE (c)</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(10)</w:t>
            </w: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30,098</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32,793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(8)</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w:t>
            </w: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Investment Bank</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(47)</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(24)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2,945</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3,486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1040" w:type="dxa"/>
            <w:vAlign w:val="bottom"/>
            <w:gridSpan w:val="2"/>
          </w:tcPr>
          <w:p>
            <w:pPr>
              <w:jc w:val="right"/>
              <w:ind w:right="10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Investment Management &amp; Private Banking</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(17)</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Retail &amp; Middle Market Financial Services</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(22)</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1,688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Treasury &amp; Securities Services</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(9)</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(9)</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Corporate (b)</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(159)</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9"/>
                <w:szCs w:val="19"/>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EEEEEE"/>
          </w:tcPr>
          <w:p>
            <w:pPr>
              <w:ind w:left="820"/>
              <w:spacing w:after="0" w:line="201" w:lineRule="exact"/>
              <w:rPr>
                <w:sz w:val="20"/>
                <w:szCs w:val="20"/>
                <w:color w:val="auto"/>
              </w:rPr>
            </w:pPr>
            <w:r>
              <w:rPr>
                <w:rFonts w:ascii="Arial" w:cs="Arial" w:eastAsia="Arial" w:hAnsi="Arial"/>
                <w:sz w:val="18"/>
                <w:szCs w:val="18"/>
                <w:b w:val="1"/>
                <w:bCs w:val="1"/>
                <w:color w:val="auto"/>
              </w:rPr>
              <w:t>CASH OPERATING EARNINGS EXCLUDING</w:t>
            </w:r>
          </w:p>
        </w:tc>
        <w:tc>
          <w:tcPr>
            <w:tcW w:w="7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EEEEEE"/>
          </w:tcPr>
          <w:p>
            <w:pPr>
              <w:ind w:left="940"/>
              <w:spacing w:after="0"/>
              <w:rPr>
                <w:sz w:val="20"/>
                <w:szCs w:val="20"/>
                <w:color w:val="auto"/>
              </w:rPr>
            </w:pPr>
            <w:r>
              <w:rPr>
                <w:rFonts w:ascii="Arial" w:cs="Arial" w:eastAsia="Arial" w:hAnsi="Arial"/>
                <w:sz w:val="18"/>
                <w:szCs w:val="18"/>
                <w:b w:val="1"/>
                <w:bCs w:val="1"/>
                <w:color w:val="auto"/>
              </w:rPr>
              <w:t>JPMP</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(43)</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(28)</w:t>
            </w: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5,286</w:t>
            </w: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6,197</w:t>
            </w:r>
          </w:p>
        </w:tc>
        <w:tc>
          <w:tcPr>
            <w:tcW w:w="2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JPMorgan Partners</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(120)</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CASH OPERATING EARNINGS (c)</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(64)</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(54)</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4,138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6,455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Amortization of Intangibles</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155"/>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OPERATING EARNINGS (c)</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(76)</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(68)</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3,409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5,927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(42)</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Restructuring/Merger Expenses &amp; Special Items</w:t>
            </w:r>
          </w:p>
        </w:tc>
        <w:tc>
          <w:tcPr>
            <w:tcW w:w="76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(1,715)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NET INCOME (LOSS) (c)</w:t>
            </w:r>
          </w:p>
        </w:tc>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1,694</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5,727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 PER SHARE — DILUTED</w:t>
            </w: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CASH OPERATING EARNINGS EXCLUDING JPMP</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(43)</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(28)</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Impact of JPMP</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(143)</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NM</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CASH OPERATING EARNINGS (c)</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(65)</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Impact of Intangibles</w:t>
            </w:r>
          </w:p>
        </w:tc>
        <w:tc>
          <w:tcPr>
            <w:tcW w:w="7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55"/>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(33)</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OPERATING EARNINGS (c)</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(76)</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Restructuring/Merger Expenses &amp; Special Items</w:t>
            </w:r>
          </w:p>
        </w:tc>
        <w:tc>
          <w:tcPr>
            <w:tcW w:w="76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(0.85)</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NM</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2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NET INCOME (LOSS) (c)</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2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CASH OPERATING RETURN ON COMMON EQUITY</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Investment Bank</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(730)bp</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(150)bp</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(320)bp</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Investment Management &amp; Private Banking</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(550)</w:t>
            </w:r>
          </w:p>
        </w:tc>
        <w:tc>
          <w:tcPr>
            <w:tcW w:w="1040" w:type="dxa"/>
            <w:vAlign w:val="bottom"/>
            <w:gridSpan w:val="2"/>
          </w:tcPr>
          <w:p>
            <w:pPr>
              <w:jc w:val="right"/>
              <w:ind w:right="106"/>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Retail &amp; Middle Market Financial Services</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(460)</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8"/>
                <w:szCs w:val="18"/>
                <w:color w:val="auto"/>
              </w:rPr>
              <w:t>Treasury &amp; Securities Services</w:t>
            </w:r>
          </w:p>
        </w:tc>
        <w:tc>
          <w:tcPr>
            <w:tcW w:w="760" w:type="dxa"/>
            <w:vAlign w:val="bottom"/>
          </w:tcPr>
          <w:p>
            <w:pPr>
              <w:jc w:val="right"/>
              <w:ind w:right="94"/>
              <w:spacing w:after="0"/>
              <w:rPr>
                <w:sz w:val="20"/>
                <w:szCs w:val="20"/>
                <w:color w:val="auto"/>
              </w:rPr>
            </w:pPr>
            <w:r>
              <w:rPr>
                <w:rFonts w:ascii="Arial" w:cs="Arial" w:eastAsia="Arial" w:hAnsi="Arial"/>
                <w:sz w:val="18"/>
                <w:szCs w:val="18"/>
                <w:color w:val="auto"/>
              </w:rPr>
              <w:t>(200)</w:t>
            </w:r>
          </w:p>
        </w:tc>
        <w:tc>
          <w:tcPr>
            <w:tcW w:w="1040" w:type="dxa"/>
            <w:vAlign w:val="bottom"/>
            <w:gridSpan w:val="2"/>
          </w:tcPr>
          <w:p>
            <w:pPr>
              <w:jc w:val="right"/>
              <w:ind w:right="95"/>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rPr>
              <w:t>CASH OPERATING RETURN ON COMMON EQUITY (c)</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(750)</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17.6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rPr>
              <w:t>OPERATING RETURN ON COMMON EQUITY (c)</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(760)</w:t>
            </w:r>
          </w:p>
        </w:tc>
        <w:tc>
          <w:tcPr>
            <w:tcW w:w="1040" w:type="dxa"/>
            <w:vAlign w:val="bottom"/>
            <w:gridSpan w:val="2"/>
            <w:shd w:val="clear" w:color="auto" w:fill="EEEEEE"/>
          </w:tcPr>
          <w:p>
            <w:pPr>
              <w:jc w:val="right"/>
              <w:ind w:right="95"/>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16.1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(800)</w:t>
            </w:r>
          </w:p>
        </w:tc>
        <w:tc>
          <w:tcPr>
            <w:tcW w:w="2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40" w:right="600" w:hanging="532"/>
        <w:spacing w:after="0" w:line="254"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 forma results assume that the purchase of Flemings occurred at the beginning of 2000 and primarily affected the Investment Bank, Investment Management &amp; Private Banking and total consolidated results.</w:t>
      </w:r>
    </w:p>
    <w:p>
      <w:pPr>
        <w:ind w:left="540" w:hanging="532"/>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LabMorgan, Support Units and the effects remaining at the corporate level after the implementation of management accounting policies.</w:t>
      </w:r>
    </w:p>
    <w:p>
      <w:pPr>
        <w:sectPr>
          <w:pgSz w:w="11900" w:h="16838" w:orient="portrait"/>
          <w:cols w:equalWidth="0" w:num="1">
            <w:col w:w="11420"/>
          </w:cols>
          <w:pgMar w:left="240" w:top="1401" w:right="239" w:bottom="0" w:gutter="0" w:footer="0" w:header="0"/>
        </w:sectPr>
      </w:pPr>
    </w:p>
    <w:bookmarkStart w:id="28" w:name="page29"/>
    <w:bookmarkEnd w:id="28"/>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consolidated JPMorgan Chase.</w:t>
      </w:r>
    </w:p>
    <w:p>
      <w:pPr>
        <w:spacing w:after="0" w:line="15" w:lineRule="exact"/>
        <w:rPr>
          <w:rFonts w:ascii="Arial" w:cs="Arial" w:eastAsia="Arial" w:hAnsi="Arial"/>
          <w:sz w:val="18"/>
          <w:szCs w:val="18"/>
          <w:color w:val="auto"/>
        </w:rPr>
      </w:pPr>
    </w:p>
    <w:p>
      <w:pPr>
        <w:ind w:left="540" w:right="640" w:hanging="532"/>
        <w:spacing w:after="0" w:line="261"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EPS is reported as $(0.18) which is the same as basic EPS, instead of $(0.17), since using diluted average shares outstanding would cause antidilution. As a result, the net loss earnings per share does not foot by $(0.01).</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ind w:right="4260"/>
        <w:spacing w:after="0" w:line="275" w:lineRule="auto"/>
        <w:rPr>
          <w:sz w:val="20"/>
          <w:szCs w:val="20"/>
          <w:color w:val="auto"/>
        </w:rPr>
      </w:pPr>
      <w:r>
        <w:rPr>
          <w:rFonts w:ascii="Arial" w:cs="Arial" w:eastAsia="Arial" w:hAnsi="Arial"/>
          <w:sz w:val="18"/>
          <w:szCs w:val="18"/>
          <w:b w:val="1"/>
          <w:bCs w:val="1"/>
          <w:color w:val="auto"/>
        </w:rPr>
        <w:t>STATEMENT OF INCOME — OPERATING BASIS EXCLUDING JPMORGAN PARTNERS (in millions, except per share and ratio data)</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3QTR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2QTR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Investment Banking Fees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Trading-Related Revenue (Including Trading NII)</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1,614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1,594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2,167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Fees and Commissions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Private Equity — Realized Gains (Losses)</w:t>
            </w: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Private Equity — Unrealized Gains (Losses)</w:t>
            </w: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Securities Gains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Interest Income (Excluding Trading NII)</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2,907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2,812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2,840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2,622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2,603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00" w:type="dxa"/>
            <w:vAlign w:val="bottom"/>
          </w:tcPr>
          <w:p>
            <w:pPr>
              <w:ind w:left="540"/>
              <w:spacing w:after="0"/>
              <w:rPr>
                <w:sz w:val="20"/>
                <w:szCs w:val="20"/>
                <w:color w:val="auto"/>
              </w:rPr>
            </w:pPr>
            <w:r>
              <w:rPr>
                <w:rFonts w:ascii="Arial" w:cs="Arial" w:eastAsia="Arial" w:hAnsi="Arial"/>
                <w:sz w:val="18"/>
                <w:szCs w:val="18"/>
                <w:b w:val="1"/>
                <w:bCs w:val="1"/>
                <w:color w:val="auto"/>
              </w:rPr>
              <w:t>TOTAL OPERATING REVENUE</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7,286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7,798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8,037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8,434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7,711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2,614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2,850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3,019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3,315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3,280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Noncompensation Expense (Excluding Intangibles)</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1,958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540"/>
              <w:spacing w:after="0"/>
              <w:rPr>
                <w:sz w:val="20"/>
                <w:szCs w:val="20"/>
                <w:color w:val="auto"/>
              </w:rPr>
            </w:pPr>
            <w:r>
              <w:rPr>
                <w:rFonts w:ascii="Arial" w:cs="Arial" w:eastAsia="Arial" w:hAnsi="Arial"/>
                <w:sz w:val="18"/>
                <w:szCs w:val="18"/>
                <w:b w:val="1"/>
                <w:bCs w:val="1"/>
                <w:color w:val="auto"/>
              </w:rPr>
              <w:t>TOTAL CASH EXPENSE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4,556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4,808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5,026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5,325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5,472</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Credit Costs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1,732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1,015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Cash Operating Income before Taxes</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2,421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CASH OPERATING EARNINGS</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780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1,375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1,497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1,634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1,088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 Amortization of Intangibles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OPERATING EARNINGS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1,198</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1,319</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1,463</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OPERATING BASIS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0.64</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0.71</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OPERATING BASIS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0.80</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Return on Common Equity</w:t>
            </w: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8.6%</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Overhead Ratio</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Compensation Expense as a % of Operating Revenue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260"/>
              <w:spacing w:after="0"/>
              <w:rPr>
                <w:sz w:val="20"/>
                <w:szCs w:val="20"/>
                <w:color w:val="auto"/>
              </w:rPr>
            </w:pPr>
            <w:r>
              <w:rPr>
                <w:rFonts w:ascii="Arial" w:cs="Arial" w:eastAsia="Arial" w:hAnsi="Arial"/>
                <w:sz w:val="18"/>
                <w:szCs w:val="18"/>
                <w:color w:val="auto"/>
              </w:rPr>
              <w:t>Noncompensation Expense as a % of Operating Revenue</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2"/>
          </w:tcPr>
          <w:p>
            <w:pPr>
              <w:jc w:val="right"/>
              <w:ind w:right="779"/>
              <w:spacing w:after="0"/>
              <w:rPr>
                <w:sz w:val="20"/>
                <w:szCs w:val="20"/>
                <w:color w:val="auto"/>
              </w:rPr>
            </w:pPr>
            <w:r>
              <w:rPr>
                <w:rFonts w:ascii="Arial" w:cs="Arial" w:eastAsia="Arial" w:hAnsi="Arial"/>
                <w:sz w:val="14"/>
                <w:szCs w:val="14"/>
                <w:b w:val="1"/>
                <w:bCs w:val="1"/>
                <w:color w:val="auto"/>
              </w:rPr>
              <w:t>4QTR 2001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62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gridSpan w:val="2"/>
          </w:tcPr>
          <w:p>
            <w:pPr>
              <w:jc w:val="right"/>
              <w:ind w:right="719"/>
              <w:spacing w:after="0"/>
              <w:rPr>
                <w:sz w:val="20"/>
                <w:szCs w:val="20"/>
                <w:color w:val="auto"/>
              </w:rPr>
            </w:pPr>
            <w:r>
              <w:rPr>
                <w:rFonts w:ascii="Arial" w:cs="Arial" w:eastAsia="Arial" w:hAnsi="Arial"/>
                <w:sz w:val="14"/>
                <w:szCs w:val="14"/>
                <w:b w:val="1"/>
                <w:bCs w:val="1"/>
                <w:color w:val="auto"/>
                <w:w w:val="95"/>
              </w:rPr>
              <w:t>Over (Under)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FULL YEAR</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8"/>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b w:val="1"/>
                <w:bCs w:val="1"/>
                <w:color w:val="auto"/>
              </w:rPr>
              <w:t>3Q 2001</w:t>
            </w:r>
          </w:p>
        </w:tc>
        <w:tc>
          <w:tcPr>
            <w:tcW w:w="280" w:type="dxa"/>
            <w:vAlign w:val="bottom"/>
          </w:tcPr>
          <w:p>
            <w:pPr>
              <w:spacing w:after="0"/>
              <w:rPr>
                <w:sz w:val="22"/>
                <w:szCs w:val="22"/>
                <w:color w:val="auto"/>
              </w:rPr>
            </w:pPr>
          </w:p>
        </w:tc>
        <w:tc>
          <w:tcPr>
            <w:tcW w:w="1360" w:type="dxa"/>
            <w:vAlign w:val="bottom"/>
          </w:tcPr>
          <w:p>
            <w:pPr>
              <w:jc w:val="right"/>
              <w:ind w:right="359"/>
              <w:spacing w:after="0"/>
              <w:rPr>
                <w:sz w:val="20"/>
                <w:szCs w:val="20"/>
                <w:color w:val="auto"/>
              </w:rPr>
            </w:pPr>
            <w:r>
              <w:rPr>
                <w:rFonts w:ascii="Arial" w:cs="Arial" w:eastAsia="Arial" w:hAnsi="Arial"/>
                <w:sz w:val="14"/>
                <w:szCs w:val="14"/>
                <w:b w:val="1"/>
                <w:bCs w:val="1"/>
                <w:color w:val="auto"/>
              </w:rPr>
              <w:t>4Q 2000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ind w:left="160"/>
              <w:spacing w:after="0"/>
              <w:rPr>
                <w:sz w:val="20"/>
                <w:szCs w:val="20"/>
                <w:color w:val="auto"/>
              </w:rPr>
            </w:pPr>
            <w:r>
              <w:rPr>
                <w:rFonts w:ascii="Arial" w:cs="Arial" w:eastAsia="Arial" w:hAnsi="Arial"/>
                <w:sz w:val="14"/>
                <w:szCs w:val="14"/>
                <w:b w:val="1"/>
                <w:bCs w:val="1"/>
                <w:color w:val="auto"/>
                <w:w w:val="96"/>
              </w:rPr>
              <w:t>2000</w:t>
            </w:r>
          </w:p>
        </w:tc>
        <w:tc>
          <w:tcPr>
            <w:tcW w:w="200" w:type="dxa"/>
            <w:vAlign w:val="bottom"/>
          </w:tcPr>
          <w:p>
            <w:pPr>
              <w:spacing w:after="0"/>
              <w:rPr>
                <w:sz w:val="22"/>
                <w:szCs w:val="22"/>
                <w:color w:val="auto"/>
              </w:rPr>
            </w:pPr>
          </w:p>
        </w:tc>
        <w:tc>
          <w:tcPr>
            <w:tcW w:w="1220" w:type="dxa"/>
            <w:vAlign w:val="bottom"/>
            <w:gridSpan w:val="2"/>
          </w:tcPr>
          <w:p>
            <w:pPr>
              <w:ind w:left="620"/>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Investment Banking Fees</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3,615</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4,356</w:t>
            </w:r>
          </w:p>
        </w:tc>
        <w:tc>
          <w:tcPr>
            <w:tcW w:w="200" w:type="dxa"/>
            <w:vAlign w:val="bottom"/>
          </w:tcPr>
          <w:p>
            <w:pPr>
              <w:spacing w:after="0"/>
              <w:rPr>
                <w:sz w:val="18"/>
                <w:szCs w:val="18"/>
                <w:color w:val="auto"/>
              </w:rPr>
            </w:pPr>
          </w:p>
        </w:tc>
        <w:tc>
          <w:tcPr>
            <w:tcW w:w="1220" w:type="dxa"/>
            <w:vAlign w:val="bottom"/>
            <w:gridSpan w:val="2"/>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Trading-Related Revenue (Including Trading NII)</w:t>
            </w: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(36)</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6,279</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7,155</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7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Fees and Commissions</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8,784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8,789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Private Equity — Realized Gains (Losses)</w:t>
            </w: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NM</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159"/>
              <w:spacing w:after="0"/>
              <w:rPr>
                <w:sz w:val="20"/>
                <w:szCs w:val="20"/>
                <w:color w:val="auto"/>
              </w:rPr>
            </w:pPr>
            <w:r>
              <w:rPr>
                <w:rFonts w:ascii="Arial" w:cs="Arial" w:eastAsia="Arial" w:hAnsi="Arial"/>
                <w:sz w:val="18"/>
                <w:szCs w:val="18"/>
                <w:color w:val="auto"/>
              </w:rPr>
              <w:t>NM</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Private Equity — Unrealized Gains (Losses)</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80</w:t>
            </w:r>
          </w:p>
        </w:tc>
        <w:tc>
          <w:tcPr>
            <w:tcW w:w="1640" w:type="dxa"/>
            <w:vAlign w:val="bottom"/>
            <w:gridSpan w:val="2"/>
          </w:tcPr>
          <w:p>
            <w:pPr>
              <w:jc w:val="right"/>
              <w:ind w:right="159"/>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ind w:left="3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Securities Gains</w:t>
            </w: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42</w:t>
            </w:r>
          </w:p>
        </w:tc>
        <w:tc>
          <w:tcPr>
            <w:tcW w:w="164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71</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Other Revenue</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1,121</w:t>
            </w:r>
          </w:p>
        </w:tc>
        <w:tc>
          <w:tcPr>
            <w:tcW w:w="200" w:type="dxa"/>
            <w:vAlign w:val="bottom"/>
          </w:tcPr>
          <w:p>
            <w:pPr>
              <w:spacing w:after="0"/>
              <w:rPr>
                <w:sz w:val="18"/>
                <w:szCs w:val="18"/>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Interest Income (Excluding Trading NII)</w:t>
            </w: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3</w:t>
            </w:r>
          </w:p>
        </w:tc>
        <w:tc>
          <w:tcPr>
            <w:tcW w:w="164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11,181</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10,327</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000" w:type="dxa"/>
            <w:vAlign w:val="bottom"/>
          </w:tcPr>
          <w:p>
            <w:pPr>
              <w:ind w:left="520"/>
              <w:spacing w:after="0"/>
              <w:rPr>
                <w:sz w:val="20"/>
                <w:szCs w:val="20"/>
                <w:color w:val="auto"/>
              </w:rPr>
            </w:pPr>
            <w:r>
              <w:rPr>
                <w:rFonts w:ascii="Arial" w:cs="Arial" w:eastAsia="Arial" w:hAnsi="Arial"/>
                <w:sz w:val="18"/>
                <w:szCs w:val="18"/>
                <w:b w:val="1"/>
                <w:bCs w:val="1"/>
                <w:color w:val="auto"/>
              </w:rPr>
              <w:t>TOTAL OPERATING REVENUE</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31,555</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32,004</w:t>
            </w:r>
          </w:p>
        </w:tc>
        <w:tc>
          <w:tcPr>
            <w:tcW w:w="200" w:type="dxa"/>
            <w:vAlign w:val="bottom"/>
          </w:tcPr>
          <w:p>
            <w:pPr>
              <w:spacing w:after="0"/>
              <w:rPr>
                <w:sz w:val="24"/>
                <w:szCs w:val="24"/>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0"/>
        </w:trPr>
        <w:tc>
          <w:tcPr>
            <w:tcW w:w="50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Compensation Expense</w:t>
            </w: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(8)</w:t>
            </w:r>
          </w:p>
        </w:tc>
        <w:tc>
          <w:tcPr>
            <w:tcW w:w="164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11,798</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12,582</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7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Noncompensation Expense (Excluding Intangibles)</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7,917</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7,871</w:t>
            </w:r>
          </w:p>
        </w:tc>
        <w:tc>
          <w:tcPr>
            <w:tcW w:w="200" w:type="dxa"/>
            <w:vAlign w:val="bottom"/>
          </w:tcPr>
          <w:p>
            <w:pPr>
              <w:spacing w:after="0"/>
              <w:rPr>
                <w:sz w:val="19"/>
                <w:szCs w:val="19"/>
                <w:color w:val="auto"/>
              </w:rPr>
            </w:pPr>
          </w:p>
        </w:tc>
        <w:tc>
          <w:tcPr>
            <w:tcW w:w="1220" w:type="dxa"/>
            <w:vAlign w:val="bottom"/>
            <w:gridSpan w:val="2"/>
          </w:tcPr>
          <w:p>
            <w:pPr>
              <w:jc w:val="right"/>
              <w:ind w:right="2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520"/>
              <w:spacing w:after="0"/>
              <w:rPr>
                <w:sz w:val="20"/>
                <w:szCs w:val="20"/>
                <w:color w:val="auto"/>
              </w:rPr>
            </w:pPr>
            <w:r>
              <w:rPr>
                <w:rFonts w:ascii="Arial" w:cs="Arial" w:eastAsia="Arial" w:hAnsi="Arial"/>
                <w:sz w:val="18"/>
                <w:szCs w:val="18"/>
                <w:b w:val="1"/>
                <w:bCs w:val="1"/>
                <w:color w:val="auto"/>
              </w:rPr>
              <w:t>TOTAL CASH EXPENSE</w:t>
            </w: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(5)</w:t>
            </w:r>
          </w:p>
        </w:tc>
        <w:tc>
          <w:tcPr>
            <w:tcW w:w="164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(17)</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19,715</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20,453</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7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Credit Costs</w:t>
            </w: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71</w:t>
            </w:r>
          </w:p>
        </w:tc>
        <w:tc>
          <w:tcPr>
            <w:tcW w:w="164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4,233</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2,367</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Cash Operating Income before Taxes</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7,607</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9,184</w:t>
            </w:r>
          </w:p>
        </w:tc>
        <w:tc>
          <w:tcPr>
            <w:tcW w:w="200" w:type="dxa"/>
            <w:vAlign w:val="bottom"/>
          </w:tcPr>
          <w:p>
            <w:pPr>
              <w:spacing w:after="0"/>
              <w:rPr>
                <w:sz w:val="24"/>
                <w:szCs w:val="24"/>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(64)</w:t>
            </w:r>
          </w:p>
        </w:tc>
        <w:tc>
          <w:tcPr>
            <w:tcW w:w="164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(55)</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2,321</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2,987</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7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50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CASH OPERATING EARNINGS</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5,286</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6,197</w:t>
            </w:r>
          </w:p>
        </w:tc>
        <w:tc>
          <w:tcPr>
            <w:tcW w:w="200" w:type="dxa"/>
            <w:vAlign w:val="bottom"/>
          </w:tcPr>
          <w:p>
            <w:pPr>
              <w:spacing w:after="0"/>
              <w:rPr>
                <w:sz w:val="24"/>
                <w:szCs w:val="24"/>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Less: Amortization of Intangibles</w:t>
            </w:r>
          </w:p>
        </w:tc>
        <w:tc>
          <w:tcPr>
            <w:tcW w:w="76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3</w:t>
            </w:r>
          </w:p>
        </w:tc>
        <w:tc>
          <w:tcPr>
            <w:tcW w:w="164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8"/>
        </w:trPr>
        <w:tc>
          <w:tcPr>
            <w:tcW w:w="50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OPERATING EARNINGS</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(50)</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(34)</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4,578</w:t>
            </w: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5,683</w:t>
            </w:r>
          </w:p>
        </w:tc>
        <w:tc>
          <w:tcPr>
            <w:tcW w:w="200" w:type="dxa"/>
            <w:vAlign w:val="bottom"/>
          </w:tcPr>
          <w:p>
            <w:pPr>
              <w:spacing w:after="0"/>
              <w:rPr>
                <w:sz w:val="24"/>
                <w:szCs w:val="24"/>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7"/>
        </w:trPr>
        <w:tc>
          <w:tcPr>
            <w:tcW w:w="50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OPERATING BASIS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 Earnings per Share</w:t>
            </w: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(51)</w:t>
            </w:r>
          </w:p>
        </w:tc>
        <w:tc>
          <w:tcPr>
            <w:tcW w:w="164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(34)</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7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OPERATING BASIS</w:t>
            </w: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Diluted Earnings per Share</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Return on Common Equity</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(660)bp</w:t>
            </w:r>
          </w:p>
        </w:tc>
        <w:tc>
          <w:tcPr>
            <w:tcW w:w="28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(430)bp</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14.9%</w:t>
            </w: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w w:val="97"/>
              </w:rPr>
              <w:t>21.4%</w:t>
            </w:r>
          </w:p>
        </w:tc>
        <w:tc>
          <w:tcPr>
            <w:tcW w:w="280" w:type="dxa"/>
            <w:vAlign w:val="bottom"/>
            <w:shd w:val="clear" w:color="auto" w:fill="EEEEEE"/>
          </w:tcPr>
          <w:p>
            <w:pPr>
              <w:spacing w:after="0"/>
              <w:rPr>
                <w:sz w:val="18"/>
                <w:szCs w:val="18"/>
                <w:color w:val="auto"/>
              </w:rPr>
            </w:pPr>
          </w:p>
        </w:tc>
        <w:tc>
          <w:tcPr>
            <w:tcW w:w="94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9"/>
              </w:rPr>
              <w:t>(650)bp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Overhead Ratio</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100</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Compensation Expense as a % of Operating Revenue</w:t>
            </w:r>
          </w:p>
        </w:tc>
        <w:tc>
          <w:tcPr>
            <w:tcW w:w="76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(100)</w:t>
            </w:r>
          </w:p>
        </w:tc>
        <w:tc>
          <w:tcPr>
            <w:tcW w:w="1640" w:type="dxa"/>
            <w:vAlign w:val="bottom"/>
            <w:gridSpan w:val="2"/>
            <w:shd w:val="clear" w:color="auto" w:fill="EEEEEE"/>
          </w:tcPr>
          <w:p>
            <w:pPr>
              <w:jc w:val="right"/>
              <w:ind w:right="99"/>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7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40"/>
              <w:spacing w:after="0"/>
              <w:rPr>
                <w:sz w:val="20"/>
                <w:szCs w:val="20"/>
                <w:color w:val="auto"/>
              </w:rPr>
            </w:pPr>
            <w:r>
              <w:rPr>
                <w:rFonts w:ascii="Arial" w:cs="Arial" w:eastAsia="Arial" w:hAnsi="Arial"/>
                <w:sz w:val="18"/>
                <w:szCs w:val="18"/>
                <w:color w:val="auto"/>
              </w:rPr>
              <w:t>Noncompensation Expense as a % of Operating Revenue</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200</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1" w:right="239" w:bottom="1440" w:gutter="0" w:footer="0" w:header="0"/>
        </w:sectPr>
      </w:pPr>
    </w:p>
    <w:bookmarkStart w:id="31" w:name="page32"/>
    <w:bookmarkEnd w:id="31"/>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INCOME — OPERATING BASIS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and ratio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3QTR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2QTR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1QTR</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Investment Banking Fees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Trading-Related Revenue (Including Trading NII)</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1,614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1,594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2,167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1,414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Fees and Commissions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2,231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2,016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 Realized Gains (Losses)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Private Equity — Unrealized Gains (Losses)</w:t>
            </w: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(285)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Securities Gains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Revenue</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Net Interest Income (Excluding Trading NII)</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2,825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2,725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2,759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2,537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2,509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00" w:type="dxa"/>
            <w:vAlign w:val="bottom"/>
          </w:tcPr>
          <w:p>
            <w:pPr>
              <w:ind w:left="560"/>
              <w:spacing w:after="0"/>
              <w:rPr>
                <w:sz w:val="20"/>
                <w:szCs w:val="20"/>
                <w:color w:val="auto"/>
              </w:rPr>
            </w:pPr>
            <w:r>
              <w:rPr>
                <w:rFonts w:ascii="Arial" w:cs="Arial" w:eastAsia="Arial" w:hAnsi="Arial"/>
                <w:sz w:val="18"/>
                <w:szCs w:val="18"/>
                <w:b w:val="1"/>
                <w:bCs w:val="1"/>
                <w:color w:val="auto"/>
              </w:rPr>
              <w:t>TOTAL OPERATING REVENUE</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6,841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7,619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7,144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8,494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7,575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2,652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2,883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3,052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3,357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3,310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Noncompensation Expense (Excluding Intangibles)</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1,997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ind w:left="560"/>
              <w:spacing w:after="0"/>
              <w:rPr>
                <w:sz w:val="20"/>
                <w:szCs w:val="20"/>
                <w:color w:val="auto"/>
              </w:rPr>
            </w:pPr>
            <w:r>
              <w:rPr>
                <w:rFonts w:ascii="Arial" w:cs="Arial" w:eastAsia="Arial" w:hAnsi="Arial"/>
                <w:sz w:val="18"/>
                <w:szCs w:val="18"/>
                <w:b w:val="1"/>
                <w:bCs w:val="1"/>
                <w:color w:val="auto"/>
              </w:rPr>
              <w:t>TOTAL CASH EXPENSE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4,649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4,877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5,100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5,421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5,556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Credit Costs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1,732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1,015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20" w:type="dxa"/>
            <w:vAlign w:val="bottom"/>
            <w:gridSpan w:val="2"/>
          </w:tcPr>
          <w:p>
            <w:pPr>
              <w:spacing w:after="0"/>
              <w:rPr>
                <w:sz w:val="20"/>
                <w:szCs w:val="20"/>
                <w:color w:val="auto"/>
              </w:rPr>
            </w:pPr>
            <w:r>
              <w:rPr>
                <w:rFonts w:ascii="Arial" w:cs="Arial" w:eastAsia="Arial" w:hAnsi="Arial"/>
                <w:sz w:val="18"/>
                <w:szCs w:val="18"/>
                <w:color w:val="auto"/>
              </w:rPr>
              <w:t>Cash Operating Income before Taxes</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1,727</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2,385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CASH OPERATING EARNINGS</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1,218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873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1,613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Less: Amortization of Intangibles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OPERATING EARNINGS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247</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1,036</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1,436</w:t>
            </w: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763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1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OPERATING BASIS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0.51</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0.70</w:t>
            </w:r>
          </w:p>
        </w:tc>
        <w:tc>
          <w:tcPr>
            <w:tcW w:w="22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Common Dividend Payout Ratio</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OPERATING BASIS</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SVA</w:t>
            </w: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(837)</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Return on Managed Assets</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0.87%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Return on Common Equity</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Overhead Ratio</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Compensation Expense as a % of Operating Revenue</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Noncompensation Expense as a % of Operating Revenue</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Borders>
              <w:bottom w:val="single" w:sz="8" w:color="808080"/>
            </w:tcBorders>
          </w:tcPr>
          <w:p>
            <w:pPr>
              <w:spacing w:after="0"/>
              <w:rPr>
                <w:sz w:val="19"/>
                <w:szCs w:val="19"/>
                <w:color w:val="auto"/>
              </w:rPr>
            </w:pPr>
          </w:p>
        </w:tc>
        <w:tc>
          <w:tcPr>
            <w:tcW w:w="6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1"/>
              </w:rPr>
              <w:t>4QTR 2001</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600" w:type="dxa"/>
            <w:vAlign w:val="bottom"/>
            <w:gridSpan w:val="3"/>
          </w:tcPr>
          <w:p>
            <w:pPr>
              <w:jc w:val="center"/>
              <w:ind w:left="694"/>
              <w:spacing w:after="0"/>
              <w:rPr>
                <w:sz w:val="20"/>
                <w:szCs w:val="20"/>
                <w:color w:val="auto"/>
              </w:rPr>
            </w:pPr>
            <w:r>
              <w:rPr>
                <w:rFonts w:ascii="Arial" w:cs="Arial" w:eastAsia="Arial" w:hAnsi="Arial"/>
                <w:sz w:val="14"/>
                <w:szCs w:val="14"/>
                <w:b w:val="1"/>
                <w:bCs w:val="1"/>
                <w:color w:val="auto"/>
                <w:w w:val="91"/>
              </w:rPr>
              <w:t>Over (Under)</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0" w:type="dxa"/>
            <w:vAlign w:val="bottom"/>
            <w:gridSpan w:val="6"/>
          </w:tcPr>
          <w:p>
            <w:pPr>
              <w:ind w:left="40"/>
              <w:spacing w:after="0"/>
              <w:rPr>
                <w:sz w:val="20"/>
                <w:szCs w:val="20"/>
                <w:color w:val="auto"/>
              </w:rPr>
            </w:pPr>
            <w:r>
              <w:rPr>
                <w:rFonts w:ascii="Arial" w:cs="Arial" w:eastAsia="Arial" w:hAnsi="Arial"/>
                <w:sz w:val="14"/>
                <w:szCs w:val="14"/>
                <w:b w:val="1"/>
                <w:bCs w:val="1"/>
                <w:color w:val="auto"/>
              </w:rPr>
              <w:t>FULL YEAR</w:t>
            </w: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Proforma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3Q 2001</w:t>
            </w: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w w:val="89"/>
              </w:rPr>
              <w:t>4Q 2000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2000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REVENUE</w:t>
            </w: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Investment Banking Fees</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Trading-Related Revenue (Including Trading NII)</w:t>
            </w:r>
          </w:p>
        </w:tc>
        <w:tc>
          <w:tcPr>
            <w:tcW w:w="10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(44)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(36)</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6,279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7,142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Fees and Commissions</w:t>
            </w:r>
          </w:p>
        </w:tc>
        <w:tc>
          <w:tcPr>
            <w:tcW w:w="1060" w:type="dxa"/>
            <w:vAlign w:val="bottom"/>
          </w:tcPr>
          <w:p>
            <w:pPr>
              <w:jc w:val="right"/>
              <w:ind w:right="234"/>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8,868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8,879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 Realized Gains (Losses)</w:t>
            </w:r>
          </w:p>
        </w:tc>
        <w:tc>
          <w:tcPr>
            <w:tcW w:w="10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(60)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(78)</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(68)</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Private Equity — Unrealized Gains (Losses)</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72"/>
              <w:spacing w:after="0"/>
              <w:rPr>
                <w:sz w:val="20"/>
                <w:szCs w:val="20"/>
                <w:color w:val="auto"/>
              </w:rPr>
            </w:pPr>
            <w:r>
              <w:rPr>
                <w:rFonts w:ascii="Arial" w:cs="Arial" w:eastAsia="Arial" w:hAnsi="Arial"/>
                <w:sz w:val="18"/>
                <w:szCs w:val="18"/>
                <w:color w:val="auto"/>
                <w:w w:val="91"/>
              </w:rPr>
              <w:t>(1,884)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(1,036)</w:t>
            </w:r>
          </w:p>
        </w:tc>
        <w:tc>
          <w:tcPr>
            <w:tcW w:w="28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Securities Gains</w:t>
            </w:r>
          </w:p>
        </w:tc>
        <w:tc>
          <w:tcPr>
            <w:tcW w:w="106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42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71</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866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278</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Revenue</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Net Interest Income (Excluding Trading NII)</w:t>
            </w:r>
          </w:p>
        </w:tc>
        <w:tc>
          <w:tcPr>
            <w:tcW w:w="106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13</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10,846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10,018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00" w:type="dxa"/>
            <w:vAlign w:val="bottom"/>
          </w:tcPr>
          <w:p>
            <w:pPr>
              <w:ind w:left="520"/>
              <w:spacing w:after="0"/>
              <w:rPr>
                <w:sz w:val="20"/>
                <w:szCs w:val="20"/>
                <w:color w:val="auto"/>
              </w:rPr>
            </w:pPr>
            <w:r>
              <w:rPr>
                <w:rFonts w:ascii="Arial" w:cs="Arial" w:eastAsia="Arial" w:hAnsi="Arial"/>
                <w:sz w:val="18"/>
                <w:szCs w:val="18"/>
                <w:b w:val="1"/>
                <w:bCs w:val="1"/>
                <w:color w:val="auto"/>
              </w:rPr>
              <w:t>TOTAL OPERATING REVENUE</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30,098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32,793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0"/>
        </w:trPr>
        <w:tc>
          <w:tcPr>
            <w:tcW w:w="46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Compensation Expense</w:t>
            </w:r>
          </w:p>
        </w:tc>
        <w:tc>
          <w:tcPr>
            <w:tcW w:w="10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11,944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12,748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(6)</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Noncompensation Expense (Excluding Intangibles)</w:t>
            </w:r>
          </w:p>
        </w:tc>
        <w:tc>
          <w:tcPr>
            <w:tcW w:w="16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520"/>
              <w:spacing w:after="0"/>
              <w:rPr>
                <w:sz w:val="20"/>
                <w:szCs w:val="20"/>
                <w:color w:val="auto"/>
              </w:rPr>
            </w:pPr>
            <w:r>
              <w:rPr>
                <w:rFonts w:ascii="Arial" w:cs="Arial" w:eastAsia="Arial" w:hAnsi="Arial"/>
                <w:sz w:val="18"/>
                <w:szCs w:val="18"/>
                <w:b w:val="1"/>
                <w:bCs w:val="1"/>
                <w:color w:val="auto"/>
              </w:rPr>
              <w:t>TOTAL CASH EXPENSE</w:t>
            </w:r>
          </w:p>
        </w:tc>
        <w:tc>
          <w:tcPr>
            <w:tcW w:w="10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(16)</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20,047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7"/>
              </w:rPr>
              <w:t>20,865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Credit Costs</w:t>
            </w:r>
          </w:p>
        </w:tc>
        <w:tc>
          <w:tcPr>
            <w:tcW w:w="106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71</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4,233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79</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08"/>
        </w:trPr>
        <w:tc>
          <w:tcPr>
            <w:tcW w:w="46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2"/>
          </w:tcPr>
          <w:p>
            <w:pPr>
              <w:spacing w:after="0"/>
              <w:rPr>
                <w:sz w:val="20"/>
                <w:szCs w:val="20"/>
                <w:color w:val="auto"/>
              </w:rPr>
            </w:pPr>
            <w:r>
              <w:rPr>
                <w:rFonts w:ascii="Arial" w:cs="Arial" w:eastAsia="Arial" w:hAnsi="Arial"/>
                <w:sz w:val="18"/>
                <w:szCs w:val="18"/>
                <w:color w:val="auto"/>
              </w:rPr>
              <w:t>Cash Operating Income before Taxes</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9,561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(95)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(94)</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1,680</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(46)</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46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CASH OPERATING EARNINGS</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4,138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6,455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Less: Amortization of Intangibles</w:t>
            </w:r>
          </w:p>
        </w:tc>
        <w:tc>
          <w:tcPr>
            <w:tcW w:w="106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729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38</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46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OPERATING EARNINGS</w:t>
            </w:r>
          </w:p>
        </w:tc>
        <w:tc>
          <w:tcPr>
            <w:tcW w:w="1060" w:type="dxa"/>
            <w:vAlign w:val="bottom"/>
          </w:tcPr>
          <w:p>
            <w:pPr>
              <w:jc w:val="right"/>
              <w:ind w:right="174"/>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(68)</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3,409</w:t>
            </w:r>
          </w:p>
        </w:tc>
        <w:tc>
          <w:tcPr>
            <w:tcW w:w="2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5,927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07"/>
        </w:trPr>
        <w:tc>
          <w:tcPr>
            <w:tcW w:w="462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OPERATING BASIS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(76)</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(68)</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(44)</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Common Dividend Payout Ratio</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Effective Tax Rate</w:t>
            </w:r>
          </w:p>
        </w:tc>
        <w:tc>
          <w:tcPr>
            <w:tcW w:w="1600" w:type="dxa"/>
            <w:vAlign w:val="bottom"/>
            <w:gridSpan w:val="3"/>
            <w:shd w:val="clear" w:color="auto" w:fill="EEEEEE"/>
          </w:tcPr>
          <w:p>
            <w:pPr>
              <w:jc w:val="right"/>
              <w:ind w:right="620"/>
              <w:spacing w:after="0"/>
              <w:rPr>
                <w:sz w:val="20"/>
                <w:szCs w:val="20"/>
                <w:color w:val="auto"/>
              </w:rPr>
            </w:pPr>
            <w:r>
              <w:rPr>
                <w:rFonts w:ascii="Arial" w:cs="Arial" w:eastAsia="Arial" w:hAnsi="Arial"/>
                <w:sz w:val="18"/>
                <w:szCs w:val="18"/>
                <w:color w:val="auto"/>
              </w:rPr>
              <w:t>(2,300)bp</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(2,500)bp</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(100)bp</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OPERATING BASIS</w:t>
            </w:r>
          </w:p>
        </w:tc>
        <w:tc>
          <w:tcPr>
            <w:tcW w:w="10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SVA</w:t>
            </w:r>
          </w:p>
        </w:tc>
        <w:tc>
          <w:tcPr>
            <w:tcW w:w="1600" w:type="dxa"/>
            <w:vAlign w:val="bottom"/>
            <w:gridSpan w:val="3"/>
            <w:shd w:val="clear" w:color="auto" w:fill="EEEEEE"/>
          </w:tcPr>
          <w:p>
            <w:pPr>
              <w:jc w:val="center"/>
              <w:ind w:right="520"/>
              <w:spacing w:after="0"/>
              <w:rPr>
                <w:sz w:val="20"/>
                <w:szCs w:val="20"/>
                <w:color w:val="auto"/>
              </w:rPr>
            </w:pPr>
            <w:r>
              <w:rPr>
                <w:rFonts w:ascii="Arial" w:cs="Arial" w:eastAsia="Arial" w:hAnsi="Arial"/>
                <w:sz w:val="18"/>
                <w:szCs w:val="18"/>
                <w:color w:val="auto"/>
                <w:w w:val="99"/>
              </w:rPr>
              <w:t>NM</w:t>
            </w:r>
          </w:p>
        </w:tc>
        <w:tc>
          <w:tcPr>
            <w:tcW w:w="780" w:type="dxa"/>
            <w:vAlign w:val="bottom"/>
            <w:shd w:val="clear" w:color="auto" w:fill="EEEEEE"/>
          </w:tcPr>
          <w:p>
            <w:pPr>
              <w:jc w:val="right"/>
              <w:ind w:right="293"/>
              <w:spacing w:after="0"/>
              <w:rPr>
                <w:sz w:val="20"/>
                <w:szCs w:val="20"/>
                <w:color w:val="auto"/>
              </w:rPr>
            </w:pPr>
            <w:r>
              <w:rPr>
                <w:rFonts w:ascii="Arial" w:cs="Arial" w:eastAsia="Arial" w:hAnsi="Arial"/>
                <w:sz w:val="18"/>
                <w:szCs w:val="18"/>
                <w:color w:val="auto"/>
              </w:rPr>
              <w:t>NM</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NM</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Return on Managed Assets</w:t>
            </w:r>
          </w:p>
        </w:tc>
        <w:tc>
          <w:tcPr>
            <w:tcW w:w="1600" w:type="dxa"/>
            <w:vAlign w:val="bottom"/>
            <w:gridSpan w:val="3"/>
          </w:tcPr>
          <w:p>
            <w:pPr>
              <w:jc w:val="right"/>
              <w:ind w:right="620"/>
              <w:spacing w:after="0"/>
              <w:rPr>
                <w:sz w:val="20"/>
                <w:szCs w:val="20"/>
                <w:color w:val="auto"/>
              </w:rPr>
            </w:pPr>
            <w:r>
              <w:rPr>
                <w:rFonts w:ascii="Arial" w:cs="Arial" w:eastAsia="Arial" w:hAnsi="Arial"/>
                <w:sz w:val="18"/>
                <w:szCs w:val="18"/>
                <w:color w:val="auto"/>
              </w:rPr>
              <w:t>(41)bp</w:t>
            </w:r>
          </w:p>
        </w:tc>
        <w:tc>
          <w:tcPr>
            <w:tcW w:w="780" w:type="dxa"/>
            <w:vAlign w:val="bottom"/>
          </w:tcPr>
          <w:p>
            <w:pPr>
              <w:jc w:val="right"/>
              <w:spacing w:after="0"/>
              <w:rPr>
                <w:sz w:val="20"/>
                <w:szCs w:val="20"/>
                <w:color w:val="auto"/>
              </w:rPr>
            </w:pPr>
            <w:r>
              <w:rPr>
                <w:rFonts w:ascii="Arial" w:cs="Arial" w:eastAsia="Arial" w:hAnsi="Arial"/>
                <w:sz w:val="18"/>
                <w:szCs w:val="18"/>
                <w:color w:val="auto"/>
              </w:rPr>
              <w:t>(29)bp</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0.93%</w:t>
            </w:r>
          </w:p>
        </w:tc>
        <w:tc>
          <w:tcPr>
            <w:tcW w:w="28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(38)bp</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Return on Common Equity</w:t>
            </w:r>
          </w:p>
        </w:tc>
        <w:tc>
          <w:tcPr>
            <w:tcW w:w="10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Overhead Ratio</w:t>
            </w:r>
          </w:p>
        </w:tc>
        <w:tc>
          <w:tcPr>
            <w:tcW w:w="1060" w:type="dxa"/>
            <w:vAlign w:val="bottom"/>
          </w:tcPr>
          <w:p>
            <w:pPr>
              <w:jc w:val="right"/>
              <w:ind w:right="234"/>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Compensation Expense as a % of Operating Revenue</w:t>
            </w:r>
          </w:p>
        </w:tc>
        <w:tc>
          <w:tcPr>
            <w:tcW w:w="106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9"/>
              </w:rPr>
              <w:t>Noncompensation Expense as a % of Operating Revenue</w:t>
            </w:r>
          </w:p>
        </w:tc>
        <w:tc>
          <w:tcPr>
            <w:tcW w:w="1060" w:type="dxa"/>
            <w:vAlign w:val="bottom"/>
          </w:tcPr>
          <w:p>
            <w:pPr>
              <w:jc w:val="right"/>
              <w:ind w:right="234"/>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540" w:right="62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 forma results assume that the purchase of Flemings occurred at the beginning of 2000 and primarily affected the Investment Bank, Investment Management &amp; Private Banking and total consolidated results.</w:t>
      </w:r>
    </w:p>
    <w:p>
      <w:pPr>
        <w:spacing w:after="0" w:line="186" w:lineRule="exact"/>
        <w:rPr>
          <w:sz w:val="20"/>
          <w:szCs w:val="20"/>
          <w:color w:val="auto"/>
        </w:rPr>
      </w:pPr>
    </w:p>
    <w:p>
      <w:pPr>
        <w:ind w:left="10940"/>
        <w:spacing w:after="0"/>
        <w:rPr>
          <w:sz w:val="20"/>
          <w:szCs w:val="20"/>
          <w:color w:val="auto"/>
        </w:rPr>
      </w:pPr>
      <w:r>
        <w:rPr>
          <w:rFonts w:ascii="Arial" w:cs="Arial" w:eastAsia="Arial" w:hAnsi="Arial"/>
          <w:sz w:val="15"/>
          <w:szCs w:val="15"/>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1" w:right="239" w:bottom="1440" w:gutter="0" w:footer="0" w:header="0"/>
        </w:sectPr>
      </w:pPr>
    </w:p>
    <w:bookmarkStart w:id="33" w:name="page34"/>
    <w:bookmarkEnd w:id="33"/>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REPORTED TO OPERATING BASIS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3QTR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2QTR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1QTR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TRADING REVENUE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Reported</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1,301</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1,261</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2,001</w:t>
            </w: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1,142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Add: Trading-Related NII</w:t>
            </w: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560"/>
              <w:spacing w:after="0"/>
              <w:rPr>
                <w:sz w:val="20"/>
                <w:szCs w:val="20"/>
                <w:color w:val="auto"/>
              </w:rPr>
            </w:pPr>
            <w:r>
              <w:rPr>
                <w:rFonts w:ascii="Arial" w:cs="Arial" w:eastAsia="Arial" w:hAnsi="Arial"/>
                <w:sz w:val="18"/>
                <w:szCs w:val="18"/>
                <w:b w:val="1"/>
                <w:bCs w:val="1"/>
                <w:color w:val="auto"/>
              </w:rPr>
              <w:t>Operating</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1,614</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1,594</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2,167</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1,414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CREDIT CARD REVENUE (a)</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Reported</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548</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Less: Impact of Securitizations</w:t>
            </w: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9"/>
              </w:rPr>
              <w:t>(100)</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560"/>
              <w:spacing w:after="0"/>
              <w:rPr>
                <w:sz w:val="20"/>
                <w:szCs w:val="20"/>
                <w:color w:val="auto"/>
              </w:rPr>
            </w:pPr>
            <w:r>
              <w:rPr>
                <w:rFonts w:ascii="Arial" w:cs="Arial" w:eastAsia="Arial" w:hAnsi="Arial"/>
                <w:sz w:val="18"/>
                <w:szCs w:val="18"/>
                <w:b w:val="1"/>
                <w:bCs w:val="1"/>
                <w:color w:val="auto"/>
              </w:rPr>
              <w:t>Operating</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509</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427</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OTHER REVENUE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Reported</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1,482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Less: Gain on Sale of Hong Kong Retail Banking (b)</w:t>
            </w: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840"/>
              <w:spacing w:after="0"/>
              <w:rPr>
                <w:sz w:val="20"/>
                <w:szCs w:val="20"/>
                <w:color w:val="auto"/>
              </w:rPr>
            </w:pPr>
            <w:r>
              <w:rPr>
                <w:rFonts w:ascii="Arial" w:cs="Arial" w:eastAsia="Arial" w:hAnsi="Arial"/>
                <w:sz w:val="18"/>
                <w:szCs w:val="18"/>
                <w:color w:val="auto"/>
              </w:rPr>
              <w:t>Gain on Transfer of Euroclear (b)</w:t>
            </w: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840"/>
              <w:spacing w:after="0"/>
              <w:rPr>
                <w:sz w:val="20"/>
                <w:szCs w:val="20"/>
                <w:color w:val="auto"/>
              </w:rPr>
            </w:pPr>
            <w:r>
              <w:rPr>
                <w:rFonts w:ascii="Arial" w:cs="Arial" w:eastAsia="Arial" w:hAnsi="Arial"/>
                <w:sz w:val="18"/>
                <w:szCs w:val="18"/>
                <w:color w:val="auto"/>
              </w:rPr>
              <w:t>Gain on Sale of Panama Operations (b)</w:t>
            </w: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ind w:left="840"/>
              <w:spacing w:after="0"/>
              <w:rPr>
                <w:sz w:val="20"/>
                <w:szCs w:val="20"/>
                <w:color w:val="auto"/>
              </w:rPr>
            </w:pPr>
            <w:r>
              <w:rPr>
                <w:rFonts w:ascii="Arial" w:cs="Arial" w:eastAsia="Arial" w:hAnsi="Arial"/>
                <w:sz w:val="18"/>
                <w:szCs w:val="18"/>
                <w:color w:val="auto"/>
              </w:rPr>
              <w:t>Loss on Economic Hedge of the Flemings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Purchase Price (b)</w:t>
            </w:r>
          </w:p>
        </w:tc>
        <w:tc>
          <w:tcPr>
            <w:tcW w:w="2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EEEEEE"/>
          </w:tcPr>
          <w:p>
            <w:pPr>
              <w:ind w:left="840"/>
              <w:spacing w:after="0"/>
              <w:rPr>
                <w:sz w:val="20"/>
                <w:szCs w:val="20"/>
                <w:color w:val="auto"/>
              </w:rPr>
            </w:pPr>
            <w:r>
              <w:rPr>
                <w:rFonts w:ascii="Arial" w:cs="Arial" w:eastAsia="Arial" w:hAnsi="Arial"/>
                <w:sz w:val="18"/>
                <w:szCs w:val="18"/>
                <w:color w:val="auto"/>
              </w:rPr>
              <w:t>Credit Card Securitizations</w:t>
            </w: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560"/>
              <w:spacing w:after="0"/>
              <w:rPr>
                <w:sz w:val="20"/>
                <w:szCs w:val="20"/>
                <w:color w:val="auto"/>
              </w:rPr>
            </w:pPr>
            <w:r>
              <w:rPr>
                <w:rFonts w:ascii="Arial" w:cs="Arial" w:eastAsia="Arial" w:hAnsi="Arial"/>
                <w:sz w:val="18"/>
                <w:szCs w:val="18"/>
                <w:b w:val="1"/>
                <w:bCs w:val="1"/>
                <w:color w:val="auto"/>
              </w:rPr>
              <w:t>Operating</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251</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Reported</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2,944</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2,659</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2,781</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2,418</w:t>
            </w: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2,461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Add: Impact of Credit Card Securitizations</w:t>
            </w: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560"/>
              <w:spacing w:after="0"/>
              <w:rPr>
                <w:sz w:val="20"/>
                <w:szCs w:val="20"/>
                <w:color w:val="auto"/>
              </w:rPr>
            </w:pPr>
            <w:r>
              <w:rPr>
                <w:rFonts w:ascii="Arial" w:cs="Arial" w:eastAsia="Arial" w:hAnsi="Arial"/>
                <w:sz w:val="18"/>
                <w:szCs w:val="18"/>
                <w:color w:val="auto"/>
              </w:rPr>
              <w:t>Less: Trading-Related NII</w:t>
            </w:r>
          </w:p>
        </w:tc>
        <w:tc>
          <w:tcPr>
            <w:tcW w:w="2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(313)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(333)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(166)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b w:val="1"/>
                <w:bCs w:val="1"/>
                <w:color w:val="auto"/>
              </w:rPr>
              <w:t>Operating</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2,825</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2,725</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2,759</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2,537</w:t>
            </w: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2,509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Reported</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6,577</w:t>
            </w:r>
          </w:p>
        </w:tc>
        <w:tc>
          <w:tcPr>
            <w:tcW w:w="200" w:type="dxa"/>
            <w:vAlign w:val="bottom"/>
            <w:shd w:val="clear" w:color="auto" w:fill="EEEEEE"/>
          </w:tcPr>
          <w:p>
            <w:pPr>
              <w:spacing w:after="0"/>
              <w:rPr>
                <w:sz w:val="19"/>
                <w:szCs w:val="19"/>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7,349</w:t>
            </w:r>
          </w:p>
        </w:tc>
        <w:tc>
          <w:tcPr>
            <w:tcW w:w="200" w:type="dxa"/>
            <w:vAlign w:val="bottom"/>
            <w:shd w:val="clear" w:color="auto" w:fill="EEEEEE"/>
          </w:tcPr>
          <w:p>
            <w:pPr>
              <w:spacing w:after="0"/>
              <w:rPr>
                <w:sz w:val="19"/>
                <w:szCs w:val="19"/>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6,871</w:t>
            </w:r>
          </w:p>
        </w:tc>
        <w:tc>
          <w:tcPr>
            <w:tcW w:w="200" w:type="dxa"/>
            <w:vAlign w:val="bottom"/>
            <w:shd w:val="clear" w:color="auto" w:fill="EEEEEE"/>
          </w:tcPr>
          <w:p>
            <w:pPr>
              <w:spacing w:after="0"/>
              <w:rPr>
                <w:sz w:val="19"/>
                <w:szCs w:val="19"/>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8,253</w:t>
            </w:r>
          </w:p>
        </w:tc>
        <w:tc>
          <w:tcPr>
            <w:tcW w:w="200" w:type="dxa"/>
            <w:vAlign w:val="bottom"/>
            <w:shd w:val="clear" w:color="auto" w:fill="EEEEEE"/>
          </w:tcPr>
          <w:p>
            <w:pPr>
              <w:spacing w:after="0"/>
              <w:rPr>
                <w:sz w:val="19"/>
                <w:szCs w:val="19"/>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8,543</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560"/>
              <w:spacing w:after="0"/>
              <w:rPr>
                <w:sz w:val="20"/>
                <w:szCs w:val="20"/>
                <w:color w:val="auto"/>
              </w:rPr>
            </w:pPr>
            <w:r>
              <w:rPr>
                <w:rFonts w:ascii="Arial" w:cs="Arial" w:eastAsia="Arial" w:hAnsi="Arial"/>
                <w:sz w:val="18"/>
                <w:szCs w:val="18"/>
                <w:color w:val="auto"/>
              </w:rPr>
              <w:t>Less: Credit Card Securitizations</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840"/>
              <w:spacing w:after="0"/>
              <w:rPr>
                <w:sz w:val="20"/>
                <w:szCs w:val="20"/>
                <w:color w:val="auto"/>
              </w:rPr>
            </w:pPr>
            <w:r>
              <w:rPr>
                <w:rFonts w:ascii="Arial" w:cs="Arial" w:eastAsia="Arial" w:hAnsi="Arial"/>
                <w:sz w:val="18"/>
                <w:szCs w:val="18"/>
                <w:color w:val="auto"/>
              </w:rPr>
              <w:t>Special Items (See above)</w:t>
            </w: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4"/>
              </w:rPr>
              <w:t>(1,226)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560"/>
              <w:spacing w:after="0"/>
              <w:rPr>
                <w:sz w:val="20"/>
                <w:szCs w:val="20"/>
                <w:color w:val="auto"/>
              </w:rPr>
            </w:pPr>
            <w:r>
              <w:rPr>
                <w:rFonts w:ascii="Arial" w:cs="Arial" w:eastAsia="Arial" w:hAnsi="Arial"/>
                <w:sz w:val="18"/>
                <w:szCs w:val="18"/>
                <w:b w:val="1"/>
                <w:bCs w:val="1"/>
                <w:color w:val="auto"/>
              </w:rPr>
              <w:t>Total Operating Revenue</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6,841</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7,619</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7,144</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8,494</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7,575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EXPENSE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Reported</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5,677</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5,935</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5,761</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5,926</w:t>
            </w: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3"/>
              </w:rPr>
              <w:t>7,044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280"/>
              <w:spacing w:after="0"/>
              <w:rPr>
                <w:sz w:val="20"/>
                <w:szCs w:val="20"/>
                <w:color w:val="auto"/>
              </w:rPr>
            </w:pPr>
            <w:r>
              <w:rPr>
                <w:rFonts w:ascii="Arial" w:cs="Arial" w:eastAsia="Arial" w:hAnsi="Arial"/>
                <w:sz w:val="18"/>
                <w:szCs w:val="18"/>
                <w:color w:val="auto"/>
              </w:rPr>
              <w:t>Merger and Restructuring Costs</w:t>
            </w:r>
          </w:p>
        </w:tc>
        <w:tc>
          <w:tcPr>
            <w:tcW w:w="2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(841)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(876)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(478)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(328)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(1,302)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280"/>
              <w:spacing w:after="0"/>
              <w:rPr>
                <w:sz w:val="20"/>
                <w:szCs w:val="20"/>
                <w:color w:val="auto"/>
              </w:rPr>
            </w:pPr>
            <w:r>
              <w:rPr>
                <w:rFonts w:ascii="Arial" w:cs="Arial" w:eastAsia="Arial" w:hAnsi="Arial"/>
                <w:sz w:val="18"/>
                <w:szCs w:val="18"/>
                <w:b w:val="1"/>
                <w:bCs w:val="1"/>
                <w:color w:val="auto"/>
              </w:rPr>
              <w:t>Operating Expense</w:t>
            </w: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4,836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5,059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5,283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5,598</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5,742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280"/>
              <w:spacing w:after="0"/>
              <w:rPr>
                <w:sz w:val="20"/>
                <w:szCs w:val="20"/>
                <w:color w:val="auto"/>
              </w:rPr>
            </w:pPr>
            <w:r>
              <w:rPr>
                <w:rFonts w:ascii="Arial" w:cs="Arial" w:eastAsia="Arial" w:hAnsi="Arial"/>
                <w:sz w:val="18"/>
                <w:szCs w:val="18"/>
                <w:color w:val="auto"/>
              </w:rPr>
              <w:t>Less: Amortization of Intangibles</w:t>
            </w:r>
          </w:p>
        </w:tc>
        <w:tc>
          <w:tcPr>
            <w:tcW w:w="2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(177)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280"/>
              <w:spacing w:after="0"/>
              <w:rPr>
                <w:sz w:val="20"/>
                <w:szCs w:val="20"/>
                <w:color w:val="auto"/>
              </w:rPr>
            </w:pPr>
            <w:r>
              <w:rPr>
                <w:rFonts w:ascii="Arial" w:cs="Arial" w:eastAsia="Arial" w:hAnsi="Arial"/>
                <w:sz w:val="18"/>
                <w:szCs w:val="18"/>
                <w:b w:val="1"/>
                <w:bCs w:val="1"/>
                <w:color w:val="auto"/>
              </w:rPr>
              <w:t>Cash Operating Expense</w:t>
            </w:r>
          </w:p>
        </w:tc>
        <w:tc>
          <w:tcPr>
            <w:tcW w:w="2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4,649</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4,877</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5,100</w:t>
            </w:r>
          </w:p>
        </w:tc>
        <w:tc>
          <w:tcPr>
            <w:tcW w:w="20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5,421</w:t>
            </w:r>
          </w:p>
        </w:tc>
        <w:tc>
          <w:tcPr>
            <w:tcW w:w="200" w:type="dxa"/>
            <w:vAlign w:val="bottom"/>
            <w:shd w:val="clear" w:color="auto" w:fill="EEEEEE"/>
          </w:tcPr>
          <w:p>
            <w:pPr>
              <w:spacing w:after="0"/>
              <w:rPr>
                <w:sz w:val="18"/>
                <w:szCs w:val="18"/>
                <w:color w:val="auto"/>
              </w:rPr>
            </w:pPr>
          </w:p>
        </w:tc>
        <w:tc>
          <w:tcPr>
            <w:tcW w:w="6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3"/>
              </w:rPr>
              <w:t>5,556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CREDIT COSTS</w:t>
            </w: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80"/>
              <w:spacing w:after="0"/>
              <w:rPr>
                <w:sz w:val="20"/>
                <w:szCs w:val="20"/>
                <w:color w:val="auto"/>
              </w:rPr>
            </w:pPr>
            <w:r>
              <w:rPr>
                <w:rFonts w:ascii="Arial" w:cs="Arial" w:eastAsia="Arial" w:hAnsi="Arial"/>
                <w:sz w:val="18"/>
                <w:szCs w:val="18"/>
                <w:color w:val="auto"/>
              </w:rPr>
              <w:t>Provision for Loan Losses — Reported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1,468</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Add: Impact of Credit Card Securitizations</w:t>
            </w: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0" w:type="dxa"/>
            <w:vAlign w:val="bottom"/>
          </w:tcPr>
          <w:p>
            <w:pPr>
              <w:ind w:left="280"/>
              <w:spacing w:after="0"/>
              <w:rPr>
                <w:sz w:val="20"/>
                <w:szCs w:val="20"/>
                <w:color w:val="auto"/>
              </w:rPr>
            </w:pPr>
            <w:r>
              <w:rPr>
                <w:rFonts w:ascii="Arial" w:cs="Arial" w:eastAsia="Arial" w:hAnsi="Arial"/>
                <w:sz w:val="18"/>
                <w:szCs w:val="18"/>
                <w:b w:val="1"/>
                <w:bCs w:val="1"/>
                <w:color w:val="auto"/>
              </w:rPr>
              <w:t>Credit Costs — Operating</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1,732</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1,015</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798</w:t>
            </w:r>
          </w:p>
        </w:tc>
        <w:tc>
          <w:tcPr>
            <w:tcW w:w="2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2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667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0"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232410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ind w:left="9440"/>
        <w:spacing w:after="0"/>
        <w:rPr>
          <w:sz w:val="20"/>
          <w:szCs w:val="20"/>
          <w:color w:val="auto"/>
        </w:rPr>
      </w:pPr>
      <w:r>
        <w:rPr>
          <w:rFonts w:ascii="Arial" w:cs="Arial" w:eastAsia="Arial" w:hAnsi="Arial"/>
          <w:sz w:val="16"/>
          <w:szCs w:val="16"/>
          <w:color w:val="auto"/>
        </w:rPr>
        <w:t>[Additional columns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080" w:type="dxa"/>
            <w:vAlign w:val="bottom"/>
            <w:gridSpan w:val="2"/>
          </w:tcPr>
          <w:p>
            <w:pPr>
              <w:ind w:left="1000"/>
              <w:spacing w:after="0"/>
              <w:rPr>
                <w:sz w:val="20"/>
                <w:szCs w:val="20"/>
                <w:color w:val="auto"/>
              </w:rPr>
            </w:pPr>
            <w:r>
              <w:rPr>
                <w:rFonts w:ascii="Arial" w:cs="Arial" w:eastAsia="Arial" w:hAnsi="Arial"/>
                <w:sz w:val="14"/>
                <w:szCs w:val="14"/>
                <w:b w:val="1"/>
                <w:bCs w:val="1"/>
                <w:color w:val="auto"/>
              </w:rPr>
              <w:t>4QTR 2001</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80" w:type="dxa"/>
            <w:vAlign w:val="bottom"/>
            <w:gridSpan w:val="2"/>
          </w:tcPr>
          <w:p>
            <w:pPr>
              <w:ind w:left="940"/>
              <w:spacing w:after="0"/>
              <w:rPr>
                <w:sz w:val="20"/>
                <w:szCs w:val="20"/>
                <w:color w:val="auto"/>
              </w:rPr>
            </w:pPr>
            <w:r>
              <w:rPr>
                <w:rFonts w:ascii="Arial" w:cs="Arial" w:eastAsia="Arial" w:hAnsi="Arial"/>
                <w:sz w:val="14"/>
                <w:szCs w:val="14"/>
                <w:b w:val="1"/>
                <w:bCs w:val="1"/>
                <w:color w:val="auto"/>
              </w:rPr>
              <w:t>Over (Under)</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FULL YEAR</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2080" w:type="dxa"/>
            <w:vAlign w:val="bottom"/>
            <w:gridSpan w:val="2"/>
          </w:tcPr>
          <w:p>
            <w:pPr>
              <w:ind w:left="360"/>
              <w:spacing w:after="0"/>
              <w:rPr>
                <w:sz w:val="20"/>
                <w:szCs w:val="20"/>
                <w:color w:val="auto"/>
              </w:rPr>
            </w:pPr>
            <w:r>
              <w:rPr>
                <w:rFonts w:ascii="Arial" w:cs="Arial" w:eastAsia="Arial" w:hAnsi="Arial"/>
                <w:sz w:val="14"/>
                <w:szCs w:val="14"/>
                <w:b w:val="1"/>
                <w:bCs w:val="1"/>
                <w:color w:val="auto"/>
              </w:rPr>
              <w:t>3Q 2001</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4Q 2000</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22"/>
                <w:szCs w:val="22"/>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1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TRADING REVENUE</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Reported</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4,918</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6,298</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Add: Trading-Related NII</w:t>
            </w:r>
          </w:p>
        </w:tc>
        <w:tc>
          <w:tcPr>
            <w:tcW w:w="11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75</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1,361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844</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b w:val="1"/>
                <w:bCs w:val="1"/>
                <w:color w:val="auto"/>
              </w:rPr>
              <w:t>Operating</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24"/>
                <w:szCs w:val="24"/>
                <w:color w:val="auto"/>
              </w:rPr>
            </w:pPr>
          </w:p>
        </w:tc>
        <w:tc>
          <w:tcPr>
            <w:tcW w:w="58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6,279</w:t>
            </w:r>
          </w:p>
        </w:tc>
        <w:tc>
          <w:tcPr>
            <w:tcW w:w="28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7,142</w:t>
            </w:r>
          </w:p>
        </w:tc>
        <w:tc>
          <w:tcPr>
            <w:tcW w:w="300" w:type="dxa"/>
            <w:vAlign w:val="bottom"/>
          </w:tcPr>
          <w:p>
            <w:pPr>
              <w:spacing w:after="0"/>
              <w:rPr>
                <w:sz w:val="24"/>
                <w:szCs w:val="24"/>
                <w:color w:val="auto"/>
              </w:rPr>
            </w:pP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7"/>
        </w:trPr>
        <w:tc>
          <w:tcPr>
            <w:tcW w:w="51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CREDIT CARD REVENUE (a)</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Reported</w:t>
            </w:r>
          </w:p>
        </w:tc>
        <w:tc>
          <w:tcPr>
            <w:tcW w:w="11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21</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44</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2,108</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1,771</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Less: Impact of Securitizations</w:t>
            </w:r>
          </w:p>
        </w:tc>
        <w:tc>
          <w:tcPr>
            <w:tcW w:w="11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53</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(350)</w:t>
            </w:r>
          </w:p>
        </w:tc>
        <w:tc>
          <w:tcPr>
            <w:tcW w:w="106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b w:val="1"/>
                <w:bCs w:val="1"/>
                <w:color w:val="auto"/>
              </w:rPr>
              <w:t>Operating</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8"/>
                <w:szCs w:val="18"/>
                <w:color w:val="auto"/>
              </w:rPr>
              <w:t>29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1,768</w:t>
            </w:r>
          </w:p>
        </w:tc>
        <w:tc>
          <w:tcPr>
            <w:tcW w:w="28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1,421</w:t>
            </w:r>
          </w:p>
        </w:tc>
        <w:tc>
          <w:tcPr>
            <w:tcW w:w="300" w:type="dxa"/>
            <w:vAlign w:val="bottom"/>
          </w:tcPr>
          <w:p>
            <w:pPr>
              <w:spacing w:after="0"/>
              <w:rPr>
                <w:sz w:val="24"/>
                <w:szCs w:val="24"/>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7"/>
        </w:trPr>
        <w:tc>
          <w:tcPr>
            <w:tcW w:w="51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OTHER REVENUE</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Reported</w:t>
            </w:r>
          </w:p>
        </w:tc>
        <w:tc>
          <w:tcPr>
            <w:tcW w:w="11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(32)</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(90)</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877</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2,289</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Less: Gain on Sale of Hong Kong Retail Banking (b)</w:t>
            </w:r>
          </w:p>
        </w:tc>
        <w:tc>
          <w:tcPr>
            <w:tcW w:w="2080" w:type="dxa"/>
            <w:vAlign w:val="bottom"/>
            <w:gridSpan w:val="2"/>
            <w:shd w:val="clear" w:color="auto" w:fill="EEEEEE"/>
          </w:tcPr>
          <w:p>
            <w:pPr>
              <w:ind w:left="760"/>
              <w:spacing w:after="0"/>
              <w:rPr>
                <w:sz w:val="20"/>
                <w:szCs w:val="20"/>
                <w:color w:val="auto"/>
              </w:rPr>
            </w:pPr>
            <w:r>
              <w:rPr>
                <w:rFonts w:ascii="Arial" w:cs="Arial" w:eastAsia="Arial" w:hAnsi="Arial"/>
                <w:sz w:val="18"/>
                <w:szCs w:val="18"/>
                <w:color w:val="auto"/>
              </w:rPr>
              <w:t>NM</w:t>
            </w: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(827)</w:t>
            </w: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0"/>
              <w:spacing w:after="0"/>
              <w:rPr>
                <w:sz w:val="20"/>
                <w:szCs w:val="20"/>
                <w:color w:val="auto"/>
              </w:rPr>
            </w:pPr>
            <w:r>
              <w:rPr>
                <w:rFonts w:ascii="Arial" w:cs="Arial" w:eastAsia="Arial" w:hAnsi="Arial"/>
                <w:sz w:val="18"/>
                <w:szCs w:val="18"/>
                <w:color w:val="auto"/>
              </w:rPr>
              <w:t>Gain on Transfer of Euroclear (b)</w:t>
            </w:r>
          </w:p>
        </w:tc>
        <w:tc>
          <w:tcPr>
            <w:tcW w:w="208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580" w:type="dxa"/>
            <w:vAlign w:val="bottom"/>
          </w:tcPr>
          <w:p>
            <w:pPr>
              <w:jc w:val="center"/>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800"/>
              <w:spacing w:after="0"/>
              <w:rPr>
                <w:sz w:val="20"/>
                <w:szCs w:val="20"/>
                <w:color w:val="auto"/>
              </w:rPr>
            </w:pPr>
            <w:r>
              <w:rPr>
                <w:rFonts w:ascii="Arial" w:cs="Arial" w:eastAsia="Arial" w:hAnsi="Arial"/>
                <w:sz w:val="18"/>
                <w:szCs w:val="18"/>
                <w:color w:val="auto"/>
              </w:rPr>
              <w:t>Gain on Sale of Panama Operations (b)</w:t>
            </w:r>
          </w:p>
        </w:tc>
        <w:tc>
          <w:tcPr>
            <w:tcW w:w="2080" w:type="dxa"/>
            <w:vAlign w:val="bottom"/>
            <w:gridSpan w:val="2"/>
            <w:shd w:val="clear" w:color="auto" w:fill="EEEEEE"/>
          </w:tcPr>
          <w:p>
            <w:pPr>
              <w:ind w:left="760"/>
              <w:spacing w:after="0"/>
              <w:rPr>
                <w:sz w:val="20"/>
                <w:szCs w:val="20"/>
                <w:color w:val="auto"/>
              </w:rPr>
            </w:pPr>
            <w:r>
              <w:rPr>
                <w:rFonts w:ascii="Arial" w:cs="Arial" w:eastAsia="Arial" w:hAnsi="Arial"/>
                <w:sz w:val="18"/>
                <w:szCs w:val="18"/>
                <w:color w:val="auto"/>
              </w:rPr>
              <w:t>NM</w:t>
            </w: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800"/>
              <w:spacing w:after="0"/>
              <w:rPr>
                <w:sz w:val="20"/>
                <w:szCs w:val="20"/>
                <w:color w:val="auto"/>
              </w:rPr>
            </w:pPr>
            <w:r>
              <w:rPr>
                <w:rFonts w:ascii="Arial" w:cs="Arial" w:eastAsia="Arial" w:hAnsi="Arial"/>
                <w:sz w:val="18"/>
                <w:szCs w:val="18"/>
                <w:color w:val="auto"/>
              </w:rPr>
              <w:t>Loss on Economic Hedge of the Flemings</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940"/>
              <w:spacing w:after="0"/>
              <w:rPr>
                <w:sz w:val="20"/>
                <w:szCs w:val="20"/>
                <w:color w:val="auto"/>
              </w:rPr>
            </w:pPr>
            <w:r>
              <w:rPr>
                <w:rFonts w:ascii="Arial" w:cs="Arial" w:eastAsia="Arial" w:hAnsi="Arial"/>
                <w:sz w:val="18"/>
                <w:szCs w:val="18"/>
                <w:color w:val="auto"/>
              </w:rPr>
              <w:t>Purchase Price(b)</w:t>
            </w:r>
          </w:p>
        </w:tc>
        <w:tc>
          <w:tcPr>
            <w:tcW w:w="2080" w:type="dxa"/>
            <w:vAlign w:val="bottom"/>
            <w:gridSpan w:val="2"/>
          </w:tcPr>
          <w:p>
            <w:pPr>
              <w:ind w:left="760"/>
              <w:spacing w:after="0"/>
              <w:rPr>
                <w:sz w:val="20"/>
                <w:szCs w:val="20"/>
                <w:color w:val="auto"/>
              </w:rPr>
            </w:pPr>
            <w:r>
              <w:rPr>
                <w:rFonts w:ascii="Arial" w:cs="Arial" w:eastAsia="Arial" w:hAnsi="Arial"/>
                <w:sz w:val="18"/>
                <w:szCs w:val="18"/>
                <w:color w:val="auto"/>
              </w:rPr>
              <w:t>NM</w:t>
            </w:r>
          </w:p>
        </w:tc>
        <w:tc>
          <w:tcPr>
            <w:tcW w:w="580" w:type="dxa"/>
            <w:vAlign w:val="bottom"/>
          </w:tcPr>
          <w:p>
            <w:pPr>
              <w:jc w:val="center"/>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EEEEEE"/>
          </w:tcPr>
          <w:p>
            <w:pPr>
              <w:ind w:left="800"/>
              <w:spacing w:after="0"/>
              <w:rPr>
                <w:sz w:val="20"/>
                <w:szCs w:val="20"/>
                <w:color w:val="auto"/>
              </w:rPr>
            </w:pPr>
            <w:r>
              <w:rPr>
                <w:rFonts w:ascii="Arial" w:cs="Arial" w:eastAsia="Arial" w:hAnsi="Arial"/>
                <w:sz w:val="18"/>
                <w:szCs w:val="18"/>
                <w:color w:val="auto"/>
              </w:rPr>
              <w:t>Credit Card Securitizations</w:t>
            </w:r>
          </w:p>
        </w:tc>
        <w:tc>
          <w:tcPr>
            <w:tcW w:w="11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44</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152"/>
              <w:spacing w:after="0"/>
              <w:rPr>
                <w:sz w:val="20"/>
                <w:szCs w:val="20"/>
                <w:color w:val="auto"/>
              </w:rPr>
            </w:pPr>
            <w:r>
              <w:rPr>
                <w:rFonts w:ascii="Arial" w:cs="Arial" w:eastAsia="Arial" w:hAnsi="Arial"/>
                <w:sz w:val="18"/>
                <w:szCs w:val="18"/>
                <w:color w:val="auto"/>
              </w:rPr>
              <w:t>(17)</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b w:val="1"/>
                <w:bCs w:val="1"/>
                <w:color w:val="auto"/>
              </w:rPr>
              <w:t>Operating</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24"/>
                <w:szCs w:val="24"/>
                <w:color w:val="auto"/>
              </w:rPr>
            </w:pPr>
          </w:p>
        </w:tc>
        <w:tc>
          <w:tcPr>
            <w:tcW w:w="58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860</w:t>
            </w:r>
          </w:p>
        </w:tc>
        <w:tc>
          <w:tcPr>
            <w:tcW w:w="28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1,148</w:t>
            </w:r>
          </w:p>
        </w:tc>
        <w:tc>
          <w:tcPr>
            <w:tcW w:w="300" w:type="dxa"/>
            <w:vAlign w:val="bottom"/>
          </w:tcPr>
          <w:p>
            <w:pPr>
              <w:spacing w:after="0"/>
              <w:rPr>
                <w:sz w:val="24"/>
                <w:szCs w:val="24"/>
                <w:color w:val="auto"/>
              </w:rPr>
            </w:pP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7"/>
        </w:trPr>
        <w:tc>
          <w:tcPr>
            <w:tcW w:w="51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INTEREST INCOME</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Reported</w:t>
            </w:r>
          </w:p>
        </w:tc>
        <w:tc>
          <w:tcPr>
            <w:tcW w:w="11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11</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20</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10,802</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9,512</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Add: Impact of Credit Card Securitizations</w:t>
            </w:r>
          </w:p>
        </w:tc>
        <w:tc>
          <w:tcPr>
            <w:tcW w:w="11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13</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34</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1,405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1,350</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Less: Trading-Related NII</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75</w:t>
            </w:r>
          </w:p>
        </w:tc>
        <w:tc>
          <w:tcPr>
            <w:tcW w:w="900" w:type="dxa"/>
            <w:vAlign w:val="bottom"/>
          </w:tcPr>
          <w:p>
            <w:pPr>
              <w:spacing w:after="0"/>
              <w:rPr>
                <w:sz w:val="19"/>
                <w:szCs w:val="19"/>
                <w:color w:val="auto"/>
              </w:rPr>
            </w:pPr>
          </w:p>
        </w:tc>
        <w:tc>
          <w:tcPr>
            <w:tcW w:w="580" w:type="dxa"/>
            <w:vAlign w:val="bottom"/>
          </w:tcPr>
          <w:p>
            <w:pPr>
              <w:jc w:val="right"/>
              <w:ind w:right="113"/>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(1,361)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(844)</w:t>
            </w: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b w:val="1"/>
                <w:bCs w:val="1"/>
                <w:color w:val="auto"/>
              </w:rPr>
              <w:t>Operating</w:t>
            </w:r>
          </w:p>
        </w:tc>
        <w:tc>
          <w:tcPr>
            <w:tcW w:w="11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13</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10,846</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10,018</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REVENUE</w:t>
            </w:r>
          </w:p>
        </w:tc>
        <w:tc>
          <w:tcPr>
            <w:tcW w:w="1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Reported</w:t>
            </w:r>
          </w:p>
        </w:tc>
        <w:tc>
          <w:tcPr>
            <w:tcW w:w="11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(11)</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(23)</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29,050</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32,934</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Less: Credit Card Securitizations</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900" w:type="dxa"/>
            <w:vAlign w:val="bottom"/>
          </w:tcPr>
          <w:p>
            <w:pPr>
              <w:spacing w:after="0"/>
              <w:rPr>
                <w:sz w:val="18"/>
                <w:szCs w:val="18"/>
                <w:color w:val="auto"/>
              </w:rPr>
            </w:pPr>
          </w:p>
        </w:tc>
        <w:tc>
          <w:tcPr>
            <w:tcW w:w="580" w:type="dxa"/>
            <w:vAlign w:val="bottom"/>
          </w:tcPr>
          <w:p>
            <w:pPr>
              <w:jc w:val="right"/>
              <w:ind w:right="113"/>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1,048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990</w:t>
            </w:r>
          </w:p>
        </w:tc>
        <w:tc>
          <w:tcPr>
            <w:tcW w:w="30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800"/>
              <w:spacing w:after="0"/>
              <w:rPr>
                <w:sz w:val="20"/>
                <w:szCs w:val="20"/>
                <w:color w:val="auto"/>
              </w:rPr>
            </w:pPr>
            <w:r>
              <w:rPr>
                <w:rFonts w:ascii="Arial" w:cs="Arial" w:eastAsia="Arial" w:hAnsi="Arial"/>
                <w:sz w:val="18"/>
                <w:szCs w:val="18"/>
                <w:color w:val="auto"/>
              </w:rPr>
              <w:t>Special Items (See above)</w:t>
            </w:r>
          </w:p>
        </w:tc>
        <w:tc>
          <w:tcPr>
            <w:tcW w:w="2080" w:type="dxa"/>
            <w:vAlign w:val="bottom"/>
            <w:gridSpan w:val="2"/>
            <w:shd w:val="clear" w:color="auto" w:fill="EEEEEE"/>
          </w:tcPr>
          <w:p>
            <w:pPr>
              <w:ind w:left="760"/>
              <w:spacing w:after="0"/>
              <w:rPr>
                <w:sz w:val="20"/>
                <w:szCs w:val="20"/>
                <w:color w:val="auto"/>
              </w:rPr>
            </w:pPr>
            <w:r>
              <w:rPr>
                <w:rFonts w:ascii="Arial" w:cs="Arial" w:eastAsia="Arial" w:hAnsi="Arial"/>
                <w:sz w:val="18"/>
                <w:szCs w:val="18"/>
                <w:color w:val="auto"/>
              </w:rPr>
              <w:t>NM</w:t>
            </w: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NM</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1"/>
              </w:rPr>
              <w:t>(1,131)</w:t>
            </w: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Arial" w:cs="Arial" w:eastAsia="Arial" w:hAnsi="Arial"/>
                <w:sz w:val="18"/>
                <w:szCs w:val="18"/>
                <w:b w:val="1"/>
                <w:bCs w:val="1"/>
                <w:color w:val="auto"/>
              </w:rPr>
              <w:t>Total Operating Revenue</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24"/>
                <w:szCs w:val="24"/>
                <w:color w:val="auto"/>
              </w:rPr>
            </w:pPr>
          </w:p>
        </w:tc>
        <w:tc>
          <w:tcPr>
            <w:tcW w:w="58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79"/>
              </w:rPr>
              <w:t>30,098</w:t>
            </w:r>
          </w:p>
        </w:tc>
        <w:tc>
          <w:tcPr>
            <w:tcW w:w="28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32,793</w:t>
            </w:r>
          </w:p>
        </w:tc>
        <w:tc>
          <w:tcPr>
            <w:tcW w:w="300" w:type="dxa"/>
            <w:vAlign w:val="bottom"/>
          </w:tcPr>
          <w:p>
            <w:pPr>
              <w:spacing w:after="0"/>
              <w:rPr>
                <w:sz w:val="24"/>
                <w:szCs w:val="24"/>
                <w:color w:val="auto"/>
              </w:rPr>
            </w:pP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7"/>
        </w:trPr>
        <w:tc>
          <w:tcPr>
            <w:tcW w:w="51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EXPENSE</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Reported</w:t>
            </w:r>
          </w:p>
        </w:tc>
        <w:tc>
          <w:tcPr>
            <w:tcW w:w="11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(19)</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23,299</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22,824</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Merger and Restructuring Costs</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9"/>
                <w:szCs w:val="19"/>
                <w:color w:val="auto"/>
              </w:rPr>
            </w:pPr>
          </w:p>
        </w:tc>
        <w:tc>
          <w:tcPr>
            <w:tcW w:w="580" w:type="dxa"/>
            <w:vAlign w:val="bottom"/>
          </w:tcPr>
          <w:p>
            <w:pPr>
              <w:jc w:val="right"/>
              <w:ind w:right="53"/>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w w:val="87"/>
              </w:rPr>
              <w:t>(2,523)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(1,431)</w:t>
            </w: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Operating Expense</w:t>
            </w:r>
          </w:p>
        </w:tc>
        <w:tc>
          <w:tcPr>
            <w:tcW w:w="11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(16)</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20,776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21,393</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Less: Amortization of Intangibles</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9"/>
                <w:szCs w:val="19"/>
                <w:color w:val="auto"/>
              </w:rPr>
            </w:pPr>
          </w:p>
        </w:tc>
        <w:tc>
          <w:tcPr>
            <w:tcW w:w="58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52"/>
              <w:spacing w:after="0"/>
              <w:rPr>
                <w:sz w:val="20"/>
                <w:szCs w:val="20"/>
                <w:color w:val="auto"/>
              </w:rPr>
            </w:pPr>
            <w:r>
              <w:rPr>
                <w:rFonts w:ascii="Arial" w:cs="Arial" w:eastAsia="Arial" w:hAnsi="Arial"/>
                <w:sz w:val="18"/>
                <w:szCs w:val="18"/>
                <w:color w:val="auto"/>
              </w:rPr>
              <w:t>(729)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(528)</w:t>
            </w: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Cash Operating Expense</w:t>
            </w:r>
          </w:p>
        </w:tc>
        <w:tc>
          <w:tcPr>
            <w:tcW w:w="11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(5)</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(16)</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20,047</w:t>
            </w:r>
          </w:p>
        </w:tc>
        <w:tc>
          <w:tcPr>
            <w:tcW w:w="28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20,865</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5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CREDIT COSTS</w:t>
            </w:r>
          </w:p>
        </w:tc>
        <w:tc>
          <w:tcPr>
            <w:tcW w:w="1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60"/>
              <w:spacing w:after="0"/>
              <w:rPr>
                <w:sz w:val="20"/>
                <w:szCs w:val="20"/>
                <w:color w:val="auto"/>
              </w:rPr>
            </w:pPr>
            <w:r>
              <w:rPr>
                <w:rFonts w:ascii="Arial" w:cs="Arial" w:eastAsia="Arial" w:hAnsi="Arial"/>
                <w:sz w:val="18"/>
                <w:szCs w:val="18"/>
                <w:color w:val="auto"/>
              </w:rPr>
              <w:t>Provision for Loan Losses — Reported</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97</w:t>
            </w:r>
          </w:p>
        </w:tc>
        <w:tc>
          <w:tcPr>
            <w:tcW w:w="900" w:type="dxa"/>
            <w:vAlign w:val="bottom"/>
          </w:tcPr>
          <w:p>
            <w:pPr>
              <w:spacing w:after="0"/>
              <w:rPr>
                <w:sz w:val="18"/>
                <w:szCs w:val="18"/>
                <w:color w:val="auto"/>
              </w:rPr>
            </w:pPr>
          </w:p>
        </w:tc>
        <w:tc>
          <w:tcPr>
            <w:tcW w:w="580" w:type="dxa"/>
            <w:vAlign w:val="bottom"/>
          </w:tcPr>
          <w:p>
            <w:pPr>
              <w:jc w:val="right"/>
              <w:ind w:right="113"/>
              <w:spacing w:after="0"/>
              <w:rPr>
                <w:sz w:val="20"/>
                <w:szCs w:val="20"/>
                <w:color w:val="auto"/>
              </w:rPr>
            </w:pPr>
            <w:r>
              <w:rPr>
                <w:rFonts w:ascii="Arial" w:cs="Arial" w:eastAsia="Arial" w:hAnsi="Arial"/>
                <w:sz w:val="18"/>
                <w:szCs w:val="18"/>
                <w:color w:val="auto"/>
              </w:rPr>
              <w:t>259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3,185</w:t>
            </w:r>
          </w:p>
        </w:tc>
        <w:tc>
          <w:tcPr>
            <w:tcW w:w="2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1,377</w:t>
            </w:r>
          </w:p>
        </w:tc>
        <w:tc>
          <w:tcPr>
            <w:tcW w:w="30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Add: Impact of Credit Card Securitizations</w:t>
            </w:r>
          </w:p>
        </w:tc>
        <w:tc>
          <w:tcPr>
            <w:tcW w:w="11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(2)</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1,048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w:t>
            </w:r>
          </w:p>
        </w:tc>
        <w:tc>
          <w:tcPr>
            <w:tcW w:w="30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ind w:left="260"/>
              <w:spacing w:after="0"/>
              <w:rPr>
                <w:sz w:val="20"/>
                <w:szCs w:val="20"/>
                <w:color w:val="auto"/>
              </w:rPr>
            </w:pPr>
            <w:r>
              <w:rPr>
                <w:rFonts w:ascii="Arial" w:cs="Arial" w:eastAsia="Arial" w:hAnsi="Arial"/>
                <w:sz w:val="18"/>
                <w:szCs w:val="18"/>
                <w:b w:val="1"/>
                <w:bCs w:val="1"/>
                <w:color w:val="auto"/>
              </w:rPr>
              <w:t>Credit Costs — Operating</w:t>
            </w: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71</w:t>
            </w:r>
          </w:p>
        </w:tc>
        <w:tc>
          <w:tcPr>
            <w:tcW w:w="900" w:type="dxa"/>
            <w:vAlign w:val="bottom"/>
          </w:tcPr>
          <w:p>
            <w:pPr>
              <w:spacing w:after="0"/>
              <w:rPr>
                <w:sz w:val="24"/>
                <w:szCs w:val="24"/>
                <w:color w:val="auto"/>
              </w:rPr>
            </w:pPr>
          </w:p>
        </w:tc>
        <w:tc>
          <w:tcPr>
            <w:tcW w:w="580" w:type="dxa"/>
            <w:vAlign w:val="bottom"/>
          </w:tcPr>
          <w:p>
            <w:pPr>
              <w:jc w:val="right"/>
              <w:ind w:right="113"/>
              <w:spacing w:after="0"/>
              <w:rPr>
                <w:sz w:val="20"/>
                <w:szCs w:val="20"/>
                <w:color w:val="auto"/>
              </w:rPr>
            </w:pPr>
            <w:r>
              <w:rPr>
                <w:rFonts w:ascii="Arial" w:cs="Arial" w:eastAsia="Arial" w:hAnsi="Arial"/>
                <w:sz w:val="18"/>
                <w:szCs w:val="18"/>
                <w:color w:val="auto"/>
              </w:rPr>
              <w:t>160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4,233</w:t>
            </w:r>
          </w:p>
        </w:tc>
        <w:tc>
          <w:tcPr>
            <w:tcW w:w="280" w:type="dxa"/>
            <w:vAlign w:val="bottom"/>
          </w:tcPr>
          <w:p>
            <w:pPr>
              <w:spacing w:after="0"/>
              <w:rPr>
                <w:sz w:val="24"/>
                <w:szCs w:val="24"/>
                <w:color w:val="auto"/>
              </w:rPr>
            </w:pPr>
          </w:p>
        </w:tc>
        <w:tc>
          <w:tcPr>
            <w:tcW w:w="500" w:type="dxa"/>
            <w:vAlign w:val="bottom"/>
            <w:gridSpan w:val="2"/>
          </w:tcPr>
          <w:p>
            <w:pPr>
              <w:ind w:left="40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2,367</w:t>
            </w:r>
          </w:p>
        </w:tc>
        <w:tc>
          <w:tcPr>
            <w:tcW w:w="300" w:type="dxa"/>
            <w:vAlign w:val="bottom"/>
          </w:tcPr>
          <w:p>
            <w:pPr>
              <w:spacing w:after="0"/>
              <w:rPr>
                <w:sz w:val="24"/>
                <w:szCs w:val="24"/>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1" w:right="239" w:bottom="0" w:gutter="0" w:footer="0" w:header="0"/>
        </w:sectPr>
      </w:pPr>
    </w:p>
    <w:bookmarkStart w:id="36" w:name="page37"/>
    <w:bookmarkEnd w:id="36"/>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Fees and Commissions.</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special items.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SEGMENT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2002790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BANK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4QTR</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3QTR</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2QTR</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1QTR</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b w:val="1"/>
                <w:bCs w:val="1"/>
                <w:color w:val="auto"/>
              </w:rPr>
              <w:t>OPERATING INCOME STATEMENT</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Trading Revenue (Including Trading NII)</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1,518</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1,571</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2,126</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1,337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Investment Banking Fees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Interest Income</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Fees and Commissions</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 Revenue</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080" w:type="dxa"/>
            <w:vAlign w:val="bottom"/>
          </w:tcPr>
          <w:p>
            <w:pPr>
              <w:ind w:left="880"/>
              <w:spacing w:after="0"/>
              <w:rPr>
                <w:sz w:val="20"/>
                <w:szCs w:val="20"/>
                <w:color w:val="auto"/>
              </w:rPr>
            </w:pPr>
            <w:r>
              <w:rPr>
                <w:rFonts w:ascii="Arial" w:cs="Arial" w:eastAsia="Arial" w:hAnsi="Arial"/>
                <w:sz w:val="18"/>
                <w:szCs w:val="18"/>
                <w:b w:val="1"/>
                <w:bCs w:val="1"/>
                <w:color w:val="auto"/>
              </w:rPr>
              <w:t>TOTAL OPERATING REVENUE</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3,106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3,587</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3,773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4,433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3,707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b w:val="1"/>
                <w:bCs w:val="1"/>
                <w:color w:val="auto"/>
              </w:rPr>
              <w:t>EXPENSE:</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Compensation Expense</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w w:val="94"/>
              </w:rPr>
              <w:t>Noncompensation Expense (Excluding Intangibles)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640"/>
              <w:spacing w:after="0"/>
              <w:rPr>
                <w:sz w:val="20"/>
                <w:szCs w:val="20"/>
                <w:color w:val="auto"/>
              </w:rPr>
            </w:pPr>
            <w:r>
              <w:rPr>
                <w:rFonts w:ascii="Arial" w:cs="Arial" w:eastAsia="Arial" w:hAnsi="Arial"/>
                <w:sz w:val="18"/>
                <w:szCs w:val="18"/>
                <w:b w:val="1"/>
                <w:bCs w:val="1"/>
                <w:color w:val="auto"/>
              </w:rPr>
              <w:t>TOTAL CASH EXPENSE</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1,877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2,161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2,335</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2,605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2,809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640"/>
              <w:spacing w:after="0"/>
              <w:rPr>
                <w:sz w:val="20"/>
                <w:szCs w:val="20"/>
                <w:color w:val="auto"/>
              </w:rPr>
            </w:pPr>
            <w:r>
              <w:rPr>
                <w:rFonts w:ascii="Arial" w:cs="Arial" w:eastAsia="Arial" w:hAnsi="Arial"/>
                <w:sz w:val="18"/>
                <w:szCs w:val="18"/>
                <w:b w:val="1"/>
                <w:bCs w:val="1"/>
                <w:color w:val="auto"/>
              </w:rPr>
              <w:t>TOTAL OPERATING EXPENSE</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1,914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2,193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2,372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2,641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2,850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Operating Margin</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Credit Costs</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Operating Income Before Taxes</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1,124</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Income Taxes</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tcPr>
          <w:p>
            <w:pPr>
              <w:ind w:left="200"/>
              <w:spacing w:after="0"/>
              <w:rPr>
                <w:sz w:val="20"/>
                <w:szCs w:val="20"/>
                <w:color w:val="auto"/>
              </w:rPr>
            </w:pPr>
            <w:r>
              <w:rPr>
                <w:rFonts w:ascii="Arial" w:cs="Arial" w:eastAsia="Arial" w:hAnsi="Arial"/>
                <w:sz w:val="18"/>
                <w:szCs w:val="18"/>
                <w:b w:val="1"/>
                <w:bCs w:val="1"/>
                <w:color w:val="auto"/>
              </w:rPr>
              <w:t>OPERATING EARNINGS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683</w:t>
            </w:r>
          </w:p>
        </w:tc>
        <w:tc>
          <w:tcPr>
            <w:tcW w:w="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763</w:t>
            </w:r>
          </w:p>
        </w:tc>
        <w:tc>
          <w:tcPr>
            <w:tcW w:w="2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1,027</w:t>
            </w:r>
          </w:p>
        </w:tc>
        <w:tc>
          <w:tcPr>
            <w:tcW w:w="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b w:val="1"/>
                <w:bCs w:val="1"/>
                <w:color w:val="auto"/>
              </w:rPr>
              <w:t>CASH OPERATING EARNINGS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379</w:t>
            </w: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712</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795</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1,059</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497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00" w:type="dxa"/>
            <w:vAlign w:val="bottom"/>
            <w:gridSpan w:val="2"/>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gridSpan w:val="2"/>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100" w:type="dxa"/>
            <w:vAlign w:val="bottom"/>
            <w:gridSpan w:val="2"/>
          </w:tcPr>
          <w:p>
            <w:pPr>
              <w:spacing w:after="0"/>
              <w:rPr>
                <w:sz w:val="20"/>
                <w:szCs w:val="20"/>
                <w:color w:val="auto"/>
              </w:rPr>
            </w:pPr>
            <w:r>
              <w:rPr>
                <w:rFonts w:ascii="Arial" w:cs="Arial" w:eastAsia="Arial" w:hAnsi="Arial"/>
                <w:sz w:val="18"/>
                <w:szCs w:val="18"/>
                <w:color w:val="auto"/>
              </w:rPr>
              <w:t>Average Common Equity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19,091</w:t>
            </w: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18,610</w:t>
            </w:r>
          </w:p>
        </w:tc>
        <w:tc>
          <w:tcPr>
            <w:tcW w:w="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19,070</w:t>
            </w:r>
          </w:p>
        </w:tc>
        <w:tc>
          <w:tcPr>
            <w:tcW w:w="2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20,500</w:t>
            </w:r>
          </w:p>
        </w:tc>
        <w:tc>
          <w:tcPr>
            <w:tcW w:w="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20,930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510,817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514,637</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506,838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511,813</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487,878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SVA</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Cash Return on Common Equity</w:t>
            </w:r>
          </w:p>
        </w:tc>
        <w:tc>
          <w:tcPr>
            <w:tcW w:w="260" w:type="dxa"/>
            <w:vAlign w:val="bottom"/>
            <w:tcBorders>
              <w:right w:val="single" w:sz="8" w:color="EEEEEE"/>
            </w:tcBorders>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Overhead Ratio</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w w:val="93"/>
              </w:rPr>
              <w:t>Compensation Expense as a % of Operating Revenue</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TRADING-RELATED REVENUE</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Equities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w:t>
            </w:r>
          </w:p>
        </w:tc>
        <w:tc>
          <w:tcPr>
            <w:tcW w:w="2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Fixed Income and Other</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1,648</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969</w:t>
            </w:r>
          </w:p>
        </w:tc>
        <w:tc>
          <w:tcPr>
            <w:tcW w:w="2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1,518</w:t>
            </w:r>
          </w:p>
        </w:tc>
        <w:tc>
          <w:tcPr>
            <w:tcW w:w="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1,571</w:t>
            </w:r>
          </w:p>
        </w:tc>
        <w:tc>
          <w:tcPr>
            <w:tcW w:w="28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2,126</w:t>
            </w:r>
          </w:p>
        </w:tc>
        <w:tc>
          <w:tcPr>
            <w:tcW w:w="2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1,337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INVESTMENT BANKING FEES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Advisory</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Underwriting and Other Fees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937</w:t>
            </w:r>
          </w:p>
        </w:tc>
        <w:tc>
          <w:tcPr>
            <w:tcW w:w="24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809</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923</w:t>
            </w:r>
          </w:p>
        </w:tc>
        <w:tc>
          <w:tcPr>
            <w:tcW w:w="28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941</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1,045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MARKET SHARE/ RANKINGS: (b)</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Global Syndicated Loans (c)</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23.6% / #1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21.6% /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3"/>
              </w:rPr>
              <w:t>30.7% / #1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26.6% / #1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22.9% / #1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U.S. Investment Grade Bonds</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13.9% / #2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15.7% / #2</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13.8% / #2</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15.7% / #2</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15.2% / #2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Global High Yield Corporate Debt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16.9% / #2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11.7% / #3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9.9% / #5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5.7% / #9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7.6% / #3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Global Announced M&amp;A</w:t>
            </w: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25.8% / #3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31.8% / #5</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12.1% / #8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19.0% / #4</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14.7% / #6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U.S. Equity and Equity-Related</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7.5% / #6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7.2% / #7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2.1% / #9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0.9% / #9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0.9% / #12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39" w:name="page40"/>
    <w:bookmarkEnd w:id="39"/>
    <w:p>
      <w:pPr>
        <w:spacing w:after="0" w:line="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4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4QTR 2001</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jc w:val="right"/>
              <w:ind w:right="766"/>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84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Over (Under)</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3"/>
          </w:tcPr>
          <w:p>
            <w:pPr>
              <w:jc w:val="right"/>
              <w:ind w:right="506"/>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b w:val="1"/>
                <w:bCs w:val="1"/>
                <w:color w:val="auto"/>
              </w:rPr>
              <w:t>FULL YEAR</w:t>
            </w: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186"/>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b w:val="1"/>
                <w:bCs w:val="1"/>
                <w:color w:val="auto"/>
              </w:rPr>
              <w:t>3Q 2001</w:t>
            </w:r>
          </w:p>
        </w:tc>
        <w:tc>
          <w:tcPr>
            <w:tcW w:w="240" w:type="dxa"/>
            <w:vAlign w:val="bottom"/>
          </w:tcPr>
          <w:p>
            <w:pPr>
              <w:spacing w:after="0"/>
              <w:rPr>
                <w:sz w:val="22"/>
                <w:szCs w:val="22"/>
                <w:color w:val="auto"/>
              </w:rPr>
            </w:pPr>
          </w:p>
        </w:tc>
        <w:tc>
          <w:tcPr>
            <w:tcW w:w="860" w:type="dxa"/>
            <w:vAlign w:val="bottom"/>
          </w:tcPr>
          <w:p>
            <w:pPr>
              <w:jc w:val="right"/>
              <w:ind w:right="102"/>
              <w:spacing w:after="0"/>
              <w:rPr>
                <w:sz w:val="20"/>
                <w:szCs w:val="20"/>
                <w:color w:val="auto"/>
              </w:rPr>
            </w:pPr>
            <w:r>
              <w:rPr>
                <w:rFonts w:ascii="Arial" w:cs="Arial" w:eastAsia="Arial" w:hAnsi="Arial"/>
                <w:sz w:val="14"/>
                <w:szCs w:val="14"/>
                <w:b w:val="1"/>
                <w:bCs w:val="1"/>
                <w:color w:val="auto"/>
              </w:rPr>
              <w:t>4Q 2000</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980" w:type="dxa"/>
            <w:vAlign w:val="bottom"/>
          </w:tcPr>
          <w:p>
            <w:pPr>
              <w:jc w:val="right"/>
              <w:ind w:right="186"/>
              <w:spacing w:after="0"/>
              <w:rPr>
                <w:sz w:val="20"/>
                <w:szCs w:val="20"/>
                <w:color w:val="auto"/>
              </w:rPr>
            </w:pPr>
            <w:r>
              <w:rPr>
                <w:rFonts w:ascii="Arial" w:cs="Arial" w:eastAsia="Arial" w:hAnsi="Arial"/>
                <w:sz w:val="14"/>
                <w:szCs w:val="14"/>
                <w:b w:val="1"/>
                <w:bCs w:val="1"/>
                <w:color w:val="auto"/>
              </w:rPr>
              <w:t>2000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b w:val="1"/>
                <w:bCs w:val="1"/>
                <w:color w:val="auto"/>
              </w:rPr>
              <w:t>OPERATING INCOME STATEMENT</w:t>
            </w: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b w:val="1"/>
                <w:bCs w:val="1"/>
                <w:color w:val="auto"/>
              </w:rPr>
              <w:t>REVENUE: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Trading Revenue (Including Trading NII)</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6,184</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6,820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Investment Banking Fees</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Net Interest Income</w:t>
            </w: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EEEEEE"/>
          </w:tcPr>
          <w:p>
            <w:pPr>
              <w:jc w:val="right"/>
              <w:ind w:right="162"/>
              <w:spacing w:after="0"/>
              <w:rPr>
                <w:sz w:val="20"/>
                <w:szCs w:val="20"/>
                <w:color w:val="auto"/>
              </w:rPr>
            </w:pPr>
            <w:r>
              <w:rPr>
                <w:rFonts w:ascii="Arial" w:cs="Arial" w:eastAsia="Arial" w:hAnsi="Arial"/>
                <w:sz w:val="18"/>
                <w:szCs w:val="18"/>
                <w:color w:val="auto"/>
              </w:rPr>
              <w:t>25</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2,596</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19</w:t>
            </w:r>
          </w:p>
        </w:tc>
        <w:tc>
          <w:tcPr>
            <w:tcW w:w="1220" w:type="dxa"/>
            <w:vAlign w:val="bottom"/>
            <w:gridSpan w:val="2"/>
            <w:shd w:val="clear" w:color="auto" w:fill="EEEEEE"/>
          </w:tcPr>
          <w:p>
            <w:pPr>
              <w:jc w:val="right"/>
              <w:ind w:right="16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Fees and Commissions</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All Other Revenue</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(95)</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(98)</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637</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260" w:type="dxa"/>
            <w:vAlign w:val="bottom"/>
          </w:tcPr>
          <w:p>
            <w:pPr>
              <w:ind w:left="960"/>
              <w:spacing w:after="0"/>
              <w:rPr>
                <w:sz w:val="20"/>
                <w:szCs w:val="20"/>
                <w:color w:val="auto"/>
              </w:rPr>
            </w:pPr>
            <w:r>
              <w:rPr>
                <w:rFonts w:ascii="Arial" w:cs="Arial" w:eastAsia="Arial" w:hAnsi="Arial"/>
                <w:sz w:val="18"/>
                <w:szCs w:val="18"/>
                <w:b w:val="1"/>
                <w:bCs w:val="1"/>
                <w:color w:val="auto"/>
              </w:rPr>
              <w:t>TOTAL OPERATING REVENUE</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14,899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15,963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b w:val="1"/>
                <w:bCs w:val="1"/>
                <w:color w:val="auto"/>
              </w:rPr>
              <w:t>EXPENSE: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Compensation Expense</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5,785</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6,641</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(13)</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w w:val="99"/>
              </w:rPr>
              <w:t>Noncompensation Expense (Excluding Intangibles)</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(7)</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700"/>
              <w:spacing w:after="0"/>
              <w:rPr>
                <w:sz w:val="20"/>
                <w:szCs w:val="20"/>
                <w:color w:val="auto"/>
              </w:rPr>
            </w:pPr>
            <w:r>
              <w:rPr>
                <w:rFonts w:ascii="Arial" w:cs="Arial" w:eastAsia="Arial" w:hAnsi="Arial"/>
                <w:sz w:val="18"/>
                <w:szCs w:val="18"/>
                <w:b w:val="1"/>
                <w:bCs w:val="1"/>
                <w:color w:val="auto"/>
              </w:rPr>
              <w:t>TOTAL CASH EXPENSE</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8,978</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10,064</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53</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700"/>
              <w:spacing w:after="0"/>
              <w:rPr>
                <w:sz w:val="20"/>
                <w:szCs w:val="20"/>
                <w:color w:val="auto"/>
              </w:rPr>
            </w:pPr>
            <w:r>
              <w:rPr>
                <w:rFonts w:ascii="Arial" w:cs="Arial" w:eastAsia="Arial" w:hAnsi="Arial"/>
                <w:sz w:val="18"/>
                <w:szCs w:val="18"/>
                <w:b w:val="1"/>
                <w:bCs w:val="1"/>
                <w:color w:val="auto"/>
              </w:rPr>
              <w:t>TOTAL OPERATING EXPENSE</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9,120</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10,157</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Operating Margin</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162"/>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5,779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Credit Costs</w:t>
            </w: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129</w:t>
            </w:r>
          </w:p>
        </w:tc>
        <w:tc>
          <w:tcPr>
            <w:tcW w:w="1100" w:type="dxa"/>
            <w:vAlign w:val="bottom"/>
            <w:gridSpan w:val="2"/>
            <w:shd w:val="clear" w:color="auto" w:fill="EEEEEE"/>
          </w:tcPr>
          <w:p>
            <w:pPr>
              <w:jc w:val="right"/>
              <w:ind w:right="162"/>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1,155</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255</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353</w:t>
            </w:r>
          </w:p>
        </w:tc>
        <w:tc>
          <w:tcPr>
            <w:tcW w:w="1220" w:type="dxa"/>
            <w:vAlign w:val="bottom"/>
            <w:gridSpan w:val="2"/>
            <w:shd w:val="clear" w:color="auto" w:fill="EEEEEE"/>
          </w:tcPr>
          <w:p>
            <w:pPr>
              <w:jc w:val="right"/>
              <w:ind w:right="166"/>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Operating Income Before Taxes</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5,551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(49)</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(11)</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1,805</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2,142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52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60" w:type="dxa"/>
            <w:vAlign w:val="bottom"/>
          </w:tcPr>
          <w:p>
            <w:pPr>
              <w:ind w:left="200"/>
              <w:spacing w:after="0"/>
              <w:rPr>
                <w:sz w:val="20"/>
                <w:szCs w:val="20"/>
                <w:color w:val="auto"/>
              </w:rPr>
            </w:pPr>
            <w:r>
              <w:rPr>
                <w:rFonts w:ascii="Arial" w:cs="Arial" w:eastAsia="Arial" w:hAnsi="Arial"/>
                <w:sz w:val="18"/>
                <w:szCs w:val="18"/>
                <w:b w:val="1"/>
                <w:bCs w:val="1"/>
                <w:color w:val="auto"/>
              </w:rPr>
              <w:t>OPERATING EARNINGS</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(49)</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(25)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2,819</w:t>
            </w:r>
          </w:p>
        </w:tc>
        <w:tc>
          <w:tcPr>
            <w:tcW w:w="2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3,409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(17)</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b w:val="1"/>
                <w:bCs w:val="1"/>
                <w:color w:val="auto"/>
              </w:rPr>
              <w:t>CASH OPERATING EARNINGS</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(47)</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(24)</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2,945</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3,486</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5"/>
        </w:trPr>
        <w:tc>
          <w:tcPr>
            <w:tcW w:w="428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5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80" w:type="dxa"/>
            <w:vAlign w:val="bottom"/>
            <w:gridSpan w:val="2"/>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Borders>
              <w:right w:val="single" w:sz="8" w:color="808080"/>
            </w:tcBorders>
            <w:gridSpan w:val="2"/>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280" w:type="dxa"/>
            <w:vAlign w:val="bottom"/>
            <w:gridSpan w:val="2"/>
          </w:tcPr>
          <w:p>
            <w:pPr>
              <w:spacing w:after="0"/>
              <w:rPr>
                <w:sz w:val="20"/>
                <w:szCs w:val="20"/>
                <w:color w:val="auto"/>
              </w:rPr>
            </w:pPr>
            <w:r>
              <w:rPr>
                <w:rFonts w:ascii="Arial" w:cs="Arial" w:eastAsia="Arial" w:hAnsi="Arial"/>
                <w:sz w:val="18"/>
                <w:szCs w:val="18"/>
                <w:color w:val="auto"/>
              </w:rPr>
              <w:t>Average Common Equity</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19,312</w:t>
            </w:r>
          </w:p>
        </w:tc>
        <w:tc>
          <w:tcPr>
            <w:tcW w:w="2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18,796</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EEEEEE"/>
          </w:tcPr>
          <w:p>
            <w:pPr>
              <w:jc w:val="right"/>
              <w:ind w:right="162"/>
              <w:spacing w:after="0"/>
              <w:rPr>
                <w:sz w:val="20"/>
                <w:szCs w:val="20"/>
                <w:color w:val="auto"/>
              </w:rPr>
            </w:pPr>
            <w:r>
              <w:rPr>
                <w:rFonts w:ascii="Arial" w:cs="Arial" w:eastAsia="Arial" w:hAnsi="Arial"/>
                <w:sz w:val="18"/>
                <w:szCs w:val="18"/>
                <w:color w:val="auto"/>
              </w:rPr>
              <w:t>5</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511,034</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471,283</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8</w:t>
            </w:r>
          </w:p>
        </w:tc>
        <w:tc>
          <w:tcPr>
            <w:tcW w:w="1220" w:type="dxa"/>
            <w:vAlign w:val="bottom"/>
            <w:gridSpan w:val="2"/>
            <w:shd w:val="clear" w:color="auto" w:fill="EEEEEE"/>
          </w:tcPr>
          <w:p>
            <w:pPr>
              <w:jc w:val="right"/>
              <w:ind w:right="16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SVA</w:t>
            </w:r>
          </w:p>
        </w:tc>
        <w:tc>
          <w:tcPr>
            <w:tcW w:w="740" w:type="dxa"/>
            <w:vAlign w:val="bottom"/>
          </w:tcPr>
          <w:p>
            <w:pPr>
              <w:jc w:val="right"/>
              <w:ind w:right="134"/>
              <w:spacing w:after="0"/>
              <w:rPr>
                <w:sz w:val="20"/>
                <w:szCs w:val="20"/>
                <w:color w:val="auto"/>
              </w:rPr>
            </w:pPr>
            <w:r>
              <w:rPr>
                <w:rFonts w:ascii="Arial" w:cs="Arial" w:eastAsia="Arial" w:hAnsi="Arial"/>
                <w:sz w:val="18"/>
                <w:szCs w:val="18"/>
                <w:color w:val="auto"/>
              </w:rPr>
              <w:t>NM</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( 41)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(49)</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Cash Return on Common Equity</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(730)bp</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(150)bp</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(320)bp</w:t>
            </w: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Cash Overhead Ratio</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(1,600)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(300)</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w w:val="98"/>
              </w:rPr>
              <w:t>Compensation Expense as a % of Operating Revenue</w:t>
            </w: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(300)</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TRADING-RELATED REVENUE</w:t>
            </w: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Equities</w:t>
            </w: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1,210</w:t>
            </w:r>
          </w:p>
        </w:tc>
        <w:tc>
          <w:tcPr>
            <w:tcW w:w="2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Fixed Income and Other</w:t>
            </w:r>
          </w:p>
        </w:tc>
        <w:tc>
          <w:tcPr>
            <w:tcW w:w="74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(32)</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(21)</w:t>
            </w: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4,974</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5,184</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(4)</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52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60" w:type="dxa"/>
            <w:vAlign w:val="bottom"/>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(28)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6,184</w:t>
            </w:r>
          </w:p>
        </w:tc>
        <w:tc>
          <w:tcPr>
            <w:tcW w:w="2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6,820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7"/>
        </w:trPr>
        <w:tc>
          <w:tcPr>
            <w:tcW w:w="428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INVESTMENT BANKING FEES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Advisory</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1,252</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1,801</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Underwriting and Other Fees</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ind w:right="16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ind w:right="10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(10)</w:t>
            </w: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3,610</w:t>
            </w:r>
          </w:p>
        </w:tc>
        <w:tc>
          <w:tcPr>
            <w:tcW w:w="28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4,356</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94"/>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EEEEEE"/>
          </w:tcPr>
          <w:p>
            <w:pPr>
              <w:jc w:val="right"/>
              <w:ind w:right="10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MARKET SHARE/ RANKINGS: (b)</w:t>
            </w: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Global Syndicated Loans (c)</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5"/>
              </w:rPr>
              <w:t>26.0% / #1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3"/>
              </w:rPr>
              <w:t>22.9% / #1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U.S. Investment Grade Bonds</w:t>
            </w: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14.8% / #2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16.4% / #2</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Global High Yield Corporate Debt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9.8% / #4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3"/>
              </w:rPr>
              <w:t>10.0% / #5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Global Announced M&amp;A</w:t>
            </w: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22.3% / #5</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16.7% / #6</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U.S. Equity and Equity-Related</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4.2% / #8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5.3% / #6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results assume that the purchase of Flemings occurred at the beginning of 2000.</w:t>
      </w:r>
    </w:p>
    <w:p>
      <w:pPr>
        <w:sectPr>
          <w:pgSz w:w="11900" w:h="16866" w:orient="portrait"/>
          <w:cols w:equalWidth="0" w:num="1">
            <w:col w:w="11420"/>
          </w:cols>
          <w:pgMar w:left="240" w:top="1401" w:right="239" w:bottom="0" w:gutter="0" w:footer="0" w:header="0"/>
        </w:sectPr>
      </w:pPr>
    </w:p>
    <w:bookmarkStart w:id="40" w:name="page41"/>
    <w:bookmarkEnd w:id="40"/>
    <w:p>
      <w:pPr>
        <w:ind w:left="540" w:right="380" w:hanging="532"/>
        <w:spacing w:after="0" w:line="25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Derived from Thomson Financial Securities Data. Global announced M&amp;A based on rank value; all others based on proceeds, with full credit to each book manager/equal if joint.</w:t>
      </w:r>
    </w:p>
    <w:p>
      <w:pPr>
        <w:ind w:left="540" w:right="200" w:hanging="532"/>
        <w:spacing w:after="0" w:line="26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2001, data reflects the Bookrunner title for all regions. Data before 2001 combined the Bookrunner title in the Americas with the Mandated Arranger title elsewhere, since global Bookrunner data was not published.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Prior periods have been restated to conform with current methodologies.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&amp; PRIVATE BANKING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4QTR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3QTR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2QTR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1QTR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OPERATING INCOME STATEMENT</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6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Fees and Commissions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591</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All Other Revenue</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60" w:type="dxa"/>
            <w:vAlign w:val="bottom"/>
          </w:tcPr>
          <w:p>
            <w:pPr>
              <w:ind w:left="1080"/>
              <w:spacing w:after="0"/>
              <w:rPr>
                <w:sz w:val="20"/>
                <w:szCs w:val="20"/>
                <w:color w:val="auto"/>
              </w:rPr>
            </w:pPr>
            <w:r>
              <w:rPr>
                <w:rFonts w:ascii="Arial" w:cs="Arial" w:eastAsia="Arial" w:hAnsi="Arial"/>
                <w:sz w:val="18"/>
                <w:szCs w:val="18"/>
                <w:b w:val="1"/>
                <w:bCs w:val="1"/>
                <w:color w:val="auto"/>
              </w:rPr>
              <w:t>TOTAL OPERATING REVENUE</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729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736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819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60"/>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Compensation Expense</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Noncompensation Expense (Excluding Intangibles)</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800"/>
              <w:spacing w:after="0"/>
              <w:rPr>
                <w:sz w:val="20"/>
                <w:szCs w:val="20"/>
                <w:color w:val="auto"/>
              </w:rPr>
            </w:pPr>
            <w:r>
              <w:rPr>
                <w:rFonts w:ascii="Arial" w:cs="Arial" w:eastAsia="Arial" w:hAnsi="Arial"/>
                <w:sz w:val="18"/>
                <w:szCs w:val="18"/>
                <w:b w:val="1"/>
                <w:bCs w:val="1"/>
                <w:color w:val="auto"/>
              </w:rPr>
              <w:t>TOTAL CASH EXPENSE</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581</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574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646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685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725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800"/>
              <w:spacing w:after="0"/>
              <w:rPr>
                <w:sz w:val="20"/>
                <w:szCs w:val="20"/>
                <w:color w:val="auto"/>
              </w:rPr>
            </w:pPr>
            <w:r>
              <w:rPr>
                <w:rFonts w:ascii="Arial" w:cs="Arial" w:eastAsia="Arial" w:hAnsi="Arial"/>
                <w:sz w:val="18"/>
                <w:szCs w:val="18"/>
                <w:b w:val="1"/>
                <w:bCs w:val="1"/>
                <w:color w:val="auto"/>
              </w:rPr>
              <w:t>TOTAL OPERATING EXPENSE</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653</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649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717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756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796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Credit Costs</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Operating Income Before Taxes</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Taxes</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60" w:type="dxa"/>
            <w:vAlign w:val="bottom"/>
          </w:tcPr>
          <w:p>
            <w:pPr>
              <w:ind w:left="260"/>
              <w:spacing w:after="0"/>
              <w:rPr>
                <w:sz w:val="20"/>
                <w:szCs w:val="20"/>
                <w:color w:val="auto"/>
              </w:rPr>
            </w:pPr>
            <w:r>
              <w:rPr>
                <w:rFonts w:ascii="Arial" w:cs="Arial" w:eastAsia="Arial" w:hAnsi="Arial"/>
                <w:sz w:val="18"/>
                <w:szCs w:val="18"/>
                <w:b w:val="1"/>
                <w:bCs w:val="1"/>
                <w:color w:val="auto"/>
              </w:rPr>
              <w:t>OPERATING EARNINGS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CASH OPERATING EARNINGS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115</w:t>
            </w:r>
          </w:p>
        </w:tc>
        <w:tc>
          <w:tcPr>
            <w:tcW w:w="3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124</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123</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105</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7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8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80" w:type="dxa"/>
            <w:vAlign w:val="bottom"/>
            <w:gridSpan w:val="2"/>
          </w:tcPr>
          <w:p>
            <w:pPr>
              <w:spacing w:after="0"/>
              <w:rPr>
                <w:sz w:val="20"/>
                <w:szCs w:val="20"/>
                <w:color w:val="auto"/>
              </w:rPr>
            </w:pPr>
            <w:r>
              <w:rPr>
                <w:rFonts w:ascii="Arial" w:cs="Arial" w:eastAsia="Arial" w:hAnsi="Arial"/>
                <w:sz w:val="18"/>
                <w:szCs w:val="18"/>
                <w:color w:val="auto"/>
              </w:rPr>
              <w:t>Average Common Equity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5,980</w:t>
            </w:r>
          </w:p>
        </w:tc>
        <w:tc>
          <w:tcPr>
            <w:tcW w:w="3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5,951</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6,066</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6,318</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6,473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33,817</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34,038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33,512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35,247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34,518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SVA</w:t>
            </w: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color w:val="auto"/>
              </w:rPr>
              <w:t>Cash Return on Common Equity</w:t>
            </w: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Cash Overhead Ratio</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 billions)</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 UNDER MANAGEMENT (b)</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b w:val="1"/>
                <w:bCs w:val="1"/>
                <w:color w:val="auto"/>
              </w:rPr>
              <w:t>605</w:t>
            </w:r>
            <w:r>
              <w:rPr>
                <w:rFonts w:ascii="Arial" w:cs="Arial" w:eastAsia="Arial" w:hAnsi="Arial"/>
                <w:sz w:val="18"/>
                <w:szCs w:val="18"/>
                <w:color w:val="auto"/>
              </w:rPr>
              <w:t>(c)</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584</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611</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608</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638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Private Banking</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141(c)</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Institutional</w:t>
            </w: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404(c)</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Retail</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60(c)</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ASSETS UNDER MANAGEMENT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605</w:t>
            </w:r>
            <w:r>
              <w:rPr>
                <w:rFonts w:ascii="Arial" w:cs="Arial" w:eastAsia="Arial" w:hAnsi="Arial"/>
                <w:sz w:val="18"/>
                <w:szCs w:val="18"/>
                <w:color w:val="auto"/>
              </w:rPr>
              <w:t>(c)</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441(c)</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Europe and Asia</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164(c)</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ASSETS UNDER MANAGEMENT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605</w:t>
            </w:r>
            <w:r>
              <w:rPr>
                <w:rFonts w:ascii="Arial" w:cs="Arial" w:eastAsia="Arial" w:hAnsi="Arial"/>
                <w:sz w:val="18"/>
                <w:szCs w:val="18"/>
                <w:color w:val="auto"/>
              </w:rPr>
              <w:t>(c)</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638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Fixed Income and Cash</w:t>
            </w: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329(c)</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520"/>
              <w:spacing w:after="0"/>
              <w:rPr>
                <w:sz w:val="20"/>
                <w:szCs w:val="20"/>
                <w:color w:val="auto"/>
              </w:rPr>
            </w:pPr>
            <w:r>
              <w:rPr>
                <w:rFonts w:ascii="Arial" w:cs="Arial" w:eastAsia="Arial" w:hAnsi="Arial"/>
                <w:sz w:val="18"/>
                <w:szCs w:val="18"/>
                <w:color w:val="auto"/>
              </w:rPr>
              <w:t>Equities and Other</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276(c)</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ASSETS UNDER SUPERVISION (d)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Private Banking</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b w:val="1"/>
                <w:bCs w:val="1"/>
                <w:color w:val="auto"/>
              </w:rPr>
              <w:t>302</w:t>
            </w:r>
            <w:r>
              <w:rPr>
                <w:rFonts w:ascii="Arial" w:cs="Arial" w:eastAsia="Arial" w:hAnsi="Arial"/>
                <w:sz w:val="18"/>
                <w:szCs w:val="18"/>
                <w:color w:val="auto"/>
              </w:rPr>
              <w:t>(c)</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302</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316</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320</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342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60" w:type="dxa"/>
            <w:vAlign w:val="bottom"/>
            <w:gridSpan w:val="3"/>
          </w:tcPr>
          <w:p>
            <w:pPr>
              <w:jc w:val="right"/>
              <w:ind w:right="317"/>
              <w:spacing w:after="0"/>
              <w:rPr>
                <w:sz w:val="20"/>
                <w:szCs w:val="20"/>
                <w:color w:val="auto"/>
              </w:rPr>
            </w:pPr>
            <w:r>
              <w:rPr>
                <w:rFonts w:ascii="Arial" w:cs="Arial" w:eastAsia="Arial" w:hAnsi="Arial"/>
                <w:sz w:val="14"/>
                <w:szCs w:val="14"/>
                <w:b w:val="1"/>
                <w:bCs w:val="1"/>
                <w:color w:val="auto"/>
              </w:rPr>
              <w:t>4QTR 2001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2001</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46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Over (Under)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20" w:type="dxa"/>
            <w:vAlign w:val="bottom"/>
            <w:gridSpan w:val="7"/>
          </w:tcPr>
          <w:p>
            <w:pPr>
              <w:ind w:left="460"/>
              <w:spacing w:after="0"/>
              <w:rPr>
                <w:sz w:val="20"/>
                <w:szCs w:val="20"/>
                <w:color w:val="auto"/>
              </w:rPr>
            </w:pPr>
            <w:r>
              <w:rPr>
                <w:rFonts w:ascii="Arial" w:cs="Arial" w:eastAsia="Arial" w:hAnsi="Arial"/>
                <w:sz w:val="14"/>
                <w:szCs w:val="14"/>
                <w:b w:val="1"/>
                <w:bCs w:val="1"/>
                <w:color w:val="auto"/>
              </w:rPr>
              <w:t>FULL YEAR</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Proforma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6"/>
              </w:rPr>
              <w:t>3Q 2001</w:t>
            </w:r>
          </w:p>
        </w:tc>
        <w:tc>
          <w:tcPr>
            <w:tcW w:w="3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4Q 2000</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2000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280"/>
              <w:spacing w:after="0"/>
              <w:rPr>
                <w:sz w:val="20"/>
                <w:szCs w:val="20"/>
                <w:color w:val="auto"/>
              </w:rPr>
            </w:pPr>
            <w:r>
              <w:rPr>
                <w:rFonts w:ascii="Arial" w:cs="Arial" w:eastAsia="Arial" w:hAnsi="Arial"/>
                <w:sz w:val="18"/>
                <w:szCs w:val="18"/>
                <w:b w:val="1"/>
                <w:bCs w:val="1"/>
                <w:color w:val="auto"/>
              </w:rPr>
              <w:t>OPERATING INCOME STATEMENT</w:t>
            </w: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80"/>
              <w:spacing w:after="0"/>
              <w:rPr>
                <w:sz w:val="20"/>
                <w:szCs w:val="20"/>
                <w:color w:val="auto"/>
              </w:rPr>
            </w:pPr>
            <w:r>
              <w:rPr>
                <w:rFonts w:ascii="Arial" w:cs="Arial" w:eastAsia="Arial" w:hAnsi="Arial"/>
                <w:sz w:val="18"/>
                <w:szCs w:val="18"/>
                <w:b w:val="1"/>
                <w:bCs w:val="1"/>
                <w:color w:val="auto"/>
              </w:rPr>
              <w:t>REVENUE: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Fees and Commissions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2,300</w:t>
            </w:r>
          </w:p>
        </w:tc>
        <w:tc>
          <w:tcPr>
            <w:tcW w:w="20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Net Interest Income</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jc w:val="right"/>
              <w:ind w:right="8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All Other Revenue</w:t>
            </w:r>
          </w:p>
        </w:tc>
        <w:tc>
          <w:tcPr>
            <w:tcW w:w="6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(60)</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00" w:type="dxa"/>
            <w:vAlign w:val="bottom"/>
          </w:tcPr>
          <w:p>
            <w:pPr>
              <w:ind w:left="1120"/>
              <w:spacing w:after="0"/>
              <w:rPr>
                <w:sz w:val="20"/>
                <w:szCs w:val="20"/>
                <w:color w:val="auto"/>
              </w:rPr>
            </w:pPr>
            <w:r>
              <w:rPr>
                <w:rFonts w:ascii="Arial" w:cs="Arial" w:eastAsia="Arial" w:hAnsi="Arial"/>
                <w:sz w:val="18"/>
                <w:szCs w:val="18"/>
                <w:b w:val="1"/>
                <w:bCs w:val="1"/>
                <w:color w:val="auto"/>
              </w:rPr>
              <w:t>TOTAL OPERATING REVENUE</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3,085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3,362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1020" w:type="dxa"/>
            <w:vAlign w:val="bottom"/>
            <w:gridSpan w:val="2"/>
          </w:tcPr>
          <w:p>
            <w:pPr>
              <w:jc w:val="right"/>
              <w:ind w:right="8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80"/>
              <w:spacing w:after="0"/>
              <w:rPr>
                <w:sz w:val="20"/>
                <w:szCs w:val="20"/>
                <w:color w:val="auto"/>
              </w:rPr>
            </w:pPr>
            <w:r>
              <w:rPr>
                <w:rFonts w:ascii="Arial" w:cs="Arial" w:eastAsia="Arial" w:hAnsi="Arial"/>
                <w:sz w:val="18"/>
                <w:szCs w:val="18"/>
                <w:b w:val="1"/>
                <w:bCs w:val="1"/>
                <w:color w:val="auto"/>
              </w:rPr>
              <w:t>EXPENSE:</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Compensation Expense</w:t>
            </w:r>
          </w:p>
        </w:tc>
        <w:tc>
          <w:tcPr>
            <w:tcW w:w="6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(26)</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(7)</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Noncompensation Expense (Excluding Intangibles)</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8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TOTAL CASH EXPENSE</w:t>
            </w:r>
          </w:p>
        </w:tc>
        <w:tc>
          <w:tcPr>
            <w:tcW w:w="6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(20)</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2,486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2,516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Amortization of Intangibles</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137"/>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101</w:t>
            </w:r>
          </w:p>
        </w:tc>
        <w:tc>
          <w:tcPr>
            <w:tcW w:w="1020" w:type="dxa"/>
            <w:vAlign w:val="bottom"/>
            <w:gridSpan w:val="2"/>
          </w:tcPr>
          <w:p>
            <w:pPr>
              <w:jc w:val="right"/>
              <w:ind w:right="146"/>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840"/>
              <w:spacing w:after="0"/>
              <w:rPr>
                <w:sz w:val="20"/>
                <w:szCs w:val="20"/>
                <w:color w:val="auto"/>
              </w:rPr>
            </w:pPr>
            <w:r>
              <w:rPr>
                <w:rFonts w:ascii="Arial" w:cs="Arial" w:eastAsia="Arial" w:hAnsi="Arial"/>
                <w:sz w:val="18"/>
                <w:szCs w:val="18"/>
                <w:b w:val="1"/>
                <w:bCs w:val="1"/>
                <w:color w:val="auto"/>
              </w:rPr>
              <w:t>TOTAL OPERATING EXPENSE</w:t>
            </w:r>
          </w:p>
        </w:tc>
        <w:tc>
          <w:tcPr>
            <w:tcW w:w="6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(18)</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2,775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2,660</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Operating Margin</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(56)</w:t>
            </w:r>
          </w:p>
        </w:tc>
        <w:tc>
          <w:tcPr>
            <w:tcW w:w="1020" w:type="dxa"/>
            <w:vAlign w:val="bottom"/>
            <w:gridSpan w:val="2"/>
          </w:tcPr>
          <w:p>
            <w:pPr>
              <w:jc w:val="right"/>
              <w:ind w:right="8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Credit Costs</w:t>
            </w:r>
          </w:p>
        </w:tc>
        <w:tc>
          <w:tcPr>
            <w:tcW w:w="6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(17)</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(17)</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(38)</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Operating Income Before Taxes</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(57)</w:t>
            </w:r>
          </w:p>
        </w:tc>
        <w:tc>
          <w:tcPr>
            <w:tcW w:w="1020" w:type="dxa"/>
            <w:vAlign w:val="bottom"/>
            <w:gridSpan w:val="2"/>
          </w:tcPr>
          <w:p>
            <w:pPr>
              <w:jc w:val="right"/>
              <w:ind w:right="86"/>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(33)</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b w:val="1"/>
                <w:bCs w:val="1"/>
                <w:color w:val="auto"/>
              </w:rPr>
              <w:t>OPERATING EARNINGS</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(35)</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2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74"/>
              <w:spacing w:after="0"/>
              <w:rPr>
                <w:sz w:val="20"/>
                <w:szCs w:val="20"/>
                <w:color w:val="auto"/>
              </w:rPr>
            </w:pPr>
            <w:r>
              <w:rPr>
                <w:rFonts w:ascii="Arial" w:cs="Arial" w:eastAsia="Arial" w:hAnsi="Arial"/>
                <w:sz w:val="18"/>
                <w:szCs w:val="18"/>
                <w:color w:val="auto"/>
              </w:rPr>
              <w:t>(57)</w:t>
            </w:r>
          </w:p>
        </w:tc>
        <w:tc>
          <w:tcPr>
            <w:tcW w:w="1020" w:type="dxa"/>
            <w:vAlign w:val="bottom"/>
            <w:gridSpan w:val="2"/>
          </w:tcPr>
          <w:p>
            <w:pPr>
              <w:jc w:val="right"/>
              <w:ind w:right="86"/>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280"/>
              <w:spacing w:after="0"/>
              <w:rPr>
                <w:sz w:val="20"/>
                <w:szCs w:val="20"/>
                <w:color w:val="auto"/>
              </w:rPr>
            </w:pPr>
            <w:r>
              <w:rPr>
                <w:rFonts w:ascii="Arial" w:cs="Arial" w:eastAsia="Arial" w:hAnsi="Arial"/>
                <w:sz w:val="18"/>
                <w:szCs w:val="18"/>
                <w:b w:val="1"/>
                <w:bCs w:val="1"/>
                <w:color w:val="auto"/>
              </w:rPr>
              <w:t>CASH OPERATING EARNINGS</w:t>
            </w:r>
          </w:p>
        </w:tc>
        <w:tc>
          <w:tcPr>
            <w:tcW w:w="6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(17)</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467</w:t>
            </w:r>
          </w:p>
        </w:tc>
        <w:tc>
          <w:tcPr>
            <w:tcW w:w="20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567</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(18)</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5"/>
        </w:trPr>
        <w:tc>
          <w:tcPr>
            <w:tcW w:w="5720" w:type="dxa"/>
            <w:vAlign w:val="bottom"/>
            <w:gridSpan w:val="2"/>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20" w:type="dxa"/>
            <w:vAlign w:val="bottom"/>
            <w:gridSpan w:val="2"/>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720" w:type="dxa"/>
            <w:vAlign w:val="bottom"/>
            <w:gridSpan w:val="2"/>
          </w:tcPr>
          <w:p>
            <w:pPr>
              <w:spacing w:after="0"/>
              <w:rPr>
                <w:sz w:val="20"/>
                <w:szCs w:val="20"/>
                <w:color w:val="auto"/>
              </w:rPr>
            </w:pPr>
            <w:r>
              <w:rPr>
                <w:rFonts w:ascii="Arial" w:cs="Arial" w:eastAsia="Arial" w:hAnsi="Arial"/>
                <w:sz w:val="18"/>
                <w:szCs w:val="18"/>
                <w:color w:val="auto"/>
              </w:rPr>
              <w:t>Average Common Equity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6,077</w:t>
            </w:r>
          </w:p>
        </w:tc>
        <w:tc>
          <w:tcPr>
            <w:tcW w:w="2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4,283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60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34,149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30,472</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EEEEEE"/>
          </w:tcPr>
          <w:p>
            <w:pPr>
              <w:jc w:val="right"/>
              <w:ind w:right="8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SVA</w:t>
            </w:r>
          </w:p>
        </w:tc>
        <w:tc>
          <w:tcPr>
            <w:tcW w:w="600" w:type="dxa"/>
            <w:vAlign w:val="bottom"/>
          </w:tcPr>
          <w:p>
            <w:pPr>
              <w:jc w:val="right"/>
              <w:ind w:right="74"/>
              <w:spacing w:after="0"/>
              <w:rPr>
                <w:sz w:val="20"/>
                <w:szCs w:val="20"/>
                <w:color w:val="auto"/>
              </w:rPr>
            </w:pPr>
            <w:r>
              <w:rPr>
                <w:rFonts w:ascii="Arial" w:cs="Arial" w:eastAsia="Arial" w:hAnsi="Arial"/>
                <w:sz w:val="18"/>
                <w:szCs w:val="18"/>
                <w:color w:val="auto"/>
              </w:rPr>
              <w:t>(17)</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ind w:right="86"/>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Cash Return on Common Equity</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(60)bp</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(80)bp</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6"/>
              </w:rPr>
              <w:t>(550)bp</w:t>
            </w: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(260)bp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Overhead Ratio</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56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34"/>
              <w:spacing w:after="0"/>
              <w:rPr>
                <w:sz w:val="20"/>
                <w:szCs w:val="20"/>
                <w:color w:val="auto"/>
              </w:rPr>
            </w:pPr>
            <w:r>
              <w:rPr>
                <w:rFonts w:ascii="Arial" w:cs="Arial" w:eastAsia="Arial" w:hAnsi="Arial"/>
                <w:sz w:val="18"/>
                <w:szCs w:val="18"/>
                <w:color w:val="auto"/>
              </w:rPr>
              <w:t>600</w:t>
            </w:r>
          </w:p>
        </w:tc>
        <w:tc>
          <w:tcPr>
            <w:tcW w:w="1020" w:type="dxa"/>
            <w:vAlign w:val="bottom"/>
            <w:gridSpan w:val="2"/>
          </w:tcPr>
          <w:p>
            <w:pPr>
              <w:jc w:val="right"/>
              <w:ind w:right="146"/>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(In billions)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 UNDER MANAGEMENT (b)</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Private Banking</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Institutional</w:t>
            </w:r>
          </w:p>
        </w:tc>
        <w:tc>
          <w:tcPr>
            <w:tcW w:w="6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EEEEEE"/>
          </w:tcPr>
          <w:p>
            <w:pPr>
              <w:jc w:val="right"/>
              <w:ind w:right="77"/>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Retail</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ASSETS UNDER MANAGEMENT</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Americas</w:t>
            </w:r>
          </w:p>
        </w:tc>
        <w:tc>
          <w:tcPr>
            <w:tcW w:w="6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Europe and Asia</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ASSETS UNDER MANAGEMENT</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Fixed Income and Cash</w:t>
            </w:r>
          </w:p>
        </w:tc>
        <w:tc>
          <w:tcPr>
            <w:tcW w:w="60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EEEEEE"/>
          </w:tcPr>
          <w:p>
            <w:pPr>
              <w:jc w:val="right"/>
              <w:ind w:right="137"/>
              <w:spacing w:after="0"/>
              <w:rPr>
                <w:sz w:val="20"/>
                <w:szCs w:val="20"/>
                <w:color w:val="auto"/>
              </w:rPr>
            </w:pPr>
            <w:r>
              <w:rPr>
                <w:rFonts w:ascii="Arial" w:cs="Arial" w:eastAsia="Arial" w:hAnsi="Arial"/>
                <w:sz w:val="18"/>
                <w:szCs w:val="18"/>
                <w:color w:val="auto"/>
              </w:rPr>
              <w:t>11</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560"/>
              <w:spacing w:after="0"/>
              <w:rPr>
                <w:sz w:val="20"/>
                <w:szCs w:val="20"/>
                <w:color w:val="auto"/>
              </w:rPr>
            </w:pPr>
            <w:r>
              <w:rPr>
                <w:rFonts w:ascii="Arial" w:cs="Arial" w:eastAsia="Arial" w:hAnsi="Arial"/>
                <w:sz w:val="18"/>
                <w:szCs w:val="18"/>
                <w:color w:val="auto"/>
              </w:rPr>
              <w:t>Equities and Other</w:t>
            </w:r>
          </w:p>
        </w:tc>
        <w:tc>
          <w:tcPr>
            <w:tcW w:w="6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77"/>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ASSETS UNDER SUPERVISION (d)</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Private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 forma results assume that the purchase of Flemings occurred at the beginning of 2000.</w:t>
      </w:r>
    </w:p>
    <w:p>
      <w:pPr>
        <w:spacing w:after="0" w:line="15" w:lineRule="exact"/>
        <w:rPr>
          <w:rFonts w:ascii="Arial" w:cs="Arial" w:eastAsia="Arial" w:hAnsi="Arial"/>
          <w:sz w:val="18"/>
          <w:szCs w:val="18"/>
          <w:color w:val="auto"/>
        </w:rPr>
      </w:pPr>
    </w:p>
    <w:p>
      <w:pPr>
        <w:ind w:left="540" w:right="640" w:hanging="532"/>
        <w:spacing w:after="0" w:line="250"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Assets under management represent assets actively managed by Investment Management &amp; Private Banking on behalf of institutional and Private Banking clients. Excludes assets managed at American Century Companies Inc.</w:t>
      </w: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Estimated</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Assets under supervision represent assets under management as well as custody, restricted stock, deposit, brokerage and loan accounts.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Note: Prior periods have been restated to conform with current methodologies.</w:t>
      </w:r>
    </w:p>
    <w:p>
      <w:pPr>
        <w:sectPr>
          <w:pgSz w:w="11900" w:h="16838" w:orient="portrait"/>
          <w:cols w:equalWidth="0" w:num="1">
            <w:col w:w="11420"/>
          </w:cols>
          <w:pgMar w:left="240" w:top="1401" w:right="239" w:bottom="0" w:gutter="0" w:footer="0" w:header="0"/>
        </w:sectPr>
      </w:pPr>
    </w:p>
    <w:bookmarkStart w:id="43" w:name="page44"/>
    <w:bookmarkEnd w:id="43"/>
    <w:p>
      <w:pPr>
        <w:ind w:left="9740"/>
        <w:spacing w:after="0"/>
        <w:rPr>
          <w:sz w:val="20"/>
          <w:szCs w:val="20"/>
          <w:color w:val="auto"/>
        </w:rPr>
      </w:pPr>
      <w:r>
        <w:rPr>
          <w:rFonts w:ascii="Arial" w:cs="Arial" w:eastAsia="Arial" w:hAnsi="Arial"/>
          <w:sz w:val="15"/>
          <w:szCs w:val="15"/>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44" w:name="page45"/>
    <w:bookmarkEnd w:id="44"/>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&amp; SECURITIES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3QTR</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2QTR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1QTR</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rPr>
              <w:t>OPERATING INCOME STATEMENT</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Fees and Commissions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Net Interest Income</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 Other Revenue</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1080"/>
              <w:spacing w:after="0"/>
              <w:rPr>
                <w:sz w:val="20"/>
                <w:szCs w:val="20"/>
                <w:color w:val="auto"/>
              </w:rPr>
            </w:pPr>
            <w:r>
              <w:rPr>
                <w:rFonts w:ascii="Arial" w:cs="Arial" w:eastAsia="Arial" w:hAnsi="Arial"/>
                <w:sz w:val="18"/>
                <w:szCs w:val="18"/>
                <w:b w:val="1"/>
                <w:bCs w:val="1"/>
                <w:color w:val="auto"/>
              </w:rPr>
              <w:t>TOTAL OPERATING REVENUE</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890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926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904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b w:val="1"/>
                <w:bCs w:val="1"/>
                <w:color w:val="auto"/>
              </w:rPr>
              <w:t>EXPENSE: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Noncompensation Expense (Excluding Intangibles)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800"/>
              <w:spacing w:after="0"/>
              <w:rPr>
                <w:sz w:val="20"/>
                <w:szCs w:val="20"/>
                <w:color w:val="auto"/>
              </w:rPr>
            </w:pPr>
            <w:r>
              <w:rPr>
                <w:rFonts w:ascii="Arial" w:cs="Arial" w:eastAsia="Arial" w:hAnsi="Arial"/>
                <w:sz w:val="18"/>
                <w:szCs w:val="18"/>
                <w:b w:val="1"/>
                <w:bCs w:val="1"/>
                <w:color w:val="auto"/>
              </w:rPr>
              <w:t>TOTAL CASH EXPENSE</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630</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640</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657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636</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630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800"/>
              <w:spacing w:after="0"/>
              <w:rPr>
                <w:sz w:val="20"/>
                <w:szCs w:val="20"/>
                <w:color w:val="auto"/>
              </w:rPr>
            </w:pPr>
            <w:r>
              <w:rPr>
                <w:rFonts w:ascii="Arial" w:cs="Arial" w:eastAsia="Arial" w:hAnsi="Arial"/>
                <w:sz w:val="18"/>
                <w:szCs w:val="18"/>
                <w:b w:val="1"/>
                <w:bCs w:val="1"/>
                <w:color w:val="auto"/>
              </w:rPr>
              <w:t>TOTAL OPERATING EXPENSE</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652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660</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678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655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648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Operating Margin</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Credit Costs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Operating Income Before Taxes</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40" w:type="dxa"/>
            <w:vAlign w:val="bottom"/>
          </w:tcPr>
          <w:p>
            <w:pPr>
              <w:ind w:left="240"/>
              <w:spacing w:after="0"/>
              <w:rPr>
                <w:sz w:val="20"/>
                <w:szCs w:val="20"/>
                <w:color w:val="auto"/>
              </w:rPr>
            </w:pPr>
            <w:r>
              <w:rPr>
                <w:rFonts w:ascii="Arial" w:cs="Arial" w:eastAsia="Arial" w:hAnsi="Arial"/>
                <w:sz w:val="18"/>
                <w:szCs w:val="18"/>
                <w:b w:val="1"/>
                <w:bCs w:val="1"/>
                <w:color w:val="auto"/>
              </w:rPr>
              <w:t>OPERATING EARNINGS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rPr>
              <w:t>CASH OPERATING EARNINGS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168</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166</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174</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6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860" w:type="dxa"/>
            <w:vAlign w:val="bottom"/>
            <w:gridSpan w:val="2"/>
          </w:tcPr>
          <w:p>
            <w:pPr>
              <w:spacing w:after="0"/>
              <w:rPr>
                <w:sz w:val="20"/>
                <w:szCs w:val="20"/>
                <w:color w:val="auto"/>
              </w:rPr>
            </w:pPr>
            <w:r>
              <w:rPr>
                <w:rFonts w:ascii="Arial" w:cs="Arial" w:eastAsia="Arial" w:hAnsi="Arial"/>
                <w:sz w:val="18"/>
                <w:szCs w:val="18"/>
                <w:color w:val="auto"/>
              </w:rPr>
              <w:t>Average Common Equity</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2,898</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3,022</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2,861</w:t>
            </w:r>
          </w:p>
        </w:tc>
        <w:tc>
          <w:tcPr>
            <w:tcW w:w="2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2,881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17,891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18,492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18,614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17,204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17,301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SVA</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Cash Return on Common Equity</w:t>
            </w: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25.2%</w:t>
            </w: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Cash Overhead Ratio</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OPERATING REVENUE BY BUSINESS:</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Treasury Services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Investor Services</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Institutional Trust Services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5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Treasury &amp; Securities Services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890</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926</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912</w:t>
            </w:r>
          </w:p>
        </w:tc>
        <w:tc>
          <w:tcPr>
            <w:tcW w:w="20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w:t>
            </w: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200" w:type="dxa"/>
            <w:vAlign w:val="bottom"/>
            <w:gridSpan w:val="2"/>
          </w:tcPr>
          <w:p>
            <w:pPr>
              <w:jc w:val="center"/>
              <w:ind w:left="614"/>
              <w:spacing w:after="0"/>
              <w:rPr>
                <w:sz w:val="20"/>
                <w:szCs w:val="20"/>
                <w:color w:val="auto"/>
              </w:rPr>
            </w:pPr>
            <w:r>
              <w:rPr>
                <w:rFonts w:ascii="Arial" w:cs="Arial" w:eastAsia="Arial" w:hAnsi="Arial"/>
                <w:sz w:val="14"/>
                <w:szCs w:val="14"/>
                <w:b w:val="1"/>
                <w:bCs w:val="1"/>
                <w:color w:val="auto"/>
                <w:w w:val="91"/>
              </w:rPr>
              <w:t>4QTR 2001</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83"/>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200" w:type="dxa"/>
            <w:vAlign w:val="bottom"/>
            <w:gridSpan w:val="2"/>
          </w:tcPr>
          <w:p>
            <w:pPr>
              <w:jc w:val="center"/>
              <w:ind w:left="614"/>
              <w:spacing w:after="0"/>
              <w:rPr>
                <w:sz w:val="20"/>
                <w:szCs w:val="20"/>
                <w:color w:val="auto"/>
              </w:rPr>
            </w:pPr>
            <w:r>
              <w:rPr>
                <w:rFonts w:ascii="Arial" w:cs="Arial" w:eastAsia="Arial" w:hAnsi="Arial"/>
                <w:sz w:val="14"/>
                <w:szCs w:val="14"/>
                <w:b w:val="1"/>
                <w:bCs w:val="1"/>
                <w:color w:val="auto"/>
                <w:w w:val="91"/>
              </w:rPr>
              <w:t>Over (Under)</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FULL YEAR</w:t>
            </w:r>
          </w:p>
        </w:tc>
        <w:tc>
          <w:tcPr>
            <w:tcW w:w="2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2200" w:type="dxa"/>
            <w:vAlign w:val="bottom"/>
            <w:gridSpan w:val="2"/>
          </w:tcPr>
          <w:p>
            <w:pPr>
              <w:ind w:left="420"/>
              <w:spacing w:after="0"/>
              <w:rPr>
                <w:sz w:val="20"/>
                <w:szCs w:val="20"/>
                <w:color w:val="auto"/>
              </w:rPr>
            </w:pPr>
            <w:r>
              <w:rPr>
                <w:rFonts w:ascii="Arial" w:cs="Arial" w:eastAsia="Arial" w:hAnsi="Arial"/>
                <w:sz w:val="14"/>
                <w:szCs w:val="14"/>
                <w:b w:val="1"/>
                <w:bCs w:val="1"/>
                <w:color w:val="auto"/>
              </w:rPr>
              <w:t>3Q 2001</w:t>
            </w:r>
          </w:p>
        </w:tc>
        <w:tc>
          <w:tcPr>
            <w:tcW w:w="700" w:type="dxa"/>
            <w:vAlign w:val="bottom"/>
          </w:tcPr>
          <w:p>
            <w:pPr>
              <w:jc w:val="right"/>
              <w:ind w:right="13"/>
              <w:spacing w:after="0"/>
              <w:rPr>
                <w:sz w:val="20"/>
                <w:szCs w:val="20"/>
                <w:color w:val="auto"/>
              </w:rPr>
            </w:pPr>
            <w:r>
              <w:rPr>
                <w:rFonts w:ascii="Arial" w:cs="Arial" w:eastAsia="Arial" w:hAnsi="Arial"/>
                <w:sz w:val="14"/>
                <w:szCs w:val="14"/>
                <w:b w:val="1"/>
                <w:bCs w:val="1"/>
                <w:color w:val="auto"/>
              </w:rPr>
              <w:t>4Q 2000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2"/>
                <w:szCs w:val="22"/>
                <w:color w:val="auto"/>
              </w:rPr>
            </w:pPr>
          </w:p>
        </w:tc>
        <w:tc>
          <w:tcPr>
            <w:tcW w:w="1140" w:type="dxa"/>
            <w:vAlign w:val="bottom"/>
            <w:gridSpan w:val="2"/>
          </w:tcPr>
          <w:p>
            <w:pPr>
              <w:jc w:val="center"/>
              <w:ind w:left="194"/>
              <w:spacing w:after="0"/>
              <w:rPr>
                <w:sz w:val="20"/>
                <w:szCs w:val="20"/>
                <w:color w:val="auto"/>
              </w:rPr>
            </w:pPr>
            <w:r>
              <w:rPr>
                <w:rFonts w:ascii="Arial" w:cs="Arial" w:eastAsia="Arial" w:hAnsi="Arial"/>
                <w:sz w:val="14"/>
                <w:szCs w:val="14"/>
                <w:b w:val="1"/>
                <w:bCs w:val="1"/>
                <w:color w:val="auto"/>
                <w:w w:val="83"/>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OPERATING INCOME STATEMENT</w:t>
            </w:r>
          </w:p>
        </w:tc>
        <w:tc>
          <w:tcPr>
            <w:tcW w:w="1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REVENUE:</w:t>
            </w: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Fees and Commissions</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2,059</w:t>
            </w: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1,937</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5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Net Interest Income</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88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1,403</w:t>
            </w:r>
          </w:p>
        </w:tc>
        <w:tc>
          <w:tcPr>
            <w:tcW w:w="220" w:type="dxa"/>
            <w:vAlign w:val="bottom"/>
          </w:tcPr>
          <w:p>
            <w:pPr>
              <w:spacing w:after="0"/>
              <w:rPr>
                <w:sz w:val="18"/>
                <w:szCs w:val="18"/>
                <w:color w:val="auto"/>
              </w:rPr>
            </w:pP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All Other Revenue</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(39)</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(31)</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5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tcPr>
          <w:p>
            <w:pPr>
              <w:ind w:left="1100"/>
              <w:spacing w:after="0"/>
              <w:rPr>
                <w:sz w:val="20"/>
                <w:szCs w:val="20"/>
                <w:color w:val="auto"/>
              </w:rPr>
            </w:pPr>
            <w:r>
              <w:rPr>
                <w:rFonts w:ascii="Arial" w:cs="Arial" w:eastAsia="Arial" w:hAnsi="Arial"/>
                <w:sz w:val="18"/>
                <w:szCs w:val="18"/>
                <w:b w:val="1"/>
                <w:bCs w:val="1"/>
                <w:color w:val="auto"/>
              </w:rPr>
              <w:t>TOTAL OPERATING REVENUE</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3,632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3,564</w:t>
            </w:r>
          </w:p>
        </w:tc>
        <w:tc>
          <w:tcPr>
            <w:tcW w:w="220" w:type="dxa"/>
            <w:vAlign w:val="bottom"/>
          </w:tcPr>
          <w:p>
            <w:pPr>
              <w:spacing w:after="0"/>
              <w:rPr>
                <w:sz w:val="24"/>
                <w:szCs w:val="24"/>
                <w:color w:val="auto"/>
              </w:rPr>
            </w:pP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EXPENSE:</w:t>
            </w: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Compensation Expense</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1,148</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Noncompensation Expense (Excluding Intangibles)</w:t>
            </w:r>
          </w:p>
        </w:tc>
        <w:tc>
          <w:tcPr>
            <w:tcW w:w="220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TOTAL CASH EXPENSE</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(2)</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2,563</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2,489</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8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TOTAL OPERATING EXPENSE</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2,645</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2,559</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Operating Margin</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24"/>
                <w:szCs w:val="24"/>
                <w:color w:val="auto"/>
              </w:rPr>
            </w:pP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Credit Costs</w:t>
            </w:r>
          </w:p>
        </w:tc>
        <w:tc>
          <w:tcPr>
            <w:tcW w:w="13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300</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160" w:type="dxa"/>
            <w:vAlign w:val="bottom"/>
          </w:tcPr>
          <w:p>
            <w:pPr>
              <w:ind w:left="260"/>
              <w:spacing w:after="0"/>
              <w:rPr>
                <w:sz w:val="20"/>
                <w:szCs w:val="20"/>
                <w:color w:val="auto"/>
              </w:rPr>
            </w:pPr>
            <w:r>
              <w:rPr>
                <w:rFonts w:ascii="Arial" w:cs="Arial" w:eastAsia="Arial" w:hAnsi="Arial"/>
                <w:sz w:val="18"/>
                <w:szCs w:val="18"/>
                <w:color w:val="auto"/>
              </w:rPr>
              <w:t>Operating Income Before Taxes</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4"/>
                <w:szCs w:val="24"/>
                <w:color w:val="auto"/>
              </w:rPr>
            </w:pP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Taxes</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(12)</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(12)</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5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tcPr>
          <w:p>
            <w:pPr>
              <w:ind w:left="260"/>
              <w:spacing w:after="0"/>
              <w:rPr>
                <w:sz w:val="20"/>
                <w:szCs w:val="20"/>
                <w:color w:val="auto"/>
              </w:rPr>
            </w:pPr>
            <w:r>
              <w:rPr>
                <w:rFonts w:ascii="Arial" w:cs="Arial" w:eastAsia="Arial" w:hAnsi="Arial"/>
                <w:sz w:val="18"/>
                <w:szCs w:val="18"/>
                <w:b w:val="1"/>
                <w:bCs w:val="1"/>
                <w:color w:val="auto"/>
              </w:rPr>
              <w:t>OPERATING EARNINGS</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2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220" w:type="dxa"/>
            <w:vAlign w:val="bottom"/>
          </w:tcPr>
          <w:p>
            <w:pPr>
              <w:spacing w:after="0"/>
              <w:rPr>
                <w:sz w:val="24"/>
                <w:szCs w:val="24"/>
                <w:color w:val="auto"/>
              </w:rPr>
            </w:pP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CASH OPERATING EARNINGS</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(9)</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693</w:t>
            </w: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693</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5"/>
        </w:trPr>
        <w:tc>
          <w:tcPr>
            <w:tcW w:w="518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80" w:type="dxa"/>
            <w:vAlign w:val="bottom"/>
            <w:gridSpan w:val="2"/>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80" w:type="dxa"/>
            <w:vAlign w:val="bottom"/>
            <w:gridSpan w:val="2"/>
          </w:tcPr>
          <w:p>
            <w:pPr>
              <w:spacing w:after="0"/>
              <w:rPr>
                <w:sz w:val="20"/>
                <w:szCs w:val="20"/>
                <w:color w:val="auto"/>
              </w:rPr>
            </w:pPr>
            <w:r>
              <w:rPr>
                <w:rFonts w:ascii="Arial" w:cs="Arial" w:eastAsia="Arial" w:hAnsi="Arial"/>
                <w:sz w:val="18"/>
                <w:szCs w:val="18"/>
                <w:color w:val="auto"/>
              </w:rPr>
              <w:t>Average Common Equity</w:t>
            </w: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8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2,912</w:t>
            </w:r>
          </w:p>
        </w:tc>
        <w:tc>
          <w:tcPr>
            <w:tcW w:w="2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2,855</w:t>
            </w:r>
          </w:p>
        </w:tc>
        <w:tc>
          <w:tcPr>
            <w:tcW w:w="220" w:type="dxa"/>
            <w:vAlign w:val="bottom"/>
          </w:tcPr>
          <w:p>
            <w:pPr>
              <w:spacing w:after="0"/>
              <w:rPr>
                <w:sz w:val="24"/>
                <w:szCs w:val="24"/>
                <w:color w:val="auto"/>
              </w:rPr>
            </w:pPr>
          </w:p>
        </w:tc>
        <w:tc>
          <w:tcPr>
            <w:tcW w:w="1140" w:type="dxa"/>
            <w:vAlign w:val="bottom"/>
            <w:gridSpan w:val="2"/>
          </w:tcPr>
          <w:p>
            <w:pPr>
              <w:jc w:val="right"/>
              <w:ind w:right="15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(3)</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18,053</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16,591</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1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SVA</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(16)</w:t>
            </w:r>
          </w:p>
        </w:tc>
        <w:tc>
          <w:tcPr>
            <w:tcW w:w="88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Cash Return on Common Equity</w:t>
            </w:r>
          </w:p>
        </w:tc>
        <w:tc>
          <w:tcPr>
            <w:tcW w:w="220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(200)bp</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(200)bp</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(40)bp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Cash Overhead Ratio</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200</w:t>
            </w:r>
          </w:p>
        </w:tc>
        <w:tc>
          <w:tcPr>
            <w:tcW w:w="88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140" w:type="dxa"/>
            <w:vAlign w:val="bottom"/>
            <w:gridSpan w:val="2"/>
          </w:tcPr>
          <w:p>
            <w:pPr>
              <w:jc w:val="right"/>
              <w:ind w:right="3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OPERATING REVENUE BY BUSINESS:</w:t>
            </w:r>
          </w:p>
        </w:tc>
        <w:tc>
          <w:tcPr>
            <w:tcW w:w="1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Treasury Services</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1,356</w:t>
            </w: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1,311</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5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540"/>
              <w:spacing w:after="0"/>
              <w:rPr>
                <w:sz w:val="20"/>
                <w:szCs w:val="20"/>
                <w:color w:val="auto"/>
              </w:rPr>
            </w:pPr>
            <w:r>
              <w:rPr>
                <w:rFonts w:ascii="Arial" w:cs="Arial" w:eastAsia="Arial" w:hAnsi="Arial"/>
                <w:sz w:val="18"/>
                <w:szCs w:val="18"/>
                <w:color w:val="auto"/>
              </w:rPr>
              <w:t>Investor Services</w:t>
            </w: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1,613</w:t>
            </w:r>
          </w:p>
        </w:tc>
        <w:tc>
          <w:tcPr>
            <w:tcW w:w="220" w:type="dxa"/>
            <w:vAlign w:val="bottom"/>
          </w:tcPr>
          <w:p>
            <w:pPr>
              <w:spacing w:after="0"/>
              <w:rPr>
                <w:sz w:val="18"/>
                <w:szCs w:val="18"/>
                <w:color w:val="auto"/>
              </w:rPr>
            </w:pPr>
          </w:p>
        </w:tc>
        <w:tc>
          <w:tcPr>
            <w:tcW w:w="1140" w:type="dxa"/>
            <w:vAlign w:val="bottom"/>
            <w:gridSpan w:val="2"/>
          </w:tcPr>
          <w:p>
            <w:pPr>
              <w:jc w:val="right"/>
              <w:ind w:right="25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Institutional Trust Services</w:t>
            </w:r>
          </w:p>
        </w:tc>
        <w:tc>
          <w:tcPr>
            <w:tcW w:w="13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15</w:t>
            </w: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540"/>
              <w:spacing w:after="0"/>
              <w:rPr>
                <w:sz w:val="20"/>
                <w:szCs w:val="20"/>
                <w:color w:val="auto"/>
              </w:rPr>
            </w:pPr>
            <w:r>
              <w:rPr>
                <w:rFonts w:ascii="Arial" w:cs="Arial" w:eastAsia="Arial" w:hAnsi="Arial"/>
                <w:sz w:val="18"/>
                <w:szCs w:val="18"/>
                <w:color w:val="auto"/>
              </w:rPr>
              <w:t>Other</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20</w:t>
            </w:r>
          </w:p>
        </w:tc>
        <w:tc>
          <w:tcPr>
            <w:tcW w:w="880" w:type="dxa"/>
            <w:vAlign w:val="bottom"/>
          </w:tcPr>
          <w:p>
            <w:pPr>
              <w:spacing w:after="0"/>
              <w:rPr>
                <w:sz w:val="19"/>
                <w:szCs w:val="19"/>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Treasury &amp; Securities Services</w:t>
            </w:r>
          </w:p>
        </w:tc>
        <w:tc>
          <w:tcPr>
            <w:tcW w:w="132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w:t>
            </w:r>
          </w:p>
        </w:tc>
        <w:tc>
          <w:tcPr>
            <w:tcW w:w="8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3,632</w:t>
            </w:r>
          </w:p>
        </w:tc>
        <w:tc>
          <w:tcPr>
            <w:tcW w:w="22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3,564</w:t>
            </w:r>
          </w:p>
        </w:tc>
        <w:tc>
          <w:tcPr>
            <w:tcW w:w="2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Note: Prior periods have been restated to conform with current methodologies.</w:t>
      </w:r>
    </w:p>
    <w:p>
      <w:pPr>
        <w:spacing w:after="0" w:line="225"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1" w:right="239" w:bottom="1440" w:gutter="0" w:footer="0" w:header="0"/>
        </w:sectPr>
      </w:pPr>
    </w:p>
    <w:bookmarkStart w:id="46" w:name="page47"/>
    <w:bookmarkEnd w:id="46"/>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PARTNERS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3QTR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2QTR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1QTR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rPr>
              <w:t>OPERATING INCOME STATEMENT</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520"/>
              <w:spacing w:after="0"/>
              <w:rPr>
                <w:sz w:val="20"/>
                <w:szCs w:val="20"/>
                <w:color w:val="auto"/>
              </w:rPr>
            </w:pPr>
            <w:r>
              <w:rPr>
                <w:rFonts w:ascii="Arial" w:cs="Arial" w:eastAsia="Arial" w:hAnsi="Arial"/>
                <w:sz w:val="18"/>
                <w:szCs w:val="18"/>
                <w:color w:val="auto"/>
              </w:rPr>
              <w:t>Realized Gains (Losses)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Unrealized Gains (Losses)</w:t>
            </w: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(504)</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(766)</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Total Private Equity Gains (Losses)</w:t>
            </w:r>
          </w:p>
        </w:tc>
        <w:tc>
          <w:tcPr>
            <w:tcW w:w="2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Interest Income (Loss)</w:t>
            </w: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(87)</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Fees and Other Revenue</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TOTAL OPERATING REVENUE</w:t>
            </w: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(445)</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(179)</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(893)</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60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rPr>
              <w:t>EXPENSE:</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Noncompensation Expense (Excluding Intangibles)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880" w:type="dxa"/>
            <w:vAlign w:val="bottom"/>
          </w:tcPr>
          <w:p>
            <w:pPr>
              <w:ind w:left="520"/>
              <w:spacing w:after="0"/>
              <w:rPr>
                <w:sz w:val="20"/>
                <w:szCs w:val="20"/>
                <w:color w:val="auto"/>
              </w:rPr>
            </w:pPr>
            <w:r>
              <w:rPr>
                <w:rFonts w:ascii="Arial" w:cs="Arial" w:eastAsia="Arial" w:hAnsi="Arial"/>
                <w:sz w:val="18"/>
                <w:szCs w:val="18"/>
                <w:b w:val="1"/>
                <w:bCs w:val="1"/>
                <w:color w:val="auto"/>
              </w:rPr>
              <w:t>TOTAL CASH EXPENSE</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80" w:type="dxa"/>
            <w:vAlign w:val="bottom"/>
          </w:tcPr>
          <w:p>
            <w:pPr>
              <w:ind w:left="520"/>
              <w:spacing w:after="0"/>
              <w:rPr>
                <w:sz w:val="20"/>
                <w:szCs w:val="20"/>
                <w:color w:val="auto"/>
              </w:rPr>
            </w:pPr>
            <w:r>
              <w:rPr>
                <w:rFonts w:ascii="Arial" w:cs="Arial" w:eastAsia="Arial" w:hAnsi="Arial"/>
                <w:sz w:val="18"/>
                <w:szCs w:val="18"/>
                <w:b w:val="1"/>
                <w:bCs w:val="1"/>
                <w:color w:val="auto"/>
              </w:rPr>
              <w:t>TOTAL OPERATING EXPENSE</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Margin</w:t>
            </w: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Credit Costs</w:t>
            </w:r>
          </w:p>
        </w:tc>
        <w:tc>
          <w:tcPr>
            <w:tcW w:w="2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Operating Income (Loss) Before Taxes</w:t>
            </w: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(972)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Income Taxes (Benefit)</w:t>
            </w: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40"/>
              <w:spacing w:after="0"/>
              <w:rPr>
                <w:sz w:val="20"/>
                <w:szCs w:val="20"/>
                <w:color w:val="auto"/>
              </w:rPr>
            </w:pPr>
            <w:r>
              <w:rPr>
                <w:rFonts w:ascii="Arial" w:cs="Arial" w:eastAsia="Arial" w:hAnsi="Arial"/>
                <w:sz w:val="18"/>
                <w:szCs w:val="18"/>
                <w:b w:val="1"/>
                <w:bCs w:val="1"/>
                <w:color w:val="auto"/>
              </w:rPr>
              <w:t>OPERATING EARNINGS (LOSS)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(351)</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(162)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(629)</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(27)</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80" w:type="dxa"/>
            <w:vAlign w:val="bottom"/>
          </w:tcPr>
          <w:p>
            <w:pPr>
              <w:ind w:left="240"/>
              <w:spacing w:after="0"/>
              <w:rPr>
                <w:sz w:val="20"/>
                <w:szCs w:val="20"/>
                <w:color w:val="auto"/>
              </w:rPr>
            </w:pPr>
            <w:r>
              <w:rPr>
                <w:rFonts w:ascii="Arial" w:cs="Arial" w:eastAsia="Arial" w:hAnsi="Arial"/>
                <w:sz w:val="18"/>
                <w:szCs w:val="18"/>
                <w:b w:val="1"/>
                <w:bCs w:val="1"/>
                <w:color w:val="auto"/>
              </w:rPr>
              <w:t>CASH OPERATING EARNINGS (LOSS)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(346)</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(624)</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107"/>
        </w:trPr>
        <w:tc>
          <w:tcPr>
            <w:tcW w:w="59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Average Common Equity</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6,019</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5,994</w:t>
            </w: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6,494</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7,019</w:t>
            </w: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11,098</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10,750</w:t>
            </w: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11,684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13,159</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12,961</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SVA</w:t>
            </w: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20"/>
        </w:trPr>
        <w:tc>
          <w:tcPr>
            <w:tcW w:w="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5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4QTR 2001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58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Over (Under)</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FULL YEAR</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5"/>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3Q 2001</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4Q 2000</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22"/>
                <w:szCs w:val="22"/>
                <w:color w:val="auto"/>
              </w:rPr>
            </w:pPr>
          </w:p>
        </w:tc>
        <w:tc>
          <w:tcPr>
            <w:tcW w:w="118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OPERATING INCOME STATEMENT</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b w:val="1"/>
                <w:bCs w:val="1"/>
                <w:color w:val="auto"/>
              </w:rPr>
              <w:t>REVENUE: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Private Equity:</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540"/>
              <w:spacing w:after="0"/>
              <w:rPr>
                <w:sz w:val="20"/>
                <w:szCs w:val="20"/>
                <w:color w:val="auto"/>
              </w:rPr>
            </w:pPr>
            <w:r>
              <w:rPr>
                <w:rFonts w:ascii="Arial" w:cs="Arial" w:eastAsia="Arial" w:hAnsi="Arial"/>
                <w:sz w:val="18"/>
                <w:szCs w:val="18"/>
                <w:color w:val="auto"/>
              </w:rPr>
              <w:t>Realized Gains (Losses)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2,041</w:t>
            </w:r>
          </w:p>
        </w:tc>
        <w:tc>
          <w:tcPr>
            <w:tcW w:w="380" w:type="dxa"/>
            <w:vAlign w:val="bottom"/>
          </w:tcPr>
          <w:p>
            <w:pPr>
              <w:spacing w:after="0"/>
              <w:rPr>
                <w:sz w:val="18"/>
                <w:szCs w:val="18"/>
                <w:color w:val="auto"/>
              </w:rPr>
            </w:pPr>
          </w:p>
        </w:tc>
        <w:tc>
          <w:tcPr>
            <w:tcW w:w="1180" w:type="dxa"/>
            <w:vAlign w:val="bottom"/>
            <w:gridSpan w:val="2"/>
          </w:tcPr>
          <w:p>
            <w:pPr>
              <w:jc w:val="right"/>
              <w:ind w:right="9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Unrealized Gains (Losses)</w:t>
            </w:r>
          </w:p>
        </w:tc>
        <w:tc>
          <w:tcPr>
            <w:tcW w:w="6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(65)</w:t>
            </w: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8"/>
                <w:szCs w:val="18"/>
                <w:color w:val="auto"/>
              </w:rPr>
              <w:t>(8)</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1"/>
              </w:rPr>
              <w:t>(1,857)</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4"/>
              </w:rPr>
              <w:t>(1,053)</w:t>
            </w:r>
          </w:p>
        </w:tc>
        <w:tc>
          <w:tcPr>
            <w:tcW w:w="1180" w:type="dxa"/>
            <w:vAlign w:val="bottom"/>
            <w:gridSpan w:val="2"/>
            <w:shd w:val="clear" w:color="auto" w:fill="EEEEEE"/>
          </w:tcPr>
          <w:p>
            <w:pPr>
              <w:jc w:val="right"/>
              <w:ind w:right="25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Total Private Equity Gains (Losses)</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(274)</w:t>
            </w:r>
          </w:p>
        </w:tc>
        <w:tc>
          <w:tcPr>
            <w:tcW w:w="940" w:type="dxa"/>
            <w:vAlign w:val="bottom"/>
            <w:gridSpan w:val="2"/>
          </w:tcPr>
          <w:p>
            <w:pPr>
              <w:jc w:val="right"/>
              <w:ind w:right="79"/>
              <w:spacing w:after="0"/>
              <w:rPr>
                <w:sz w:val="20"/>
                <w:szCs w:val="20"/>
                <w:color w:val="auto"/>
              </w:rPr>
            </w:pPr>
            <w:r>
              <w:rPr>
                <w:rFonts w:ascii="Arial" w:cs="Arial" w:eastAsia="Arial" w:hAnsi="Arial"/>
                <w:sz w:val="18"/>
                <w:szCs w:val="18"/>
                <w:color w:val="auto"/>
              </w:rPr>
              <w:t>(314)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(1,182)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Interest Income (Loss)</w:t>
            </w:r>
          </w:p>
        </w:tc>
        <w:tc>
          <w:tcPr>
            <w:tcW w:w="64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13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(335)</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(309)</w:t>
            </w:r>
          </w:p>
        </w:tc>
        <w:tc>
          <w:tcPr>
            <w:tcW w:w="1180" w:type="dxa"/>
            <w:vAlign w:val="bottom"/>
            <w:gridSpan w:val="2"/>
            <w:shd w:val="clear" w:color="auto" w:fill="EEEEEE"/>
          </w:tcPr>
          <w:p>
            <w:pPr>
              <w:jc w:val="right"/>
              <w:ind w:right="25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Fees and Other Revenue</w:t>
            </w: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79"/>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9"/>
                <w:szCs w:val="19"/>
                <w:color w:val="auto"/>
              </w:rPr>
            </w:pPr>
          </w:p>
        </w:tc>
        <w:tc>
          <w:tcPr>
            <w:tcW w:w="1180" w:type="dxa"/>
            <w:vAlign w:val="bottom"/>
            <w:gridSpan w:val="2"/>
          </w:tcPr>
          <w:p>
            <w:pPr>
              <w:jc w:val="right"/>
              <w:ind w:right="25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820"/>
              <w:spacing w:after="0"/>
              <w:rPr>
                <w:sz w:val="20"/>
                <w:szCs w:val="20"/>
                <w:color w:val="auto"/>
              </w:rPr>
            </w:pPr>
            <w:r>
              <w:rPr>
                <w:rFonts w:ascii="Arial" w:cs="Arial" w:eastAsia="Arial" w:hAnsi="Arial"/>
                <w:sz w:val="18"/>
                <w:szCs w:val="18"/>
                <w:b w:val="1"/>
                <w:bCs w:val="1"/>
                <w:color w:val="auto"/>
              </w:rPr>
              <w:t>TOTAL OPERATING REVENUE</w:t>
            </w:r>
          </w:p>
        </w:tc>
        <w:tc>
          <w:tcPr>
            <w:tcW w:w="6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(149)</w:t>
            </w: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8"/>
                <w:szCs w:val="18"/>
                <w:color w:val="auto"/>
              </w:rPr>
              <w:t>(227)</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b w:val="1"/>
                <w:bCs w:val="1"/>
                <w:color w:val="auto"/>
                <w:w w:val="91"/>
              </w:rPr>
              <w:t>(1,457)</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789</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EXPENSE:</w:t>
            </w: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Compensation Expense</w:t>
            </w: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139"/>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8"/>
                <w:szCs w:val="18"/>
                <w:color w:val="auto"/>
              </w:rPr>
            </w:pPr>
          </w:p>
        </w:tc>
        <w:tc>
          <w:tcPr>
            <w:tcW w:w="1180" w:type="dxa"/>
            <w:vAlign w:val="bottom"/>
            <w:gridSpan w:val="2"/>
          </w:tcPr>
          <w:p>
            <w:pPr>
              <w:jc w:val="right"/>
              <w:ind w:right="25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Noncompensation Expense (Excluding Intangibles)</w:t>
            </w:r>
          </w:p>
        </w:tc>
        <w:tc>
          <w:tcPr>
            <w:tcW w:w="64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56</w:t>
            </w:r>
          </w:p>
        </w:tc>
        <w:tc>
          <w:tcPr>
            <w:tcW w:w="94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w:t>
            </w: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5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Arial" w:cs="Arial" w:eastAsia="Arial" w:hAnsi="Arial"/>
                <w:sz w:val="18"/>
                <w:szCs w:val="18"/>
                <w:b w:val="1"/>
                <w:bCs w:val="1"/>
                <w:color w:val="auto"/>
              </w:rPr>
              <w:t>TOTAL CASH EXPENSE</w:t>
            </w: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36</w:t>
            </w:r>
          </w:p>
        </w:tc>
        <w:tc>
          <w:tcPr>
            <w:tcW w:w="940" w:type="dxa"/>
            <w:vAlign w:val="bottom"/>
            <w:gridSpan w:val="2"/>
          </w:tcPr>
          <w:p>
            <w:pPr>
              <w:jc w:val="right"/>
              <w:ind w:right="139"/>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380" w:type="dxa"/>
            <w:vAlign w:val="bottom"/>
          </w:tcPr>
          <w:p>
            <w:pPr>
              <w:spacing w:after="0"/>
              <w:rPr>
                <w:sz w:val="24"/>
                <w:szCs w:val="24"/>
                <w:color w:val="auto"/>
              </w:rPr>
            </w:pPr>
          </w:p>
        </w:tc>
        <w:tc>
          <w:tcPr>
            <w:tcW w:w="1180" w:type="dxa"/>
            <w:vAlign w:val="bottom"/>
            <w:gridSpan w:val="2"/>
          </w:tcPr>
          <w:p>
            <w:pPr>
              <w:jc w:val="right"/>
              <w:ind w:right="25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Amortization of Intangibles</w:t>
            </w:r>
          </w:p>
        </w:tc>
        <w:tc>
          <w:tcPr>
            <w:tcW w:w="64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14"/>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40" w:type="dxa"/>
            <w:vAlign w:val="bottom"/>
          </w:tcPr>
          <w:p>
            <w:pPr>
              <w:ind w:left="540"/>
              <w:spacing w:after="0"/>
              <w:rPr>
                <w:sz w:val="20"/>
                <w:szCs w:val="20"/>
                <w:color w:val="auto"/>
              </w:rPr>
            </w:pPr>
            <w:r>
              <w:rPr>
                <w:rFonts w:ascii="Arial" w:cs="Arial" w:eastAsia="Arial" w:hAnsi="Arial"/>
                <w:sz w:val="18"/>
                <w:szCs w:val="18"/>
                <w:b w:val="1"/>
                <w:bCs w:val="1"/>
                <w:color w:val="auto"/>
              </w:rPr>
              <w:t>TOTAL OPERATING EXPENSE</w:t>
            </w:r>
          </w:p>
        </w:tc>
        <w:tc>
          <w:tcPr>
            <w:tcW w:w="640" w:type="dxa"/>
            <w:vAlign w:val="bottom"/>
          </w:tcPr>
          <w:p>
            <w:pPr>
              <w:jc w:val="right"/>
              <w:ind w:right="115"/>
              <w:spacing w:after="0"/>
              <w:rPr>
                <w:sz w:val="20"/>
                <w:szCs w:val="20"/>
                <w:color w:val="auto"/>
              </w:rPr>
            </w:pPr>
            <w:r>
              <w:rPr>
                <w:rFonts w:ascii="Arial" w:cs="Arial" w:eastAsia="Arial" w:hAnsi="Arial"/>
                <w:sz w:val="18"/>
                <w:szCs w:val="18"/>
                <w:color w:val="auto"/>
              </w:rPr>
              <w:t>32</w:t>
            </w:r>
          </w:p>
        </w:tc>
        <w:tc>
          <w:tcPr>
            <w:tcW w:w="940" w:type="dxa"/>
            <w:vAlign w:val="bottom"/>
            <w:gridSpan w:val="2"/>
          </w:tcPr>
          <w:p>
            <w:pPr>
              <w:jc w:val="right"/>
              <w:ind w:right="139"/>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426</w:t>
            </w:r>
          </w:p>
        </w:tc>
        <w:tc>
          <w:tcPr>
            <w:tcW w:w="380" w:type="dxa"/>
            <w:vAlign w:val="bottom"/>
          </w:tcPr>
          <w:p>
            <w:pPr>
              <w:spacing w:after="0"/>
              <w:rPr>
                <w:sz w:val="24"/>
                <w:szCs w:val="24"/>
                <w:color w:val="auto"/>
              </w:rPr>
            </w:pPr>
          </w:p>
        </w:tc>
        <w:tc>
          <w:tcPr>
            <w:tcW w:w="1180" w:type="dxa"/>
            <w:vAlign w:val="bottom"/>
            <w:gridSpan w:val="2"/>
          </w:tcPr>
          <w:p>
            <w:pPr>
              <w:jc w:val="right"/>
              <w:ind w:right="25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Operating Margin</w:t>
            </w:r>
          </w:p>
        </w:tc>
        <w:tc>
          <w:tcPr>
            <w:tcW w:w="6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1"/>
              </w:rPr>
              <w:t>(1,810)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Credit Costs</w:t>
            </w:r>
          </w:p>
        </w:tc>
        <w:tc>
          <w:tcPr>
            <w:tcW w:w="640" w:type="dxa"/>
            <w:vAlign w:val="bottom"/>
          </w:tcPr>
          <w:p>
            <w:pPr>
              <w:jc w:val="right"/>
              <w:ind w:right="95"/>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Operating Income (Loss) Before Taxes</w:t>
            </w:r>
          </w:p>
        </w:tc>
        <w:tc>
          <w:tcPr>
            <w:tcW w:w="6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1"/>
              </w:rPr>
              <w:t>(1,810)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60"/>
              <w:spacing w:after="0"/>
              <w:rPr>
                <w:sz w:val="20"/>
                <w:szCs w:val="20"/>
                <w:color w:val="auto"/>
              </w:rPr>
            </w:pPr>
            <w:r>
              <w:rPr>
                <w:rFonts w:ascii="Arial" w:cs="Arial" w:eastAsia="Arial" w:hAnsi="Arial"/>
                <w:sz w:val="18"/>
                <w:szCs w:val="18"/>
                <w:color w:val="auto"/>
              </w:rPr>
              <w:t>Income Taxes (Benefit)</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(111)</w:t>
            </w:r>
          </w:p>
        </w:tc>
        <w:tc>
          <w:tcPr>
            <w:tcW w:w="940" w:type="dxa"/>
            <w:vAlign w:val="bottom"/>
            <w:gridSpan w:val="2"/>
          </w:tcPr>
          <w:p>
            <w:pPr>
              <w:jc w:val="right"/>
              <w:ind w:right="79"/>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OPERATING EARNINGS (LOSS)</w:t>
            </w:r>
          </w:p>
        </w:tc>
        <w:tc>
          <w:tcPr>
            <w:tcW w:w="640" w:type="dxa"/>
            <w:vAlign w:val="bottom"/>
            <w:shd w:val="clear" w:color="auto" w:fill="EEEEEE"/>
          </w:tcPr>
          <w:p>
            <w:pPr>
              <w:jc w:val="right"/>
              <w:ind w:right="55"/>
              <w:spacing w:after="0"/>
              <w:rPr>
                <w:sz w:val="20"/>
                <w:szCs w:val="20"/>
                <w:color w:val="auto"/>
              </w:rPr>
            </w:pPr>
            <w:r>
              <w:rPr>
                <w:rFonts w:ascii="Arial" w:cs="Arial" w:eastAsia="Arial" w:hAnsi="Arial"/>
                <w:sz w:val="18"/>
                <w:szCs w:val="18"/>
                <w:color w:val="auto"/>
              </w:rPr>
              <w:t>(117)</w:t>
            </w: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8"/>
                <w:szCs w:val="18"/>
                <w:color w:val="auto"/>
              </w:rPr>
              <w:t>(144)</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b w:val="1"/>
                <w:bCs w:val="1"/>
                <w:color w:val="auto"/>
                <w:w w:val="91"/>
              </w:rPr>
              <w:t>(1,169)</w:t>
            </w: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244</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58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40" w:type="dxa"/>
            <w:vAlign w:val="bottom"/>
          </w:tcPr>
          <w:p>
            <w:pPr>
              <w:ind w:left="260"/>
              <w:spacing w:after="0"/>
              <w:rPr>
                <w:sz w:val="20"/>
                <w:szCs w:val="20"/>
                <w:color w:val="auto"/>
              </w:rPr>
            </w:pPr>
            <w:r>
              <w:rPr>
                <w:rFonts w:ascii="Arial" w:cs="Arial" w:eastAsia="Arial" w:hAnsi="Arial"/>
                <w:sz w:val="18"/>
                <w:szCs w:val="18"/>
                <w:b w:val="1"/>
                <w:bCs w:val="1"/>
                <w:color w:val="auto"/>
              </w:rPr>
              <w:t>CASH OPERATING EARNINGS (LOSS)</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(120)</w:t>
            </w:r>
          </w:p>
        </w:tc>
        <w:tc>
          <w:tcPr>
            <w:tcW w:w="940" w:type="dxa"/>
            <w:vAlign w:val="bottom"/>
            <w:gridSpan w:val="2"/>
          </w:tcPr>
          <w:p>
            <w:pPr>
              <w:jc w:val="right"/>
              <w:ind w:right="79"/>
              <w:spacing w:after="0"/>
              <w:rPr>
                <w:sz w:val="20"/>
                <w:szCs w:val="20"/>
                <w:color w:val="auto"/>
              </w:rPr>
            </w:pPr>
            <w:r>
              <w:rPr>
                <w:rFonts w:ascii="Arial" w:cs="Arial" w:eastAsia="Arial" w:hAnsi="Arial"/>
                <w:sz w:val="18"/>
                <w:szCs w:val="18"/>
                <w:color w:val="auto"/>
              </w:rPr>
              <w:t>(149)</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1"/>
              </w:rPr>
              <w:t>(1,148)</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7"/>
        </w:trPr>
        <w:tc>
          <w:tcPr>
            <w:tcW w:w="576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Average Common Equity</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6,377</w:t>
            </w: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7,526</w:t>
            </w:r>
          </w:p>
        </w:tc>
        <w:tc>
          <w:tcPr>
            <w:tcW w:w="380" w:type="dxa"/>
            <w:vAlign w:val="bottom"/>
          </w:tcPr>
          <w:p>
            <w:pPr>
              <w:spacing w:after="0"/>
              <w:rPr>
                <w:sz w:val="18"/>
                <w:szCs w:val="18"/>
                <w:color w:val="auto"/>
              </w:rPr>
            </w:pPr>
          </w:p>
        </w:tc>
        <w:tc>
          <w:tcPr>
            <w:tcW w:w="1180" w:type="dxa"/>
            <w:vAlign w:val="bottom"/>
            <w:gridSpan w:val="2"/>
          </w:tcPr>
          <w:p>
            <w:pPr>
              <w:jc w:val="right"/>
              <w:ind w:right="9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64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EEEEEE"/>
          </w:tcPr>
          <w:p>
            <w:pPr>
              <w:jc w:val="right"/>
              <w:ind w:right="79"/>
              <w:spacing w:after="0"/>
              <w:rPr>
                <w:sz w:val="20"/>
                <w:szCs w:val="20"/>
                <w:color w:val="auto"/>
              </w:rPr>
            </w:pPr>
            <w:r>
              <w:rPr>
                <w:rFonts w:ascii="Arial" w:cs="Arial" w:eastAsia="Arial" w:hAnsi="Arial"/>
                <w:sz w:val="18"/>
                <w:szCs w:val="18"/>
                <w:color w:val="auto"/>
              </w:rPr>
              <w:t>(14)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11,665</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13,319</w:t>
            </w: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5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SVA</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(49)</w:t>
            </w:r>
          </w:p>
        </w:tc>
        <w:tc>
          <w:tcPr>
            <w:tcW w:w="940" w:type="dxa"/>
            <w:vAlign w:val="bottom"/>
            <w:gridSpan w:val="2"/>
          </w:tcPr>
          <w:p>
            <w:pPr>
              <w:jc w:val="right"/>
              <w:ind w:right="79"/>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(2,114)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(888)</w:t>
            </w:r>
          </w:p>
        </w:tc>
        <w:tc>
          <w:tcPr>
            <w:tcW w:w="1180" w:type="dxa"/>
            <w:vAlign w:val="bottom"/>
            <w:gridSpan w:val="2"/>
          </w:tcPr>
          <w:p>
            <w:pPr>
              <w:jc w:val="right"/>
              <w:ind w:right="254"/>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Note: Prior periods have been restated to conform with current methodologies.</w:t>
      </w:r>
    </w:p>
    <w:p>
      <w:pPr>
        <w:spacing w:after="0" w:line="225"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1" w:right="239" w:bottom="1440" w:gutter="0" w:footer="0" w:header="0"/>
        </w:sectPr>
      </w:pPr>
    </w:p>
    <w:bookmarkStart w:id="48" w:name="page49"/>
    <w:bookmarkEnd w:id="48"/>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 PRIVATE AND PUBLIC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 31, 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2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 31st</w:t>
            </w:r>
          </w:p>
        </w:tc>
        <w:tc>
          <w:tcPr>
            <w:tcW w:w="240" w:type="dxa"/>
            <w:vAlign w:val="bottom"/>
          </w:tcPr>
          <w:p>
            <w:pPr>
              <w:spacing w:after="0"/>
              <w:rPr>
                <w:sz w:val="22"/>
                <w:szCs w:val="22"/>
                <w:color w:val="auto"/>
              </w:rPr>
            </w:pPr>
          </w:p>
        </w:tc>
        <w:tc>
          <w:tcPr>
            <w:tcW w:w="84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 30th</w:t>
            </w:r>
          </w:p>
        </w:tc>
        <w:tc>
          <w:tcPr>
            <w:tcW w:w="260" w:type="dxa"/>
            <w:vAlign w:val="bottom"/>
          </w:tcPr>
          <w:p>
            <w:pPr>
              <w:spacing w:after="0"/>
              <w:rPr>
                <w:sz w:val="22"/>
                <w:szCs w:val="22"/>
                <w:color w:val="auto"/>
              </w:rPr>
            </w:pPr>
          </w:p>
        </w:tc>
        <w:tc>
          <w:tcPr>
            <w:tcW w:w="86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 30th</w:t>
            </w:r>
          </w:p>
        </w:tc>
        <w:tc>
          <w:tcPr>
            <w:tcW w:w="260" w:type="dxa"/>
            <w:vAlign w:val="bottom"/>
          </w:tcPr>
          <w:p>
            <w:pPr>
              <w:spacing w:after="0"/>
              <w:rPr>
                <w:sz w:val="22"/>
                <w:szCs w:val="22"/>
                <w:color w:val="auto"/>
              </w:rPr>
            </w:pPr>
          </w:p>
        </w:tc>
        <w:tc>
          <w:tcPr>
            <w:tcW w:w="84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 31st</w:t>
            </w:r>
          </w:p>
        </w:tc>
        <w:tc>
          <w:tcPr>
            <w:tcW w:w="260" w:type="dxa"/>
            <w:vAlign w:val="bottom"/>
          </w:tcPr>
          <w:p>
            <w:pPr>
              <w:spacing w:after="0"/>
              <w:rPr>
                <w:sz w:val="22"/>
                <w:szCs w:val="22"/>
                <w:color w:val="auto"/>
              </w:rPr>
            </w:pPr>
          </w:p>
        </w:tc>
        <w:tc>
          <w:tcPr>
            <w:tcW w:w="11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 31st</w:t>
            </w:r>
          </w:p>
        </w:tc>
        <w:tc>
          <w:tcPr>
            <w:tcW w:w="200" w:type="dxa"/>
            <w:vAlign w:val="bottom"/>
          </w:tcPr>
          <w:p>
            <w:pPr>
              <w:spacing w:after="0"/>
              <w:rPr>
                <w:sz w:val="22"/>
                <w:szCs w:val="22"/>
                <w:color w:val="auto"/>
              </w:rPr>
            </w:pPr>
          </w:p>
        </w:tc>
        <w:tc>
          <w:tcPr>
            <w:tcW w:w="13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Over (Under)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Sep 30, 01</w:t>
            </w:r>
          </w:p>
        </w:tc>
        <w:tc>
          <w:tcPr>
            <w:tcW w:w="260" w:type="dxa"/>
            <w:vAlign w:val="bottom"/>
          </w:tcPr>
          <w:p>
            <w:pPr>
              <w:spacing w:after="0"/>
              <w:rPr>
                <w:sz w:val="22"/>
                <w:szCs w:val="2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Dec 31, 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PORTFOLIO INFORMATION</w:t>
            </w:r>
          </w:p>
        </w:tc>
        <w:tc>
          <w:tcPr>
            <w:tcW w:w="1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3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Public Securities (163 companies) (a) (b)</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Carrying Value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1,149</w:t>
            </w:r>
          </w:p>
        </w:tc>
        <w:tc>
          <w:tcPr>
            <w:tcW w:w="1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1,680</w:t>
            </w:r>
          </w:p>
        </w:tc>
        <w:tc>
          <w:tcPr>
            <w:tcW w:w="1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(3)</w:t>
            </w:r>
          </w:p>
        </w:tc>
        <w:tc>
          <w:tcPr>
            <w:tcW w:w="9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Private Direct Securities (959 companies) (b)</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Carrying Value</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7,144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7,544</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7,322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6,998</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7,318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7,480</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Private Fund Investments (338 funds) (b)</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Carrying Value</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2,201</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2,379</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(2)</w:t>
            </w:r>
          </w:p>
        </w:tc>
        <w:tc>
          <w:tcPr>
            <w:tcW w:w="9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Investment Portfolio — Carrying Value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9,197</w:t>
            </w:r>
          </w:p>
        </w:tc>
        <w:tc>
          <w:tcPr>
            <w:tcW w:w="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9,628</w:t>
            </w:r>
          </w:p>
        </w:tc>
        <w:tc>
          <w:tcPr>
            <w:tcW w:w="16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9,855</w:t>
            </w: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10,877</w:t>
            </w:r>
          </w:p>
        </w:tc>
        <w:tc>
          <w:tcPr>
            <w:tcW w:w="16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11,759</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(4)</w:t>
            </w:r>
          </w:p>
        </w:tc>
        <w:tc>
          <w:tcPr>
            <w:tcW w:w="9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00" w:type="dxa"/>
            <w:vAlign w:val="bottom"/>
            <w:gridSpan w:val="2"/>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0" w:type="dxa"/>
            <w:vAlign w:val="bottom"/>
            <w:gridSpan w:val="2"/>
          </w:tcPr>
          <w:p>
            <w:pPr>
              <w:spacing w:after="0"/>
              <w:rPr>
                <w:sz w:val="5"/>
                <w:szCs w:val="5"/>
                <w:color w:val="auto"/>
              </w:rPr>
            </w:pPr>
          </w:p>
        </w:tc>
        <w:tc>
          <w:tcPr>
            <w:tcW w:w="1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380" w:type="dxa"/>
            <w:vAlign w:val="bottom"/>
            <w:gridSpan w:val="3"/>
          </w:tcPr>
          <w:p>
            <w:pPr>
              <w:spacing w:after="0"/>
              <w:rPr>
                <w:sz w:val="20"/>
                <w:szCs w:val="20"/>
                <w:color w:val="auto"/>
              </w:rPr>
            </w:pPr>
            <w:r>
              <w:rPr>
                <w:rFonts w:ascii="Arial" w:cs="Arial" w:eastAsia="Arial" w:hAnsi="Arial"/>
                <w:sz w:val="18"/>
                <w:szCs w:val="18"/>
                <w:color w:val="auto"/>
              </w:rPr>
              <w:t>Total Investment Portfolio — Cost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10,528</w:t>
            </w: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10,368</w:t>
            </w:r>
          </w:p>
        </w:tc>
        <w:tc>
          <w:tcPr>
            <w:tcW w:w="1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10,173</w:t>
            </w:r>
          </w:p>
        </w:tc>
        <w:tc>
          <w:tcPr>
            <w:tcW w:w="1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10,477</w:t>
            </w:r>
          </w:p>
        </w:tc>
        <w:tc>
          <w:tcPr>
            <w:tcW w:w="160" w:type="dxa"/>
            <w:vAlign w:val="bottom"/>
          </w:tcPr>
          <w:p>
            <w:pPr>
              <w:spacing w:after="0"/>
              <w:rPr>
                <w:sz w:val="24"/>
                <w:szCs w:val="24"/>
                <w:color w:val="auto"/>
              </w:rPr>
            </w:pPr>
          </w:p>
        </w:tc>
        <w:tc>
          <w:tcPr>
            <w:tcW w:w="46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10,826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Public Securities Investments at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9" w:name="page50"/>
    <w:bookmarkEnd w:id="49"/>
    <w:tbl>
      <w:tblPr>
        <w:tblLayout w:type="fixed"/>
        <w:tblInd w:w="14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Quoted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Public</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4"/>
        </w:trPr>
        <w:tc>
          <w:tcPr>
            <w:tcW w:w="52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2"/>
              </w:rPr>
              <w:t>Symbol</w:t>
            </w:r>
          </w:p>
        </w:tc>
        <w:tc>
          <w:tcPr>
            <w:tcW w:w="3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Shares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36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Cost</w:t>
            </w:r>
          </w:p>
        </w:tc>
      </w:tr>
      <w:tr>
        <w:trPr>
          <w:trHeight w:val="95"/>
        </w:trPr>
        <w:tc>
          <w:tcPr>
            <w:tcW w:w="52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r>
      <w:tr>
        <w:trPr>
          <w:trHeight w:val="102"/>
        </w:trPr>
        <w:tc>
          <w:tcPr>
            <w:tcW w:w="5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TRITON PCS HOLDING, INC.</w:t>
            </w:r>
          </w:p>
        </w:tc>
        <w:tc>
          <w:tcPr>
            <w:tcW w:w="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TPC</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16.0</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$ 70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TELECORP PCS</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TLCP</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FISHER SCIENTIFIC INTERNATIONAL</w:t>
            </w:r>
          </w:p>
        </w:tc>
        <w:tc>
          <w:tcPr>
            <w:tcW w:w="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FSH</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3.0</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DJ ORTHOPEDICS, INC.</w:t>
            </w:r>
          </w:p>
        </w:tc>
        <w:tc>
          <w:tcPr>
            <w:tcW w:w="540" w:type="dxa"/>
            <w:vAlign w:val="bottom"/>
          </w:tcPr>
          <w:p>
            <w:pPr>
              <w:jc w:val="center"/>
              <w:spacing w:after="0"/>
              <w:rPr>
                <w:sz w:val="20"/>
                <w:szCs w:val="20"/>
                <w:color w:val="auto"/>
              </w:rPr>
            </w:pPr>
            <w:r>
              <w:rPr>
                <w:rFonts w:ascii="Arial" w:cs="Arial" w:eastAsia="Arial" w:hAnsi="Arial"/>
                <w:sz w:val="18"/>
                <w:szCs w:val="18"/>
                <w:color w:val="auto"/>
                <w:w w:val="94"/>
              </w:rPr>
              <w:t>DJO</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54</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PACKAGING CORP OF AMERICA</w:t>
            </w:r>
          </w:p>
        </w:tc>
        <w:tc>
          <w:tcPr>
            <w:tcW w:w="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PKG</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3.9</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ENCORE ACQUISITION COMPANY</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EAC</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GUITAR CENTER INC.</w:t>
            </w:r>
          </w:p>
        </w:tc>
        <w:tc>
          <w:tcPr>
            <w:tcW w:w="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GTRC</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4.7</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50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1-800 FLOWERS.COM</w:t>
            </w: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FLWS</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AMERICAN TOWER CORP.</w:t>
            </w:r>
          </w:p>
        </w:tc>
        <w:tc>
          <w:tcPr>
            <w:tcW w:w="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AMT</w:t>
            </w:r>
          </w:p>
        </w:tc>
        <w:tc>
          <w:tcPr>
            <w:tcW w:w="84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5.9</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19</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CROWN MEDIA HOLDINGS INC.</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CRWN</w:t>
            </w:r>
          </w:p>
        </w:tc>
        <w:tc>
          <w:tcPr>
            <w:tcW w:w="840" w:type="dxa"/>
            <w:vAlign w:val="bottom"/>
            <w:gridSpan w:val="2"/>
          </w:tcPr>
          <w:p>
            <w:pPr>
              <w:jc w:val="right"/>
              <w:ind w:right="32"/>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40</w:t>
            </w:r>
          </w:p>
        </w:tc>
      </w:tr>
      <w:tr>
        <w:trPr>
          <w:trHeight w:val="102"/>
        </w:trPr>
        <w:tc>
          <w:tcPr>
            <w:tcW w:w="5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5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220" w:type="dxa"/>
            <w:vAlign w:val="bottom"/>
            <w:shd w:val="clear" w:color="auto" w:fill="EEEEEE"/>
          </w:tcPr>
          <w:p>
            <w:pPr>
              <w:ind w:left="360"/>
              <w:spacing w:after="0"/>
              <w:rPr>
                <w:sz w:val="20"/>
                <w:szCs w:val="20"/>
                <w:color w:val="auto"/>
              </w:rPr>
            </w:pPr>
            <w:r>
              <w:rPr>
                <w:rFonts w:ascii="Arial" w:cs="Arial" w:eastAsia="Arial" w:hAnsi="Arial"/>
                <w:sz w:val="18"/>
                <w:szCs w:val="18"/>
                <w:b w:val="1"/>
                <w:bCs w:val="1"/>
                <w:color w:val="auto"/>
              </w:rPr>
              <w:t>Top Ten Public Securities</w:t>
            </w: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1,074</w:t>
            </w: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$331</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Other Public Securities (153 companies)</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471</w:t>
            </w:r>
          </w:p>
        </w:tc>
      </w:tr>
      <w:tr>
        <w:trPr>
          <w:trHeight w:val="102"/>
        </w:trPr>
        <w:tc>
          <w:tcPr>
            <w:tcW w:w="5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5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220" w:type="dxa"/>
            <w:vAlign w:val="bottom"/>
            <w:shd w:val="clear" w:color="auto" w:fill="EEEEEE"/>
          </w:tcPr>
          <w:p>
            <w:pPr>
              <w:ind w:left="360"/>
              <w:spacing w:after="0"/>
              <w:rPr>
                <w:sz w:val="20"/>
                <w:szCs w:val="20"/>
                <w:color w:val="auto"/>
              </w:rPr>
            </w:pPr>
            <w:r>
              <w:rPr>
                <w:rFonts w:ascii="Arial" w:cs="Arial" w:eastAsia="Arial" w:hAnsi="Arial"/>
                <w:sz w:val="18"/>
                <w:szCs w:val="18"/>
                <w:b w:val="1"/>
                <w:bCs w:val="1"/>
                <w:color w:val="auto"/>
              </w:rPr>
              <w:t xml:space="preserve">Total Public Securities </w:t>
            </w:r>
            <w:r>
              <w:rPr>
                <w:rFonts w:ascii="Arial" w:cs="Arial" w:eastAsia="Arial" w:hAnsi="Arial"/>
                <w:sz w:val="18"/>
                <w:szCs w:val="18"/>
                <w:color w:val="auto"/>
              </w:rPr>
              <w:t>(163 companies)</w:t>
            </w: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1,389</w:t>
            </w:r>
          </w:p>
        </w:tc>
        <w:tc>
          <w:tcPr>
            <w:tcW w:w="22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$802</w:t>
            </w:r>
          </w:p>
        </w:tc>
      </w:tr>
      <w:tr>
        <w:trPr>
          <w:trHeight w:val="105"/>
        </w:trPr>
        <w:tc>
          <w:tcPr>
            <w:tcW w:w="5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-38100</wp:posOffset>
            </wp:positionV>
            <wp:extent cx="17589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5895" cy="38735"/>
                    </a:xfrm>
                    <a:prstGeom prst="rect">
                      <a:avLst/>
                    </a:prstGeom>
                    <a:noFill/>
                  </pic:spPr>
                </pic:pic>
              </a:graphicData>
            </a:graphic>
          </wp:anchor>
        </w:drawing>
      </w:r>
    </w:p>
    <w:p>
      <w:pPr>
        <w:spacing w:after="0" w:line="293"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Publicly traded positions only.</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number of companies and funds at December 31, 2001.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8" w:right="239" w:bottom="1440" w:gutter="0" w:footer="0" w:header="0"/>
        </w:sectPr>
      </w:pPr>
    </w:p>
    <w:bookmarkStart w:id="50" w:name="page51"/>
    <w:bookmarkEnd w:id="50"/>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&amp; MIDDLE MARKET FINANCIAL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3QTR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2QTR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1QTR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4200" w:type="dxa"/>
            <w:vAlign w:val="bottom"/>
            <w:gridSpan w:val="5"/>
            <w:shd w:val="clear" w:color="auto" w:fill="EEEEEE"/>
          </w:tcPr>
          <w:p>
            <w:pPr>
              <w:ind w:left="80"/>
              <w:spacing w:after="0" w:line="176" w:lineRule="exact"/>
              <w:rPr>
                <w:sz w:val="20"/>
                <w:szCs w:val="20"/>
                <w:color w:val="auto"/>
              </w:rPr>
            </w:pPr>
            <w:r>
              <w:rPr>
                <w:rFonts w:ascii="Arial" w:cs="Arial" w:eastAsia="Arial" w:hAnsi="Arial"/>
                <w:sz w:val="18"/>
                <w:szCs w:val="18"/>
                <w:b w:val="1"/>
                <w:bCs w:val="1"/>
                <w:color w:val="auto"/>
              </w:rPr>
              <w:t>OPERATING INCOME STATEMENT</w:t>
            </w:r>
          </w:p>
        </w:tc>
        <w:tc>
          <w:tcPr>
            <w:tcW w:w="18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80" w:type="dxa"/>
            <w:vAlign w:val="bottom"/>
            <w:tcBorders>
              <w:right w:val="single" w:sz="8" w:color="EEEEEE"/>
            </w:tcBorders>
            <w:shd w:val="clear" w:color="auto" w:fill="EEEEEE"/>
          </w:tcPr>
          <w:p>
            <w:pPr>
              <w:spacing w:after="0"/>
              <w:rPr>
                <w:sz w:val="15"/>
                <w:szCs w:val="15"/>
                <w:color w:val="auto"/>
              </w:rPr>
            </w:pPr>
          </w:p>
        </w:tc>
        <w:tc>
          <w:tcPr>
            <w:tcW w:w="580" w:type="dxa"/>
            <w:vAlign w:val="bottom"/>
            <w:tcBorders>
              <w:right w:val="single" w:sz="8" w:color="EEEEEE"/>
            </w:tcBorders>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80" w:type="dxa"/>
            <w:vAlign w:val="bottom"/>
            <w:tcBorders>
              <w:right w:val="single" w:sz="8" w:color="EEEEEE"/>
            </w:tcBorders>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960" w:type="dxa"/>
            <w:vAlign w:val="bottom"/>
            <w:tcBorders>
              <w:top w:val="single" w:sz="8" w:color="auto"/>
            </w:tcBorders>
            <w:shd w:val="clear" w:color="auto" w:fill="EEEEEE"/>
          </w:tcPr>
          <w:p>
            <w:pPr>
              <w:spacing w:after="0" w:line="20" w:lineRule="exact"/>
              <w:rPr>
                <w:sz w:val="1"/>
                <w:szCs w:val="1"/>
                <w:color w:val="auto"/>
              </w:rPr>
            </w:pPr>
          </w:p>
        </w:tc>
        <w:tc>
          <w:tcPr>
            <w:tcW w:w="980" w:type="dxa"/>
            <w:vAlign w:val="bottom"/>
            <w:tcBorders>
              <w:top w:val="single" w:sz="8" w:color="auto"/>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1,821</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1,779</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1,715</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1,632</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color w:val="auto"/>
              </w:rPr>
              <w:t>Fees and Commissions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Securities Gains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color w:val="auto"/>
              </w:rPr>
              <w:t>All Other Revenue</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4120" w:type="dxa"/>
            <w:vAlign w:val="bottom"/>
            <w:gridSpan w:val="4"/>
            <w:shd w:val="clear" w:color="auto" w:fill="EEEEEE"/>
          </w:tcPr>
          <w:p>
            <w:pPr>
              <w:ind w:left="440"/>
              <w:spacing w:after="0"/>
              <w:rPr>
                <w:sz w:val="20"/>
                <w:szCs w:val="20"/>
                <w:color w:val="auto"/>
              </w:rPr>
            </w:pPr>
            <w:r>
              <w:rPr>
                <w:rFonts w:ascii="Arial" w:cs="Arial" w:eastAsia="Arial" w:hAnsi="Arial"/>
                <w:sz w:val="18"/>
                <w:szCs w:val="18"/>
                <w:b w:val="1"/>
                <w:bCs w:val="1"/>
                <w:color w:val="auto"/>
              </w:rPr>
              <w:t>TOTAL OPERATING REVENUE</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2,868</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2,785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2,674</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2,588</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2,591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b w:val="1"/>
                <w:bCs w:val="1"/>
                <w:color w:val="auto"/>
              </w:rPr>
              <w:t>EXPENSE:</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color w:val="auto"/>
              </w:rPr>
              <w:t>Compensation Expense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Noncompensation Expense (Excluding Intangibles)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809</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CASH EXPENSE</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1,426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1,382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1,355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1,305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1,353</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OPERATING EXPENSE</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1,473</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1,427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1,400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1,349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1,401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1,274</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1,239</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color w:val="auto"/>
              </w:rPr>
              <w:t>Credit Costs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Operating Income Before Taxes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0" w:type="dxa"/>
            <w:vAlign w:val="bottom"/>
            <w:gridSpan w:val="5"/>
            <w:shd w:val="clear" w:color="auto" w:fill="EEEEEE"/>
          </w:tcPr>
          <w:p>
            <w:pPr>
              <w:ind w:left="80"/>
              <w:spacing w:after="0"/>
              <w:rPr>
                <w:sz w:val="20"/>
                <w:szCs w:val="20"/>
                <w:color w:val="auto"/>
              </w:rPr>
            </w:pPr>
            <w:r>
              <w:rPr>
                <w:rFonts w:ascii="Arial" w:cs="Arial" w:eastAsia="Arial" w:hAnsi="Arial"/>
                <w:sz w:val="18"/>
                <w:szCs w:val="18"/>
                <w:b w:val="1"/>
                <w:bCs w:val="1"/>
                <w:color w:val="auto"/>
              </w:rPr>
              <w:t>OPERATING EARNINGS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299</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399</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408</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410</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410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right w:val="single" w:sz="8" w:color="808080"/>
            </w:tcBorders>
            <w:gridSpan w:val="2"/>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Borders>
              <w:right w:val="single" w:sz="8" w:color="808080"/>
            </w:tcBorders>
            <w:gridSpan w:val="2"/>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gridSpan w:val="5"/>
          </w:tcPr>
          <w:p>
            <w:pPr>
              <w:ind w:left="80"/>
              <w:spacing w:after="0"/>
              <w:rPr>
                <w:sz w:val="20"/>
                <w:szCs w:val="20"/>
                <w:color w:val="auto"/>
              </w:rPr>
            </w:pPr>
            <w:r>
              <w:rPr>
                <w:rFonts w:ascii="Arial" w:cs="Arial" w:eastAsia="Arial" w:hAnsi="Arial"/>
                <w:sz w:val="18"/>
                <w:szCs w:val="18"/>
                <w:b w:val="1"/>
                <w:bCs w:val="1"/>
                <w:color w:val="auto"/>
              </w:rPr>
              <w:t>CASH OPERATING EARNINGS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26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441</w:t>
            </w:r>
          </w:p>
        </w:tc>
        <w:tc>
          <w:tcPr>
            <w:tcW w:w="2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451</w:t>
            </w:r>
          </w:p>
        </w:tc>
        <w:tc>
          <w:tcPr>
            <w:tcW w:w="26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2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Average Common Equity</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8,847</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8,738</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8,497</w:t>
            </w:r>
          </w:p>
        </w:tc>
        <w:tc>
          <w:tcPr>
            <w:tcW w:w="26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8,239</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8,360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Average Managed Assets (a)</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168,983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166,963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166,691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158,965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153,623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SVA</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Cash Return on Common Equity</w:t>
            </w: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Overhead Ratio</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340" w:type="dxa"/>
            <w:vAlign w:val="bottom"/>
            <w:gridSpan w:val="7"/>
          </w:tcPr>
          <w:p>
            <w:pPr>
              <w:spacing w:after="0"/>
              <w:rPr>
                <w:sz w:val="20"/>
                <w:szCs w:val="20"/>
                <w:color w:val="auto"/>
              </w:rPr>
            </w:pPr>
            <w:r>
              <w:rPr>
                <w:rFonts w:ascii="Arial" w:cs="Arial" w:eastAsia="Arial" w:hAnsi="Arial"/>
                <w:sz w:val="18"/>
                <w:szCs w:val="18"/>
                <w:b w:val="1"/>
                <w:bCs w:val="1"/>
                <w:color w:val="auto"/>
              </w:rPr>
              <w:t>RETAIL &amp; MIDDLE MARKET FINANCIAL</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auto"/>
            </w:tcBorders>
            <w:gridSpan w:val="5"/>
          </w:tcPr>
          <w:p>
            <w:pPr>
              <w:ind w:left="120"/>
              <w:spacing w:after="0" w:line="196" w:lineRule="exact"/>
              <w:rPr>
                <w:sz w:val="20"/>
                <w:szCs w:val="20"/>
                <w:color w:val="auto"/>
              </w:rPr>
            </w:pPr>
            <w:r>
              <w:rPr>
                <w:rFonts w:ascii="Arial" w:cs="Arial" w:eastAsia="Arial" w:hAnsi="Arial"/>
                <w:sz w:val="18"/>
                <w:szCs w:val="18"/>
                <w:b w:val="1"/>
                <w:bCs w:val="1"/>
                <w:color w:val="auto"/>
              </w:rPr>
              <w:t>SERVICES’ BUSINESSES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CARDMEMBER SERVICES: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1,247</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HOME FINANCE:</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REGIONAL BANKING GROUP:</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MIDDLE MARKETS: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AUTO FINANCE:</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ectPr>
          <w:pgSz w:w="11900" w:h="16838" w:orient="portrait"/>
          <w:cols w:equalWidth="0" w:num="1">
            <w:col w:w="11420"/>
          </w:cols>
          <w:pgMar w:left="240" w:top="1440" w:right="239" w:bottom="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[Continued from above table, first column(s) repeated]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4QTR 2001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8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Over (Under)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FULL YEAR</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8"/>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jc w:val="right"/>
              <w:ind w:right="34"/>
              <w:spacing w:after="0"/>
              <w:rPr>
                <w:sz w:val="20"/>
                <w:szCs w:val="20"/>
                <w:color w:val="auto"/>
              </w:rPr>
            </w:pPr>
            <w:r>
              <w:rPr>
                <w:rFonts w:ascii="Arial" w:cs="Arial" w:eastAsia="Arial" w:hAnsi="Arial"/>
                <w:sz w:val="14"/>
                <w:szCs w:val="14"/>
                <w:b w:val="1"/>
                <w:bCs w:val="1"/>
                <w:color w:val="auto"/>
              </w:rPr>
              <w:t>3Q 2001</w:t>
            </w:r>
          </w:p>
        </w:tc>
        <w:tc>
          <w:tcPr>
            <w:tcW w:w="220" w:type="dxa"/>
            <w:vAlign w:val="bottom"/>
          </w:tcPr>
          <w:p>
            <w:pPr>
              <w:spacing w:after="0"/>
              <w:rPr>
                <w:sz w:val="22"/>
                <w:szCs w:val="22"/>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4Q 2000</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116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b w:val="1"/>
                <w:bCs w:val="1"/>
                <w:color w:val="auto"/>
              </w:rPr>
              <w:t>OPERATING INCOME STATEMENT</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b w:val="1"/>
                <w:bCs w:val="1"/>
                <w:color w:val="auto"/>
              </w:rPr>
              <w:t>REVENUE: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Net Interest Income</w:t>
            </w:r>
          </w:p>
        </w:tc>
        <w:tc>
          <w:tcPr>
            <w:tcW w:w="72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EEEEEE"/>
          </w:tcPr>
          <w:p>
            <w:pPr>
              <w:jc w:val="right"/>
              <w:ind w:right="22"/>
              <w:spacing w:after="0"/>
              <w:rPr>
                <w:sz w:val="20"/>
                <w:szCs w:val="20"/>
                <w:color w:val="auto"/>
              </w:rPr>
            </w:pPr>
            <w:r>
              <w:rPr>
                <w:rFonts w:ascii="Arial" w:cs="Arial" w:eastAsia="Arial" w:hAnsi="Arial"/>
                <w:sz w:val="18"/>
                <w:szCs w:val="18"/>
                <w:color w:val="auto"/>
              </w:rPr>
              <w:t>15%</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6,947</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6,319</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7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color w:val="auto"/>
              </w:rPr>
              <w:t>Fees and Commissions</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3,147</w:t>
            </w:r>
          </w:p>
        </w:tc>
        <w:tc>
          <w:tcPr>
            <w:tcW w:w="260" w:type="dxa"/>
            <w:vAlign w:val="bottom"/>
          </w:tcPr>
          <w:p>
            <w:pPr>
              <w:spacing w:after="0"/>
              <w:rPr>
                <w:sz w:val="18"/>
                <w:szCs w:val="18"/>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Securities Gains</w:t>
            </w:r>
          </w:p>
        </w:tc>
        <w:tc>
          <w:tcPr>
            <w:tcW w:w="72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NM</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(60)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color w:val="auto"/>
              </w:rPr>
              <w:t>All Other Revenue</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440" w:type="dxa"/>
            <w:vAlign w:val="bottom"/>
            <w:gridSpan w:val="4"/>
            <w:shd w:val="clear" w:color="auto" w:fill="EEEEEE"/>
          </w:tcPr>
          <w:p>
            <w:pPr>
              <w:ind w:left="320"/>
              <w:spacing w:after="0"/>
              <w:rPr>
                <w:sz w:val="20"/>
                <w:szCs w:val="20"/>
                <w:color w:val="auto"/>
              </w:rPr>
            </w:pPr>
            <w:r>
              <w:rPr>
                <w:rFonts w:ascii="Arial" w:cs="Arial" w:eastAsia="Arial" w:hAnsi="Arial"/>
                <w:sz w:val="18"/>
                <w:szCs w:val="18"/>
                <w:b w:val="1"/>
                <w:bCs w:val="1"/>
                <w:color w:val="auto"/>
              </w:rPr>
              <w:t>TOTAL OPERATING REVENUE</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11</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10,915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10,176</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b w:val="1"/>
                <w:bCs w:val="1"/>
                <w:color w:val="auto"/>
              </w:rPr>
              <w:t>EXPENSE:</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color w:val="auto"/>
              </w:rPr>
              <w:t>Compensation Expense</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2,248</w:t>
            </w:r>
          </w:p>
        </w:tc>
        <w:tc>
          <w:tcPr>
            <w:tcW w:w="260" w:type="dxa"/>
            <w:vAlign w:val="bottom"/>
          </w:tcPr>
          <w:p>
            <w:pPr>
              <w:spacing w:after="0"/>
              <w:rPr>
                <w:sz w:val="18"/>
                <w:szCs w:val="18"/>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Noncompensation Expense (Excluding Intangibles)</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7</w:t>
            </w:r>
          </w:p>
        </w:tc>
        <w:tc>
          <w:tcPr>
            <w:tcW w:w="96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3,047</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3,026</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4"/>
          </w:tcPr>
          <w:p>
            <w:pPr>
              <w:ind w:left="100"/>
              <w:spacing w:after="0"/>
              <w:rPr>
                <w:sz w:val="20"/>
                <w:szCs w:val="20"/>
                <w:color w:val="auto"/>
              </w:rPr>
            </w:pPr>
            <w:r>
              <w:rPr>
                <w:rFonts w:ascii="Arial" w:cs="Arial" w:eastAsia="Arial" w:hAnsi="Arial"/>
                <w:sz w:val="18"/>
                <w:szCs w:val="18"/>
                <w:b w:val="1"/>
                <w:bCs w:val="1"/>
                <w:color w:val="auto"/>
              </w:rPr>
              <w:t>TOTAL CASH EXPENSE</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5,468</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5,274</w:t>
            </w:r>
          </w:p>
        </w:tc>
        <w:tc>
          <w:tcPr>
            <w:tcW w:w="260" w:type="dxa"/>
            <w:vAlign w:val="bottom"/>
          </w:tcPr>
          <w:p>
            <w:pPr>
              <w:spacing w:after="0"/>
              <w:rPr>
                <w:sz w:val="24"/>
                <w:szCs w:val="24"/>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Amortization of Intangibles</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4"/>
          </w:tcPr>
          <w:p>
            <w:pPr>
              <w:ind w:left="100"/>
              <w:spacing w:after="0"/>
              <w:rPr>
                <w:sz w:val="20"/>
                <w:szCs w:val="20"/>
                <w:color w:val="auto"/>
              </w:rPr>
            </w:pPr>
            <w:r>
              <w:rPr>
                <w:rFonts w:ascii="Arial" w:cs="Arial" w:eastAsia="Arial" w:hAnsi="Arial"/>
                <w:sz w:val="18"/>
                <w:szCs w:val="18"/>
                <w:b w:val="1"/>
                <w:bCs w:val="1"/>
                <w:color w:val="auto"/>
              </w:rPr>
              <w:t>TOTAL OPERATING EXPENSE</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5,649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5,470</w:t>
            </w:r>
          </w:p>
        </w:tc>
        <w:tc>
          <w:tcPr>
            <w:tcW w:w="260" w:type="dxa"/>
            <w:vAlign w:val="bottom"/>
          </w:tcPr>
          <w:p>
            <w:pPr>
              <w:spacing w:after="0"/>
              <w:rPr>
                <w:sz w:val="24"/>
                <w:szCs w:val="24"/>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Operating Margin</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17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4,706</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color w:val="auto"/>
              </w:rPr>
              <w:t>Credit Costs</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2,083</w:t>
            </w:r>
          </w:p>
        </w:tc>
        <w:tc>
          <w:tcPr>
            <w:tcW w:w="26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Operating Income Before Taxes</w:t>
            </w:r>
          </w:p>
        </w:tc>
        <w:tc>
          <w:tcPr>
            <w:tcW w:w="7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(29)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2,623</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color w:val="auto"/>
              </w:rPr>
              <w:t>Income Taxes</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(28)</w:t>
            </w:r>
          </w:p>
        </w:tc>
        <w:tc>
          <w:tcPr>
            <w:tcW w:w="960" w:type="dxa"/>
            <w:vAlign w:val="bottom"/>
            <w:gridSpan w:val="2"/>
          </w:tcPr>
          <w:p>
            <w:pPr>
              <w:jc w:val="right"/>
              <w:ind w:right="122"/>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1,024</w:t>
            </w:r>
          </w:p>
        </w:tc>
        <w:tc>
          <w:tcPr>
            <w:tcW w:w="260" w:type="dxa"/>
            <w:vAlign w:val="bottom"/>
          </w:tcPr>
          <w:p>
            <w:pPr>
              <w:spacing w:after="0"/>
              <w:rPr>
                <w:sz w:val="19"/>
                <w:szCs w:val="19"/>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40" w:type="dxa"/>
            <w:vAlign w:val="bottom"/>
            <w:gridSpan w:val="5"/>
            <w:shd w:val="clear" w:color="auto" w:fill="EEEEEE"/>
          </w:tcPr>
          <w:p>
            <w:pPr>
              <w:ind w:left="80"/>
              <w:spacing w:after="0"/>
              <w:rPr>
                <w:sz w:val="20"/>
                <w:szCs w:val="20"/>
                <w:color w:val="auto"/>
              </w:rPr>
            </w:pPr>
            <w:r>
              <w:rPr>
                <w:rFonts w:ascii="Arial" w:cs="Arial" w:eastAsia="Arial" w:hAnsi="Arial"/>
                <w:sz w:val="18"/>
                <w:szCs w:val="18"/>
                <w:b w:val="1"/>
                <w:bCs w:val="1"/>
                <w:color w:val="auto"/>
              </w:rPr>
              <w:t>OPERATING EARNINGS</w:t>
            </w:r>
          </w:p>
        </w:tc>
        <w:tc>
          <w:tcPr>
            <w:tcW w:w="7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(27)</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1,516</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1,599</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2"/>
          </w:tcPr>
          <w:p>
            <w:pPr>
              <w:spacing w:after="0"/>
              <w:rPr>
                <w:sz w:val="9"/>
                <w:szCs w:val="9"/>
                <w:color w:val="auto"/>
              </w:rPr>
            </w:pPr>
          </w:p>
        </w:tc>
        <w:tc>
          <w:tcPr>
            <w:tcW w:w="132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gridSpan w:val="2"/>
          </w:tcPr>
          <w:p>
            <w:pPr>
              <w:spacing w:after="0"/>
              <w:rPr>
                <w:sz w:val="5"/>
                <w:szCs w:val="5"/>
                <w:color w:val="auto"/>
              </w:rPr>
            </w:pPr>
          </w:p>
        </w:tc>
        <w:tc>
          <w:tcPr>
            <w:tcW w:w="1320" w:type="dxa"/>
            <w:vAlign w:val="bottom"/>
          </w:tcPr>
          <w:p>
            <w:pPr>
              <w:spacing w:after="0"/>
              <w:rPr>
                <w:sz w:val="5"/>
                <w:szCs w:val="5"/>
                <w:color w:val="auto"/>
              </w:rPr>
            </w:pPr>
          </w:p>
        </w:tc>
        <w:tc>
          <w:tcPr>
            <w:tcW w:w="1280" w:type="dxa"/>
            <w:vAlign w:val="bottom"/>
            <w:gridSpan w:val="2"/>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5"/>
          </w:tcPr>
          <w:p>
            <w:pPr>
              <w:ind w:left="80"/>
              <w:spacing w:after="0"/>
              <w:rPr>
                <w:sz w:val="20"/>
                <w:szCs w:val="20"/>
                <w:color w:val="auto"/>
              </w:rPr>
            </w:pPr>
            <w:r>
              <w:rPr>
                <w:rFonts w:ascii="Arial" w:cs="Arial" w:eastAsia="Arial" w:hAnsi="Arial"/>
                <w:sz w:val="18"/>
                <w:szCs w:val="18"/>
                <w:b w:val="1"/>
                <w:bCs w:val="1"/>
                <w:color w:val="auto"/>
              </w:rPr>
              <w:t>CASH OPERATING EARNINGS</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ind w:right="122"/>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1,688</w:t>
            </w:r>
          </w:p>
        </w:tc>
        <w:tc>
          <w:tcPr>
            <w:tcW w:w="2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1,785</w:t>
            </w:r>
          </w:p>
        </w:tc>
        <w:tc>
          <w:tcPr>
            <w:tcW w:w="260" w:type="dxa"/>
            <w:vAlign w:val="bottom"/>
          </w:tcPr>
          <w:p>
            <w:pPr>
              <w:spacing w:after="0"/>
              <w:rPr>
                <w:sz w:val="24"/>
                <w:szCs w:val="24"/>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Average Common Equity</w:t>
            </w:r>
          </w:p>
        </w:tc>
        <w:tc>
          <w:tcPr>
            <w:tcW w:w="72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EEEEEE"/>
          </w:tcPr>
          <w:p>
            <w:pPr>
              <w:jc w:val="right"/>
              <w:ind w:right="22"/>
              <w:spacing w:after="0"/>
              <w:rPr>
                <w:sz w:val="20"/>
                <w:szCs w:val="20"/>
                <w:color w:val="auto"/>
              </w:rPr>
            </w:pPr>
            <w:r>
              <w:rPr>
                <w:rFonts w:ascii="Arial" w:cs="Arial" w:eastAsia="Arial" w:hAnsi="Arial"/>
                <w:sz w:val="18"/>
                <w:szCs w:val="18"/>
                <w:color w:val="auto"/>
              </w:rPr>
              <w:t>6%</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8,582</w:t>
            </w:r>
          </w:p>
        </w:tc>
        <w:tc>
          <w:tcPr>
            <w:tcW w:w="26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Average Managed Assets (a)</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165,432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148,283</w:t>
            </w:r>
          </w:p>
        </w:tc>
        <w:tc>
          <w:tcPr>
            <w:tcW w:w="260" w:type="dxa"/>
            <w:vAlign w:val="bottom"/>
          </w:tcPr>
          <w:p>
            <w:pPr>
              <w:spacing w:after="0"/>
              <w:rPr>
                <w:sz w:val="18"/>
                <w:szCs w:val="18"/>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SVA</w:t>
            </w:r>
          </w:p>
        </w:tc>
        <w:tc>
          <w:tcPr>
            <w:tcW w:w="7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(58)</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(64)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Cash Return on Common Equity</w:t>
            </w:r>
          </w:p>
        </w:tc>
        <w:tc>
          <w:tcPr>
            <w:tcW w:w="720" w:type="dxa"/>
            <w:vAlign w:val="bottom"/>
          </w:tcPr>
          <w:p>
            <w:pPr>
              <w:jc w:val="right"/>
              <w:spacing w:after="0"/>
              <w:rPr>
                <w:sz w:val="20"/>
                <w:szCs w:val="20"/>
                <w:color w:val="auto"/>
              </w:rPr>
            </w:pPr>
            <w:r>
              <w:rPr>
                <w:rFonts w:ascii="Arial" w:cs="Arial" w:eastAsia="Arial" w:hAnsi="Arial"/>
                <w:sz w:val="18"/>
                <w:szCs w:val="18"/>
                <w:color w:val="auto"/>
              </w:rPr>
              <w:t>(460)bp</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(620)bp</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Overhead Ratio</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92"/>
        </w:trPr>
        <w:tc>
          <w:tcPr>
            <w:tcW w:w="4780" w:type="dxa"/>
            <w:vAlign w:val="bottom"/>
            <w:gridSpan w:val="7"/>
          </w:tcPr>
          <w:p>
            <w:pPr>
              <w:spacing w:after="0"/>
              <w:rPr>
                <w:sz w:val="20"/>
                <w:szCs w:val="20"/>
                <w:color w:val="auto"/>
              </w:rPr>
            </w:pPr>
            <w:r>
              <w:rPr>
                <w:rFonts w:ascii="Arial" w:cs="Arial" w:eastAsia="Arial" w:hAnsi="Arial"/>
                <w:sz w:val="18"/>
                <w:szCs w:val="18"/>
                <w:b w:val="1"/>
                <w:bCs w:val="1"/>
                <w:color w:val="auto"/>
              </w:rPr>
              <w:t>RETAIL &amp; MIDDLE MARKET FINANCIAL</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auto"/>
            </w:tcBorders>
            <w:gridSpan w:val="4"/>
          </w:tcPr>
          <w:p>
            <w:pPr>
              <w:ind w:left="120"/>
              <w:spacing w:after="0" w:line="196" w:lineRule="exact"/>
              <w:rPr>
                <w:sz w:val="20"/>
                <w:szCs w:val="20"/>
                <w:color w:val="auto"/>
              </w:rPr>
            </w:pPr>
            <w:r>
              <w:rPr>
                <w:rFonts w:ascii="Arial" w:cs="Arial" w:eastAsia="Arial" w:hAnsi="Arial"/>
                <w:sz w:val="18"/>
                <w:szCs w:val="18"/>
                <w:b w:val="1"/>
                <w:bCs w:val="1"/>
                <w:color w:val="auto"/>
              </w:rPr>
              <w:t>SERVICES’ BUSINESSES</w:t>
            </w:r>
          </w:p>
        </w:tc>
        <w:tc>
          <w:tcPr>
            <w:tcW w:w="12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CARDMEMBER SERVICES:</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22"/>
              <w:spacing w:after="0"/>
              <w:rPr>
                <w:sz w:val="20"/>
                <w:szCs w:val="20"/>
                <w:color w:val="auto"/>
              </w:rPr>
            </w:pPr>
            <w:r>
              <w:rPr>
                <w:rFonts w:ascii="Arial" w:cs="Arial" w:eastAsia="Arial" w:hAnsi="Arial"/>
                <w:sz w:val="18"/>
                <w:szCs w:val="18"/>
                <w:color w:val="auto"/>
              </w:rPr>
              <w:t>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4,427</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3,797</w:t>
            </w:r>
          </w:p>
        </w:tc>
        <w:tc>
          <w:tcPr>
            <w:tcW w:w="260" w:type="dxa"/>
            <w:vAlign w:val="bottom"/>
          </w:tcPr>
          <w:p>
            <w:pPr>
              <w:spacing w:after="0"/>
              <w:rPr>
                <w:sz w:val="18"/>
                <w:szCs w:val="18"/>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32</w:t>
            </w:r>
          </w:p>
        </w:tc>
        <w:tc>
          <w:tcPr>
            <w:tcW w:w="96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33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HOME FINANCE:</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29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1,611</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1,317</w:t>
            </w:r>
          </w:p>
        </w:tc>
        <w:tc>
          <w:tcPr>
            <w:tcW w:w="260" w:type="dxa"/>
            <w:vAlign w:val="bottom"/>
          </w:tcPr>
          <w:p>
            <w:pPr>
              <w:spacing w:after="0"/>
              <w:rPr>
                <w:sz w:val="18"/>
                <w:szCs w:val="18"/>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7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(28)</w:t>
            </w:r>
          </w:p>
        </w:tc>
        <w:tc>
          <w:tcPr>
            <w:tcW w:w="96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12</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REGIONAL BANKING GROUP:</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22"/>
              <w:spacing w:after="0"/>
              <w:rPr>
                <w:sz w:val="20"/>
                <w:szCs w:val="20"/>
                <w:color w:val="auto"/>
              </w:rPr>
            </w:pPr>
            <w:r>
              <w:rPr>
                <w:rFonts w:ascii="Arial" w:cs="Arial" w:eastAsia="Arial" w:hAnsi="Arial"/>
                <w:sz w:val="18"/>
                <w:szCs w:val="18"/>
                <w:color w:val="auto"/>
              </w:rPr>
              <w:t>(9)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2,985</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Pr>
          <w:p>
            <w:pPr>
              <w:spacing w:after="0"/>
              <w:rPr>
                <w:sz w:val="18"/>
                <w:szCs w:val="18"/>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7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(14)</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549</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MIDDLE MARKETS:</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(2)</w:t>
            </w:r>
          </w:p>
        </w:tc>
        <w:tc>
          <w:tcPr>
            <w:tcW w:w="960" w:type="dxa"/>
            <w:vAlign w:val="bottom"/>
            <w:gridSpan w:val="2"/>
          </w:tcPr>
          <w:p>
            <w:pPr>
              <w:jc w:val="right"/>
              <w:ind w:right="122"/>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1,199</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18"/>
                <w:szCs w:val="18"/>
                <w:color w:val="auto"/>
              </w:rPr>
            </w:pPr>
          </w:p>
        </w:tc>
        <w:tc>
          <w:tcPr>
            <w:tcW w:w="1160" w:type="dxa"/>
            <w:vAlign w:val="bottom"/>
            <w:gridSpan w:val="2"/>
          </w:tcPr>
          <w:p>
            <w:pPr>
              <w:jc w:val="right"/>
              <w:ind w:right="15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7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EEEEEE"/>
          </w:tcPr>
          <w:p>
            <w:pPr>
              <w:jc w:val="right"/>
              <w:ind w:right="122"/>
              <w:spacing w:after="0"/>
              <w:rPr>
                <w:sz w:val="20"/>
                <w:szCs w:val="20"/>
                <w:color w:val="auto"/>
              </w:rPr>
            </w:pPr>
            <w:r>
              <w:rPr>
                <w:rFonts w:ascii="Arial" w:cs="Arial" w:eastAsia="Arial" w:hAnsi="Arial"/>
                <w:sz w:val="18"/>
                <w:szCs w:val="18"/>
                <w:color w:val="auto"/>
              </w:rPr>
              <w:t>(16)</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AUTO FINANCE:</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tcPr>
          <w:p>
            <w:pPr>
              <w:spacing w:after="0"/>
              <w:rPr>
                <w:sz w:val="20"/>
                <w:szCs w:val="20"/>
                <w:color w:val="auto"/>
              </w:rPr>
            </w:pPr>
            <w:r>
              <w:rPr>
                <w:rFonts w:ascii="Arial" w:cs="Arial" w:eastAsia="Arial" w:hAnsi="Arial"/>
                <w:sz w:val="18"/>
                <w:szCs w:val="18"/>
                <w:color w:val="auto"/>
              </w:rPr>
              <w:t>Operating Revenues</w:t>
            </w: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17</w:t>
            </w:r>
          </w:p>
        </w:tc>
        <w:tc>
          <w:tcPr>
            <w:tcW w:w="960" w:type="dxa"/>
            <w:vAlign w:val="bottom"/>
            <w:gridSpan w:val="2"/>
          </w:tcPr>
          <w:p>
            <w:pPr>
              <w:jc w:val="right"/>
              <w:ind w:right="182"/>
              <w:spacing w:after="0"/>
              <w:rPr>
                <w:sz w:val="20"/>
                <w:szCs w:val="20"/>
                <w:color w:val="auto"/>
              </w:rPr>
            </w:pPr>
            <w:r>
              <w:rPr>
                <w:rFonts w:ascii="Arial" w:cs="Arial" w:eastAsia="Arial" w:hAnsi="Arial"/>
                <w:sz w:val="18"/>
                <w:szCs w:val="18"/>
                <w:color w:val="auto"/>
              </w:rPr>
              <w:t>51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Cash Operating Earnings</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9</w:t>
            </w:r>
          </w:p>
        </w:tc>
        <w:tc>
          <w:tcPr>
            <w:tcW w:w="960" w:type="dxa"/>
            <w:vAlign w:val="bottom"/>
            <w:gridSpan w:val="2"/>
            <w:shd w:val="clear" w:color="auto" w:fill="EEEEEE"/>
          </w:tcPr>
          <w:p>
            <w:pPr>
              <w:jc w:val="right"/>
              <w:ind w:right="182"/>
              <w:spacing w:after="0"/>
              <w:rPr>
                <w:sz w:val="20"/>
                <w:szCs w:val="20"/>
                <w:color w:val="auto"/>
              </w:rPr>
            </w:pPr>
            <w:r>
              <w:rPr>
                <w:rFonts w:ascii="Arial" w:cs="Arial" w:eastAsia="Arial" w:hAnsi="Arial"/>
                <w:sz w:val="18"/>
                <w:szCs w:val="18"/>
                <w:color w:val="auto"/>
              </w:rPr>
              <w:t>59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9"/>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3208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the impact of credit card securitizations.</w:t>
      </w:r>
    </w:p>
    <w:p>
      <w:pPr>
        <w:spacing w:after="0" w:line="1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Note: Prior periods have been restated to conform with current methodologies.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8" w:right="239" w:bottom="445"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SUPPLEMENTAL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1332230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4" w:name="page55"/>
    <w:bookmarkEnd w:id="54"/>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ind w:right="3880"/>
        <w:spacing w:after="0" w:line="261" w:lineRule="auto"/>
        <w:rPr>
          <w:sz w:val="20"/>
          <w:szCs w:val="20"/>
          <w:color w:val="auto"/>
        </w:rPr>
      </w:pPr>
      <w:r>
        <w:rPr>
          <w:rFonts w:ascii="Arial" w:cs="Arial" w:eastAsia="Arial" w:hAnsi="Arial"/>
          <w:sz w:val="18"/>
          <w:szCs w:val="18"/>
          <w:b w:val="1"/>
          <w:bCs w:val="1"/>
          <w:color w:val="auto"/>
        </w:rPr>
        <w:t>NONINTEREST REVENUE AND NONINTEREST EXPENSE DETAIL ON A REPORTED BASIS (in millions)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ind w:right="296"/>
              <w:spacing w:after="0"/>
              <w:rPr>
                <w:sz w:val="20"/>
                <w:szCs w:val="20"/>
                <w:color w:val="auto"/>
              </w:rPr>
            </w:pPr>
            <w:r>
              <w:rPr>
                <w:rFonts w:ascii="Arial" w:cs="Arial" w:eastAsia="Arial" w:hAnsi="Arial"/>
                <w:sz w:val="14"/>
                <w:szCs w:val="14"/>
                <w:b w:val="1"/>
                <w:bCs w:val="1"/>
                <w:color w:val="auto"/>
              </w:rPr>
              <w:t>4QTR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4QTR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3QTR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2QTR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1QTR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4QTR</w:t>
            </w:r>
          </w:p>
        </w:tc>
        <w:tc>
          <w:tcPr>
            <w:tcW w:w="1440" w:type="dxa"/>
            <w:vAlign w:val="bottom"/>
            <w:gridSpan w:val="3"/>
          </w:tcPr>
          <w:p>
            <w:pPr>
              <w:jc w:val="right"/>
              <w:ind w:right="236"/>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3Q 2001</w:t>
            </w:r>
          </w:p>
        </w:tc>
        <w:tc>
          <w:tcPr>
            <w:tcW w:w="2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4Q 2000</w:t>
            </w:r>
          </w:p>
        </w:tc>
        <w:tc>
          <w:tcPr>
            <w:tcW w:w="0" w:type="dxa"/>
            <w:vAlign w:val="bottom"/>
          </w:tcPr>
          <w:p>
            <w:pPr>
              <w:spacing w:after="0"/>
              <w:rPr>
                <w:sz w:val="1"/>
                <w:szCs w:val="1"/>
                <w:color w:val="auto"/>
              </w:rPr>
            </w:pPr>
          </w:p>
        </w:tc>
      </w:tr>
      <w:tr>
        <w:trPr>
          <w:trHeight w:val="95"/>
        </w:trPr>
        <w:tc>
          <w:tcPr>
            <w:tcW w:w="5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NONINTEREST REVENUE</w:t>
            </w: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54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Investment Banking Fees:</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Advisory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Underwriting and Other Fees</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811</w:t>
            </w:r>
          </w:p>
        </w:tc>
        <w:tc>
          <w:tcPr>
            <w:tcW w:w="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929</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941</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1,051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ind w:right="134"/>
              <w:spacing w:after="0"/>
              <w:rPr>
                <w:sz w:val="20"/>
                <w:szCs w:val="20"/>
                <w:color w:val="auto"/>
              </w:rPr>
            </w:pPr>
            <w:r>
              <w:rPr>
                <w:rFonts w:ascii="Arial" w:cs="Arial" w:eastAsia="Arial" w:hAnsi="Arial"/>
                <w:sz w:val="18"/>
                <w:szCs w:val="18"/>
                <w:color w:val="auto"/>
              </w:rPr>
              <w:t>15</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7"/>
        </w:trPr>
        <w:tc>
          <w:tcPr>
            <w:tcW w:w="2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Trading-Related Revenue: (a)</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(60)</w:t>
            </w:r>
          </w:p>
        </w:tc>
        <w:tc>
          <w:tcPr>
            <w:tcW w:w="860" w:type="dxa"/>
            <w:vAlign w:val="bottom"/>
            <w:gridSpan w:val="2"/>
            <w:shd w:val="clear" w:color="auto" w:fill="EEEEEE"/>
          </w:tcPr>
          <w:p>
            <w:pPr>
              <w:jc w:val="right"/>
              <w:ind w:right="7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Fixed Income and Other</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1,363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1,662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904</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1,614</w:t>
            </w:r>
          </w:p>
        </w:tc>
        <w:tc>
          <w:tcPr>
            <w:tcW w:w="8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1,594</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2,167</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1,414</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(44)</w:t>
            </w:r>
          </w:p>
        </w:tc>
        <w:tc>
          <w:tcPr>
            <w:tcW w:w="860" w:type="dxa"/>
            <w:vAlign w:val="bottom"/>
            <w:gridSpan w:val="2"/>
            <w:shd w:val="clear" w:color="auto" w:fill="EEEEEE"/>
          </w:tcPr>
          <w:p>
            <w:pPr>
              <w:jc w:val="right"/>
              <w:ind w:right="7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Fees and Commissions:</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Investment Management, Custody and Processing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Credit Card Revenue</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548</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Brokerage and Investment Services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Mortgage Servicing Fees, Net of Amortization and Writedowns</w:t>
            </w: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9"/>
              </w:rPr>
              <w:t>(233)</w:t>
            </w: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Other Lending-Related Service Fees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Deposit Service Charges</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Other Fees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860" w:type="dxa"/>
            <w:vAlign w:val="bottom"/>
            <w:gridSpan w:val="2"/>
          </w:tcPr>
          <w:p>
            <w:pPr>
              <w:jc w:val="right"/>
              <w:ind w:right="1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2,424</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2,331</w:t>
            </w:r>
          </w:p>
        </w:tc>
        <w:tc>
          <w:tcPr>
            <w:tcW w:w="8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2,388</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2,065</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2,387</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Other Revenue:</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Residential Mortgage Origination/Sales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36"/>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Gains on Sales of Nonstrategic Assets</w:t>
            </w: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1,226</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color w:val="auto"/>
              </w:rPr>
              <w:t>Loss on Economic Hedge of the Flemings Purchase Price (b)</w:t>
            </w: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All Other Revenue</w:t>
            </w:r>
          </w:p>
        </w:tc>
        <w:tc>
          <w:tcPr>
            <w:tcW w:w="12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52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1,482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7"/>
        </w:trPr>
        <w:tc>
          <w:tcPr>
            <w:tcW w:w="2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3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21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95"/>
              </w:rPr>
              <w:t>NONINTEREST EXPENSE</w:t>
            </w:r>
          </w:p>
        </w:tc>
        <w:tc>
          <w:tcPr>
            <w:tcW w:w="34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Other Expense:</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8</w:t>
            </w:r>
          </w:p>
        </w:tc>
        <w:tc>
          <w:tcPr>
            <w:tcW w:w="860" w:type="dxa"/>
            <w:vAlign w:val="bottom"/>
            <w:gridSpan w:val="2"/>
            <w:shd w:val="clear" w:color="auto" w:fill="EEEEEE"/>
          </w:tcPr>
          <w:p>
            <w:pPr>
              <w:jc w:val="right"/>
              <w:ind w:right="76"/>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Outside Services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Marketing</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31</w:t>
            </w:r>
          </w:p>
        </w:tc>
        <w:tc>
          <w:tcPr>
            <w:tcW w:w="86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Travel and Entertainment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ind w:right="74"/>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All Other</w:t>
            </w: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EEEEEE"/>
          </w:tcPr>
          <w:p>
            <w:pPr>
              <w:jc w:val="right"/>
              <w:ind w:right="7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08"/>
        </w:trPr>
        <w:tc>
          <w:tcPr>
            <w:tcW w:w="2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1,023</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8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79"/>
              </w:rPr>
              <w:t>1,047</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1,062</w:t>
            </w:r>
          </w:p>
        </w:tc>
        <w:tc>
          <w:tcPr>
            <w:tcW w:w="1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7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3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4"/>
              </w:rPr>
              <w:t>FULL YEAR</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3"/>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110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66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NONINTEREST REVENUE</w:t>
            </w: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666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Investment Banking Fees: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Advisory</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1,248</w:t>
            </w:r>
          </w:p>
        </w:tc>
        <w:tc>
          <w:tcPr>
            <w:tcW w:w="2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1,523</w:t>
            </w:r>
          </w:p>
        </w:tc>
        <w:tc>
          <w:tcPr>
            <w:tcW w:w="260" w:type="dxa"/>
            <w:vAlign w:val="bottom"/>
          </w:tcPr>
          <w:p>
            <w:pPr>
              <w:spacing w:after="0"/>
              <w:rPr>
                <w:sz w:val="18"/>
                <w:szCs w:val="18"/>
                <w:color w:val="auto"/>
              </w:rPr>
            </w:pPr>
          </w:p>
        </w:tc>
        <w:tc>
          <w:tcPr>
            <w:tcW w:w="1100" w:type="dxa"/>
            <w:vAlign w:val="bottom"/>
            <w:gridSpan w:val="2"/>
          </w:tcPr>
          <w:p>
            <w:pPr>
              <w:jc w:val="right"/>
              <w:ind w:right="9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Underwriting and Other Fees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2,364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2,839</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79"/>
              </w:rPr>
              <w:t>3,612</w:t>
            </w:r>
          </w:p>
        </w:tc>
        <w:tc>
          <w:tcPr>
            <w:tcW w:w="24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4,362</w:t>
            </w:r>
          </w:p>
        </w:tc>
        <w:tc>
          <w:tcPr>
            <w:tcW w:w="260" w:type="dxa"/>
            <w:vAlign w:val="bottom"/>
          </w:tcPr>
          <w:p>
            <w:pPr>
              <w:spacing w:after="0"/>
              <w:rPr>
                <w:sz w:val="24"/>
                <w:szCs w:val="24"/>
                <w:color w:val="auto"/>
              </w:rPr>
            </w:pPr>
          </w:p>
        </w:tc>
        <w:tc>
          <w:tcPr>
            <w:tcW w:w="1100" w:type="dxa"/>
            <w:vAlign w:val="bottom"/>
            <w:gridSpan w:val="2"/>
          </w:tcPr>
          <w:p>
            <w:pPr>
              <w:jc w:val="right"/>
              <w:ind w:right="2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7"/>
        </w:trPr>
        <w:tc>
          <w:tcPr>
            <w:tcW w:w="2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Trading-Related Revenue: (a)</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Equities</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1,307</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1,797</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Fixed Income and Other</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4,972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5,345</w:t>
            </w:r>
          </w:p>
        </w:tc>
        <w:tc>
          <w:tcPr>
            <w:tcW w:w="260" w:type="dxa"/>
            <w:vAlign w:val="bottom"/>
          </w:tcPr>
          <w:p>
            <w:pPr>
              <w:spacing w:after="0"/>
              <w:rPr>
                <w:sz w:val="19"/>
                <w:szCs w:val="19"/>
                <w:color w:val="auto"/>
              </w:rPr>
            </w:pPr>
          </w:p>
        </w:tc>
        <w:tc>
          <w:tcPr>
            <w:tcW w:w="1100" w:type="dxa"/>
            <w:vAlign w:val="bottom"/>
            <w:gridSpan w:val="2"/>
          </w:tcPr>
          <w:p>
            <w:pPr>
              <w:jc w:val="right"/>
              <w:ind w:right="23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6,279</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7,142</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Fees and Commissions: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Investment Management, Custody and Processing Services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3,774</w:t>
            </w:r>
          </w:p>
        </w:tc>
        <w:tc>
          <w:tcPr>
            <w:tcW w:w="2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3,628</w:t>
            </w:r>
          </w:p>
        </w:tc>
        <w:tc>
          <w:tcPr>
            <w:tcW w:w="260" w:type="dxa"/>
            <w:vAlign w:val="bottom"/>
          </w:tcPr>
          <w:p>
            <w:pPr>
              <w:spacing w:after="0"/>
              <w:rPr>
                <w:sz w:val="18"/>
                <w:szCs w:val="18"/>
                <w:color w:val="auto"/>
              </w:rPr>
            </w:pPr>
          </w:p>
        </w:tc>
        <w:tc>
          <w:tcPr>
            <w:tcW w:w="1100" w:type="dxa"/>
            <w:vAlign w:val="bottom"/>
            <w:gridSpan w:val="2"/>
          </w:tcPr>
          <w:p>
            <w:pPr>
              <w:jc w:val="right"/>
              <w:ind w:right="29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Credit Card Revenue</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2,108</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1,771</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9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Brokerage and Investment Services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1,244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1,228</w:t>
            </w:r>
          </w:p>
        </w:tc>
        <w:tc>
          <w:tcPr>
            <w:tcW w:w="260" w:type="dxa"/>
            <w:vAlign w:val="bottom"/>
          </w:tcPr>
          <w:p>
            <w:pPr>
              <w:spacing w:after="0"/>
              <w:rPr>
                <w:sz w:val="18"/>
                <w:szCs w:val="18"/>
                <w:color w:val="auto"/>
              </w:rPr>
            </w:pPr>
          </w:p>
        </w:tc>
        <w:tc>
          <w:tcPr>
            <w:tcW w:w="1100" w:type="dxa"/>
            <w:vAlign w:val="bottom"/>
            <w:gridSpan w:val="2"/>
          </w:tcPr>
          <w:p>
            <w:pPr>
              <w:jc w:val="right"/>
              <w:ind w:right="29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Mortgage Servicing Fees, Net of Amortization and Writedowns</w:t>
            </w: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w w:val="99"/>
              </w:rPr>
              <w:t>(230)</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Other Lending-Related Service Fees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8"/>
                <w:szCs w:val="18"/>
                <w:color w:val="auto"/>
              </w:rPr>
            </w:pPr>
          </w:p>
        </w:tc>
        <w:tc>
          <w:tcPr>
            <w:tcW w:w="1100" w:type="dxa"/>
            <w:vAlign w:val="bottom"/>
            <w:gridSpan w:val="2"/>
          </w:tcPr>
          <w:p>
            <w:pPr>
              <w:jc w:val="right"/>
              <w:ind w:right="23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Deposit Service Charges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1,023</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906</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96"/>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Other Fees</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9"/>
                <w:szCs w:val="19"/>
                <w:color w:val="auto"/>
              </w:rPr>
            </w:pPr>
          </w:p>
        </w:tc>
        <w:tc>
          <w:tcPr>
            <w:tcW w:w="1100" w:type="dxa"/>
            <w:vAlign w:val="bottom"/>
            <w:gridSpan w:val="2"/>
          </w:tcPr>
          <w:p>
            <w:pPr>
              <w:jc w:val="right"/>
              <w:ind w:right="29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79"/>
              </w:rPr>
              <w:t>9,208</w:t>
            </w:r>
          </w:p>
        </w:tc>
        <w:tc>
          <w:tcPr>
            <w:tcW w:w="24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9,229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Other Revenue:</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Residential Mortgage Origination/Sales Activities</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96"/>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Gains on Sales of Nonstrategic Assets</w:t>
            </w:r>
          </w:p>
        </w:tc>
        <w:tc>
          <w:tcPr>
            <w:tcW w:w="200" w:type="dxa"/>
            <w:vAlign w:val="bottom"/>
          </w:tcPr>
          <w:p>
            <w:pPr>
              <w:spacing w:after="0"/>
              <w:rPr>
                <w:sz w:val="18"/>
                <w:szCs w:val="18"/>
                <w:color w:val="auto"/>
              </w:rPr>
            </w:pPr>
          </w:p>
        </w:tc>
        <w:tc>
          <w:tcPr>
            <w:tcW w:w="6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1,307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ind w:left="240"/>
              <w:spacing w:after="0"/>
              <w:rPr>
                <w:sz w:val="20"/>
                <w:szCs w:val="20"/>
                <w:color w:val="auto"/>
              </w:rPr>
            </w:pPr>
            <w:r>
              <w:rPr>
                <w:rFonts w:ascii="Arial" w:cs="Arial" w:eastAsia="Arial" w:hAnsi="Arial"/>
                <w:sz w:val="18"/>
                <w:szCs w:val="18"/>
                <w:color w:val="auto"/>
              </w:rPr>
              <w:t>Loss on Economic Hedge of the Flemings Purchase Price (b)</w:t>
            </w: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9"/>
              </w:rPr>
              <w:t>(176)</w:t>
            </w: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All Other Revenue</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964</w:t>
            </w:r>
          </w:p>
        </w:tc>
        <w:tc>
          <w:tcPr>
            <w:tcW w:w="260" w:type="dxa"/>
            <w:vAlign w:val="bottom"/>
          </w:tcPr>
          <w:p>
            <w:pPr>
              <w:spacing w:after="0"/>
              <w:rPr>
                <w:sz w:val="19"/>
                <w:szCs w:val="19"/>
                <w:color w:val="auto"/>
              </w:rPr>
            </w:pPr>
          </w:p>
        </w:tc>
        <w:tc>
          <w:tcPr>
            <w:tcW w:w="1100" w:type="dxa"/>
            <w:vAlign w:val="bottom"/>
            <w:gridSpan w:val="2"/>
          </w:tcPr>
          <w:p>
            <w:pPr>
              <w:jc w:val="right"/>
              <w:ind w:right="23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877</w:t>
            </w:r>
          </w:p>
        </w:tc>
        <w:tc>
          <w:tcPr>
            <w:tcW w:w="24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2,289</w:t>
            </w:r>
          </w:p>
        </w:tc>
        <w:tc>
          <w:tcPr>
            <w:tcW w:w="260" w:type="dxa"/>
            <w:vAlign w:val="bottom"/>
          </w:tcPr>
          <w:p>
            <w:pPr>
              <w:spacing w:after="0"/>
              <w:rPr>
                <w:sz w:val="24"/>
                <w:szCs w:val="24"/>
                <w:color w:val="auto"/>
              </w:rPr>
            </w:pPr>
          </w:p>
        </w:tc>
        <w:tc>
          <w:tcPr>
            <w:tcW w:w="1100" w:type="dxa"/>
            <w:vAlign w:val="bottom"/>
            <w:gridSpan w:val="2"/>
          </w:tcPr>
          <w:p>
            <w:pPr>
              <w:jc w:val="right"/>
              <w:ind w:right="23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07"/>
        </w:trPr>
        <w:tc>
          <w:tcPr>
            <w:tcW w:w="21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44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212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95"/>
              </w:rPr>
              <w:t>NONINTEREST EXPENSE</w:t>
            </w:r>
          </w:p>
        </w:tc>
        <w:tc>
          <w:tcPr>
            <w:tcW w:w="45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660" w:type="dxa"/>
            <w:vAlign w:val="bottom"/>
            <w:gridSpan w:val="4"/>
          </w:tcPr>
          <w:p>
            <w:pPr>
              <w:spacing w:after="0"/>
              <w:rPr>
                <w:sz w:val="20"/>
                <w:szCs w:val="20"/>
                <w:color w:val="auto"/>
              </w:rPr>
            </w:pPr>
            <w:r>
              <w:rPr>
                <w:rFonts w:ascii="Arial" w:cs="Arial" w:eastAsia="Arial" w:hAnsi="Arial"/>
                <w:sz w:val="18"/>
                <w:szCs w:val="18"/>
                <w:b w:val="1"/>
                <w:bCs w:val="1"/>
                <w:color w:val="auto"/>
              </w:rPr>
              <w:t>Other Expense:</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1,139</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1,203</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Outside Services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648</w:t>
            </w:r>
          </w:p>
        </w:tc>
        <w:tc>
          <w:tcPr>
            <w:tcW w:w="260" w:type="dxa"/>
            <w:vAlign w:val="bottom"/>
          </w:tcPr>
          <w:p>
            <w:pPr>
              <w:spacing w:after="0"/>
              <w:rPr>
                <w:sz w:val="18"/>
                <w:szCs w:val="18"/>
                <w:color w:val="auto"/>
              </w:rPr>
            </w:pPr>
          </w:p>
        </w:tc>
        <w:tc>
          <w:tcPr>
            <w:tcW w:w="1100" w:type="dxa"/>
            <w:vAlign w:val="bottom"/>
            <w:gridSpan w:val="2"/>
          </w:tcPr>
          <w:p>
            <w:pPr>
              <w:jc w:val="right"/>
              <w:ind w:right="29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Marketing</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595</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9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Travel and Entertainment</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100" w:type="dxa"/>
            <w:vAlign w:val="bottom"/>
            <w:gridSpan w:val="2"/>
          </w:tcPr>
          <w:p>
            <w:pPr>
              <w:jc w:val="right"/>
              <w:ind w:right="23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All Other</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1,262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1,433</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4,124</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4,369</w:t>
            </w: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3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trading-related net interest income.</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is the result of the economic hedge of the purchase price of Flemings prior to its acquisition.</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68" w:right="239" w:bottom="1440" w:gutter="0" w:footer="0" w:header="0"/>
        </w:sectPr>
      </w:pPr>
    </w:p>
    <w:bookmarkStart w:id="56" w:name="page57"/>
    <w:bookmarkEnd w:id="56"/>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Dec 31st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Sep 30th</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Jun 30th</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Mar 31st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 31st</w:t>
            </w:r>
          </w:p>
        </w:tc>
        <w:tc>
          <w:tcPr>
            <w:tcW w:w="180" w:type="dxa"/>
            <w:vAlign w:val="bottom"/>
          </w:tcPr>
          <w:p>
            <w:pPr>
              <w:spacing w:after="0"/>
              <w:rPr>
                <w:sz w:val="15"/>
                <w:szCs w:val="15"/>
                <w:color w:val="auto"/>
              </w:rPr>
            </w:pPr>
          </w:p>
        </w:tc>
        <w:tc>
          <w:tcPr>
            <w:tcW w:w="13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Sep 30, 01</w:t>
            </w:r>
          </w:p>
        </w:tc>
        <w:tc>
          <w:tcPr>
            <w:tcW w:w="240" w:type="dxa"/>
            <w:vAlign w:val="bottom"/>
          </w:tcPr>
          <w:p>
            <w:pPr>
              <w:spacing w:after="0"/>
              <w:rPr>
                <w:sz w:val="22"/>
                <w:szCs w:val="2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7"/>
              </w:rPr>
              <w:t>Dec 31, 00</w:t>
            </w:r>
          </w:p>
        </w:tc>
        <w:tc>
          <w:tcPr>
            <w:tcW w:w="0" w:type="dxa"/>
            <w:vAlign w:val="bottom"/>
          </w:tcPr>
          <w:p>
            <w:pPr>
              <w:spacing w:after="0"/>
              <w:rPr>
                <w:sz w:val="1"/>
                <w:szCs w:val="1"/>
                <w:color w:val="auto"/>
              </w:rPr>
            </w:pPr>
          </w:p>
        </w:tc>
      </w:tr>
      <w:tr>
        <w:trPr>
          <w:trHeight w:val="95"/>
        </w:trPr>
        <w:tc>
          <w:tcPr>
            <w:tcW w:w="3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38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22,600</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22,299</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24,219</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22,371</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23,972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c>
          <w:tcPr>
            <w:tcW w:w="8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Deposits with Banks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Federal Funds Sold and Securities Purchased</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under Resale Agreements</w:t>
            </w: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63,727</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78,997</w:t>
            </w: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61,308</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71,147</w:t>
            </w:r>
          </w:p>
        </w:tc>
        <w:tc>
          <w:tcPr>
            <w:tcW w:w="2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69,474</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(19)</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Securities Borrowed</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38,296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Trading Assets: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Debt and Equity Instruments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118,248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165,143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139,135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138,270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139,249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Derivative Receivables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71,157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85,407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68,910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78,907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76,373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(17)</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Securities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68,488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73,695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Loans (Net of Allowance for Loan Losses)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212,920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219,411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216,245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213,116</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212,385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15,347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Private Equity Investments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9,197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9,628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9,855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10,877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11,428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(21)</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693,575</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799,300</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ind w:left="320"/>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712,702</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713,624</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715,348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(13)</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Deposits: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Noninterest-Bearing</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76,974</w:t>
            </w:r>
          </w:p>
        </w:tc>
        <w:tc>
          <w:tcPr>
            <w:tcW w:w="2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72,734</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64,231</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59,686</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62,713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Interest-Bearing</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216,676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208,870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212,573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212,886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216,652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Total Deposits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293,650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281,604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276,804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272,572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279,365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Federal Funds Purchased and Securities Sold</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under Repurchase Agreements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128,445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181,775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155,062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145,703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131,738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18,510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19,299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19,985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16,281</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24,851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Borrowed Funds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(51)</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Trading Liabilities: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Debt and Equity Instruments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52,157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Derivative Payables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56,063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70,817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62,373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73,312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76,517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(21)</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Liabilities (Including the Allowance for Credit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Losses)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47,813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75,231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(36)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39,183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42,315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40,917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42,609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43,299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(7)</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8"/>
              </w:rPr>
              <w:t>Guaranteed Preferred Beneficial Interests in the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w w:val="98"/>
              </w:rPr>
              <w:t>Firm’s Junior Subordinated Deferrable Interest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Debentures</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651,926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756,015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669,726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669,708</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672,460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(14)</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PREFERRED STOCK OF SUBSIDIARY</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550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1,940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 Surplus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26,993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28,021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28,265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28,592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28,096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(4)</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80" w:type="dxa"/>
            <w:vAlign w:val="bottom"/>
          </w:tcPr>
          <w:p>
            <w:pPr>
              <w:ind w:left="120"/>
              <w:spacing w:after="0"/>
              <w:rPr>
                <w:sz w:val="20"/>
                <w:szCs w:val="20"/>
                <w:color w:val="auto"/>
              </w:rPr>
            </w:pPr>
            <w:r>
              <w:rPr>
                <w:rFonts w:ascii="Arial" w:cs="Arial" w:eastAsia="Arial" w:hAnsi="Arial"/>
                <w:sz w:val="18"/>
                <w:szCs w:val="18"/>
                <w:color w:val="auto"/>
              </w:rPr>
              <w:t>(Loss)</w:t>
            </w: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NM</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color w:val="auto"/>
              </w:rPr>
              <w:t>Treasury Stock, at Cost</w:t>
            </w: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(953)</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(19)</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08"/>
        </w:trPr>
        <w:tc>
          <w:tcPr>
            <w:tcW w:w="38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41,099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42,735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42,426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43,366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42,338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TOTAL LIABILITIES, PREFERRED STOCK</w:t>
            </w: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OF SUBSIDIARY AND STOCKHOLDERS’</w:t>
            </w: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693,575</w:t>
            </w:r>
          </w:p>
        </w:tc>
        <w:tc>
          <w:tcPr>
            <w:tcW w:w="220" w:type="dxa"/>
            <w:vAlign w:val="bottom"/>
            <w:shd w:val="clear" w:color="auto" w:fill="EEEEEE"/>
          </w:tcPr>
          <w:p>
            <w:pPr>
              <w:spacing w:after="0"/>
              <w:rPr>
                <w:sz w:val="20"/>
                <w:szCs w:val="20"/>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799,300</w:t>
            </w:r>
          </w:p>
        </w:tc>
        <w:tc>
          <w:tcPr>
            <w:tcW w:w="220" w:type="dxa"/>
            <w:vAlign w:val="bottom"/>
            <w:shd w:val="clear" w:color="auto" w:fill="EEEEEE"/>
          </w:tcPr>
          <w:p>
            <w:pPr>
              <w:spacing w:after="0"/>
              <w:rPr>
                <w:sz w:val="20"/>
                <w:szCs w:val="20"/>
                <w:color w:val="auto"/>
              </w:rPr>
            </w:pPr>
          </w:p>
        </w:tc>
        <w:tc>
          <w:tcPr>
            <w:tcW w:w="420" w:type="dxa"/>
            <w:vAlign w:val="bottom"/>
            <w:tcBorders>
              <w:right w:val="single" w:sz="8" w:color="EEEEEE"/>
            </w:tcBorders>
            <w:gridSpan w:val="2"/>
            <w:shd w:val="clear" w:color="auto" w:fill="EEEEEE"/>
          </w:tcPr>
          <w:p>
            <w:pPr>
              <w:ind w:left="320"/>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712,702</w:t>
            </w:r>
          </w:p>
        </w:tc>
        <w:tc>
          <w:tcPr>
            <w:tcW w:w="240" w:type="dxa"/>
            <w:vAlign w:val="bottom"/>
            <w:shd w:val="clear" w:color="auto" w:fill="EEEEEE"/>
          </w:tcPr>
          <w:p>
            <w:pPr>
              <w:spacing w:after="0"/>
              <w:rPr>
                <w:sz w:val="20"/>
                <w:szCs w:val="20"/>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713,624</w:t>
            </w:r>
          </w:p>
        </w:tc>
        <w:tc>
          <w:tcPr>
            <w:tcW w:w="240" w:type="dxa"/>
            <w:vAlign w:val="bottom"/>
            <w:shd w:val="clear" w:color="auto" w:fill="EEEEEE"/>
          </w:tcPr>
          <w:p>
            <w:pPr>
              <w:spacing w:after="0"/>
              <w:rPr>
                <w:sz w:val="20"/>
                <w:szCs w:val="20"/>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715,348</w:t>
            </w:r>
          </w:p>
        </w:tc>
        <w:tc>
          <w:tcPr>
            <w:tcW w:w="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2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(13)</w:t>
            </w:r>
          </w:p>
        </w:tc>
        <w:tc>
          <w:tcPr>
            <w:tcW w:w="88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9" w:gutter="0" w:footer="0" w:header="0"/>
        </w:sectPr>
      </w:pPr>
    </w:p>
    <w:bookmarkStart w:id="57" w:name="page58"/>
    <w:bookmarkEnd w:id="57"/>
    <w:p>
      <w:pPr>
        <w:ind w:left="9660"/>
        <w:spacing w:after="0"/>
        <w:rPr>
          <w:sz w:val="20"/>
          <w:szCs w:val="20"/>
          <w:color w:val="auto"/>
        </w:rPr>
      </w:pPr>
      <w:r>
        <w:rPr>
          <w:rFonts w:ascii="Arial" w:cs="Arial" w:eastAsia="Arial" w:hAnsi="Arial"/>
          <w:sz w:val="15"/>
          <w:szCs w:val="15"/>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168275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58" w:name="page59"/>
    <w:bookmarkEnd w:id="58"/>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ind w:right="4400"/>
        <w:spacing w:after="0" w:line="261" w:lineRule="auto"/>
        <w:rPr>
          <w:sz w:val="20"/>
          <w:szCs w:val="20"/>
          <w:color w:val="auto"/>
        </w:rPr>
      </w:pPr>
      <w:r>
        <w:rPr>
          <w:rFonts w:ascii="Arial" w:cs="Arial" w:eastAsia="Arial" w:hAnsi="Arial"/>
          <w:sz w:val="18"/>
          <w:szCs w:val="18"/>
          <w:b w:val="1"/>
          <w:bCs w:val="1"/>
          <w:color w:val="auto"/>
        </w:rPr>
        <w:t>CONDENSED AVERAGE BALANCE SHEET AND ANNUALIZED YIELDS (in millions, except rates)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4QTR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3QTR</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2QTR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1QTR</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AVERAGE BALANCES</w:t>
            </w: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1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Deposits with Banks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10,810</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8,583</w:t>
            </w:r>
          </w:p>
        </w:tc>
        <w:tc>
          <w:tcPr>
            <w:tcW w:w="2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9,535</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7,517</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7"/>
              </w:rPr>
              <w:t>Federal Funds Sold and Securities Purchased under</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Resale Agreements</w:t>
            </w:r>
          </w:p>
        </w:tc>
        <w:tc>
          <w:tcPr>
            <w:tcW w:w="2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85,582</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80,396</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86,556</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82,836</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80,405</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Securities and Trading Assets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188,988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200,161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194,736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200,872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197,636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Securities Borrowed</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39,213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38,122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38,006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37,261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36,887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Loans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218,625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224,125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217,447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219,133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Interest-Earning Assets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543,218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551,387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546,280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547,619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540,559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Noninterest-Earning Assets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196,557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185,891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189,488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183,339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163,065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739,775</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737,278</w:t>
            </w:r>
          </w:p>
        </w:tc>
        <w:tc>
          <w:tcPr>
            <w:tcW w:w="24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735,768</w:t>
            </w:r>
          </w:p>
        </w:tc>
        <w:tc>
          <w:tcPr>
            <w:tcW w:w="240" w:type="dxa"/>
            <w:vAlign w:val="bottom"/>
            <w:shd w:val="clear" w:color="auto" w:fill="EEEEEE"/>
          </w:tcPr>
          <w:p>
            <w:pPr>
              <w:spacing w:after="0"/>
              <w:rPr>
                <w:sz w:val="18"/>
                <w:szCs w:val="18"/>
                <w:color w:val="auto"/>
              </w:rPr>
            </w:pPr>
          </w:p>
        </w:tc>
        <w:tc>
          <w:tcPr>
            <w:tcW w:w="4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730,958</w:t>
            </w:r>
          </w:p>
        </w:tc>
        <w:tc>
          <w:tcPr>
            <w:tcW w:w="2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703,624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Interest-Bearing Deposits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223,314</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207,430</w:t>
            </w:r>
          </w:p>
        </w:tc>
        <w:tc>
          <w:tcPr>
            <w:tcW w:w="2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215,987</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216,749</w:t>
            </w:r>
          </w:p>
        </w:tc>
        <w:tc>
          <w:tcPr>
            <w:tcW w:w="2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215,147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7"/>
              </w:rPr>
              <w:t>Federal Funds Purchased and Securities Sold under</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Repurchase Agreements</w:t>
            </w:r>
          </w:p>
        </w:tc>
        <w:tc>
          <w:tcPr>
            <w:tcW w:w="2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164,714</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170,708</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167,126</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152,675</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149,237</w:t>
            </w: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21,889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Other Borrowings (a)</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55,388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67,218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63,038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70,606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65,071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44,964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46,723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Interest-Bearing Liabilities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505,514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511,451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509,142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505,438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498,067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Noninterest-Bearing Liabilities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191,098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182,757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183,118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182,218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163,113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696,612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694,208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692,260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687,656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661,180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PREFERRED STOCK OF SUBSIDIARY</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1,017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1,487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Common Stockholders’ Equity</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41,265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42,613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42,520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42,958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42,752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41,894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LIABILITIES, PREFERRED STOCK OF</w:t>
            </w: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12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b w:val="1"/>
                <w:bCs w:val="1"/>
                <w:color w:val="auto"/>
              </w:rPr>
              <w:t>SUBSIDIARY AND STOCKHOLDERS’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739,775</w:t>
            </w:r>
          </w:p>
        </w:tc>
        <w:tc>
          <w:tcPr>
            <w:tcW w:w="2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737,278</w:t>
            </w:r>
          </w:p>
        </w:tc>
        <w:tc>
          <w:tcPr>
            <w:tcW w:w="2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735,768</w:t>
            </w:r>
          </w:p>
        </w:tc>
        <w:tc>
          <w:tcPr>
            <w:tcW w:w="2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730,958</w:t>
            </w:r>
          </w:p>
        </w:tc>
        <w:tc>
          <w:tcPr>
            <w:tcW w:w="2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703,624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92"/>
              </w:rPr>
              <w:t>AVERAGE RATES</w:t>
            </w:r>
          </w:p>
        </w:tc>
        <w:tc>
          <w:tcPr>
            <w:tcW w:w="26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INTEREST-EARNING ASSETS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Deposits with Banks</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3.76%</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7"/>
              </w:rPr>
              <w:t>Federal Funds Sold and Securities Purchased under</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Resale Agreements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Securities and Trading Assets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Securities Borrowed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Interest-Earning Assets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INTEREST-BEARING LIABILITIES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Interest-Bearing Deposits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w w:val="97"/>
              </w:rPr>
              <w:t>Federal Funds Purchased and Securities Sold under</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Repurchase Agreements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Interest-Bearing Liabilities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INVESTABLE FUNDS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2.83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3.63</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4.17</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5.01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5.49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INTEREST RATE SPREAD</w:t>
            </w: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ectPr>
          <w:pgSz w:w="11900" w:h="16870" w:orient="portrait"/>
          <w:cols w:equalWidth="0" w:num="1">
            <w:col w:w="10280"/>
          </w:cols>
          <w:pgMar w:left="240" w:top="1440" w:right="1379" w:bottom="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2908300</wp:posOffset>
            </wp:positionH>
            <wp:positionV relativeFrom="page">
              <wp:posOffset>88900</wp:posOffset>
            </wp:positionV>
            <wp:extent cx="372745"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72745" cy="36195"/>
                    </a:xfrm>
                    <a:prstGeom prst="rect">
                      <a:avLst/>
                    </a:prstGeom>
                    <a:noFill/>
                  </pic:spPr>
                </pic:pic>
              </a:graphicData>
            </a:graphic>
          </wp:anchor>
        </w:drawing>
        <w:drawing>
          <wp:anchor simplePos="0" relativeHeight="251657728" behindDoc="1" locked="0" layoutInCell="0" allowOverlap="1">
            <wp:simplePos x="0" y="0"/>
            <wp:positionH relativeFrom="page">
              <wp:posOffset>3714115</wp:posOffset>
            </wp:positionH>
            <wp:positionV relativeFrom="page">
              <wp:posOffset>88900</wp:posOffset>
            </wp:positionV>
            <wp:extent cx="372745" cy="36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72745" cy="36195"/>
                    </a:xfrm>
                    <a:prstGeom prst="rect">
                      <a:avLst/>
                    </a:prstGeom>
                    <a:noFill/>
                  </pic:spPr>
                </pic:pic>
              </a:graphicData>
            </a:graphic>
          </wp:anchor>
        </w:drawing>
        <w:drawing>
          <wp:anchor simplePos="0" relativeHeight="251657728" behindDoc="1" locked="0" layoutInCell="0" allowOverlap="1">
            <wp:simplePos x="0" y="0"/>
            <wp:positionH relativeFrom="page">
              <wp:posOffset>4520565</wp:posOffset>
            </wp:positionH>
            <wp:positionV relativeFrom="page">
              <wp:posOffset>88900</wp:posOffset>
            </wp:positionV>
            <wp:extent cx="372745" cy="36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72745" cy="36195"/>
                    </a:xfrm>
                    <a:prstGeom prst="rect">
                      <a:avLst/>
                    </a:prstGeom>
                    <a:noFill/>
                  </pic:spPr>
                </pic:pic>
              </a:graphicData>
            </a:graphic>
          </wp:anchor>
        </w:drawing>
        <w:drawing>
          <wp:anchor simplePos="0" relativeHeight="251657728" behindDoc="1" locked="0" layoutInCell="0" allowOverlap="1">
            <wp:simplePos x="0" y="0"/>
            <wp:positionH relativeFrom="page">
              <wp:posOffset>5326380</wp:posOffset>
            </wp:positionH>
            <wp:positionV relativeFrom="page">
              <wp:posOffset>88900</wp:posOffset>
            </wp:positionV>
            <wp:extent cx="372745" cy="36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2745" cy="36195"/>
                    </a:xfrm>
                    <a:prstGeom prst="rect">
                      <a:avLst/>
                    </a:prstGeom>
                    <a:noFill/>
                  </pic:spPr>
                </pic:pic>
              </a:graphicData>
            </a:graphic>
          </wp:anchor>
        </w:drawing>
        <w:drawing>
          <wp:anchor simplePos="0" relativeHeight="251657728" behindDoc="1" locked="0" layoutInCell="0" allowOverlap="1">
            <wp:simplePos x="0" y="0"/>
            <wp:positionH relativeFrom="page">
              <wp:posOffset>6141085</wp:posOffset>
            </wp:positionH>
            <wp:positionV relativeFrom="page">
              <wp:posOffset>88900</wp:posOffset>
            </wp:positionV>
            <wp:extent cx="372745" cy="3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2745" cy="36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NET INTEREST MARGIN</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2.17%</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1.93%</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2.06%</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1.80%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NET INTEREST MARGIN ADJUSTED FOR</w:t>
            </w:r>
          </w:p>
        </w:tc>
        <w:tc>
          <w:tcPr>
            <w:tcW w:w="5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SECURITIZATIONS</w:t>
            </w:r>
          </w:p>
        </w:tc>
        <w:tc>
          <w:tcPr>
            <w:tcW w:w="126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2.39%</w:t>
            </w:r>
          </w:p>
        </w:tc>
        <w:tc>
          <w:tcPr>
            <w:tcW w:w="128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2.13%</w:t>
            </w:r>
          </w:p>
        </w:tc>
        <w:tc>
          <w:tcPr>
            <w:tcW w:w="126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2.22%</w:t>
            </w:r>
          </w:p>
        </w:tc>
        <w:tc>
          <w:tcPr>
            <w:tcW w:w="13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1.96%</w:t>
            </w: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4QTR 2001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3"/>
              </w:rPr>
              <w:t>Over (Under)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FULL YEAR</w:t>
            </w:r>
          </w:p>
        </w:tc>
        <w:tc>
          <w:tcPr>
            <w:tcW w:w="220" w:type="dxa"/>
            <w:vAlign w:val="bottom"/>
          </w:tcPr>
          <w:p>
            <w:pPr>
              <w:spacing w:after="0"/>
              <w:rPr>
                <w:sz w:val="15"/>
                <w:szCs w:val="15"/>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3Q 2001</w:t>
            </w:r>
          </w:p>
        </w:tc>
        <w:tc>
          <w:tcPr>
            <w:tcW w:w="220" w:type="dxa"/>
            <w:vAlign w:val="bottom"/>
          </w:tcPr>
          <w:p>
            <w:pPr>
              <w:spacing w:after="0"/>
              <w:rPr>
                <w:sz w:val="22"/>
                <w:szCs w:val="2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4Q 2000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4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AVERAGE BALANCES</w:t>
            </w: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7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Deposits with Banks</w:t>
            </w:r>
          </w:p>
        </w:tc>
        <w:tc>
          <w:tcPr>
            <w:tcW w:w="680" w:type="dxa"/>
            <w:vAlign w:val="bottom"/>
            <w:gridSpan w:val="3"/>
          </w:tcPr>
          <w:p>
            <w:pPr>
              <w:jc w:val="right"/>
              <w:ind w:right="32"/>
              <w:spacing w:after="0"/>
              <w:rPr>
                <w:sz w:val="20"/>
                <w:szCs w:val="20"/>
                <w:color w:val="auto"/>
              </w:rPr>
            </w:pPr>
            <w:r>
              <w:rPr>
                <w:rFonts w:ascii="Arial" w:cs="Arial" w:eastAsia="Arial" w:hAnsi="Arial"/>
                <w:sz w:val="18"/>
                <w:szCs w:val="18"/>
                <w:color w:val="auto"/>
              </w:rPr>
              <w:t>26%</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9,119</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9,404</w:t>
            </w:r>
          </w:p>
        </w:tc>
        <w:tc>
          <w:tcPr>
            <w:tcW w:w="260" w:type="dxa"/>
            <w:vAlign w:val="bottom"/>
          </w:tcPr>
          <w:p>
            <w:pPr>
              <w:spacing w:after="0"/>
              <w:rPr>
                <w:sz w:val="18"/>
                <w:szCs w:val="18"/>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8"/>
              </w:rPr>
              <w:t>Federal Funds Sold and Securities Purchased under Resale</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Agreements</w:t>
            </w:r>
          </w:p>
        </w:tc>
        <w:tc>
          <w:tcPr>
            <w:tcW w:w="680" w:type="dxa"/>
            <w:vAlign w:val="bottom"/>
            <w:gridSpan w:val="3"/>
            <w:shd w:val="clear" w:color="auto" w:fill="EEEEEE"/>
          </w:tcPr>
          <w:p>
            <w:pPr>
              <w:jc w:val="right"/>
              <w:ind w:right="192"/>
              <w:spacing w:after="0"/>
              <w:rPr>
                <w:sz w:val="20"/>
                <w:szCs w:val="20"/>
                <w:color w:val="auto"/>
              </w:rPr>
            </w:pPr>
            <w:r>
              <w:rPr>
                <w:rFonts w:ascii="Arial" w:cs="Arial" w:eastAsia="Arial" w:hAnsi="Arial"/>
                <w:sz w:val="18"/>
                <w:szCs w:val="18"/>
                <w:color w:val="auto"/>
              </w:rPr>
              <w:t>6</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83,841</w:t>
            </w:r>
          </w:p>
        </w:tc>
        <w:tc>
          <w:tcPr>
            <w:tcW w:w="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79,344</w:t>
            </w:r>
          </w:p>
        </w:tc>
        <w:tc>
          <w:tcPr>
            <w:tcW w:w="26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Securities and Trading Assets</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(6)</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196,166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178,770</w:t>
            </w:r>
          </w:p>
        </w:tc>
        <w:tc>
          <w:tcPr>
            <w:tcW w:w="260" w:type="dxa"/>
            <w:vAlign w:val="bottom"/>
          </w:tcPr>
          <w:p>
            <w:pPr>
              <w:spacing w:after="0"/>
              <w:rPr>
                <w:sz w:val="18"/>
                <w:szCs w:val="18"/>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Securities Borrowed</w:t>
            </w:r>
          </w:p>
        </w:tc>
        <w:tc>
          <w:tcPr>
            <w:tcW w:w="680" w:type="dxa"/>
            <w:vAlign w:val="bottom"/>
            <w:gridSpan w:val="3"/>
            <w:shd w:val="clear" w:color="auto" w:fill="EEEEEE"/>
          </w:tcPr>
          <w:p>
            <w:pPr>
              <w:jc w:val="right"/>
              <w:ind w:right="192"/>
              <w:spacing w:after="0"/>
              <w:rPr>
                <w:sz w:val="20"/>
                <w:szCs w:val="20"/>
                <w:color w:val="auto"/>
              </w:rPr>
            </w:pPr>
            <w:r>
              <w:rPr>
                <w:rFonts w:ascii="Arial" w:cs="Arial" w:eastAsia="Arial" w:hAnsi="Arial"/>
                <w:sz w:val="18"/>
                <w:szCs w:val="18"/>
                <w:color w:val="auto"/>
              </w:rPr>
              <w:t>3</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38,156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36,398</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Loans</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219,843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209,488</w:t>
            </w:r>
          </w:p>
        </w:tc>
        <w:tc>
          <w:tcPr>
            <w:tcW w:w="260" w:type="dxa"/>
            <w:vAlign w:val="bottom"/>
          </w:tcPr>
          <w:p>
            <w:pPr>
              <w:spacing w:after="0"/>
              <w:rPr>
                <w:sz w:val="19"/>
                <w:szCs w:val="19"/>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Interest-Earning Assets</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547,125</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513,404</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Noninterest-Earning Assets</w:t>
            </w:r>
          </w:p>
        </w:tc>
        <w:tc>
          <w:tcPr>
            <w:tcW w:w="680" w:type="dxa"/>
            <w:vAlign w:val="bottom"/>
            <w:gridSpan w:val="3"/>
          </w:tcPr>
          <w:p>
            <w:pPr>
              <w:jc w:val="right"/>
              <w:ind w:right="192"/>
              <w:spacing w:after="0"/>
              <w:rPr>
                <w:sz w:val="20"/>
                <w:szCs w:val="20"/>
                <w:color w:val="auto"/>
              </w:rPr>
            </w:pPr>
            <w:r>
              <w:rPr>
                <w:rFonts w:ascii="Arial" w:cs="Arial" w:eastAsia="Arial" w:hAnsi="Arial"/>
                <w:sz w:val="18"/>
                <w:szCs w:val="18"/>
                <w:color w:val="auto"/>
              </w:rPr>
              <w:t>6</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188,848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163,401</w:t>
            </w:r>
          </w:p>
        </w:tc>
        <w:tc>
          <w:tcPr>
            <w:tcW w:w="260" w:type="dxa"/>
            <w:vAlign w:val="bottom"/>
          </w:tcPr>
          <w:p>
            <w:pPr>
              <w:spacing w:after="0"/>
              <w:rPr>
                <w:sz w:val="19"/>
                <w:szCs w:val="19"/>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735,973</w:t>
            </w:r>
          </w:p>
        </w:tc>
        <w:tc>
          <w:tcPr>
            <w:tcW w:w="260" w:type="dxa"/>
            <w:vAlign w:val="bottom"/>
            <w:shd w:val="clear" w:color="auto" w:fill="EEEEEE"/>
          </w:tcPr>
          <w:p>
            <w:pPr>
              <w:spacing w:after="0"/>
              <w:rPr>
                <w:sz w:val="18"/>
                <w:szCs w:val="18"/>
                <w:color w:val="auto"/>
              </w:rPr>
            </w:pPr>
          </w:p>
        </w:tc>
        <w:tc>
          <w:tcPr>
            <w:tcW w:w="4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676,805</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Interest-Bearing Deposits</w:t>
            </w:r>
          </w:p>
        </w:tc>
        <w:tc>
          <w:tcPr>
            <w:tcW w:w="680" w:type="dxa"/>
            <w:vAlign w:val="bottom"/>
            <w:gridSpan w:val="3"/>
          </w:tcPr>
          <w:p>
            <w:pPr>
              <w:jc w:val="right"/>
              <w:ind w:right="192"/>
              <w:spacing w:after="0"/>
              <w:rPr>
                <w:sz w:val="20"/>
                <w:szCs w:val="20"/>
                <w:color w:val="auto"/>
              </w:rPr>
            </w:pPr>
            <w:r>
              <w:rPr>
                <w:rFonts w:ascii="Arial" w:cs="Arial" w:eastAsia="Arial" w:hAnsi="Arial"/>
                <w:sz w:val="18"/>
                <w:szCs w:val="18"/>
                <w:color w:val="auto"/>
              </w:rPr>
              <w:t>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215,865</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214,411</w:t>
            </w:r>
          </w:p>
        </w:tc>
        <w:tc>
          <w:tcPr>
            <w:tcW w:w="260" w:type="dxa"/>
            <w:vAlign w:val="bottom"/>
          </w:tcPr>
          <w:p>
            <w:pPr>
              <w:spacing w:after="0"/>
              <w:rPr>
                <w:sz w:val="18"/>
                <w:szCs w:val="18"/>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1"/>
              </w:rPr>
              <w:t>Federal Funds Purchased and Securities Sold under Repurchase</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Agreements</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(4)</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163,858</w:t>
            </w:r>
          </w:p>
        </w:tc>
        <w:tc>
          <w:tcPr>
            <w:tcW w:w="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133,705</w:t>
            </w:r>
          </w:p>
        </w:tc>
        <w:tc>
          <w:tcPr>
            <w:tcW w:w="26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(20)</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17,956</w:t>
            </w:r>
          </w:p>
        </w:tc>
        <w:tc>
          <w:tcPr>
            <w:tcW w:w="260" w:type="dxa"/>
            <w:vAlign w:val="bottom"/>
          </w:tcPr>
          <w:p>
            <w:pPr>
              <w:spacing w:after="0"/>
              <w:rPr>
                <w:sz w:val="18"/>
                <w:szCs w:val="18"/>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Other Borrowings (a)</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(18)</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64,029</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59,247</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45,583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46,282</w:t>
            </w:r>
          </w:p>
        </w:tc>
        <w:tc>
          <w:tcPr>
            <w:tcW w:w="260" w:type="dxa"/>
            <w:vAlign w:val="bottom"/>
          </w:tcPr>
          <w:p>
            <w:pPr>
              <w:spacing w:after="0"/>
              <w:rPr>
                <w:sz w:val="19"/>
                <w:szCs w:val="19"/>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Interest-Bearing Liabilities</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(1)</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507,896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471,601</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Noninterest-Bearing Liabilities</w:t>
            </w:r>
          </w:p>
        </w:tc>
        <w:tc>
          <w:tcPr>
            <w:tcW w:w="680" w:type="dxa"/>
            <w:vAlign w:val="bottom"/>
            <w:gridSpan w:val="3"/>
          </w:tcPr>
          <w:p>
            <w:pPr>
              <w:jc w:val="right"/>
              <w:ind w:right="192"/>
              <w:spacing w:after="0"/>
              <w:rPr>
                <w:sz w:val="20"/>
                <w:szCs w:val="20"/>
                <w:color w:val="auto"/>
              </w:rPr>
            </w:pPr>
            <w:r>
              <w:rPr>
                <w:rFonts w:ascii="Arial" w:cs="Arial" w:eastAsia="Arial" w:hAnsi="Arial"/>
                <w:sz w:val="18"/>
                <w:szCs w:val="18"/>
                <w:color w:val="auto"/>
              </w:rPr>
              <w:t>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184,817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166,907</w:t>
            </w:r>
          </w:p>
        </w:tc>
        <w:tc>
          <w:tcPr>
            <w:tcW w:w="260" w:type="dxa"/>
            <w:vAlign w:val="bottom"/>
          </w:tcPr>
          <w:p>
            <w:pPr>
              <w:spacing w:after="0"/>
              <w:rPr>
                <w:sz w:val="19"/>
                <w:szCs w:val="19"/>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692,713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638,508</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8"/>
        </w:trPr>
        <w:tc>
          <w:tcPr>
            <w:tcW w:w="1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PREFERRED STOCK OF SUBSIDIARY</w:t>
            </w:r>
          </w:p>
        </w:tc>
        <w:tc>
          <w:tcPr>
            <w:tcW w:w="100" w:type="dxa"/>
            <w:vAlign w:val="bottom"/>
          </w:tcPr>
          <w:p>
            <w:pPr>
              <w:spacing w:after="0"/>
              <w:rPr>
                <w:sz w:val="24"/>
                <w:szCs w:val="24"/>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Preferred Stock</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(1)</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1,186</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1,571</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5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Common Stockholders’ Equity</w:t>
            </w:r>
          </w:p>
        </w:tc>
        <w:tc>
          <w:tcPr>
            <w:tcW w:w="100" w:type="dxa"/>
            <w:vAlign w:val="bottom"/>
          </w:tcPr>
          <w:p>
            <w:pPr>
              <w:spacing w:after="0"/>
              <w:rPr>
                <w:sz w:val="19"/>
                <w:szCs w:val="19"/>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36,176</w:t>
            </w:r>
          </w:p>
        </w:tc>
        <w:tc>
          <w:tcPr>
            <w:tcW w:w="260" w:type="dxa"/>
            <w:vAlign w:val="bottom"/>
          </w:tcPr>
          <w:p>
            <w:pPr>
              <w:spacing w:after="0"/>
              <w:rPr>
                <w:sz w:val="19"/>
                <w:szCs w:val="19"/>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42,710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37,747</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4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LIABILITIES, PREFERRED STOCK OF</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7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gridSpan w:val="3"/>
          </w:tcPr>
          <w:p>
            <w:pPr>
              <w:ind w:left="120"/>
              <w:spacing w:after="0"/>
              <w:rPr>
                <w:sz w:val="20"/>
                <w:szCs w:val="20"/>
                <w:color w:val="auto"/>
              </w:rPr>
            </w:pPr>
            <w:r>
              <w:rPr>
                <w:rFonts w:ascii="Arial" w:cs="Arial" w:eastAsia="Arial" w:hAnsi="Arial"/>
                <w:sz w:val="18"/>
                <w:szCs w:val="18"/>
                <w:b w:val="1"/>
                <w:bCs w:val="1"/>
                <w:color w:val="auto"/>
              </w:rPr>
              <w:t>SUBSIDIARY AND STOCKHOLDERS’ EQUITY</w:t>
            </w:r>
          </w:p>
        </w:tc>
        <w:tc>
          <w:tcPr>
            <w:tcW w:w="100" w:type="dxa"/>
            <w:vAlign w:val="bottom"/>
          </w:tcPr>
          <w:p>
            <w:pPr>
              <w:spacing w:after="0"/>
              <w:rPr>
                <w:sz w:val="19"/>
                <w:szCs w:val="19"/>
                <w:color w:val="auto"/>
              </w:rPr>
            </w:pPr>
          </w:p>
        </w:tc>
        <w:tc>
          <w:tcPr>
            <w:tcW w:w="5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735,973</w:t>
            </w:r>
          </w:p>
        </w:tc>
        <w:tc>
          <w:tcPr>
            <w:tcW w:w="2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676,805</w:t>
            </w:r>
          </w:p>
        </w:tc>
        <w:tc>
          <w:tcPr>
            <w:tcW w:w="260" w:type="dxa"/>
            <w:vAlign w:val="bottom"/>
          </w:tcPr>
          <w:p>
            <w:pPr>
              <w:spacing w:after="0"/>
              <w:rPr>
                <w:sz w:val="19"/>
                <w:szCs w:val="19"/>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7"/>
        </w:trPr>
        <w:tc>
          <w:tcPr>
            <w:tcW w:w="148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92"/>
              </w:rPr>
              <w:t>AVERAGE RATES</w:t>
            </w:r>
          </w:p>
        </w:tc>
        <w:tc>
          <w:tcPr>
            <w:tcW w:w="33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780" w:type="dxa"/>
            <w:vAlign w:val="bottom"/>
            <w:gridSpan w:val="4"/>
          </w:tcPr>
          <w:p>
            <w:pPr>
              <w:spacing w:after="0"/>
              <w:rPr>
                <w:sz w:val="20"/>
                <w:szCs w:val="20"/>
                <w:color w:val="auto"/>
              </w:rPr>
            </w:pPr>
            <w:r>
              <w:rPr>
                <w:rFonts w:ascii="Arial" w:cs="Arial" w:eastAsia="Arial" w:hAnsi="Arial"/>
                <w:sz w:val="18"/>
                <w:szCs w:val="18"/>
                <w:b w:val="1"/>
                <w:bCs w:val="1"/>
                <w:color w:val="auto"/>
              </w:rPr>
              <w:t>INTEREST-EARNING ASSETS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(88)bp</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86"/>
              </w:rPr>
              <w:t>(420)bp</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79"/>
              <w:spacing w:after="0"/>
              <w:rPr>
                <w:sz w:val="20"/>
                <w:szCs w:val="20"/>
                <w:color w:val="auto"/>
              </w:rPr>
            </w:pPr>
            <w:r>
              <w:rPr>
                <w:rFonts w:ascii="Arial" w:cs="Arial" w:eastAsia="Arial" w:hAnsi="Arial"/>
                <w:sz w:val="18"/>
                <w:szCs w:val="18"/>
                <w:color w:val="auto"/>
              </w:rPr>
              <w:t>(326)bp</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8"/>
              </w:rPr>
              <w:t>Federal Funds Sold and Securities Purchased under Resale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Agreements</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(101)</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5.99</w:t>
            </w:r>
          </w:p>
        </w:tc>
        <w:tc>
          <w:tcPr>
            <w:tcW w:w="260" w:type="dxa"/>
            <w:vAlign w:val="bottom"/>
          </w:tcPr>
          <w:p>
            <w:pPr>
              <w:spacing w:after="0"/>
              <w:rPr>
                <w:sz w:val="19"/>
                <w:szCs w:val="19"/>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Securities and Trading Assets</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(11)</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59"/>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Securities Borrowed</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(117)</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8"/>
                <w:szCs w:val="18"/>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Loans</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(57)</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(269)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59"/>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Total Interest-Earning Assets</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(56)</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7.15</w:t>
            </w:r>
          </w:p>
        </w:tc>
        <w:tc>
          <w:tcPr>
            <w:tcW w:w="260" w:type="dxa"/>
            <w:vAlign w:val="bottom"/>
          </w:tcPr>
          <w:p>
            <w:pPr>
              <w:spacing w:after="0"/>
              <w:rPr>
                <w:sz w:val="18"/>
                <w:szCs w:val="18"/>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Interest-Bearing Deposits</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(96)</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59"/>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w w:val="91"/>
              </w:rPr>
              <w:t>Federal Funds Purchased and Securities Sold under Repurchase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3"/>
          </w:tcPr>
          <w:p>
            <w:pPr>
              <w:ind w:left="120"/>
              <w:spacing w:after="0"/>
              <w:rPr>
                <w:sz w:val="20"/>
                <w:szCs w:val="20"/>
                <w:color w:val="auto"/>
              </w:rPr>
            </w:pPr>
            <w:r>
              <w:rPr>
                <w:rFonts w:ascii="Arial" w:cs="Arial" w:eastAsia="Arial" w:hAnsi="Arial"/>
                <w:sz w:val="18"/>
                <w:szCs w:val="18"/>
                <w:color w:val="auto"/>
              </w:rPr>
              <w:t>Agreements</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(118)</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9"/>
                <w:szCs w:val="19"/>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Commercial Paper</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(123)</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6.24</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59"/>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color w:val="auto"/>
              </w:rPr>
              <w:t>Other Borrowings</w:t>
            </w:r>
          </w:p>
        </w:tc>
        <w:tc>
          <w:tcPr>
            <w:tcW w:w="680" w:type="dxa"/>
            <w:vAlign w:val="bottom"/>
            <w:gridSpan w:val="3"/>
          </w:tcPr>
          <w:p>
            <w:pPr>
              <w:jc w:val="right"/>
              <w:ind w:right="192"/>
              <w:spacing w:after="0"/>
              <w:rPr>
                <w:sz w:val="20"/>
                <w:szCs w:val="20"/>
                <w:color w:val="auto"/>
              </w:rPr>
            </w:pPr>
            <w:r>
              <w:rPr>
                <w:rFonts w:ascii="Arial" w:cs="Arial" w:eastAsia="Arial" w:hAnsi="Arial"/>
                <w:sz w:val="18"/>
                <w:szCs w:val="18"/>
                <w:color w:val="auto"/>
              </w:rPr>
              <w:t>86</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w:t>
            </w:r>
          </w:p>
        </w:tc>
        <w:tc>
          <w:tcPr>
            <w:tcW w:w="260" w:type="dxa"/>
            <w:vAlign w:val="bottom"/>
          </w:tcPr>
          <w:p>
            <w:pPr>
              <w:spacing w:after="0"/>
              <w:rPr>
                <w:sz w:val="18"/>
                <w:szCs w:val="18"/>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Long-Term Debt</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(85)</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59"/>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Total Interest-Bearing Liabilities</w:t>
            </w: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(88)</w:t>
            </w: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260" w:type="dxa"/>
            <w:vAlign w:val="bottom"/>
          </w:tcPr>
          <w:p>
            <w:pPr>
              <w:spacing w:after="0"/>
              <w:rPr>
                <w:sz w:val="18"/>
                <w:szCs w:val="18"/>
                <w:color w:val="auto"/>
              </w:rPr>
            </w:pPr>
          </w:p>
        </w:tc>
        <w:tc>
          <w:tcPr>
            <w:tcW w:w="1200" w:type="dxa"/>
            <w:vAlign w:val="bottom"/>
            <w:gridSpan w:val="2"/>
          </w:tcPr>
          <w:p>
            <w:pPr>
              <w:jc w:val="right"/>
              <w:ind w:right="259"/>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INVESTABLE FUNDS</w:t>
            </w:r>
          </w:p>
        </w:tc>
        <w:tc>
          <w:tcPr>
            <w:tcW w:w="680" w:type="dxa"/>
            <w:vAlign w:val="bottom"/>
            <w:gridSpan w:val="3"/>
            <w:shd w:val="clear" w:color="auto" w:fill="EEEEEE"/>
          </w:tcPr>
          <w:p>
            <w:pPr>
              <w:jc w:val="right"/>
              <w:ind w:right="132"/>
              <w:spacing w:after="0"/>
              <w:rPr>
                <w:sz w:val="20"/>
                <w:szCs w:val="20"/>
                <w:color w:val="auto"/>
              </w:rPr>
            </w:pPr>
            <w:r>
              <w:rPr>
                <w:rFonts w:ascii="Arial" w:cs="Arial" w:eastAsia="Arial" w:hAnsi="Arial"/>
                <w:sz w:val="18"/>
                <w:szCs w:val="18"/>
                <w:color w:val="auto"/>
              </w:rPr>
              <w:t>(80)</w:t>
            </w:r>
          </w:p>
        </w:tc>
        <w:tc>
          <w:tcPr>
            <w:tcW w:w="100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3.91</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5.28</w:t>
            </w:r>
          </w:p>
        </w:tc>
        <w:tc>
          <w:tcPr>
            <w:tcW w:w="2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59"/>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INTEREST RATE SPREAD</w:t>
            </w:r>
          </w:p>
        </w:tc>
        <w:tc>
          <w:tcPr>
            <w:tcW w:w="680" w:type="dxa"/>
            <w:vAlign w:val="bottom"/>
            <w:gridSpan w:val="3"/>
            <w:shd w:val="clear" w:color="auto" w:fill="EEEEEE"/>
          </w:tcPr>
          <w:p>
            <w:pPr>
              <w:jc w:val="right"/>
              <w:ind w:right="192"/>
              <w:spacing w:after="0"/>
              <w:rPr>
                <w:sz w:val="20"/>
                <w:szCs w:val="20"/>
                <w:color w:val="auto"/>
              </w:rPr>
            </w:pPr>
            <w:r>
              <w:rPr>
                <w:rFonts w:ascii="Arial" w:cs="Arial" w:eastAsia="Arial" w:hAnsi="Arial"/>
                <w:sz w:val="18"/>
                <w:szCs w:val="18"/>
                <w:color w:val="auto"/>
              </w:rPr>
              <w:t>32</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1.40%</w:t>
            </w: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45"/>
        </w:trPr>
        <w:tc>
          <w:tcPr>
            <w:tcW w:w="4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INTEREST MARGIN</w:t>
            </w:r>
          </w:p>
        </w:tc>
        <w:tc>
          <w:tcPr>
            <w:tcW w:w="10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4780" w:type="dxa"/>
            <w:vAlign w:val="bottom"/>
            <w:gridSpan w:val="4"/>
            <w:vMerge w:val="continue"/>
          </w:tcPr>
          <w:p>
            <w:pPr>
              <w:spacing w:after="0"/>
              <w:rPr>
                <w:sz w:val="24"/>
                <w:szCs w:val="24"/>
                <w:color w:val="auto"/>
              </w:rPr>
            </w:pPr>
          </w:p>
        </w:tc>
        <w:tc>
          <w:tcPr>
            <w:tcW w:w="680" w:type="dxa"/>
            <w:vAlign w:val="bottom"/>
            <w:gridSpan w:val="3"/>
          </w:tcPr>
          <w:p>
            <w:pPr>
              <w:jc w:val="right"/>
              <w:ind w:right="192"/>
              <w:spacing w:after="0"/>
              <w:rPr>
                <w:sz w:val="20"/>
                <w:szCs w:val="20"/>
                <w:color w:val="auto"/>
              </w:rPr>
            </w:pPr>
            <w:r>
              <w:rPr>
                <w:rFonts w:ascii="Arial" w:cs="Arial" w:eastAsia="Arial" w:hAnsi="Arial"/>
                <w:sz w:val="18"/>
                <w:szCs w:val="18"/>
                <w:color w:val="auto"/>
              </w:rPr>
              <w:t>24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200" w:type="dxa"/>
            <w:vAlign w:val="bottom"/>
            <w:gridSpan w:val="2"/>
          </w:tcPr>
          <w:p>
            <w:pPr>
              <w:jc w:val="right"/>
              <w:ind w:right="31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60" w:type="dxa"/>
            <w:vAlign w:val="bottom"/>
            <w:gridSpan w:val="3"/>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NET INTEREST MARGIN ADJUSTED FOR</w:t>
            </w:r>
          </w:p>
        </w:tc>
        <w:tc>
          <w:tcPr>
            <w:tcW w:w="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gridSpan w:val="3"/>
            <w:shd w:val="clear" w:color="auto" w:fill="EEEEEE"/>
          </w:tcPr>
          <w:p>
            <w:pPr>
              <w:ind w:left="120"/>
              <w:spacing w:after="0"/>
              <w:rPr>
                <w:sz w:val="20"/>
                <w:szCs w:val="20"/>
                <w:color w:val="auto"/>
              </w:rPr>
            </w:pPr>
            <w:r>
              <w:rPr>
                <w:rFonts w:ascii="Arial" w:cs="Arial" w:eastAsia="Arial" w:hAnsi="Arial"/>
                <w:sz w:val="18"/>
                <w:szCs w:val="18"/>
                <w:b w:val="1"/>
                <w:bCs w:val="1"/>
                <w:color w:val="auto"/>
              </w:rPr>
              <w:t>SECURITIZATIONS</w:t>
            </w:r>
          </w:p>
        </w:tc>
        <w:tc>
          <w:tcPr>
            <w:tcW w:w="680" w:type="dxa"/>
            <w:vAlign w:val="bottom"/>
            <w:gridSpan w:val="3"/>
            <w:shd w:val="clear" w:color="auto" w:fill="EEEEEE"/>
          </w:tcPr>
          <w:p>
            <w:pPr>
              <w:jc w:val="right"/>
              <w:ind w:right="192"/>
              <w:spacing w:after="0"/>
              <w:rPr>
                <w:sz w:val="20"/>
                <w:szCs w:val="20"/>
                <w:color w:val="auto"/>
              </w:rPr>
            </w:pPr>
            <w:r>
              <w:rPr>
                <w:rFonts w:ascii="Arial" w:cs="Arial" w:eastAsia="Arial" w:hAnsi="Arial"/>
                <w:sz w:val="18"/>
                <w:szCs w:val="18"/>
                <w:color w:val="auto"/>
              </w:rPr>
              <w:t>26</w:t>
            </w: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2.06%</w:t>
            </w:r>
          </w:p>
        </w:tc>
        <w:tc>
          <w:tcPr>
            <w:tcW w:w="1200" w:type="dxa"/>
            <w:vAlign w:val="bottom"/>
            <w:gridSpan w:val="2"/>
            <w:shd w:val="clear" w:color="auto" w:fill="EEEEEE"/>
          </w:tcPr>
          <w:p>
            <w:pPr>
              <w:jc w:val="right"/>
              <w:ind w:right="31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84" w:orient="portrait"/>
          <w:cols w:equalWidth="0" w:num="1">
            <w:col w:w="10280"/>
          </w:cols>
          <w:pgMar w:left="240" w:top="941" w:right="1379" w:bottom="0" w:gutter="0" w:footer="0" w:header="0"/>
        </w:sectPr>
      </w:pPr>
    </w:p>
    <w:bookmarkStart w:id="61" w:name="page62"/>
    <w:bookmarkEnd w:id="61"/>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3253105</wp:posOffset>
            </wp:positionH>
            <wp:positionV relativeFrom="page">
              <wp:posOffset>88900</wp:posOffset>
            </wp:positionV>
            <wp:extent cx="2057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page">
              <wp:posOffset>3862070</wp:posOffset>
            </wp:positionH>
            <wp:positionV relativeFrom="page">
              <wp:posOffset>88900</wp:posOffset>
            </wp:positionV>
            <wp:extent cx="2057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page">
              <wp:posOffset>4545965</wp:posOffset>
            </wp:positionH>
            <wp:positionV relativeFrom="page">
              <wp:posOffset>88900</wp:posOffset>
            </wp:positionV>
            <wp:extent cx="372745" cy="36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2745" cy="36195"/>
                    </a:xfrm>
                    <a:prstGeom prst="rect">
                      <a:avLst/>
                    </a:prstGeom>
                    <a:noFill/>
                  </pic:spPr>
                </pic:pic>
              </a:graphicData>
            </a:graphic>
          </wp:anchor>
        </w:drawing>
        <w:drawing>
          <wp:anchor simplePos="0" relativeHeight="251657728" behindDoc="1" locked="0" layoutInCell="0" allowOverlap="1">
            <wp:simplePos x="0" y="0"/>
            <wp:positionH relativeFrom="page">
              <wp:posOffset>5377815</wp:posOffset>
            </wp:positionH>
            <wp:positionV relativeFrom="page">
              <wp:posOffset>88900</wp:posOffset>
            </wp:positionV>
            <wp:extent cx="372745" cy="36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2745" cy="36195"/>
                    </a:xfrm>
                    <a:prstGeom prst="rect">
                      <a:avLst/>
                    </a:prstGeom>
                    <a:noFill/>
                  </pic:spPr>
                </pic:pic>
              </a:graphicData>
            </a:graphic>
          </wp:anchor>
        </w:drawing>
        <w:t>Includes securities sold but not yet purchased and structured notes and trust preferred notes.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62" w:name="page63"/>
    <w:bookmarkEnd w:id="62"/>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CREDIT-RELATED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Dec 31,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Dec 31st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Sep 30th</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 30th</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Mar 31st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 31st</w:t>
            </w:r>
          </w:p>
        </w:tc>
        <w:tc>
          <w:tcPr>
            <w:tcW w:w="1580" w:type="dxa"/>
            <w:vAlign w:val="bottom"/>
            <w:gridSpan w:val="3"/>
          </w:tcPr>
          <w:p>
            <w:pPr>
              <w:jc w:val="right"/>
              <w:ind w:right="316"/>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Sep 30, 01</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Dec 31, 00</w:t>
            </w:r>
          </w:p>
        </w:tc>
        <w:tc>
          <w:tcPr>
            <w:tcW w:w="0" w:type="dxa"/>
            <w:vAlign w:val="bottom"/>
          </w:tcPr>
          <w:p>
            <w:pPr>
              <w:spacing w:after="0"/>
              <w:rPr>
                <w:sz w:val="1"/>
                <w:szCs w:val="1"/>
                <w:color w:val="auto"/>
              </w:rPr>
            </w:pPr>
          </w:p>
        </w:tc>
      </w:tr>
      <w:tr>
        <w:trPr>
          <w:trHeight w:val="95"/>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CREDIT-RELATED ASSETS</w:t>
            </w:r>
          </w:p>
        </w:tc>
        <w:tc>
          <w:tcPr>
            <w:tcW w:w="2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7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COMMERCIAL LOANS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Domestic Commercial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66,436</w:t>
            </w:r>
          </w:p>
        </w:tc>
        <w:tc>
          <w:tcPr>
            <w:tcW w:w="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77,712</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74,563</w:t>
            </w:r>
          </w:p>
        </w:tc>
        <w:tc>
          <w:tcPr>
            <w:tcW w:w="2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73,046</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76,207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Foreign Commercial</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38,428</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38,866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38,227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40,171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43,253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EEEEEE"/>
          </w:tcPr>
          <w:p>
            <w:pPr>
              <w:jc w:val="right"/>
              <w:ind w:right="9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08"/>
        </w:trPr>
        <w:tc>
          <w:tcPr>
            <w:tcW w:w="22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gridSpan w:val="4"/>
          </w:tcPr>
          <w:p>
            <w:pPr>
              <w:spacing w:after="0"/>
              <w:rPr>
                <w:sz w:val="20"/>
                <w:szCs w:val="20"/>
                <w:color w:val="auto"/>
              </w:rPr>
            </w:pPr>
            <w:r>
              <w:rPr>
                <w:rFonts w:ascii="Arial" w:cs="Arial" w:eastAsia="Arial" w:hAnsi="Arial"/>
                <w:sz w:val="18"/>
                <w:szCs w:val="18"/>
                <w:color w:val="auto"/>
              </w:rPr>
              <w:t>Total Commercial Loans</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104,864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116,578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112,790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113,217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119,460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ind w:right="9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Derivative and FX Contracts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71,157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85,407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68,910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78,907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76,373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EEEEEE"/>
          </w:tcPr>
          <w:p>
            <w:pPr>
              <w:jc w:val="right"/>
              <w:ind w:right="9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8"/>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COMMERCIAL CREDIT-</w:t>
            </w: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7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b w:val="1"/>
                <w:bCs w:val="1"/>
                <w:color w:val="auto"/>
              </w:rPr>
              <w:t>RELATED</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176,021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201,985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181,700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192,124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195,833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900" w:type="dxa"/>
            <w:vAlign w:val="bottom"/>
            <w:gridSpan w:val="2"/>
          </w:tcPr>
          <w:p>
            <w:pPr>
              <w:jc w:val="right"/>
              <w:ind w:right="9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CONSUMER LOANS</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Credit Card — Reported</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19,387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19,255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19,531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19,835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18,495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Credit Card — Securitizations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Credit Card — Managed</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40,811</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37,979</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37,284</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36,460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36,366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1-4 Family Residential Mortgages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55,160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56,743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54,143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Auto Financings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25,667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24,448</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23,322</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21,457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19,802</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Other Consumer</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3</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MANAGED CONSUMER LOANS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134,004</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125,431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124,881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120,196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114,461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MANAGED CREDIT-RELATED</w:t>
            </w: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7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310,025</w:t>
            </w:r>
          </w:p>
        </w:tc>
        <w:tc>
          <w:tcPr>
            <w:tcW w:w="28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327,416</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306,581</w:t>
            </w:r>
          </w:p>
        </w:tc>
        <w:tc>
          <w:tcPr>
            <w:tcW w:w="2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312,320</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310,294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8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2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NONPERFORMING ASSETS AND RATIOS</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COMMERCIAL LOANS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Domestic Commercial</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1,438</w:t>
            </w:r>
          </w:p>
        </w:tc>
        <w:tc>
          <w:tcPr>
            <w:tcW w:w="2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1,528</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1,209</w:t>
            </w:r>
          </w:p>
        </w:tc>
        <w:tc>
          <w:tcPr>
            <w:tcW w:w="2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Foreign Commercial</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24</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Commercial Loans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2,018</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1,890</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1,637</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1,434</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74"/>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Derivative and FX Contracts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270</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2,167</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2,064</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1,978</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1,746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1,471</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CONSUMER LOANS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Credit Card — Reported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9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Credit Card — Securitizations</w:t>
            </w:r>
          </w:p>
        </w:tc>
        <w:tc>
          <w:tcPr>
            <w:tcW w:w="2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NM</w:t>
            </w: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8"/>
        </w:trPr>
        <w:tc>
          <w:tcPr>
            <w:tcW w:w="22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gridSpan w:val="4"/>
          </w:tcPr>
          <w:p>
            <w:pPr>
              <w:spacing w:after="0"/>
              <w:rPr>
                <w:sz w:val="20"/>
                <w:szCs w:val="20"/>
                <w:color w:val="auto"/>
              </w:rPr>
            </w:pPr>
            <w:r>
              <w:rPr>
                <w:rFonts w:ascii="Arial" w:cs="Arial" w:eastAsia="Arial" w:hAnsi="Arial"/>
                <w:sz w:val="18"/>
                <w:szCs w:val="18"/>
                <w:color w:val="auto"/>
              </w:rPr>
              <w:t>Credit Card — Managed</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9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1-4 Family Residential Mortgages</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Auto Financings</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49</w:t>
            </w:r>
          </w:p>
        </w:tc>
        <w:tc>
          <w:tcPr>
            <w:tcW w:w="22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8"/>
        </w:trPr>
        <w:tc>
          <w:tcPr>
            <w:tcW w:w="226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700" w:type="dxa"/>
            <w:vAlign w:val="bottom"/>
            <w:gridSpan w:val="4"/>
          </w:tcPr>
          <w:p>
            <w:pPr>
              <w:spacing w:after="0"/>
              <w:rPr>
                <w:sz w:val="20"/>
                <w:szCs w:val="20"/>
                <w:color w:val="auto"/>
              </w:rPr>
            </w:pPr>
            <w:r>
              <w:rPr>
                <w:rFonts w:ascii="Arial" w:cs="Arial" w:eastAsia="Arial" w:hAnsi="Arial"/>
                <w:sz w:val="18"/>
                <w:szCs w:val="18"/>
                <w:color w:val="auto"/>
              </w:rPr>
              <w:t>Total Consumer Loans</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2,666</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2,523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2,379</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2,123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1,855</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Assets Acquired in Loan Satisfactions</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2,790</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2,646</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2,498</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2,234</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1,923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Other Receivables (a)</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4"/>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680" w:type="dxa"/>
            <w:vAlign w:val="bottom"/>
          </w:tcPr>
          <w:p>
            <w:pPr>
              <w:jc w:val="right"/>
              <w:ind w:right="11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NONPERFORMING ASSETS</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b w:val="1"/>
                <w:bCs w:val="1"/>
                <w:color w:val="auto"/>
              </w:rPr>
              <w:t>3,920(b)</w:t>
            </w: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2,646</w:t>
            </w:r>
          </w:p>
        </w:tc>
        <w:tc>
          <w:tcPr>
            <w:tcW w:w="2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2,498</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2,234</w:t>
            </w:r>
          </w:p>
        </w:tc>
        <w:tc>
          <w:tcPr>
            <w:tcW w:w="26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1,923</w:t>
            </w: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48</w:t>
            </w:r>
          </w:p>
        </w:tc>
        <w:tc>
          <w:tcPr>
            <w:tcW w:w="900" w:type="dxa"/>
            <w:vAlign w:val="bottom"/>
            <w:gridSpan w:val="2"/>
            <w:shd w:val="clear" w:color="auto" w:fill="EEEEEE"/>
          </w:tcPr>
          <w:p>
            <w:pPr>
              <w:jc w:val="right"/>
              <w:ind w:right="136"/>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05"/>
        </w:trPr>
        <w:tc>
          <w:tcPr>
            <w:tcW w:w="3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NONPERFORMING ASSETS TO</w:t>
            </w: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0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70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80" w:type="dxa"/>
            <w:vAlign w:val="bottom"/>
            <w:gridSpan w:val="3"/>
          </w:tcPr>
          <w:p>
            <w:pPr>
              <w:ind w:left="1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0.27%</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 bp</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 bp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40" w:type="dxa"/>
            <w:vAlign w:val="bottom"/>
            <w:shd w:val="clear" w:color="auto" w:fill="EEEEEE"/>
          </w:tcPr>
          <w:p>
            <w:pPr>
              <w:spacing w:after="0"/>
              <w:rPr>
                <w:sz w:val="16"/>
                <w:szCs w:val="16"/>
                <w:color w:val="auto"/>
              </w:rPr>
            </w:pPr>
          </w:p>
        </w:tc>
        <w:tc>
          <w:tcPr>
            <w:tcW w:w="11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600" w:type="dxa"/>
            <w:vAlign w:val="bottom"/>
            <w:tcBorders>
              <w:right w:val="single" w:sz="8" w:color="EEEEEE"/>
            </w:tcBorders>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68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68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40" w:right="2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PAST DUE 90 DAYS AND OVER AND</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ACCRUING</w:t>
            </w: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COMMERCIAL LOANS</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Domestic Commercial</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130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58%</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Foreign Commercial</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(89)</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gridSpan w:val="4"/>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TOTAL COMMERCIAL CREDIT-</w:t>
            </w:r>
          </w:p>
        </w:tc>
        <w:tc>
          <w:tcPr>
            <w:tcW w:w="4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3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RELATED</w:t>
            </w:r>
          </w:p>
        </w:tc>
        <w:tc>
          <w:tcPr>
            <w:tcW w:w="46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35</w:t>
            </w:r>
          </w:p>
        </w:tc>
        <w:tc>
          <w:tcPr>
            <w:tcW w:w="680" w:type="dxa"/>
            <w:vAlign w:val="bottom"/>
            <w:tcBorders>
              <w:right w:val="single" w:sz="8" w:color="EEEEEE"/>
            </w:tcBorders>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63</w:t>
            </w:r>
          </w:p>
        </w:tc>
        <w:tc>
          <w:tcPr>
            <w:tcW w:w="62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82</w:t>
            </w:r>
          </w:p>
        </w:tc>
        <w:tc>
          <w:tcPr>
            <w:tcW w:w="64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114</w:t>
            </w:r>
          </w:p>
        </w:tc>
        <w:tc>
          <w:tcPr>
            <w:tcW w:w="62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99</w:t>
            </w:r>
          </w:p>
        </w:tc>
        <w:tc>
          <w:tcPr>
            <w:tcW w:w="13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(44)</w:t>
            </w:r>
          </w:p>
        </w:tc>
        <w:tc>
          <w:tcPr>
            <w:tcW w:w="7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4"/>
            <w:shd w:val="clear" w:color="auto" w:fill="EEEEEE"/>
          </w:tcPr>
          <w:p>
            <w:pPr>
              <w:spacing w:after="0"/>
              <w:rPr>
                <w:sz w:val="20"/>
                <w:szCs w:val="20"/>
                <w:color w:val="auto"/>
              </w:rPr>
            </w:pPr>
            <w:r>
              <w:rPr>
                <w:rFonts w:ascii="Arial" w:cs="Arial" w:eastAsia="Arial" w:hAnsi="Arial"/>
                <w:sz w:val="18"/>
                <w:szCs w:val="18"/>
                <w:b w:val="1"/>
                <w:bCs w:val="1"/>
                <w:color w:val="auto"/>
              </w:rPr>
              <w:t>CONSUMER LOANS</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Credit Card — Reported</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14</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Credit Card — Securitizations</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457</w:t>
            </w:r>
          </w:p>
        </w:tc>
        <w:tc>
          <w:tcPr>
            <w:tcW w:w="6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6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387</w:t>
            </w:r>
          </w:p>
        </w:tc>
        <w:tc>
          <w:tcPr>
            <w:tcW w:w="13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31</w:t>
            </w:r>
          </w:p>
        </w:tc>
        <w:tc>
          <w:tcPr>
            <w:tcW w:w="7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08"/>
        </w:trPr>
        <w:tc>
          <w:tcPr>
            <w:tcW w:w="14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5"/>
          </w:tcPr>
          <w:p>
            <w:pPr>
              <w:spacing w:after="0"/>
              <w:rPr>
                <w:sz w:val="20"/>
                <w:szCs w:val="20"/>
                <w:color w:val="auto"/>
              </w:rPr>
            </w:pPr>
            <w:r>
              <w:rPr>
                <w:rFonts w:ascii="Arial" w:cs="Arial" w:eastAsia="Arial" w:hAnsi="Arial"/>
                <w:sz w:val="18"/>
                <w:szCs w:val="18"/>
                <w:color w:val="auto"/>
              </w:rPr>
              <w:t>Credit Card — Managed</w:t>
            </w: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906</w:t>
            </w: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742</w:t>
            </w:r>
          </w:p>
        </w:tc>
        <w:tc>
          <w:tcPr>
            <w:tcW w:w="6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714</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22</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1-4 Family Residential Mortgages</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w:t>
            </w:r>
          </w:p>
        </w:tc>
        <w:tc>
          <w:tcPr>
            <w:tcW w:w="13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NM</w:t>
            </w:r>
          </w:p>
        </w:tc>
        <w:tc>
          <w:tcPr>
            <w:tcW w:w="74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4"/>
          </w:tcPr>
          <w:p>
            <w:pPr>
              <w:spacing w:after="0"/>
              <w:rPr>
                <w:sz w:val="20"/>
                <w:szCs w:val="20"/>
                <w:color w:val="auto"/>
              </w:rPr>
            </w:pPr>
            <w:r>
              <w:rPr>
                <w:rFonts w:ascii="Arial" w:cs="Arial" w:eastAsia="Arial" w:hAnsi="Arial"/>
                <w:sz w:val="18"/>
                <w:szCs w:val="18"/>
                <w:color w:val="auto"/>
              </w:rPr>
              <w:t>Auto Financings</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Other Consumer</w:t>
            </w:r>
          </w:p>
        </w:tc>
        <w:tc>
          <w:tcPr>
            <w:tcW w:w="46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w:t>
            </w:r>
          </w:p>
        </w:tc>
        <w:tc>
          <w:tcPr>
            <w:tcW w:w="6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w:t>
            </w:r>
          </w:p>
        </w:tc>
        <w:tc>
          <w:tcPr>
            <w:tcW w:w="6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3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29</w:t>
            </w:r>
          </w:p>
        </w:tc>
        <w:tc>
          <w:tcPr>
            <w:tcW w:w="7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08"/>
        </w:trPr>
        <w:tc>
          <w:tcPr>
            <w:tcW w:w="14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TOTAL CONSUMER LOANS</w:t>
            </w: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943</w:t>
            </w:r>
          </w:p>
        </w:tc>
        <w:tc>
          <w:tcPr>
            <w:tcW w:w="6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771</w:t>
            </w:r>
          </w:p>
        </w:tc>
        <w:tc>
          <w:tcPr>
            <w:tcW w:w="6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767</w:t>
            </w:r>
          </w:p>
        </w:tc>
        <w:tc>
          <w:tcPr>
            <w:tcW w:w="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6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1300" w:type="dxa"/>
            <w:vAlign w:val="bottom"/>
          </w:tcPr>
          <w:p>
            <w:pPr>
              <w:jc w:val="right"/>
              <w:ind w:right="292"/>
              <w:spacing w:after="0"/>
              <w:rPr>
                <w:sz w:val="20"/>
                <w:szCs w:val="20"/>
                <w:color w:val="auto"/>
              </w:rPr>
            </w:pPr>
            <w:r>
              <w:rPr>
                <w:rFonts w:ascii="Arial" w:cs="Arial" w:eastAsia="Arial" w:hAnsi="Arial"/>
                <w:sz w:val="18"/>
                <w:szCs w:val="18"/>
                <w:color w:val="auto"/>
              </w:rPr>
              <w:t>22</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gridSpan w:val="4"/>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TOTAL CR.-REL. ACCRUING ASSETS</w:t>
            </w:r>
          </w:p>
        </w:tc>
        <w:tc>
          <w:tcPr>
            <w:tcW w:w="46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8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34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PAST DUE 90 DAYS</w:t>
            </w: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978</w:t>
            </w:r>
          </w:p>
        </w:tc>
        <w:tc>
          <w:tcPr>
            <w:tcW w:w="6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834</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849</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913</w:t>
            </w: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887</w:t>
            </w:r>
          </w:p>
        </w:tc>
        <w:tc>
          <w:tcPr>
            <w:tcW w:w="13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17</w:t>
            </w:r>
          </w:p>
        </w:tc>
        <w:tc>
          <w:tcPr>
            <w:tcW w:w="74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amount relates to the Enron surety receivables and letter of credit, which is the subject of litigation with credit-worthy entities.</w:t>
      </w:r>
    </w:p>
    <w:p>
      <w:pPr>
        <w:spacing w:after="0" w:line="15" w:lineRule="exact"/>
        <w:rPr>
          <w:rFonts w:ascii="Arial" w:cs="Arial" w:eastAsia="Arial" w:hAnsi="Arial"/>
          <w:sz w:val="18"/>
          <w:szCs w:val="18"/>
          <w:color w:val="auto"/>
        </w:rPr>
      </w:pPr>
    </w:p>
    <w:p>
      <w:pPr>
        <w:ind w:left="540" w:right="480" w:hanging="532"/>
        <w:spacing w:after="0" w:line="261"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Nonperforming assets have not been reduced for credit protection (single name credit default swaps and collateralized loan obligations) aggregating $42 million related to nonperforming counterparties.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4" w:name="page65"/>
    <w:bookmarkEnd w:id="64"/>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CREDIT-RELATED INFORMATION (CONT.)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ratios)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3"/>
          </w:tcPr>
          <w:p>
            <w:pPr>
              <w:jc w:val="right"/>
              <w:ind w:right="597"/>
              <w:spacing w:after="0"/>
              <w:rPr>
                <w:sz w:val="20"/>
                <w:szCs w:val="20"/>
                <w:color w:val="auto"/>
              </w:rPr>
            </w:pPr>
            <w:r>
              <w:rPr>
                <w:rFonts w:ascii="Arial" w:cs="Arial" w:eastAsia="Arial" w:hAnsi="Arial"/>
                <w:sz w:val="14"/>
                <w:szCs w:val="14"/>
                <w:b w:val="1"/>
                <w:bCs w:val="1"/>
                <w:color w:val="auto"/>
              </w:rPr>
              <w:t>4QTR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4QTR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3QTR</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2QTR</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1QTR</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4QTR</w:t>
            </w:r>
          </w:p>
        </w:tc>
        <w:tc>
          <w:tcPr>
            <w:tcW w:w="2000" w:type="dxa"/>
            <w:vAlign w:val="bottom"/>
            <w:gridSpan w:val="3"/>
          </w:tcPr>
          <w:p>
            <w:pPr>
              <w:jc w:val="right"/>
              <w:ind w:right="537"/>
              <w:spacing w:after="0"/>
              <w:rPr>
                <w:sz w:val="20"/>
                <w:szCs w:val="20"/>
                <w:color w:val="auto"/>
              </w:rPr>
            </w:pPr>
            <w:r>
              <w:rPr>
                <w:rFonts w:ascii="Arial" w:cs="Arial" w:eastAsia="Arial" w:hAnsi="Arial"/>
                <w:sz w:val="14"/>
                <w:szCs w:val="14"/>
                <w:b w:val="1"/>
                <w:bCs w:val="1"/>
                <w:color w:val="auto"/>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w w:val="96"/>
              </w:rPr>
              <w:t>2000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rPr>
              <w:t>3Q 2001</w:t>
            </w:r>
          </w:p>
        </w:tc>
        <w:tc>
          <w:tcPr>
            <w:tcW w:w="220" w:type="dxa"/>
            <w:vAlign w:val="bottom"/>
          </w:tcPr>
          <w:p>
            <w:pPr>
              <w:spacing w:after="0"/>
              <w:rPr>
                <w:sz w:val="22"/>
                <w:szCs w:val="22"/>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rPr>
              <w:t>4Q 2000</w:t>
            </w:r>
          </w:p>
        </w:tc>
        <w:tc>
          <w:tcPr>
            <w:tcW w:w="0" w:type="dxa"/>
            <w:vAlign w:val="bottom"/>
          </w:tcPr>
          <w:p>
            <w:pPr>
              <w:spacing w:after="0"/>
              <w:rPr>
                <w:sz w:val="1"/>
                <w:szCs w:val="1"/>
                <w:color w:val="auto"/>
              </w:rPr>
            </w:pPr>
          </w:p>
        </w:tc>
      </w:tr>
      <w:tr>
        <w:trPr>
          <w:trHeight w:val="95"/>
        </w:trPr>
        <w:tc>
          <w:tcPr>
            <w:tcW w:w="34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NET CHARGE-OFFS</w:t>
            </w: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46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b w:val="1"/>
                <w:bCs w:val="1"/>
                <w:color w:val="auto"/>
              </w:rPr>
              <w:t>COMMERCIAL LOANS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Domestic Commercial</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208%</w:t>
            </w:r>
          </w:p>
        </w:tc>
        <w:tc>
          <w:tcPr>
            <w:tcW w:w="1120" w:type="dxa"/>
            <w:vAlign w:val="bottom"/>
            <w:gridSpan w:val="2"/>
          </w:tcPr>
          <w:p>
            <w:pPr>
              <w:jc w:val="right"/>
              <w:ind w:right="57"/>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Foreign Commercial</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EEEEEE"/>
          </w:tcPr>
          <w:p>
            <w:pPr>
              <w:jc w:val="right"/>
              <w:ind w:right="157"/>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8"/>
        </w:trPr>
        <w:tc>
          <w:tcPr>
            <w:tcW w:w="14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3460" w:type="dxa"/>
            <w:vAlign w:val="bottom"/>
            <w:gridSpan w:val="8"/>
          </w:tcPr>
          <w:p>
            <w:pPr>
              <w:spacing w:after="0"/>
              <w:rPr>
                <w:sz w:val="20"/>
                <w:szCs w:val="20"/>
                <w:color w:val="auto"/>
              </w:rPr>
            </w:pPr>
            <w:r>
              <w:rPr>
                <w:rFonts w:ascii="Arial" w:cs="Arial" w:eastAsia="Arial" w:hAnsi="Arial"/>
                <w:sz w:val="18"/>
                <w:szCs w:val="18"/>
                <w:b w:val="1"/>
                <w:bCs w:val="1"/>
                <w:color w:val="auto"/>
              </w:rPr>
              <w:t>TOTAL COMMERCIAL LOANS</w:t>
            </w: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129</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b w:val="1"/>
                <w:bCs w:val="1"/>
                <w:color w:val="auto"/>
              </w:rPr>
              <w:t>CONSUMER LOANS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Credit Card — Reported</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Credit Card — Securitizations</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Credit Card — Managed</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1-4 Family Residential Mortgages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Auto Financings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56</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Other Consumer</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b w:val="1"/>
                <w:bCs w:val="1"/>
                <w:color w:val="auto"/>
              </w:rPr>
              <w:t>TOTAL CONSUMER LOANS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649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626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586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540</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495</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FFIEC CONFORMITY</w:t>
            </w:r>
          </w:p>
        </w:tc>
        <w:tc>
          <w:tcPr>
            <w:tcW w:w="1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rPr>
                <w:sz w:val="19"/>
                <w:szCs w:val="19"/>
                <w:color w:val="auto"/>
              </w:rPr>
            </w:pPr>
          </w:p>
        </w:tc>
        <w:tc>
          <w:tcPr>
            <w:tcW w:w="900" w:type="dxa"/>
            <w:vAlign w:val="bottom"/>
          </w:tcPr>
          <w:p>
            <w:pPr>
              <w:jc w:val="right"/>
              <w:ind w:right="23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7"/>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TOTAL MANAGED NET CHARGE-</w:t>
            </w:r>
          </w:p>
        </w:tc>
        <w:tc>
          <w:tcPr>
            <w:tcW w:w="1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320" w:type="dxa"/>
            <w:vAlign w:val="bottom"/>
            <w:gridSpan w:val="6"/>
            <w:shd w:val="clear" w:color="auto" w:fill="EEEEEE"/>
          </w:tcPr>
          <w:p>
            <w:pPr>
              <w:spacing w:after="0"/>
              <w:rPr>
                <w:sz w:val="20"/>
                <w:szCs w:val="20"/>
                <w:color w:val="auto"/>
              </w:rPr>
            </w:pPr>
            <w:r>
              <w:rPr>
                <w:rFonts w:ascii="Arial" w:cs="Arial" w:eastAsia="Arial" w:hAnsi="Arial"/>
                <w:sz w:val="18"/>
                <w:szCs w:val="18"/>
                <w:b w:val="1"/>
                <w:bCs w:val="1"/>
                <w:color w:val="auto"/>
              </w:rPr>
              <w:t>OFFS</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1,082</w:t>
            </w:r>
          </w:p>
        </w:tc>
        <w:tc>
          <w:tcPr>
            <w:tcW w:w="180" w:type="dxa"/>
            <w:vAlign w:val="bottom"/>
            <w:shd w:val="clear" w:color="auto" w:fill="EEEEEE"/>
          </w:tcPr>
          <w:p>
            <w:pPr>
              <w:spacing w:after="0"/>
              <w:rPr>
                <w:sz w:val="20"/>
                <w:szCs w:val="20"/>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815</w:t>
            </w:r>
          </w:p>
        </w:tc>
        <w:tc>
          <w:tcPr>
            <w:tcW w:w="180" w:type="dxa"/>
            <w:vAlign w:val="bottom"/>
            <w:shd w:val="clear" w:color="auto" w:fill="EEEEEE"/>
          </w:tcPr>
          <w:p>
            <w:pPr>
              <w:spacing w:after="0"/>
              <w:rPr>
                <w:sz w:val="20"/>
                <w:szCs w:val="20"/>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798</w:t>
            </w:r>
          </w:p>
        </w:tc>
        <w:tc>
          <w:tcPr>
            <w:tcW w:w="180" w:type="dxa"/>
            <w:vAlign w:val="bottom"/>
            <w:shd w:val="clear" w:color="auto" w:fill="EEEEEE"/>
          </w:tcPr>
          <w:p>
            <w:pPr>
              <w:spacing w:after="0"/>
              <w:rPr>
                <w:sz w:val="20"/>
                <w:szCs w:val="20"/>
                <w:color w:val="auto"/>
              </w:rPr>
            </w:pPr>
          </w:p>
        </w:tc>
        <w:tc>
          <w:tcPr>
            <w:tcW w:w="3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688</w:t>
            </w:r>
          </w:p>
        </w:tc>
        <w:tc>
          <w:tcPr>
            <w:tcW w:w="180" w:type="dxa"/>
            <w:vAlign w:val="bottom"/>
            <w:shd w:val="clear" w:color="auto" w:fill="EEEEEE"/>
          </w:tcPr>
          <w:p>
            <w:pPr>
              <w:spacing w:after="0"/>
              <w:rPr>
                <w:sz w:val="20"/>
                <w:szCs w:val="20"/>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747</w:t>
            </w:r>
          </w:p>
        </w:tc>
        <w:tc>
          <w:tcPr>
            <w:tcW w:w="1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05"/>
        </w:trPr>
        <w:tc>
          <w:tcPr>
            <w:tcW w:w="34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NET CHARGE-OFF RATES —</w:t>
            </w: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60" w:type="dxa"/>
            <w:vAlign w:val="bottom"/>
            <w:gridSpan w:val="8"/>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346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rPr>
              <w:t>ANNUALIZED</w:t>
            </w:r>
          </w:p>
        </w:tc>
        <w:tc>
          <w:tcPr>
            <w:tcW w:w="10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b w:val="1"/>
                <w:bCs w:val="1"/>
                <w:color w:val="auto"/>
              </w:rPr>
              <w:t>COMMERCIAL LOANS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Domestic Commercial</w:t>
            </w: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w w:val="93"/>
              </w:rPr>
              <w:t>0.42%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 bp</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 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Foreign Commercial</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(26)</w:t>
            </w:r>
          </w:p>
        </w:tc>
        <w:tc>
          <w:tcPr>
            <w:tcW w:w="1120" w:type="dxa"/>
            <w:vAlign w:val="bottom"/>
            <w:gridSpan w:val="2"/>
            <w:shd w:val="clear" w:color="auto" w:fill="EEEEEE"/>
          </w:tcPr>
          <w:p>
            <w:pPr>
              <w:jc w:val="right"/>
              <w:ind w:right="157"/>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b w:val="1"/>
                <w:bCs w:val="1"/>
                <w:color w:val="auto"/>
              </w:rPr>
              <w:t>TOTAL COMMERCIAL LOANS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93</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b w:val="1"/>
                <w:bCs w:val="1"/>
                <w:color w:val="auto"/>
              </w:rPr>
              <w:t>CONSUMER LOANS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Credit Card — Reported</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27</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Credit Card — Securitizations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15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Credit Card — Managed</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(16)</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1-4 Family Residential Mortgages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Auto Financings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0.51</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26</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Other Consumer</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b w:val="1"/>
                <w:bCs w:val="1"/>
                <w:color w:val="auto"/>
              </w:rPr>
              <w:t>TOTAL CONSUMER LOANS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1.98</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1.96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1.74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EEEEEE"/>
          </w:tcPr>
          <w:p>
            <w:pPr>
              <w:jc w:val="right"/>
              <w:ind w:right="217"/>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7"/>
          </w:tcPr>
          <w:p>
            <w:pPr>
              <w:spacing w:after="0" w:line="201" w:lineRule="exact"/>
              <w:rPr>
                <w:sz w:val="20"/>
                <w:szCs w:val="20"/>
                <w:color w:val="auto"/>
              </w:rPr>
            </w:pPr>
            <w:r>
              <w:rPr>
                <w:rFonts w:ascii="Arial" w:cs="Arial" w:eastAsia="Arial" w:hAnsi="Arial"/>
                <w:sz w:val="18"/>
                <w:szCs w:val="18"/>
                <w:b w:val="1"/>
                <w:bCs w:val="1"/>
                <w:color w:val="auto"/>
              </w:rPr>
              <w:t>TOTAL MANAGED NET CHARGE-OFF</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gridSpan w:val="6"/>
          </w:tcPr>
          <w:p>
            <w:pPr>
              <w:spacing w:after="0"/>
              <w:rPr>
                <w:sz w:val="20"/>
                <w:szCs w:val="20"/>
                <w:color w:val="auto"/>
              </w:rPr>
            </w:pPr>
            <w:r>
              <w:rPr>
                <w:rFonts w:ascii="Arial" w:cs="Arial" w:eastAsia="Arial" w:hAnsi="Arial"/>
                <w:sz w:val="18"/>
                <w:szCs w:val="18"/>
                <w:b w:val="1"/>
                <w:bCs w:val="1"/>
                <w:color w:val="auto"/>
              </w:rPr>
              <w:t>RATES</w:t>
            </w: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217"/>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20" w:type="dxa"/>
            <w:vAlign w:val="bottom"/>
            <w:tcBorders>
              <w:bottom w:val="single" w:sz="8" w:color="auto"/>
            </w:tcBorders>
            <w:gridSpan w:val="6"/>
          </w:tcPr>
          <w:p>
            <w:pPr>
              <w:spacing w:after="0" w:line="176" w:lineRule="exact"/>
              <w:rPr>
                <w:sz w:val="20"/>
                <w:szCs w:val="20"/>
                <w:color w:val="auto"/>
              </w:rPr>
            </w:pPr>
            <w:r>
              <w:rPr>
                <w:rFonts w:ascii="Arial" w:cs="Arial" w:eastAsia="Arial" w:hAnsi="Arial"/>
                <w:sz w:val="18"/>
                <w:szCs w:val="18"/>
                <w:b w:val="1"/>
                <w:bCs w:val="1"/>
                <w:color w:val="auto"/>
                <w:w w:val="95"/>
              </w:rPr>
              <w:t>ALLOWANCE FOR LOAN LOSSES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AND RATIOS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460" w:type="dxa"/>
            <w:vAlign w:val="bottom"/>
            <w:gridSpan w:val="8"/>
          </w:tcPr>
          <w:p>
            <w:pPr>
              <w:spacing w:after="0"/>
              <w:rPr>
                <w:sz w:val="20"/>
                <w:szCs w:val="20"/>
                <w:color w:val="auto"/>
              </w:rPr>
            </w:pPr>
            <w:r>
              <w:rPr>
                <w:rFonts w:ascii="Arial" w:cs="Arial" w:eastAsia="Arial" w:hAnsi="Arial"/>
                <w:sz w:val="18"/>
                <w:szCs w:val="18"/>
                <w:color w:val="auto"/>
              </w:rPr>
              <w:t>Allowance for Loan Losses (a)</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4,524</w:t>
            </w:r>
          </w:p>
        </w:tc>
        <w:tc>
          <w:tcPr>
            <w:tcW w:w="1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3,874</w:t>
            </w:r>
          </w:p>
        </w:tc>
        <w:tc>
          <w:tcPr>
            <w:tcW w:w="1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3,673</w:t>
            </w:r>
          </w:p>
        </w:tc>
        <w:tc>
          <w:tcPr>
            <w:tcW w:w="1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3,672</w:t>
            </w:r>
          </w:p>
        </w:tc>
        <w:tc>
          <w:tcPr>
            <w:tcW w:w="18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3,665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1120" w:type="dxa"/>
            <w:vAlign w:val="bottom"/>
            <w:gridSpan w:val="2"/>
          </w:tcPr>
          <w:p>
            <w:pPr>
              <w:jc w:val="right"/>
              <w:ind w:right="5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To Total Loans</w:t>
            </w:r>
          </w:p>
        </w:tc>
        <w:tc>
          <w:tcPr>
            <w:tcW w:w="16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93"/>
              </w:rPr>
              <w:t>1.70%</w:t>
            </w: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 bp</w:t>
            </w: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 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To Total Nonperforming Loans</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2,500</w:t>
            </w:r>
          </w:p>
        </w:tc>
        <w:tc>
          <w:tcPr>
            <w:tcW w:w="1120" w:type="dxa"/>
            <w:vAlign w:val="bottom"/>
            <w:gridSpan w:val="2"/>
          </w:tcPr>
          <w:p>
            <w:pPr>
              <w:jc w:val="right"/>
              <w:ind w:right="157"/>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7"/>
            <w:shd w:val="clear" w:color="auto" w:fill="EEEEEE"/>
          </w:tcPr>
          <w:p>
            <w:pPr>
              <w:spacing w:after="0"/>
              <w:rPr>
                <w:sz w:val="20"/>
                <w:szCs w:val="20"/>
                <w:color w:val="auto"/>
              </w:rPr>
            </w:pPr>
            <w:r>
              <w:rPr>
                <w:rFonts w:ascii="Arial" w:cs="Arial" w:eastAsia="Arial" w:hAnsi="Arial"/>
                <w:sz w:val="18"/>
                <w:szCs w:val="18"/>
                <w:color w:val="auto"/>
              </w:rPr>
              <w:t>To Total Nonperforming Assets</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8"/>
                <w:szCs w:val="18"/>
                <w:color w:val="auto"/>
              </w:rPr>
              <w:t>(3,100)</w:t>
            </w:r>
          </w:p>
        </w:tc>
        <w:tc>
          <w:tcPr>
            <w:tcW w:w="1120" w:type="dxa"/>
            <w:vAlign w:val="bottom"/>
            <w:gridSpan w:val="2"/>
            <w:shd w:val="clear" w:color="auto" w:fill="EEEEEE"/>
          </w:tcPr>
          <w:p>
            <w:pPr>
              <w:jc w:val="right"/>
              <w:ind w:right="157"/>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FULL YEAR</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8"/>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4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CHARGE-OFFS</w:t>
            </w: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3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COMMERCIAL LOANS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Domestic Commercial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1080" w:type="dxa"/>
            <w:vAlign w:val="bottom"/>
            <w:gridSpan w:val="2"/>
          </w:tcPr>
          <w:p>
            <w:pPr>
              <w:jc w:val="right"/>
              <w:ind w:right="19"/>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Foreign Commercial</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1700" w:type="dxa"/>
            <w:vAlign w:val="bottom"/>
            <w:gridSpan w:val="2"/>
          </w:tcPr>
          <w:p>
            <w:pPr>
              <w:spacing w:after="0"/>
              <w:rPr>
                <w:sz w:val="9"/>
                <w:szCs w:val="9"/>
                <w:color w:val="auto"/>
              </w:rPr>
            </w:pPr>
          </w:p>
        </w:tc>
        <w:tc>
          <w:tcPr>
            <w:tcW w:w="17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340" w:type="dxa"/>
            <w:vAlign w:val="bottom"/>
            <w:gridSpan w:val="4"/>
          </w:tcPr>
          <w:p>
            <w:pPr>
              <w:spacing w:after="0"/>
              <w:rPr>
                <w:sz w:val="20"/>
                <w:szCs w:val="20"/>
                <w:color w:val="auto"/>
              </w:rPr>
            </w:pPr>
            <w:r>
              <w:rPr>
                <w:rFonts w:ascii="Arial" w:cs="Arial" w:eastAsia="Arial" w:hAnsi="Arial"/>
                <w:sz w:val="18"/>
                <w:szCs w:val="18"/>
                <w:b w:val="1"/>
                <w:bCs w:val="1"/>
                <w:color w:val="auto"/>
              </w:rPr>
              <w:t>TOTAL COMMERCIAL LOANS</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982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260" w:type="dxa"/>
            <w:vAlign w:val="bottom"/>
          </w:tcPr>
          <w:p>
            <w:pPr>
              <w:spacing w:after="0"/>
              <w:rPr>
                <w:sz w:val="24"/>
                <w:szCs w:val="24"/>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CONSUMER LOANS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Credit Card — Reported</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Credit Card — Securitizations</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977</w:t>
            </w:r>
          </w:p>
        </w:tc>
        <w:tc>
          <w:tcPr>
            <w:tcW w:w="260" w:type="dxa"/>
            <w:vAlign w:val="bottom"/>
          </w:tcPr>
          <w:p>
            <w:pPr>
              <w:spacing w:after="0"/>
              <w:rPr>
                <w:sz w:val="19"/>
                <w:szCs w:val="19"/>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Credit Card — Managed</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2,038</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1,670</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1-4 Family Residential Mortgages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Auto Financings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9"/>
                <w:szCs w:val="19"/>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CONSUMER LOANS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2,401</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1,977</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FFIEC CONFORMITY</w:t>
            </w:r>
          </w:p>
        </w:tc>
        <w:tc>
          <w:tcPr>
            <w:tcW w:w="200" w:type="dxa"/>
            <w:vAlign w:val="bottom"/>
          </w:tcPr>
          <w:p>
            <w:pPr>
              <w:spacing w:after="0"/>
              <w:rPr>
                <w:sz w:val="19"/>
                <w:szCs w:val="19"/>
                <w:color w:val="auto"/>
              </w:rPr>
            </w:pPr>
          </w:p>
        </w:tc>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MANAGED NET CHARGE-OFFS</w:t>
            </w:r>
          </w:p>
        </w:tc>
        <w:tc>
          <w:tcPr>
            <w:tcW w:w="2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3,383</w:t>
            </w:r>
          </w:p>
        </w:tc>
        <w:tc>
          <w:tcPr>
            <w:tcW w:w="26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2,470</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05"/>
        </w:trPr>
        <w:tc>
          <w:tcPr>
            <w:tcW w:w="43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CHARGE-OFF RATES-ANNUALIZED</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340" w:type="dxa"/>
            <w:vAlign w:val="bottom"/>
            <w:gridSpan w:val="4"/>
            <w:vMerge w:val="continue"/>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43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COMMERCIAL LOANS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Domestic Commercial</w:t>
            </w:r>
          </w:p>
        </w:tc>
        <w:tc>
          <w:tcPr>
            <w:tcW w:w="200" w:type="dxa"/>
            <w:vAlign w:val="bottom"/>
          </w:tcPr>
          <w:p>
            <w:pPr>
              <w:spacing w:after="0"/>
              <w:rPr>
                <w:sz w:val="18"/>
                <w:szCs w:val="18"/>
                <w:color w:val="auto"/>
              </w:rPr>
            </w:pP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 bp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Foreign Commercial</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TOTAL COMMERCIAL LOANS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260" w:type="dxa"/>
            <w:vAlign w:val="bottom"/>
          </w:tcPr>
          <w:p>
            <w:pPr>
              <w:spacing w:after="0"/>
              <w:rPr>
                <w:sz w:val="18"/>
                <w:szCs w:val="18"/>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CONSUMER LOANS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Credit Card — Reported</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Credit Card — Securitizations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18"/>
                <w:szCs w:val="18"/>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Credit Card — Managed</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5.45</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1-4 Family Residential Mortgages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8"/>
                <w:szCs w:val="18"/>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Auto Financings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Other Consumer</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EEEEEE"/>
          </w:tcPr>
          <w:p>
            <w:pPr>
              <w:spacing w:after="0"/>
              <w:rPr>
                <w:sz w:val="20"/>
                <w:szCs w:val="20"/>
                <w:color w:val="auto"/>
              </w:rPr>
            </w:pPr>
            <w:r>
              <w:rPr>
                <w:rFonts w:ascii="Arial" w:cs="Arial" w:eastAsia="Arial" w:hAnsi="Arial"/>
                <w:sz w:val="18"/>
                <w:szCs w:val="18"/>
                <w:b w:val="1"/>
                <w:bCs w:val="1"/>
                <w:color w:val="auto"/>
              </w:rPr>
              <w:t>TOTAL CONSUMER LOANS</w:t>
            </w: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1.92</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1.82</w:t>
            </w: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7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TOTAL MANAGED NET CHARGE-OFF RATES</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60" w:type="dxa"/>
            <w:vAlign w:val="bottom"/>
          </w:tcPr>
          <w:p>
            <w:pPr>
              <w:spacing w:after="0"/>
              <w:rPr>
                <w:sz w:val="18"/>
                <w:szCs w:val="18"/>
                <w:color w:val="auto"/>
              </w:rPr>
            </w:pPr>
          </w:p>
        </w:tc>
        <w:tc>
          <w:tcPr>
            <w:tcW w:w="1080" w:type="dxa"/>
            <w:vAlign w:val="bottom"/>
            <w:gridSpan w:val="2"/>
          </w:tcPr>
          <w:p>
            <w:pPr>
              <w:jc w:val="right"/>
              <w:ind w:right="179"/>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period end balances for each respective quarter.</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6" w:name="page67"/>
    <w:bookmarkEnd w:id="66"/>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CREDIT-RELATED INFORMATION (CONT.)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40"/>
        <w:spacing w:after="0"/>
        <w:rPr>
          <w:sz w:val="20"/>
          <w:szCs w:val="20"/>
          <w:color w:val="auto"/>
        </w:rPr>
      </w:pPr>
      <w:r>
        <w:rPr>
          <w:rFonts w:ascii="Arial" w:cs="Arial" w:eastAsia="Arial" w:hAnsi="Arial"/>
          <w:sz w:val="15"/>
          <w:szCs w:val="15"/>
          <w:b w:val="1"/>
          <w:bCs w:val="1"/>
          <w:color w:val="auto"/>
        </w:rPr>
        <w:t>Enron Exposure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1280"/>
        <w:spacing w:after="0"/>
        <w:tabs>
          <w:tab w:leader="none" w:pos="2620" w:val="left"/>
          <w:tab w:leader="none" w:pos="3760" w:val="left"/>
        </w:tabs>
        <w:rPr>
          <w:sz w:val="20"/>
          <w:szCs w:val="20"/>
          <w:color w:val="auto"/>
        </w:rPr>
      </w:pPr>
      <w:r>
        <w:rPr>
          <w:rFonts w:ascii="Arial" w:cs="Arial" w:eastAsia="Arial" w:hAnsi="Arial"/>
          <w:sz w:val="14"/>
          <w:szCs w:val="14"/>
          <w:b w:val="1"/>
          <w:bCs w:val="1"/>
          <w:color w:val="auto"/>
        </w:rPr>
        <w:t>Secured /</w:t>
      </w:r>
      <w:r>
        <w:rPr>
          <w:sz w:val="20"/>
          <w:szCs w:val="20"/>
          <w:color w:val="auto"/>
        </w:rPr>
        <w:tab/>
      </w:r>
      <w:r>
        <w:rPr>
          <w:rFonts w:ascii="Arial" w:cs="Arial" w:eastAsia="Arial" w:hAnsi="Arial"/>
          <w:sz w:val="14"/>
          <w:szCs w:val="14"/>
          <w:b w:val="1"/>
          <w:bCs w:val="1"/>
          <w:color w:val="auto"/>
        </w:rPr>
        <w:t>Surety /</w:t>
      </w:r>
      <w:r>
        <w:rPr>
          <w:sz w:val="20"/>
          <w:szCs w:val="20"/>
          <w:color w:val="auto"/>
        </w:rPr>
        <w:tab/>
      </w:r>
      <w:r>
        <w:rPr>
          <w:rFonts w:ascii="Arial" w:cs="Arial" w:eastAsia="Arial" w:hAnsi="Arial"/>
          <w:sz w:val="12"/>
          <w:szCs w:val="12"/>
          <w:b w:val="1"/>
          <w:bCs w:val="1"/>
          <w:color w:val="auto"/>
        </w:rPr>
        <w:t>Debtor in</w:t>
      </w:r>
    </w:p>
    <w:p>
      <w:pPr>
        <w:spacing w:after="0" w:line="55" w:lineRule="exact"/>
        <w:rPr>
          <w:sz w:val="20"/>
          <w:szCs w:val="20"/>
          <w:color w:val="auto"/>
        </w:rPr>
      </w:pPr>
    </w:p>
    <w:p>
      <w:pPr>
        <w:spacing w:after="0"/>
        <w:tabs>
          <w:tab w:leader="none" w:pos="1120" w:val="left"/>
          <w:tab w:leader="none" w:pos="2400" w:val="left"/>
          <w:tab w:leader="none" w:pos="3740" w:val="left"/>
          <w:tab w:leader="none" w:pos="4920" w:val="left"/>
        </w:tabs>
        <w:rPr>
          <w:sz w:val="20"/>
          <w:szCs w:val="20"/>
          <w:color w:val="auto"/>
        </w:rPr>
      </w:pPr>
      <w:r>
        <w:rPr>
          <w:rFonts w:ascii="Arial" w:cs="Arial" w:eastAsia="Arial" w:hAnsi="Arial"/>
          <w:sz w:val="14"/>
          <w:szCs w:val="14"/>
          <w:b w:val="1"/>
          <w:bCs w:val="1"/>
          <w:color w:val="auto"/>
        </w:rPr>
        <w:t>Unsecured</w:t>
      </w:r>
      <w:r>
        <w:rPr>
          <w:sz w:val="20"/>
          <w:szCs w:val="20"/>
          <w:color w:val="auto"/>
        </w:rPr>
        <w:tab/>
      </w:r>
      <w:r>
        <w:rPr>
          <w:rFonts w:ascii="Arial" w:cs="Arial" w:eastAsia="Arial" w:hAnsi="Arial"/>
          <w:sz w:val="14"/>
          <w:szCs w:val="14"/>
          <w:b w:val="1"/>
          <w:bCs w:val="1"/>
          <w:color w:val="auto"/>
        </w:rPr>
        <w:t>Joint Venture</w:t>
      </w:r>
      <w:r>
        <w:rPr>
          <w:sz w:val="20"/>
          <w:szCs w:val="20"/>
          <w:color w:val="auto"/>
        </w:rPr>
        <w:tab/>
      </w:r>
      <w:r>
        <w:rPr>
          <w:rFonts w:ascii="Arial" w:cs="Arial" w:eastAsia="Arial" w:hAnsi="Arial"/>
          <w:sz w:val="14"/>
          <w:szCs w:val="14"/>
          <w:b w:val="1"/>
          <w:bCs w:val="1"/>
          <w:color w:val="auto"/>
        </w:rPr>
        <w:t>Letter of Credit</w:t>
      </w:r>
      <w:r>
        <w:rPr>
          <w:sz w:val="20"/>
          <w:szCs w:val="20"/>
          <w:color w:val="auto"/>
        </w:rPr>
        <w:tab/>
      </w:r>
      <w:r>
        <w:rPr>
          <w:rFonts w:ascii="Arial" w:cs="Arial" w:eastAsia="Arial" w:hAnsi="Arial"/>
          <w:sz w:val="14"/>
          <w:szCs w:val="14"/>
          <w:b w:val="1"/>
          <w:bCs w:val="1"/>
          <w:color w:val="auto"/>
        </w:rPr>
        <w:t>Possession</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77470</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720"/>
            <w:col w:w="6380"/>
          </w:cols>
          <w:pgMar w:left="240" w:top="1440" w:right="239" w:bottom="1440" w:gutter="0" w:footer="0" w:header="0"/>
          <w:type w:val="continuous"/>
        </w:sectPr>
      </w:pPr>
    </w:p>
    <w:p>
      <w:pPr>
        <w:spacing w:after="0" w:line="4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Exposure at December 19, 2001</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620</w:t>
            </w: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604</w:t>
            </w: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1,130</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250</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2,604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Payments</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93"/>
              </w:rPr>
              <w:t>(85)</w:t>
            </w: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Charge-offs</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5"/>
              </w:rPr>
              <w:t>(216)</w:t>
            </w:r>
          </w:p>
        </w:tc>
        <w:tc>
          <w:tcPr>
            <w:tcW w:w="4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(5)</w:t>
            </w: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Write-downs</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5"/>
              </w:rPr>
              <w:t>(235)</w:t>
            </w:r>
          </w:p>
        </w:tc>
        <w:tc>
          <w:tcPr>
            <w:tcW w:w="4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Exposure at December 31, 2001</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w w:val="96"/>
              </w:rPr>
              <w:t>169</w:t>
            </w:r>
            <w:r>
              <w:rPr>
                <w:rFonts w:ascii="Arial" w:cs="Arial" w:eastAsia="Arial" w:hAnsi="Arial"/>
                <w:sz w:val="18"/>
                <w:szCs w:val="18"/>
                <w:color w:val="auto"/>
                <w:w w:val="96"/>
              </w:rPr>
              <w:t>(a)</w:t>
            </w: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b w:val="1"/>
                <w:bCs w:val="1"/>
                <w:color w:val="auto"/>
                <w:w w:val="84"/>
              </w:rPr>
              <w:t>514</w:t>
            </w:r>
            <w:r>
              <w:rPr>
                <w:rFonts w:ascii="Arial" w:cs="Arial" w:eastAsia="Arial" w:hAnsi="Arial"/>
                <w:sz w:val="18"/>
                <w:szCs w:val="18"/>
                <w:color w:val="auto"/>
                <w:w w:val="84"/>
              </w:rPr>
              <w:t>(b)</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1,130</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79"/>
              </w:rPr>
              <w:t>250</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2,063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Nonperforming Assets</w:t>
            </w: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44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6"/>
        </w:trPr>
        <w:tc>
          <w:tcPr>
            <w:tcW w:w="344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Nonperforming Loans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Nonperforming Derivatives</w:t>
            </w: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gridSpan w:val="2"/>
          </w:tcPr>
          <w:p>
            <w:pPr>
              <w:ind w:left="200"/>
              <w:spacing w:after="0"/>
              <w:rPr>
                <w:sz w:val="20"/>
                <w:szCs w:val="20"/>
                <w:color w:val="auto"/>
              </w:rPr>
            </w:pPr>
            <w:r>
              <w:rPr>
                <w:rFonts w:ascii="Arial" w:cs="Arial" w:eastAsia="Arial" w:hAnsi="Arial"/>
                <w:sz w:val="18"/>
                <w:szCs w:val="18"/>
                <w:color w:val="auto"/>
              </w:rPr>
              <w:t>Nonperforming Other Receivables</w:t>
            </w:r>
          </w:p>
        </w:tc>
        <w:tc>
          <w:tcPr>
            <w:tcW w:w="880" w:type="dxa"/>
            <w:vAlign w:val="bottom"/>
          </w:tcPr>
          <w:p>
            <w:pPr>
              <w:spacing w:after="0"/>
              <w:rPr>
                <w:sz w:val="19"/>
                <w:szCs w:val="19"/>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1,130</w:t>
            </w:r>
          </w:p>
        </w:tc>
        <w:tc>
          <w:tcPr>
            <w:tcW w:w="7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EEEEEE"/>
          </w:tcPr>
          <w:p>
            <w:pPr>
              <w:ind w:left="420"/>
              <w:spacing w:after="0"/>
              <w:rPr>
                <w:sz w:val="20"/>
                <w:szCs w:val="20"/>
                <w:color w:val="auto"/>
              </w:rPr>
            </w:pPr>
            <w:r>
              <w:rPr>
                <w:rFonts w:ascii="Arial" w:cs="Arial" w:eastAsia="Arial" w:hAnsi="Arial"/>
                <w:sz w:val="18"/>
                <w:szCs w:val="18"/>
                <w:b w:val="1"/>
                <w:bCs w:val="1"/>
                <w:color w:val="auto"/>
              </w:rPr>
              <w:t>Total Nonperforming Assets</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9"/>
              </w:rPr>
              <w:t>111</w:t>
            </w:r>
          </w:p>
        </w:tc>
        <w:tc>
          <w:tcPr>
            <w:tcW w:w="5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32</w:t>
            </w:r>
          </w:p>
        </w:tc>
        <w:tc>
          <w:tcPr>
            <w:tcW w:w="5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1,130</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1,273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$58 million in undrawn letters of credit.</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$400 million secured by pipelines, $74 million in credit-worthy joint ventures, and $40 million secured by other Enron assets.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67" w:name="page68"/>
    <w:bookmarkEnd w:id="67"/>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5560060</wp:posOffset>
            </wp:positionH>
            <wp:positionV relativeFrom="page">
              <wp:posOffset>603250</wp:posOffset>
            </wp:positionV>
            <wp:extent cx="1844040" cy="300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6"/>
              </w:rPr>
              <w:t>4QTR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3QTR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2QTR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1QTR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4QTR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SOURCES AND USES OF TIER 1 CAPITAL</w:t>
            </w: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20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(in billions)</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gridSpan w:val="5"/>
            <w:shd w:val="clear" w:color="auto" w:fill="EEEEEE"/>
          </w:tcPr>
          <w:p>
            <w:pPr>
              <w:ind w:left="60"/>
              <w:spacing w:after="0"/>
              <w:rPr>
                <w:sz w:val="20"/>
                <w:szCs w:val="20"/>
                <w:color w:val="auto"/>
              </w:rPr>
            </w:pPr>
            <w:r>
              <w:rPr>
                <w:rFonts w:ascii="Arial" w:cs="Arial" w:eastAsia="Arial" w:hAnsi="Arial"/>
                <w:sz w:val="18"/>
                <w:szCs w:val="18"/>
                <w:b w:val="1"/>
                <w:bCs w:val="1"/>
                <w:color w:val="auto"/>
              </w:rPr>
              <w:t>Sources of Free Cash Flow</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5"/>
            <w:shd w:val="clear" w:color="auto" w:fill="EEEEEE"/>
          </w:tcPr>
          <w:p>
            <w:pPr>
              <w:ind w:left="420"/>
              <w:spacing w:after="0"/>
              <w:rPr>
                <w:sz w:val="20"/>
                <w:szCs w:val="20"/>
                <w:color w:val="auto"/>
              </w:rPr>
            </w:pPr>
            <w:r>
              <w:rPr>
                <w:rFonts w:ascii="Arial" w:cs="Arial" w:eastAsia="Arial" w:hAnsi="Arial"/>
                <w:sz w:val="18"/>
                <w:szCs w:val="18"/>
                <w:color w:val="auto"/>
              </w:rPr>
              <w:t>Cash Operating Earnings Less Dividends</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 (a)</w:t>
            </w: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tcPr>
          <w:p>
            <w:pPr>
              <w:ind w:left="420"/>
              <w:spacing w:after="0"/>
              <w:rPr>
                <w:sz w:val="20"/>
                <w:szCs w:val="20"/>
                <w:color w:val="auto"/>
              </w:rPr>
            </w:pPr>
            <w:r>
              <w:rPr>
                <w:rFonts w:ascii="Arial" w:cs="Arial" w:eastAsia="Arial" w:hAnsi="Arial"/>
                <w:sz w:val="18"/>
                <w:szCs w:val="18"/>
                <w:color w:val="auto"/>
                <w:w w:val="92"/>
              </w:rPr>
              <w:t>Plus: Preferred Stock and Equivalents/Other Items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 (a)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shd w:val="clear" w:color="auto" w:fill="EEEEEE"/>
          </w:tcPr>
          <w:p>
            <w:pPr>
              <w:ind w:left="420"/>
              <w:spacing w:after="0"/>
              <w:rPr>
                <w:sz w:val="20"/>
                <w:szCs w:val="20"/>
                <w:color w:val="auto"/>
              </w:rPr>
            </w:pPr>
            <w:r>
              <w:rPr>
                <w:rFonts w:ascii="Arial" w:cs="Arial" w:eastAsia="Arial" w:hAnsi="Arial"/>
                <w:sz w:val="18"/>
                <w:szCs w:val="18"/>
                <w:color w:val="auto"/>
              </w:rPr>
              <w:t>Less: Capital for Internal Asset Growth</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(a)</w:t>
            </w: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gridSpan w:val="6"/>
          </w:tcPr>
          <w:p>
            <w:pPr>
              <w:spacing w:after="0"/>
              <w:rPr>
                <w:sz w:val="20"/>
                <w:szCs w:val="20"/>
                <w:color w:val="auto"/>
              </w:rPr>
            </w:pPr>
            <w:r>
              <w:rPr>
                <w:rFonts w:ascii="Arial" w:cs="Arial" w:eastAsia="Arial" w:hAnsi="Arial"/>
                <w:sz w:val="18"/>
                <w:szCs w:val="18"/>
                <w:b w:val="1"/>
                <w:bCs w:val="1"/>
                <w:color w:val="auto"/>
              </w:rPr>
              <w:t>Total Sources of Free Cash Flow</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2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shd w:val="clear" w:color="auto" w:fill="EEEEEE"/>
          </w:tcPr>
          <w:p>
            <w:pPr>
              <w:ind w:left="60"/>
              <w:spacing w:after="0"/>
              <w:rPr>
                <w:sz w:val="20"/>
                <w:szCs w:val="20"/>
                <w:color w:val="auto"/>
              </w:rPr>
            </w:pPr>
            <w:r>
              <w:rPr>
                <w:rFonts w:ascii="Arial" w:cs="Arial" w:eastAsia="Arial" w:hAnsi="Arial"/>
                <w:sz w:val="18"/>
                <w:szCs w:val="18"/>
                <w:b w:val="1"/>
                <w:bCs w:val="1"/>
                <w:color w:val="auto"/>
              </w:rPr>
              <w:t>Uses of Free Cash Flow</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(a)</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(0.7)</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5"/>
          </w:tcPr>
          <w:p>
            <w:pPr>
              <w:ind w:left="420"/>
              <w:spacing w:after="0"/>
              <w:rPr>
                <w:sz w:val="20"/>
                <w:szCs w:val="20"/>
                <w:color w:val="auto"/>
              </w:rPr>
            </w:pPr>
            <w:r>
              <w:rPr>
                <w:rFonts w:ascii="Arial" w:cs="Arial" w:eastAsia="Arial" w:hAnsi="Arial"/>
                <w:sz w:val="18"/>
                <w:szCs w:val="18"/>
                <w:color w:val="auto"/>
              </w:rPr>
              <w:t>Increases (Decreases) in Capital Ratios</w:t>
            </w:r>
          </w:p>
        </w:tc>
        <w:tc>
          <w:tcPr>
            <w:tcW w:w="4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5"/>
          </w:tcPr>
          <w:p>
            <w:pPr>
              <w:ind w:left="420"/>
              <w:spacing w:after="0"/>
              <w:rPr>
                <w:sz w:val="20"/>
                <w:szCs w:val="20"/>
                <w:color w:val="auto"/>
              </w:rPr>
            </w:pPr>
            <w:r>
              <w:rPr>
                <w:rFonts w:ascii="Arial" w:cs="Arial" w:eastAsia="Arial" w:hAnsi="Arial"/>
                <w:sz w:val="18"/>
                <w:szCs w:val="18"/>
                <w:color w:val="auto"/>
              </w:rPr>
              <w:t>Acquisitions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(a)</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80" w:type="dxa"/>
            <w:vAlign w:val="bottom"/>
            <w:gridSpan w:val="5"/>
            <w:shd w:val="clear" w:color="auto" w:fill="EEEEEE"/>
          </w:tcPr>
          <w:p>
            <w:pPr>
              <w:ind w:left="420"/>
              <w:spacing w:after="0"/>
              <w:rPr>
                <w:sz w:val="20"/>
                <w:szCs w:val="20"/>
                <w:color w:val="auto"/>
              </w:rPr>
            </w:pPr>
            <w:r>
              <w:rPr>
                <w:rFonts w:ascii="Arial" w:cs="Arial" w:eastAsia="Arial" w:hAnsi="Arial"/>
                <w:sz w:val="18"/>
                <w:szCs w:val="18"/>
                <w:color w:val="auto"/>
              </w:rPr>
              <w:t>Repurchases Net of Stock Issuances</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(0.1) (a)</w:t>
            </w: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1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gridSpan w:val="6"/>
          </w:tcPr>
          <w:p>
            <w:pPr>
              <w:spacing w:after="0"/>
              <w:rPr>
                <w:sz w:val="20"/>
                <w:szCs w:val="20"/>
                <w:color w:val="auto"/>
              </w:rPr>
            </w:pPr>
            <w:r>
              <w:rPr>
                <w:rFonts w:ascii="Arial" w:cs="Arial" w:eastAsia="Arial" w:hAnsi="Arial"/>
                <w:sz w:val="18"/>
                <w:szCs w:val="18"/>
                <w:b w:val="1"/>
                <w:bCs w:val="1"/>
                <w:color w:val="auto"/>
              </w:rPr>
              <w:t>Total Uses of Free Cash Flow</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2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294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b w:val="1"/>
                <w:bCs w:val="1"/>
                <w:color w:val="auto"/>
                <w:w w:val="96"/>
              </w:rPr>
              <w:t>COMMON SHARES OUTSTANDING</w:t>
            </w:r>
          </w:p>
        </w:tc>
        <w:tc>
          <w:tcPr>
            <w:tcW w:w="12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00" w:type="dxa"/>
            <w:vAlign w:val="bottom"/>
            <w:gridSpan w:val="6"/>
          </w:tcPr>
          <w:p>
            <w:pPr>
              <w:spacing w:after="0"/>
              <w:rPr>
                <w:sz w:val="20"/>
                <w:szCs w:val="20"/>
                <w:color w:val="auto"/>
              </w:rPr>
            </w:pPr>
            <w:r>
              <w:rPr>
                <w:rFonts w:ascii="Arial" w:cs="Arial" w:eastAsia="Arial" w:hAnsi="Arial"/>
                <w:sz w:val="18"/>
                <w:szCs w:val="18"/>
                <w:b w:val="1"/>
                <w:bCs w:val="1"/>
                <w:color w:val="auto"/>
              </w:rPr>
              <w:t>(in millions)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gridSpan w:val="6"/>
          </w:tcPr>
          <w:p>
            <w:pPr>
              <w:spacing w:after="0"/>
              <w:rPr>
                <w:sz w:val="20"/>
                <w:szCs w:val="20"/>
                <w:color w:val="auto"/>
              </w:rPr>
            </w:pPr>
            <w:r>
              <w:rPr>
                <w:rFonts w:ascii="Arial" w:cs="Arial" w:eastAsia="Arial" w:hAnsi="Arial"/>
                <w:sz w:val="18"/>
                <w:szCs w:val="18"/>
                <w:color w:val="auto"/>
              </w:rPr>
              <w:t>Basic Weighted-Average Shares Outstanding</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1,969.6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1,975.3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1,978.4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1,966.6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1,924.8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2,007.4</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2,020.9</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2,033.6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2,032.2</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2,007.1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tcPr>
          <w:p>
            <w:pPr>
              <w:spacing w:after="0"/>
              <w:rPr>
                <w:sz w:val="20"/>
                <w:szCs w:val="20"/>
                <w:color w:val="auto"/>
              </w:rPr>
            </w:pPr>
            <w:r>
              <w:rPr>
                <w:rFonts w:ascii="Arial" w:cs="Arial" w:eastAsia="Arial" w:hAnsi="Arial"/>
                <w:sz w:val="18"/>
                <w:szCs w:val="18"/>
                <w:color w:val="auto"/>
              </w:rPr>
              <w:t>Common Shares Outstanding-at Period End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1,973.4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1,972.9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1,989.2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1,984.2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1,928.5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5"/>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shd w:val="clear" w:color="auto" w:fill="EEEEEE"/>
          </w:tcPr>
          <w:p>
            <w:pPr>
              <w:spacing w:after="0"/>
              <w:rPr>
                <w:sz w:val="20"/>
                <w:szCs w:val="20"/>
                <w:color w:val="auto"/>
              </w:rPr>
            </w:pPr>
            <w:r>
              <w:rPr>
                <w:rFonts w:ascii="Arial" w:cs="Arial" w:eastAsia="Arial" w:hAnsi="Arial"/>
                <w:sz w:val="18"/>
                <w:szCs w:val="18"/>
                <w:b w:val="1"/>
                <w:bCs w:val="1"/>
                <w:color w:val="auto"/>
              </w:rPr>
              <w:t>BOOK VALUE PER SHARE</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20.32</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21.15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20.81</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21.17</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200" w:type="dxa"/>
            <w:vAlign w:val="bottom"/>
            <w:gridSpan w:val="6"/>
          </w:tcPr>
          <w:p>
            <w:pPr>
              <w:spacing w:after="0"/>
              <w:rPr>
                <w:sz w:val="20"/>
                <w:szCs w:val="20"/>
                <w:color w:val="auto"/>
              </w:rPr>
            </w:pPr>
            <w:r>
              <w:rPr>
                <w:rFonts w:ascii="Arial" w:cs="Arial" w:eastAsia="Arial" w:hAnsi="Arial"/>
                <w:sz w:val="18"/>
                <w:szCs w:val="18"/>
                <w:b w:val="1"/>
                <w:bCs w:val="1"/>
                <w:color w:val="auto"/>
              </w:rPr>
              <w:t>SHARE PRICE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shd w:val="clear" w:color="auto" w:fill="EEEEEE"/>
          </w:tcPr>
          <w:p>
            <w:pPr>
              <w:ind w:left="200"/>
              <w:spacing w:after="0"/>
              <w:rPr>
                <w:sz w:val="20"/>
                <w:szCs w:val="20"/>
                <w:color w:val="auto"/>
              </w:rPr>
            </w:pPr>
            <w:r>
              <w:rPr>
                <w:rFonts w:ascii="Arial" w:cs="Arial" w:eastAsia="Arial" w:hAnsi="Arial"/>
                <w:sz w:val="18"/>
                <w:szCs w:val="18"/>
                <w:color w:val="auto"/>
              </w:rPr>
              <w:t>High</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40.95</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46.01</w:t>
            </w:r>
          </w:p>
        </w:tc>
        <w:tc>
          <w:tcPr>
            <w:tcW w:w="22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50.60</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59.19</w:t>
            </w:r>
          </w:p>
        </w:tc>
        <w:tc>
          <w:tcPr>
            <w:tcW w:w="240" w:type="dxa"/>
            <w:vAlign w:val="bottom"/>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tcPr>
          <w:p>
            <w:pPr>
              <w:ind w:left="20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shd w:val="clear" w:color="auto" w:fill="EEEEEE"/>
          </w:tcPr>
          <w:p>
            <w:pPr>
              <w:ind w:left="200"/>
              <w:spacing w:after="0"/>
              <w:rPr>
                <w:sz w:val="20"/>
                <w:szCs w:val="20"/>
                <w:color w:val="auto"/>
              </w:rPr>
            </w:pPr>
            <w:r>
              <w:rPr>
                <w:rFonts w:ascii="Arial" w:cs="Arial" w:eastAsia="Arial" w:hAnsi="Arial"/>
                <w:sz w:val="18"/>
                <w:szCs w:val="18"/>
                <w:color w:val="auto"/>
              </w:rPr>
              <w:t>Close</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36.35</w:t>
            </w: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34.15</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44.60</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44.90</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45.44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200" w:type="dxa"/>
            <w:vAlign w:val="bottom"/>
            <w:gridSpan w:val="6"/>
          </w:tcPr>
          <w:p>
            <w:pPr>
              <w:spacing w:after="0"/>
              <w:rPr>
                <w:sz w:val="20"/>
                <w:szCs w:val="20"/>
                <w:color w:val="auto"/>
              </w:rPr>
            </w:pPr>
            <w:r>
              <w:rPr>
                <w:rFonts w:ascii="Arial" w:cs="Arial" w:eastAsia="Arial" w:hAnsi="Arial"/>
                <w:sz w:val="18"/>
                <w:szCs w:val="18"/>
                <w:b w:val="1"/>
                <w:bCs w:val="1"/>
                <w:color w:val="auto"/>
              </w:rPr>
              <w:t>CAPITAL RATIOS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Tier I Capital Ratio</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(a)</w:t>
            </w: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tcPr>
          <w:p>
            <w:pPr>
              <w:spacing w:after="0"/>
              <w:rPr>
                <w:sz w:val="20"/>
                <w:szCs w:val="20"/>
                <w:color w:val="auto"/>
              </w:rPr>
            </w:pPr>
            <w:r>
              <w:rPr>
                <w:rFonts w:ascii="Arial" w:cs="Arial" w:eastAsia="Arial" w:hAnsi="Arial"/>
                <w:sz w:val="18"/>
                <w:szCs w:val="18"/>
                <w:color w:val="auto"/>
              </w:rPr>
              <w:t>Total Capital Ratio</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300" w:type="dxa"/>
            <w:vAlign w:val="bottom"/>
          </w:tcPr>
          <w:p>
            <w:pPr>
              <w:jc w:val="right"/>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Tier I Leverage</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(a)</w:t>
            </w:r>
          </w:p>
        </w:tc>
        <w:tc>
          <w:tcPr>
            <w:tcW w:w="22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[Additional columns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[Continued from above table, first column(s) repeated]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4QTR 2001</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Over (Under)</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FULL YEAR</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tcPr>
          <w:p>
            <w:pPr>
              <w:jc w:val="center"/>
              <w:ind w:left="157"/>
              <w:spacing w:after="0"/>
              <w:rPr>
                <w:sz w:val="20"/>
                <w:szCs w:val="20"/>
                <w:color w:val="auto"/>
              </w:rPr>
            </w:pPr>
            <w:r>
              <w:rPr>
                <w:rFonts w:ascii="Arial" w:cs="Arial" w:eastAsia="Arial" w:hAnsi="Arial"/>
                <w:sz w:val="14"/>
                <w:szCs w:val="14"/>
                <w:b w:val="1"/>
                <w:bCs w:val="1"/>
                <w:color w:val="auto"/>
                <w:w w:val="93"/>
              </w:rPr>
              <w:t>Over (Under)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3Q 2001</w:t>
            </w:r>
          </w:p>
        </w:tc>
        <w:tc>
          <w:tcPr>
            <w:tcW w:w="24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4Q 2000</w:t>
            </w:r>
          </w:p>
        </w:tc>
        <w:tc>
          <w:tcPr>
            <w:tcW w:w="340" w:type="dxa"/>
            <w:vAlign w:val="bottom"/>
          </w:tcPr>
          <w:p>
            <w:pPr>
              <w:spacing w:after="0"/>
              <w:rPr>
                <w:sz w:val="22"/>
                <w:szCs w:val="22"/>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5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2"/>
                <w:szCs w:val="22"/>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8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SOURCES AND USES OF TIER 1 CAPITAL</w:t>
            </w: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820" w:type="dxa"/>
            <w:vAlign w:val="bottom"/>
            <w:gridSpan w:val="6"/>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5"/>
            <w:shd w:val="clear" w:color="auto" w:fill="EEEEEE"/>
          </w:tcPr>
          <w:p>
            <w:pPr>
              <w:spacing w:after="0"/>
              <w:rPr>
                <w:sz w:val="20"/>
                <w:szCs w:val="20"/>
                <w:color w:val="auto"/>
              </w:rPr>
            </w:pPr>
            <w:r>
              <w:rPr>
                <w:rFonts w:ascii="Arial" w:cs="Arial" w:eastAsia="Arial" w:hAnsi="Arial"/>
                <w:sz w:val="18"/>
                <w:szCs w:val="18"/>
                <w:b w:val="1"/>
                <w:bCs w:val="1"/>
                <w:color w:val="auto"/>
              </w:rPr>
              <w:t>(in billions)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5"/>
          </w:tcPr>
          <w:p>
            <w:pPr>
              <w:ind w:left="60"/>
              <w:spacing w:after="0"/>
              <w:rPr>
                <w:sz w:val="20"/>
                <w:szCs w:val="20"/>
                <w:color w:val="auto"/>
              </w:rPr>
            </w:pPr>
            <w:r>
              <w:rPr>
                <w:rFonts w:ascii="Arial" w:cs="Arial" w:eastAsia="Arial" w:hAnsi="Arial"/>
                <w:sz w:val="18"/>
                <w:szCs w:val="18"/>
                <w:b w:val="1"/>
                <w:bCs w:val="1"/>
                <w:color w:val="auto"/>
              </w:rPr>
              <w:t>Sources of Free Cash Flow</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tcPr>
          <w:p>
            <w:pPr>
              <w:ind w:left="460"/>
              <w:spacing w:after="0"/>
              <w:rPr>
                <w:sz w:val="20"/>
                <w:szCs w:val="20"/>
                <w:color w:val="auto"/>
              </w:rPr>
            </w:pPr>
            <w:r>
              <w:rPr>
                <w:rFonts w:ascii="Arial" w:cs="Arial" w:eastAsia="Arial" w:hAnsi="Arial"/>
                <w:sz w:val="18"/>
                <w:szCs w:val="18"/>
                <w:color w:val="auto"/>
              </w:rPr>
              <w:t>Cash Operating Earnings Less Dividends</w:t>
            </w:r>
          </w:p>
        </w:tc>
        <w:tc>
          <w:tcPr>
            <w:tcW w:w="2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color w:val="auto"/>
                <w:w w:val="96"/>
              </w:rPr>
              <w:t>1.3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5"/>
          </w:tcPr>
          <w:p>
            <w:pPr>
              <w:ind w:left="460"/>
              <w:spacing w:after="0"/>
              <w:rPr>
                <w:sz w:val="20"/>
                <w:szCs w:val="20"/>
                <w:color w:val="auto"/>
              </w:rPr>
            </w:pPr>
            <w:r>
              <w:rPr>
                <w:rFonts w:ascii="Arial" w:cs="Arial" w:eastAsia="Arial" w:hAnsi="Arial"/>
                <w:sz w:val="18"/>
                <w:szCs w:val="18"/>
                <w:color w:val="auto"/>
              </w:rPr>
              <w:t>Plus: Preferred Stock and Equivalents/Other Items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color w:val="auto"/>
                <w:w w:val="87"/>
              </w:rPr>
              <w:t>(1.8) (a)</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5"/>
            <w:shd w:val="clear" w:color="auto" w:fill="EEEEEE"/>
          </w:tcPr>
          <w:p>
            <w:pPr>
              <w:ind w:left="460"/>
              <w:spacing w:after="0"/>
              <w:rPr>
                <w:sz w:val="20"/>
                <w:szCs w:val="20"/>
                <w:color w:val="auto"/>
              </w:rPr>
            </w:pPr>
            <w:r>
              <w:rPr>
                <w:rFonts w:ascii="Arial" w:cs="Arial" w:eastAsia="Arial" w:hAnsi="Arial"/>
                <w:sz w:val="18"/>
                <w:szCs w:val="18"/>
                <w:color w:val="auto"/>
              </w:rPr>
              <w:t>Less: Capital for Internal Asset Growth</w:t>
            </w: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1180" w:type="dxa"/>
            <w:vAlign w:val="bottom"/>
            <w:gridSpan w:val="2"/>
            <w:shd w:val="clear" w:color="auto" w:fill="EEEEEE"/>
          </w:tcPr>
          <w:p>
            <w:pPr>
              <w:jc w:val="right"/>
              <w:ind w:right="55"/>
              <w:spacing w:after="0"/>
              <w:rPr>
                <w:sz w:val="20"/>
                <w:szCs w:val="20"/>
                <w:color w:val="auto"/>
              </w:rPr>
            </w:pPr>
            <w:r>
              <w:rPr>
                <w:rFonts w:ascii="Arial" w:cs="Arial" w:eastAsia="Arial" w:hAnsi="Arial"/>
                <w:sz w:val="18"/>
                <w:szCs w:val="18"/>
                <w:color w:val="auto"/>
              </w:rPr>
              <w:t>15%</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center"/>
              <w:ind w:right="280"/>
              <w:spacing w:after="0"/>
              <w:rPr>
                <w:sz w:val="20"/>
                <w:szCs w:val="20"/>
                <w:color w:val="auto"/>
              </w:rPr>
            </w:pPr>
            <w:r>
              <w:rPr>
                <w:rFonts w:ascii="Arial" w:cs="Arial" w:eastAsia="Arial" w:hAnsi="Arial"/>
                <w:sz w:val="18"/>
                <w:szCs w:val="18"/>
                <w:color w:val="auto"/>
                <w:w w:val="87"/>
              </w:rPr>
              <w:t>(0.8) (a)</w:t>
            </w: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6"/>
          </w:tcPr>
          <w:p>
            <w:pPr>
              <w:spacing w:after="0"/>
              <w:rPr>
                <w:sz w:val="20"/>
                <w:szCs w:val="20"/>
                <w:color w:val="auto"/>
              </w:rPr>
            </w:pPr>
            <w:r>
              <w:rPr>
                <w:rFonts w:ascii="Arial" w:cs="Arial" w:eastAsia="Arial" w:hAnsi="Arial"/>
                <w:sz w:val="18"/>
                <w:szCs w:val="18"/>
                <w:b w:val="1"/>
                <w:bCs w:val="1"/>
                <w:color w:val="auto"/>
              </w:rPr>
              <w:t>Total Sources of Free Cash Flow</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shd w:val="clear" w:color="auto" w:fill="EEEEEE"/>
          </w:tcPr>
          <w:p>
            <w:pPr>
              <w:ind w:left="60"/>
              <w:spacing w:after="0"/>
              <w:rPr>
                <w:sz w:val="20"/>
                <w:szCs w:val="20"/>
                <w:color w:val="auto"/>
              </w:rPr>
            </w:pPr>
            <w:r>
              <w:rPr>
                <w:rFonts w:ascii="Arial" w:cs="Arial" w:eastAsia="Arial" w:hAnsi="Arial"/>
                <w:sz w:val="18"/>
                <w:szCs w:val="18"/>
                <w:b w:val="1"/>
                <w:bCs w:val="1"/>
                <w:color w:val="auto"/>
              </w:rPr>
              <w:t>Uses of Free Cash Flow</w:t>
            </w:r>
          </w:p>
        </w:tc>
        <w:tc>
          <w:tcPr>
            <w:tcW w:w="26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NM</w:t>
            </w:r>
          </w:p>
        </w:tc>
        <w:tc>
          <w:tcPr>
            <w:tcW w:w="1180" w:type="dxa"/>
            <w:vAlign w:val="bottom"/>
            <w:gridSpan w:val="2"/>
            <w:vMerge w:val="restart"/>
          </w:tcPr>
          <w:p>
            <w:pPr>
              <w:jc w:val="right"/>
              <w:ind w:right="135"/>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4"/>
            <w:vMerge w:val="restart"/>
          </w:tcPr>
          <w:p>
            <w:pPr>
              <w:jc w:val="center"/>
              <w:ind w:right="280"/>
              <w:spacing w:after="0"/>
              <w:rPr>
                <w:sz w:val="20"/>
                <w:szCs w:val="20"/>
                <w:color w:val="auto"/>
              </w:rPr>
            </w:pPr>
            <w:r>
              <w:rPr>
                <w:rFonts w:ascii="Arial" w:cs="Arial" w:eastAsia="Arial" w:hAnsi="Arial"/>
                <w:sz w:val="18"/>
                <w:szCs w:val="18"/>
                <w:color w:val="auto"/>
                <w:w w:val="87"/>
              </w:rPr>
              <w:t>(0.8) (a)</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5"/>
          </w:tcPr>
          <w:p>
            <w:pPr>
              <w:ind w:left="460"/>
              <w:spacing w:after="0"/>
              <w:rPr>
                <w:sz w:val="20"/>
                <w:szCs w:val="20"/>
                <w:color w:val="auto"/>
              </w:rPr>
            </w:pPr>
            <w:r>
              <w:rPr>
                <w:rFonts w:ascii="Arial" w:cs="Arial" w:eastAsia="Arial" w:hAnsi="Arial"/>
                <w:sz w:val="18"/>
                <w:szCs w:val="18"/>
                <w:color w:val="auto"/>
              </w:rPr>
              <w:t>Increases (Decreases) in Capital Ratios</w:t>
            </w: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5"/>
          </w:tcPr>
          <w:p>
            <w:pPr>
              <w:ind w:left="46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19"/>
                <w:szCs w:val="19"/>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color w:val="auto"/>
                <w:w w:val="96"/>
              </w:rPr>
              <w:t>0.1 (a)</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5"/>
            <w:shd w:val="clear" w:color="auto" w:fill="EEEEEE"/>
          </w:tcPr>
          <w:p>
            <w:pPr>
              <w:ind w:left="460"/>
              <w:spacing w:after="0"/>
              <w:rPr>
                <w:sz w:val="20"/>
                <w:szCs w:val="20"/>
                <w:color w:val="auto"/>
              </w:rPr>
            </w:pPr>
            <w:r>
              <w:rPr>
                <w:rFonts w:ascii="Arial" w:cs="Arial" w:eastAsia="Arial" w:hAnsi="Arial"/>
                <w:sz w:val="18"/>
                <w:szCs w:val="18"/>
                <w:color w:val="auto"/>
              </w:rPr>
              <w:t>Repurchases Net of Stock Issuances</w:t>
            </w: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NM</w:t>
            </w:r>
          </w:p>
        </w:tc>
        <w:tc>
          <w:tcPr>
            <w:tcW w:w="2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360" w:type="dxa"/>
            <w:vAlign w:val="bottom"/>
            <w:gridSpan w:val="4"/>
            <w:shd w:val="clear" w:color="auto" w:fill="EEEEEE"/>
          </w:tcPr>
          <w:p>
            <w:pPr>
              <w:jc w:val="center"/>
              <w:ind w:right="280"/>
              <w:spacing w:after="0"/>
              <w:rPr>
                <w:sz w:val="20"/>
                <w:szCs w:val="20"/>
                <w:color w:val="auto"/>
              </w:rPr>
            </w:pPr>
            <w:r>
              <w:rPr>
                <w:rFonts w:ascii="Arial" w:cs="Arial" w:eastAsia="Arial" w:hAnsi="Arial"/>
                <w:sz w:val="18"/>
                <w:szCs w:val="18"/>
                <w:color w:val="auto"/>
                <w:w w:val="87"/>
              </w:rPr>
              <w:t>(0.6) (a)</w:t>
            </w:r>
          </w:p>
        </w:tc>
        <w:tc>
          <w:tcPr>
            <w:tcW w:w="10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20" w:type="dxa"/>
            <w:vAlign w:val="bottom"/>
            <w:gridSpan w:val="6"/>
          </w:tcPr>
          <w:p>
            <w:pPr>
              <w:spacing w:after="0"/>
              <w:rPr>
                <w:sz w:val="20"/>
                <w:szCs w:val="20"/>
                <w:color w:val="auto"/>
              </w:rPr>
            </w:pPr>
            <w:r>
              <w:rPr>
                <w:rFonts w:ascii="Arial" w:cs="Arial" w:eastAsia="Arial" w:hAnsi="Arial"/>
                <w:sz w:val="18"/>
                <w:szCs w:val="18"/>
                <w:b w:val="1"/>
                <w:bCs w:val="1"/>
                <w:color w:val="auto"/>
              </w:rPr>
              <w:t>Total Uses of Free Cash Flow</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107"/>
        </w:trPr>
        <w:tc>
          <w:tcPr>
            <w:tcW w:w="12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vMerge w:val="continue"/>
          </w:tcPr>
          <w:p>
            <w:pPr>
              <w:spacing w:after="0"/>
              <w:rPr>
                <w:sz w:val="15"/>
                <w:szCs w:val="15"/>
                <w:color w:val="auto"/>
              </w:rPr>
            </w:pPr>
          </w:p>
        </w:tc>
        <w:tc>
          <w:tcPr>
            <w:tcW w:w="2940" w:type="dxa"/>
            <w:vAlign w:val="bottom"/>
            <w:tcBorders>
              <w:bottom w:val="single" w:sz="8" w:color="auto"/>
            </w:tcBorders>
            <w:gridSpan w:val="3"/>
          </w:tcPr>
          <w:p>
            <w:pPr>
              <w:spacing w:after="0" w:line="176" w:lineRule="exact"/>
              <w:rPr>
                <w:sz w:val="20"/>
                <w:szCs w:val="20"/>
                <w:color w:val="auto"/>
              </w:rPr>
            </w:pPr>
            <w:r>
              <w:rPr>
                <w:rFonts w:ascii="Arial" w:cs="Arial" w:eastAsia="Arial" w:hAnsi="Arial"/>
                <w:sz w:val="18"/>
                <w:szCs w:val="18"/>
                <w:b w:val="1"/>
                <w:bCs w:val="1"/>
                <w:color w:val="auto"/>
                <w:w w:val="96"/>
              </w:rPr>
              <w:t>COMMON SHARES OUTSTANDING</w:t>
            </w:r>
          </w:p>
        </w:tc>
        <w:tc>
          <w:tcPr>
            <w:tcW w:w="18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820" w:type="dxa"/>
            <w:vAlign w:val="bottom"/>
            <w:gridSpan w:val="6"/>
          </w:tcPr>
          <w:p>
            <w:pPr>
              <w:spacing w:after="0"/>
              <w:rPr>
                <w:sz w:val="20"/>
                <w:szCs w:val="20"/>
                <w:color w:val="auto"/>
              </w:rPr>
            </w:pPr>
            <w:r>
              <w:rPr>
                <w:rFonts w:ascii="Arial" w:cs="Arial" w:eastAsia="Arial" w:hAnsi="Arial"/>
                <w:sz w:val="18"/>
                <w:szCs w:val="18"/>
                <w:b w:val="1"/>
                <w:bCs w:val="1"/>
                <w:color w:val="auto"/>
              </w:rPr>
              <w:t>(in millions)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Basic Weighted-Average Shares Outstanding</w:t>
            </w: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5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95"/>
              <w:spacing w:after="0"/>
              <w:rPr>
                <w:sz w:val="20"/>
                <w:szCs w:val="20"/>
                <w:color w:val="auto"/>
              </w:rPr>
            </w:pPr>
            <w:r>
              <w:rPr>
                <w:rFonts w:ascii="Arial" w:cs="Arial" w:eastAsia="Arial" w:hAnsi="Arial"/>
                <w:sz w:val="18"/>
                <w:szCs w:val="18"/>
                <w:color w:val="auto"/>
              </w:rPr>
              <w:t>2</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1,972.4</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1,884.1</w:t>
            </w: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Diluted Weighted-Average Shares Outstanding</w:t>
            </w:r>
          </w:p>
        </w:tc>
        <w:tc>
          <w:tcPr>
            <w:tcW w:w="1000" w:type="dxa"/>
            <w:vAlign w:val="bottom"/>
            <w:gridSpan w:val="2"/>
            <w:shd w:val="clear" w:color="auto" w:fill="EEEEEE"/>
          </w:tcPr>
          <w:p>
            <w:pPr>
              <w:jc w:val="right"/>
              <w:ind w:right="97"/>
              <w:spacing w:after="0"/>
              <w:rPr>
                <w:sz w:val="20"/>
                <w:szCs w:val="20"/>
                <w:color w:val="auto"/>
              </w:rPr>
            </w:pPr>
            <w:r>
              <w:rPr>
                <w:rFonts w:ascii="Arial" w:cs="Arial" w:eastAsia="Arial" w:hAnsi="Arial"/>
                <w:sz w:val="18"/>
                <w:szCs w:val="18"/>
                <w:color w:val="auto"/>
              </w:rPr>
              <w:t>(1)</w:t>
            </w:r>
          </w:p>
        </w:tc>
        <w:tc>
          <w:tcPr>
            <w:tcW w:w="2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2,023.6</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1,969.0</w:t>
            </w: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tcPr>
          <w:p>
            <w:pPr>
              <w:spacing w:after="0"/>
              <w:rPr>
                <w:sz w:val="20"/>
                <w:szCs w:val="20"/>
                <w:color w:val="auto"/>
              </w:rPr>
            </w:pPr>
            <w:r>
              <w:rPr>
                <w:rFonts w:ascii="Arial" w:cs="Arial" w:eastAsia="Arial" w:hAnsi="Arial"/>
                <w:sz w:val="18"/>
                <w:szCs w:val="18"/>
                <w:color w:val="auto"/>
              </w:rPr>
              <w:t>Common Shares Outstanding - at Period End</w:t>
            </w:r>
          </w:p>
        </w:tc>
        <w:tc>
          <w:tcPr>
            <w:tcW w:w="260" w:type="dxa"/>
            <w:vAlign w:val="bottom"/>
          </w:tcPr>
          <w:p>
            <w:pPr>
              <w:spacing w:after="0"/>
              <w:rPr>
                <w:sz w:val="18"/>
                <w:szCs w:val="18"/>
                <w:color w:val="auto"/>
              </w:rPr>
            </w:pPr>
          </w:p>
        </w:tc>
        <w:tc>
          <w:tcPr>
            <w:tcW w:w="7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5"/>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1,973.4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1,928.5</w:t>
            </w:r>
          </w:p>
        </w:tc>
        <w:tc>
          <w:tcPr>
            <w:tcW w:w="260" w:type="dxa"/>
            <w:vAlign w:val="bottom"/>
          </w:tcPr>
          <w:p>
            <w:pPr>
              <w:spacing w:after="0"/>
              <w:rPr>
                <w:sz w:val="18"/>
                <w:szCs w:val="18"/>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5"/>
          </w:tcPr>
          <w:p>
            <w:pPr>
              <w:spacing w:after="0"/>
              <w:rPr>
                <w:sz w:val="20"/>
                <w:szCs w:val="20"/>
                <w:color w:val="auto"/>
              </w:rPr>
            </w:pPr>
            <w:r>
              <w:rPr>
                <w:rFonts w:ascii="Arial" w:cs="Arial" w:eastAsia="Arial" w:hAnsi="Arial"/>
                <w:sz w:val="18"/>
                <w:szCs w:val="18"/>
                <w:b w:val="1"/>
                <w:bCs w:val="1"/>
                <w:color w:val="auto"/>
              </w:rPr>
              <w:t>CASH DIVIDENDS DECLARED PER SHARE</w:t>
            </w:r>
          </w:p>
        </w:tc>
        <w:tc>
          <w:tcPr>
            <w:tcW w:w="260" w:type="dxa"/>
            <w:vAlign w:val="bottom"/>
          </w:tcPr>
          <w:p>
            <w:pPr>
              <w:spacing w:after="0"/>
              <w:rPr>
                <w:sz w:val="18"/>
                <w:szCs w:val="18"/>
                <w:color w:val="auto"/>
              </w:rPr>
            </w:pPr>
          </w:p>
        </w:tc>
        <w:tc>
          <w:tcPr>
            <w:tcW w:w="74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95"/>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shd w:val="clear" w:color="auto" w:fill="EEEEEE"/>
          </w:tcPr>
          <w:p>
            <w:pPr>
              <w:spacing w:after="0"/>
              <w:rPr>
                <w:sz w:val="20"/>
                <w:szCs w:val="20"/>
                <w:color w:val="auto"/>
              </w:rPr>
            </w:pPr>
            <w:r>
              <w:rPr>
                <w:rFonts w:ascii="Arial" w:cs="Arial" w:eastAsia="Arial" w:hAnsi="Arial"/>
                <w:sz w:val="18"/>
                <w:szCs w:val="18"/>
                <w:b w:val="1"/>
                <w:bCs w:val="1"/>
                <w:color w:val="auto"/>
              </w:rPr>
              <w:t>BOOK VALUE PER SHARE</w:t>
            </w:r>
          </w:p>
        </w:tc>
        <w:tc>
          <w:tcPr>
            <w:tcW w:w="1000" w:type="dxa"/>
            <w:vAlign w:val="bottom"/>
            <w:gridSpan w:val="2"/>
            <w:shd w:val="clear" w:color="auto" w:fill="EEEEEE"/>
          </w:tcPr>
          <w:p>
            <w:pPr>
              <w:jc w:val="right"/>
              <w:ind w:right="97"/>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EEEEEE"/>
          </w:tcPr>
          <w:p>
            <w:pPr>
              <w:jc w:val="right"/>
              <w:ind w:right="135"/>
              <w:spacing w:after="0"/>
              <w:rPr>
                <w:sz w:val="20"/>
                <w:szCs w:val="20"/>
                <w:color w:val="auto"/>
              </w:rPr>
            </w:pPr>
            <w:r>
              <w:rPr>
                <w:rFonts w:ascii="Arial" w:cs="Arial" w:eastAsia="Arial" w:hAnsi="Arial"/>
                <w:sz w:val="18"/>
                <w:szCs w:val="18"/>
                <w:color w:val="auto"/>
              </w:rPr>
              <w:t>(4)</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20" w:type="dxa"/>
            <w:vAlign w:val="bottom"/>
            <w:gridSpan w:val="6"/>
          </w:tcPr>
          <w:p>
            <w:pPr>
              <w:spacing w:after="0"/>
              <w:rPr>
                <w:sz w:val="20"/>
                <w:szCs w:val="20"/>
                <w:color w:val="auto"/>
              </w:rPr>
            </w:pPr>
            <w:r>
              <w:rPr>
                <w:rFonts w:ascii="Arial" w:cs="Arial" w:eastAsia="Arial" w:hAnsi="Arial"/>
                <w:sz w:val="18"/>
                <w:szCs w:val="18"/>
                <w:b w:val="1"/>
                <w:bCs w:val="1"/>
                <w:color w:val="auto"/>
              </w:rPr>
              <w:t>SHARE PRICE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High</w:t>
            </w:r>
          </w:p>
        </w:tc>
        <w:tc>
          <w:tcPr>
            <w:tcW w:w="1000" w:type="dxa"/>
            <w:vAlign w:val="bottom"/>
            <w:gridSpan w:val="2"/>
            <w:shd w:val="clear" w:color="auto" w:fill="EEEEEE"/>
          </w:tcPr>
          <w:p>
            <w:pPr>
              <w:jc w:val="right"/>
              <w:ind w:right="97"/>
              <w:spacing w:after="0"/>
              <w:rPr>
                <w:sz w:val="20"/>
                <w:szCs w:val="20"/>
                <w:color w:val="auto"/>
              </w:rPr>
            </w:pPr>
            <w:r>
              <w:rPr>
                <w:rFonts w:ascii="Arial" w:cs="Arial" w:eastAsia="Arial" w:hAnsi="Arial"/>
                <w:sz w:val="18"/>
                <w:szCs w:val="18"/>
                <w:color w:val="auto"/>
              </w:rPr>
              <w:t>(11)</w:t>
            </w:r>
          </w:p>
        </w:tc>
        <w:tc>
          <w:tcPr>
            <w:tcW w:w="1180" w:type="dxa"/>
            <w:vAlign w:val="bottom"/>
            <w:gridSpan w:val="2"/>
            <w:shd w:val="clear" w:color="auto" w:fill="EEEEEE"/>
          </w:tcPr>
          <w:p>
            <w:pPr>
              <w:jc w:val="right"/>
              <w:ind w:right="135"/>
              <w:spacing w:after="0"/>
              <w:rPr>
                <w:sz w:val="20"/>
                <w:szCs w:val="20"/>
                <w:color w:val="auto"/>
              </w:rPr>
            </w:pPr>
            <w:r>
              <w:rPr>
                <w:rFonts w:ascii="Arial" w:cs="Arial" w:eastAsia="Arial" w:hAnsi="Arial"/>
                <w:sz w:val="18"/>
                <w:szCs w:val="18"/>
                <w:color w:val="auto"/>
              </w:rPr>
              <w:t>(15)</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59.19</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67.17</w:t>
            </w: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tcPr>
          <w:p>
            <w:pPr>
              <w:ind w:left="220"/>
              <w:spacing w:after="0"/>
              <w:rPr>
                <w:sz w:val="20"/>
                <w:szCs w:val="20"/>
                <w:color w:val="auto"/>
              </w:rPr>
            </w:pPr>
            <w:r>
              <w:rPr>
                <w:rFonts w:ascii="Arial" w:cs="Arial" w:eastAsia="Arial" w:hAnsi="Arial"/>
                <w:sz w:val="18"/>
                <w:szCs w:val="18"/>
                <w:color w:val="auto"/>
              </w:rPr>
              <w:t>Low</w:t>
            </w:r>
          </w:p>
        </w:tc>
        <w:tc>
          <w:tcPr>
            <w:tcW w:w="1000" w:type="dxa"/>
            <w:vAlign w:val="bottom"/>
            <w:gridSpan w:val="2"/>
          </w:tcPr>
          <w:p>
            <w:pPr>
              <w:jc w:val="right"/>
              <w:ind w:right="157"/>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32.38</w:t>
            </w:r>
          </w:p>
        </w:tc>
        <w:tc>
          <w:tcPr>
            <w:tcW w:w="260" w:type="dxa"/>
            <w:vAlign w:val="bottom"/>
          </w:tcPr>
          <w:p>
            <w:pPr>
              <w:spacing w:after="0"/>
              <w:rPr>
                <w:sz w:val="18"/>
                <w:szCs w:val="18"/>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shd w:val="clear" w:color="auto" w:fill="EEEEEE"/>
          </w:tcPr>
          <w:p>
            <w:pPr>
              <w:ind w:left="220"/>
              <w:spacing w:after="0"/>
              <w:rPr>
                <w:sz w:val="20"/>
                <w:szCs w:val="20"/>
                <w:color w:val="auto"/>
              </w:rPr>
            </w:pPr>
            <w:r>
              <w:rPr>
                <w:rFonts w:ascii="Arial" w:cs="Arial" w:eastAsia="Arial" w:hAnsi="Arial"/>
                <w:sz w:val="18"/>
                <w:szCs w:val="18"/>
                <w:color w:val="auto"/>
              </w:rPr>
              <w:t>Close</w:t>
            </w:r>
          </w:p>
        </w:tc>
        <w:tc>
          <w:tcPr>
            <w:tcW w:w="1000" w:type="dxa"/>
            <w:vAlign w:val="bottom"/>
            <w:gridSpan w:val="2"/>
            <w:shd w:val="clear" w:color="auto" w:fill="EEEEEE"/>
          </w:tcPr>
          <w:p>
            <w:pPr>
              <w:jc w:val="right"/>
              <w:ind w:right="157"/>
              <w:spacing w:after="0"/>
              <w:rPr>
                <w:sz w:val="20"/>
                <w:szCs w:val="20"/>
                <w:color w:val="auto"/>
              </w:rPr>
            </w:pPr>
            <w:r>
              <w:rPr>
                <w:rFonts w:ascii="Arial" w:cs="Arial" w:eastAsia="Arial" w:hAnsi="Arial"/>
                <w:sz w:val="18"/>
                <w:szCs w:val="18"/>
                <w:color w:val="auto"/>
              </w:rPr>
              <w:t>6</w:t>
            </w:r>
          </w:p>
        </w:tc>
        <w:tc>
          <w:tcPr>
            <w:tcW w:w="1180" w:type="dxa"/>
            <w:vAlign w:val="bottom"/>
            <w:gridSpan w:val="2"/>
            <w:shd w:val="clear" w:color="auto" w:fill="EEEEEE"/>
          </w:tcPr>
          <w:p>
            <w:pPr>
              <w:jc w:val="right"/>
              <w:ind w:right="135"/>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36.35</w:t>
            </w: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45.44</w:t>
            </w: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20" w:type="dxa"/>
            <w:vAlign w:val="bottom"/>
            <w:gridSpan w:val="6"/>
          </w:tcPr>
          <w:p>
            <w:pPr>
              <w:spacing w:after="0"/>
              <w:rPr>
                <w:sz w:val="20"/>
                <w:szCs w:val="20"/>
                <w:color w:val="auto"/>
              </w:rPr>
            </w:pPr>
            <w:r>
              <w:rPr>
                <w:rFonts w:ascii="Arial" w:cs="Arial" w:eastAsia="Arial" w:hAnsi="Arial"/>
                <w:sz w:val="18"/>
                <w:szCs w:val="18"/>
                <w:b w:val="1"/>
                <w:bCs w:val="1"/>
                <w:color w:val="auto"/>
              </w:rPr>
              <w:t>CAPITAL RATIOS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Tier I Capital Ratio</w:t>
            </w: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 bp</w:t>
            </w:r>
          </w:p>
        </w:tc>
        <w:tc>
          <w:tcPr>
            <w:tcW w:w="2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(20 )bp</w:t>
            </w: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tcPr>
          <w:p>
            <w:pPr>
              <w:spacing w:after="0"/>
              <w:rPr>
                <w:sz w:val="20"/>
                <w:szCs w:val="20"/>
                <w:color w:val="auto"/>
              </w:rPr>
            </w:pPr>
            <w:r>
              <w:rPr>
                <w:rFonts w:ascii="Arial" w:cs="Arial" w:eastAsia="Arial" w:hAnsi="Arial"/>
                <w:sz w:val="18"/>
                <w:szCs w:val="18"/>
                <w:color w:val="auto"/>
              </w:rPr>
              <w:t>Total Capital Ratio</w:t>
            </w:r>
          </w:p>
        </w:tc>
        <w:tc>
          <w:tcPr>
            <w:tcW w:w="1000" w:type="dxa"/>
            <w:vAlign w:val="bottom"/>
            <w:gridSpan w:val="2"/>
          </w:tcPr>
          <w:p>
            <w:pPr>
              <w:jc w:val="right"/>
              <w:ind w:right="157"/>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jc w:val="right"/>
              <w:ind w:right="135"/>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Tier I Leverage</w:t>
            </w:r>
          </w:p>
        </w:tc>
        <w:tc>
          <w:tcPr>
            <w:tcW w:w="1000" w:type="dxa"/>
            <w:vAlign w:val="bottom"/>
            <w:gridSpan w:val="2"/>
            <w:shd w:val="clear" w:color="auto" w:fill="EEEEEE"/>
          </w:tcPr>
          <w:p>
            <w:pPr>
              <w:jc w:val="right"/>
              <w:ind w:right="97"/>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EEEEEE"/>
          </w:tcPr>
          <w:p>
            <w:pPr>
              <w:jc w:val="right"/>
              <w:ind w:right="135"/>
              <w:spacing w:after="0"/>
              <w:rPr>
                <w:sz w:val="20"/>
                <w:szCs w:val="20"/>
                <w:color w:val="auto"/>
              </w:rPr>
            </w:pPr>
            <w:r>
              <w:rPr>
                <w:rFonts w:ascii="Arial" w:cs="Arial" w:eastAsia="Arial" w:hAnsi="Arial"/>
                <w:sz w:val="18"/>
                <w:szCs w:val="18"/>
                <w:color w:val="auto"/>
              </w:rPr>
              <w:t>(20)</w:t>
            </w: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 Estimated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J.P. MORGAN CHASE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-129540</wp:posOffset>
            </wp:positionV>
            <wp:extent cx="184404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44040" cy="3003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Average Managed Assets: </w:t>
      </w:r>
      <w:r>
        <w:rPr>
          <w:rFonts w:ascii="Arial" w:cs="Arial" w:eastAsia="Arial" w:hAnsi="Arial"/>
          <w:sz w:val="18"/>
          <w:szCs w:val="18"/>
          <w:color w:val="auto"/>
        </w:rPr>
        <w:t>Excludes the impact of credit card securitizations.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bp: </w:t>
      </w:r>
      <w:r>
        <w:rPr>
          <w:rFonts w:ascii="Arial" w:cs="Arial" w:eastAsia="Arial" w:hAnsi="Arial"/>
          <w:sz w:val="18"/>
          <w:szCs w:val="18"/>
          <w:color w:val="auto"/>
        </w:rPr>
        <w:t>Denotes basis points; 100 bp equals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Operating Earnings: </w:t>
      </w:r>
      <w:r>
        <w:rPr>
          <w:rFonts w:ascii="Arial" w:cs="Arial" w:eastAsia="Arial" w:hAnsi="Arial"/>
          <w:sz w:val="18"/>
          <w:szCs w:val="18"/>
          <w:color w:val="auto"/>
        </w:rPr>
        <w:t>Operating earnings excluding the impact of the amortization of intangibles.</w:t>
      </w:r>
    </w:p>
    <w:p>
      <w:pPr>
        <w:spacing w:after="0" w:line="22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Cash Overhead Ratio: </w:t>
      </w:r>
      <w:r>
        <w:rPr>
          <w:rFonts w:ascii="Arial" w:cs="Arial" w:eastAsia="Arial" w:hAnsi="Arial"/>
          <w:sz w:val="18"/>
          <w:szCs w:val="18"/>
          <w:color w:val="auto"/>
        </w:rPr>
        <w:t>Noninterest expense, excluding amortization of intangibles, as a percentage of the total of net interest income and noninterest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merger and restructuring costs and special items).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Includes LabMorgan, Support Units and the effects remaining at the corporate level after the implementation of management accounting policies.</w:t>
      </w:r>
    </w:p>
    <w:p>
      <w:pPr>
        <w:spacing w:after="0" w:line="2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JPMorgan Partners (“JPMP”): </w:t>
      </w:r>
      <w:r>
        <w:rPr>
          <w:rFonts w:ascii="Arial" w:cs="Arial" w:eastAsia="Arial" w:hAnsi="Arial"/>
          <w:sz w:val="16"/>
          <w:szCs w:val="16"/>
          <w:color w:val="auto"/>
        </w:rPr>
        <w:t>JPMorgan Chase’s private equity business. Public securities held by JPMP are marked-to-market at the quoted public value less</w:t>
      </w:r>
      <w:r>
        <w:rPr>
          <w:rFonts w:ascii="Arial" w:cs="Arial" w:eastAsia="Arial" w:hAnsi="Arial"/>
          <w:sz w:val="16"/>
          <w:szCs w:val="16"/>
          <w:b w:val="1"/>
          <w:bCs w:val="1"/>
          <w:color w:val="auto"/>
        </w:rPr>
        <w:t xml:space="preserve"> </w:t>
      </w:r>
      <w:r>
        <w:rPr>
          <w:rFonts w:ascii="Arial" w:cs="Arial" w:eastAsia="Arial" w:hAnsi="Arial"/>
          <w:sz w:val="16"/>
          <w:szCs w:val="16"/>
          <w:color w:val="auto"/>
        </w:rPr>
        <w:t>liquidity discounts, with the resulting unrealized gains/losses included in the income statement. JPMP’s valuation policy for public securities incorporates the use of liquidity discounts and price averaging methodologies in certain circumstances to take into account the fact that JPMP cannot immediately realize the quoted public values as a result of the regulatory, corporate and contractual sales restrictions generally imposed on these holdings. Private investments are initially carried at cost, which is viewed as an approximation of fair value. The carrying value of private investments is adjusted to reflect valuation changes resulting from unaffiliated party transactions and for evidence of a decline in value.</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Lines of Business Results </w:t>
      </w:r>
      <w:r>
        <w:rPr>
          <w:rFonts w:ascii="Arial" w:cs="Arial" w:eastAsia="Arial" w:hAnsi="Arial"/>
          <w:sz w:val="18"/>
          <w:szCs w:val="18"/>
          <w:color w:val="auto"/>
        </w:rPr>
        <w:t>- All periods are on a comparable basis, although restatements may occur in future periods to reflect further alignment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policies or changes in organizational structures between businesses.</w:t>
      </w:r>
    </w:p>
    <w:p>
      <w:pPr>
        <w:spacing w:after="0" w:line="17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Managed Credit Card Receivables or Managed Basis: </w:t>
      </w:r>
      <w:r>
        <w:rPr>
          <w:rFonts w:ascii="Arial" w:cs="Arial" w:eastAsia="Arial" w:hAnsi="Arial"/>
          <w:sz w:val="18"/>
          <w:szCs w:val="18"/>
          <w:color w:val="auto"/>
        </w:rPr>
        <w:t>JPMorgan Chase uses this terminology to refer to its credit card receivables on the balance sheet plus</w:t>
      </w:r>
      <w:r>
        <w:rPr>
          <w:rFonts w:ascii="Arial" w:cs="Arial" w:eastAsia="Arial" w:hAnsi="Arial"/>
          <w:sz w:val="18"/>
          <w:szCs w:val="18"/>
          <w:b w:val="1"/>
          <w:bCs w:val="1"/>
          <w:color w:val="auto"/>
        </w:rPr>
        <w:t xml:space="preserve"> </w:t>
      </w:r>
      <w:r>
        <w:rPr>
          <w:rFonts w:ascii="Arial" w:cs="Arial" w:eastAsia="Arial" w:hAnsi="Arial"/>
          <w:sz w:val="18"/>
          <w:szCs w:val="18"/>
          <w:color w:val="auto"/>
        </w:rPr>
        <w:t>credit card receivables that have been securitized.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 </w:t>
      </w:r>
      <w:r>
        <w:rPr>
          <w:rFonts w:ascii="Arial" w:cs="Arial" w:eastAsia="Arial" w:hAnsi="Arial"/>
          <w:sz w:val="18"/>
          <w:szCs w:val="18"/>
          <w:color w:val="auto"/>
        </w:rPr>
        <w:t>Not available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NM: </w:t>
      </w:r>
      <w:r>
        <w:rPr>
          <w:rFonts w:ascii="Arial" w:cs="Arial" w:eastAsia="Arial" w:hAnsi="Arial"/>
          <w:sz w:val="18"/>
          <w:szCs w:val="18"/>
          <w:color w:val="auto"/>
        </w:rPr>
        <w:t>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Noncompensation Expense: </w:t>
      </w:r>
      <w:r>
        <w:rPr>
          <w:rFonts w:ascii="Arial" w:cs="Arial" w:eastAsia="Arial" w:hAnsi="Arial"/>
          <w:sz w:val="18"/>
          <w:szCs w:val="18"/>
          <w:color w:val="auto"/>
        </w:rPr>
        <w:t>Includes total operating expenses less compensation expense and amortization of intangibles.</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Operating Basis or Operating Earnings: </w:t>
      </w:r>
      <w:r>
        <w:rPr>
          <w:rFonts w:ascii="Arial" w:cs="Arial" w:eastAsia="Arial" w:hAnsi="Arial"/>
          <w:sz w:val="18"/>
          <w:szCs w:val="18"/>
          <w:color w:val="auto"/>
        </w:rPr>
        <w:t>Reported results excluding the impact of credit card securitizations, merger and restructuring costs, special items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net effect of a change in accounting principle.</w:t>
      </w:r>
    </w:p>
    <w:p>
      <w:pPr>
        <w:spacing w:after="0" w:line="174"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 xml:space="preserve">Other Consumer Loans: </w:t>
      </w:r>
      <w:r>
        <w:rPr>
          <w:rFonts w:ascii="Arial" w:cs="Arial" w:eastAsia="Arial" w:hAnsi="Arial"/>
          <w:sz w:val="18"/>
          <w:szCs w:val="18"/>
          <w:color w:val="auto"/>
        </w:rPr>
        <w:t>Consists of installment loans (direct and indirect types of consumer finance), student loans, unsecured lines of credit and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w:t>
      </w:r>
    </w:p>
    <w:p>
      <w:pPr>
        <w:spacing w:after="0" w:line="17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Overhead Ratio: </w:t>
      </w:r>
      <w:r>
        <w:rPr>
          <w:rFonts w:ascii="Arial" w:cs="Arial" w:eastAsia="Arial" w:hAnsi="Arial"/>
          <w:sz w:val="18"/>
          <w:szCs w:val="18"/>
          <w:color w:val="auto"/>
        </w:rPr>
        <w:t>Noninterest expense as a percentage of the total of net interest income and noninterest revenue (excluding merger and restructuring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special items).</w:t>
      </w:r>
    </w:p>
    <w:p>
      <w:pPr>
        <w:spacing w:after="0" w:line="174"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Pro Forma Results: </w:t>
      </w:r>
      <w:r>
        <w:rPr>
          <w:rFonts w:ascii="Arial" w:cs="Arial" w:eastAsia="Arial" w:hAnsi="Arial"/>
          <w:sz w:val="18"/>
          <w:szCs w:val="18"/>
          <w:color w:val="auto"/>
        </w:rPr>
        <w:t>Assumes that the purchase of Robert Fleming Holdings Limited (“Flemings”) occurred at the beginning of 2000 and primarily affected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 Investment Management &amp; Private Banking and total consolidated results.</w:t>
      </w:r>
    </w:p>
    <w:p>
      <w:pPr>
        <w:spacing w:after="0" w:line="174" w:lineRule="exact"/>
        <w:rPr>
          <w:sz w:val="20"/>
          <w:szCs w:val="20"/>
          <w:color w:val="auto"/>
        </w:rPr>
      </w:pPr>
    </w:p>
    <w:p>
      <w:pPr>
        <w:ind w:right="960"/>
        <w:spacing w:after="0" w:line="339" w:lineRule="auto"/>
        <w:rPr>
          <w:sz w:val="20"/>
          <w:szCs w:val="20"/>
          <w:color w:val="auto"/>
        </w:rPr>
      </w:pPr>
      <w:r>
        <w:rPr>
          <w:rFonts w:ascii="Arial" w:cs="Arial" w:eastAsia="Arial" w:hAnsi="Arial"/>
          <w:sz w:val="16"/>
          <w:szCs w:val="16"/>
          <w:b w:val="1"/>
          <w:bCs w:val="1"/>
          <w:color w:val="auto"/>
        </w:rPr>
        <w:t xml:space="preserve">Reported Basis: </w:t>
      </w:r>
      <w:r>
        <w:rPr>
          <w:rFonts w:ascii="Arial" w:cs="Arial" w:eastAsia="Arial" w:hAnsi="Arial"/>
          <w:sz w:val="16"/>
          <w:szCs w:val="16"/>
          <w:color w:val="auto"/>
        </w:rPr>
        <w:t>Financial statements prepared under generally accepted accounting principles. The reported basis includes the impact of credit card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securitizations, merger and restructuring costs, special items, and the net effect of the change in accounting principle.</w:t>
      </w:r>
    </w:p>
    <w:p>
      <w:pPr>
        <w:spacing w:after="0" w:line="12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b w:val="1"/>
          <w:bCs w:val="1"/>
          <w:color w:val="auto"/>
        </w:rPr>
        <w:t xml:space="preserve">SFAS 133: </w:t>
      </w:r>
      <w:r>
        <w:rPr>
          <w:rFonts w:ascii="Arial" w:cs="Arial" w:eastAsia="Arial" w:hAnsi="Arial"/>
          <w:sz w:val="18"/>
          <w:szCs w:val="18"/>
          <w:color w:val="auto"/>
        </w:rPr>
        <w:t>As a result of the adoption of Statement of Financial Accounting Standards (“SFAS”) 133 “Accounting for Derivative Instruments and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net income for the year ended 2001 includes the cumulative effect of a transition adjustment of $(25) million, net of taxes. The impact on each of basic and diluted earnings per share was $(0.01).</w:t>
      </w:r>
    </w:p>
    <w:p>
      <w:pPr>
        <w:spacing w:after="0" w:line="18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Shareholder Value Added (“SVA”): </w:t>
      </w:r>
      <w:r>
        <w:rPr>
          <w:rFonts w:ascii="Arial" w:cs="Arial" w:eastAsia="Arial" w:hAnsi="Arial"/>
          <w:sz w:val="16"/>
          <w:szCs w:val="16"/>
          <w:color w:val="auto"/>
        </w:rPr>
        <w:t>SVA is JPMorgan Chase’s primary performance measure of its businesses. SVA represents operating earnings excluding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amortization of goodwill and certain other intangibles (i.e., cash operating earnings) minus preferred dividends and an explicit charge for capital. JPMorgan Chase implemented an integrated cost of capital during the first quarter of 2001. A 12% cost of capital has been used for all businesses except JPMorgan Partners. This business is charged a 15% cost of equity capital, which is equivalent to a representative after-tax hurdle rate for private equity investments. The effective cost of equity capital used in the SVA framework for JPMorgan Chase overall is 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Special Items: </w:t>
      </w:r>
      <w:r>
        <w:rPr>
          <w:rFonts w:ascii="Arial" w:cs="Arial" w:eastAsia="Arial" w:hAnsi="Arial"/>
          <w:sz w:val="18"/>
          <w:szCs w:val="18"/>
          <w:color w:val="auto"/>
        </w:rPr>
        <w:t>Includes merger and restructuring costs and special items.</w:t>
      </w:r>
    </w:p>
    <w:p>
      <w:pPr>
        <w:spacing w:after="0" w:line="22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 xml:space="preserve">Trading-Related Revenue: </w:t>
      </w:r>
      <w:r>
        <w:rPr>
          <w:rFonts w:ascii="Arial" w:cs="Arial" w:eastAsia="Arial" w:hAnsi="Arial"/>
          <w:sz w:val="18"/>
          <w:szCs w:val="18"/>
          <w:color w:val="auto"/>
        </w:rPr>
        <w:t>Includes net interest income (“NII”) attributable to trading activities. Trading-related NII has been restated in the prior periods to</w:t>
      </w:r>
      <w:r>
        <w:rPr>
          <w:rFonts w:ascii="Arial" w:cs="Arial" w:eastAsia="Arial" w:hAnsi="Arial"/>
          <w:sz w:val="18"/>
          <w:szCs w:val="18"/>
          <w:b w:val="1"/>
          <w:bCs w:val="1"/>
          <w:color w:val="auto"/>
        </w:rPr>
        <w:t xml:space="preserve"> </w:t>
      </w:r>
      <w:r>
        <w:rPr>
          <w:rFonts w:ascii="Arial" w:cs="Arial" w:eastAsia="Arial" w:hAnsi="Arial"/>
          <w:sz w:val="18"/>
          <w:szCs w:val="18"/>
          <w:color w:val="auto"/>
        </w:rPr>
        <w:t>conform to the current presentation which began in the second quarter of 2001.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Unaudited: </w:t>
      </w:r>
      <w:r>
        <w:rPr>
          <w:rFonts w:ascii="Arial" w:cs="Arial" w:eastAsia="Arial" w:hAnsi="Arial"/>
          <w:sz w:val="18"/>
          <w:szCs w:val="18"/>
          <w:color w:val="auto"/>
        </w:rPr>
        <w:t>The financial statements and information included throughout this document are unaudited.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1179" w:right="239" w:bottom="580" w:gutter="0" w:footer="0" w:header="0"/>
        </w:sectPr>
      </w:pPr>
    </w:p>
    <w:bookmarkStart w:id="70" w:name="page71"/>
    <w:bookmarkEnd w:id="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4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5404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4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5404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44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5404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4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5404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54051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5405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603250</wp:posOffset>
            </wp:positionV>
            <wp:extent cx="6791960" cy="5248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6791960" cy="5248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3"/>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2019-12-12T22:36:44Z</dcterms:created>
  <dcterms:modified xsi:type="dcterms:W3CDTF">2019-12-12T22:36:44Z</dcterms:modified>
</cp:coreProperties>
</file>