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2761-01_fwp.htm"/>
      <w:bookmarkStart w:id="1" w:name="ksea0302761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August 19,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5-Year Worst-of SX5E/SPX/RTY Contingent Income Callable Securities with 6-Month Initial Non-Call Period</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TextBody"/>
        <w:bidi w:val="0"/>
        <w:spacing w:before="0" w:after="0"/>
        <w:ind w:left="0" w:right="0" w:hanging="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09803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09803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80"/>
                              <w:gridCol w:w="8925"/>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8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25"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25" w:type="dxa"/>
                                  <w:tcBorders/>
                                  <w:shd w:fill="DCEBF4" w:val="clear"/>
                                  <w:vAlign w:val="center"/>
                                </w:tcPr>
                                <w:p>
                                  <w:pPr>
                                    <w:pStyle w:val="TableContents"/>
                                    <w:bidi w:val="0"/>
                                    <w:spacing w:before="0" w:after="283"/>
                                    <w:jc w:val="left"/>
                                    <w:rPr>
                                      <w:sz w:val="15"/>
                                    </w:rPr>
                                  </w:pPr>
                                  <w:r>
                                    <w:rPr>
                                      <w:sz w:val="15"/>
                                    </w:rPr>
                                    <w:t>JPMorgan Chase &amp; Co.</w:t>
                                  </w:r>
                                </w:p>
                              </w:tc>
                            </w:tr>
                            <w:tr>
                              <w:trPr/>
                              <w:tc>
                                <w:tcPr>
                                  <w:tcW w:w="12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25" w:type="dxa"/>
                                  <w:tcBorders/>
                                  <w:vAlign w:val="center"/>
                                </w:tcPr>
                                <w:p>
                                  <w:pPr>
                                    <w:pStyle w:val="TableContents"/>
                                    <w:bidi w:val="0"/>
                                    <w:spacing w:before="0" w:after="283"/>
                                    <w:jc w:val="left"/>
                                    <w:rPr>
                                      <w:sz w:val="15"/>
                                    </w:rPr>
                                  </w:pPr>
                                  <w:r>
                                    <w:rPr>
                                      <w:sz w:val="15"/>
                                    </w:rPr>
                                    <w:t>EURO STOXX 50</w:t>
                                  </w:r>
                                  <w:r>
                                    <w:rPr>
                                      <w:position w:val="5"/>
                                      <w:sz w:val="12"/>
                                      <w:sz w:val="15"/>
                                    </w:rPr>
                                    <w:t>®</w:t>
                                  </w:r>
                                  <w:r>
                                    <w:rPr>
                                      <w:sz w:val="15"/>
                                    </w:rPr>
                                    <w:t xml:space="preserve"> Index (Bloomberg ticker: SX5E Index) (the “SX5E Index”), S&amp;P 500</w:t>
                                  </w:r>
                                  <w:r>
                                    <w:rPr>
                                      <w:position w:val="5"/>
                                      <w:sz w:val="12"/>
                                      <w:sz w:val="15"/>
                                    </w:rPr>
                                    <w:t>®</w:t>
                                  </w:r>
                                  <w:r>
                                    <w:rPr>
                                      <w:sz w:val="15"/>
                                    </w:rPr>
                                    <w:t xml:space="preserve"> Index (Bloomberg ticker: SPX Index) (the “SPX Index”) and Russell 2000</w:t>
                                  </w:r>
                                  <w:r>
                                    <w:rPr>
                                      <w:position w:val="5"/>
                                      <w:sz w:val="12"/>
                                      <w:sz w:val="15"/>
                                    </w:rPr>
                                    <w:t>®</w:t>
                                  </w:r>
                                  <w:r>
                                    <w:rPr>
                                      <w:sz w:val="15"/>
                                    </w:rPr>
                                    <w:t xml:space="preserve"> Index (Bloomberg ticker: RTY Index) (the “RTY Index”) (each an “underlying index”)</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25"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first and final contingent payment dates)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25"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25"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$28.75 (at least 2.875% of the stated principal amount) per security on the related contingent payment date. The actual contingent quarterly payment will be provided in the pricing supplement.</w:t>
                                  </w:r>
                                </w:p>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4"/>
                              <w:gridCol w:w="2744"/>
                              <w:gridCol w:w="6497"/>
                            </w:tblGrid>
                            <w:tr>
                              <w:trPr/>
                              <w:tc>
                                <w:tcPr>
                                  <w:tcW w:w="964"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97"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964" w:type="dxa"/>
                                  <w:tcBorders/>
                                  <w:vAlign w:val="center"/>
                                </w:tcPr>
                                <w:p>
                                  <w:pPr>
                                    <w:pStyle w:val="TableContents"/>
                                    <w:bidi w:val="0"/>
                                    <w:spacing w:before="0" w:after="283"/>
                                    <w:ind w:left="0" w:right="0" w:hanging="147"/>
                                    <w:jc w:val="left"/>
                                    <w:rPr>
                                      <w:color w:val="296DC1"/>
                                    </w:rPr>
                                  </w:pPr>
                                  <w:r>
                                    <w:rPr>
                                      <w:color w:val="296DC1"/>
                                    </w:rPr>
                                    <w:t> </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any</w:t>
                                  </w:r>
                                  <w:r>
                                    <w:rPr>
                                      <w:sz w:val="15"/>
                                    </w:rPr>
                                    <w:t xml:space="preserve"> underlying index is </w:t>
                                  </w:r>
                                  <w:r>
                                    <w:rPr>
                                      <w:b/>
                                      <w:sz w:val="15"/>
                                    </w:rPr>
                                    <w:t>less than</w:t>
                                  </w:r>
                                  <w:r>
                                    <w:rPr>
                                      <w:sz w:val="15"/>
                                    </w:rPr>
                                    <w:t xml:space="preserve"> its downside threshold level:</w:t>
                                  </w:r>
                                </w:p>
                              </w:tc>
                              <w:tc>
                                <w:tcPr>
                                  <w:tcW w:w="6497"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75%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Quarterly monitoring period:</w:t>
                                  </w:r>
                                </w:p>
                              </w:tc>
                              <w:tc>
                                <w:tcPr>
                                  <w:tcW w:w="8308" w:type="dxa"/>
                                  <w:tcBorders/>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8308" w:type="dxa"/>
                                  <w:tcBorders/>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8308" w:type="dxa"/>
                                  <w:tcBorders/>
                                  <w:shd w:fill="DCEBF4"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308" w:type="dxa"/>
                                  <w:tcBorders/>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58.9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80"/>
                        <w:gridCol w:w="8925"/>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8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25"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25" w:type="dxa"/>
                            <w:tcBorders/>
                            <w:shd w:fill="DCEBF4" w:val="clear"/>
                            <w:vAlign w:val="center"/>
                          </w:tcPr>
                          <w:p>
                            <w:pPr>
                              <w:pStyle w:val="TableContents"/>
                              <w:bidi w:val="0"/>
                              <w:spacing w:before="0" w:after="283"/>
                              <w:jc w:val="left"/>
                              <w:rPr>
                                <w:sz w:val="15"/>
                              </w:rPr>
                            </w:pPr>
                            <w:r>
                              <w:rPr>
                                <w:sz w:val="15"/>
                              </w:rPr>
                              <w:t>JPMorgan Chase &amp; Co.</w:t>
                            </w:r>
                          </w:p>
                        </w:tc>
                      </w:tr>
                      <w:tr>
                        <w:trPr/>
                        <w:tc>
                          <w:tcPr>
                            <w:tcW w:w="12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25" w:type="dxa"/>
                            <w:tcBorders/>
                            <w:vAlign w:val="center"/>
                          </w:tcPr>
                          <w:p>
                            <w:pPr>
                              <w:pStyle w:val="TableContents"/>
                              <w:bidi w:val="0"/>
                              <w:spacing w:before="0" w:after="283"/>
                              <w:jc w:val="left"/>
                              <w:rPr>
                                <w:sz w:val="15"/>
                              </w:rPr>
                            </w:pPr>
                            <w:r>
                              <w:rPr>
                                <w:sz w:val="15"/>
                              </w:rPr>
                              <w:t>EURO STOXX 50</w:t>
                            </w:r>
                            <w:r>
                              <w:rPr>
                                <w:position w:val="5"/>
                                <w:sz w:val="12"/>
                                <w:sz w:val="15"/>
                              </w:rPr>
                              <w:t>®</w:t>
                            </w:r>
                            <w:r>
                              <w:rPr>
                                <w:sz w:val="15"/>
                              </w:rPr>
                              <w:t xml:space="preserve"> Index (Bloomberg ticker: SX5E Index) (the “SX5E Index”), S&amp;P 500</w:t>
                            </w:r>
                            <w:r>
                              <w:rPr>
                                <w:position w:val="5"/>
                                <w:sz w:val="12"/>
                                <w:sz w:val="15"/>
                              </w:rPr>
                              <w:t>®</w:t>
                            </w:r>
                            <w:r>
                              <w:rPr>
                                <w:sz w:val="15"/>
                              </w:rPr>
                              <w:t xml:space="preserve"> Index (Bloomberg ticker: SPX Index) (the “SPX Index”) and Russell 2000</w:t>
                            </w:r>
                            <w:r>
                              <w:rPr>
                                <w:position w:val="5"/>
                                <w:sz w:val="12"/>
                                <w:sz w:val="15"/>
                              </w:rPr>
                              <w:t>®</w:t>
                            </w:r>
                            <w:r>
                              <w:rPr>
                                <w:sz w:val="15"/>
                              </w:rPr>
                              <w:t xml:space="preserve"> Index (Bloomberg ticker: RTY Index) (the “RTY Index”) (each an “underlying index”)</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25"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first and final contingent payment dates)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25"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25"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$28.75 (at least 2.875% of the stated principal amount) per security on the related contingent payment date. The actual contingent quarterly payment will be provided in the pricing supplement.</w:t>
                            </w:r>
                          </w:p>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4"/>
                        <w:gridCol w:w="2744"/>
                        <w:gridCol w:w="6497"/>
                      </w:tblGrid>
                      <w:tr>
                        <w:trPr/>
                        <w:tc>
                          <w:tcPr>
                            <w:tcW w:w="964"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97"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964" w:type="dxa"/>
                            <w:tcBorders/>
                            <w:vAlign w:val="center"/>
                          </w:tcPr>
                          <w:p>
                            <w:pPr>
                              <w:pStyle w:val="TableContents"/>
                              <w:bidi w:val="0"/>
                              <w:spacing w:before="0" w:after="283"/>
                              <w:ind w:left="0" w:right="0" w:hanging="147"/>
                              <w:jc w:val="left"/>
                              <w:rPr>
                                <w:color w:val="296DC1"/>
                              </w:rPr>
                            </w:pPr>
                            <w:r>
                              <w:rPr>
                                <w:color w:val="296DC1"/>
                              </w:rPr>
                              <w:t> </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any</w:t>
                            </w:r>
                            <w:r>
                              <w:rPr>
                                <w:sz w:val="15"/>
                              </w:rPr>
                              <w:t xml:space="preserve"> underlying index is </w:t>
                            </w:r>
                            <w:r>
                              <w:rPr>
                                <w:b/>
                                <w:sz w:val="15"/>
                              </w:rPr>
                              <w:t>less than</w:t>
                            </w:r>
                            <w:r>
                              <w:rPr>
                                <w:sz w:val="15"/>
                              </w:rPr>
                              <w:t xml:space="preserve"> its downside threshold level:</w:t>
                            </w:r>
                          </w:p>
                        </w:tc>
                        <w:tc>
                          <w:tcPr>
                            <w:tcW w:w="6497"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75%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Quarterly monitoring period:</w:t>
                            </w:r>
                          </w:p>
                        </w:tc>
                        <w:tc>
                          <w:tcPr>
                            <w:tcW w:w="8308" w:type="dxa"/>
                            <w:tcBorders/>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8308" w:type="dxa"/>
                            <w:tcBorders/>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8308" w:type="dxa"/>
                            <w:tcBorders/>
                            <w:shd w:fill="DCEBF4"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308" w:type="dxa"/>
                            <w:tcBorders/>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767"/>
                              <w:gridCol w:w="8438"/>
                            </w:tblGrid>
                            <w:tr>
                              <w:trPr/>
                              <w:tc>
                                <w:tcPr>
                                  <w:tcW w:w="176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8438" w:type="dxa"/>
                                  <w:tcBorders/>
                                  <w:shd w:fill="DCEBF4" w:val="clear"/>
                                  <w:vAlign w:val="center"/>
                                </w:tcPr>
                                <w:p>
                                  <w:pPr>
                                    <w:pStyle w:val="TableContents"/>
                                    <w:bidi w:val="0"/>
                                    <w:spacing w:before="0" w:after="283"/>
                                    <w:jc w:val="left"/>
                                    <w:rPr>
                                      <w:sz w:val="15"/>
                                    </w:rPr>
                                  </w:pPr>
                                  <w:r>
                                    <w:rPr>
                                      <w:sz w:val="15"/>
                                    </w:rPr>
                                    <w:t>$1,000 per security</w:t>
                                  </w:r>
                                </w:p>
                              </w:tc>
                            </w:tr>
                            <w:tr>
                              <w:trPr/>
                              <w:tc>
                                <w:tcPr>
                                  <w:tcW w:w="176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8438" w:type="dxa"/>
                                  <w:tcBorders/>
                                  <w:vAlign w:val="center"/>
                                </w:tcPr>
                                <w:p>
                                  <w:pPr>
                                    <w:pStyle w:val="TableContents"/>
                                    <w:bidi w:val="0"/>
                                    <w:spacing w:before="0" w:after="283"/>
                                    <w:jc w:val="left"/>
                                    <w:rPr>
                                      <w:sz w:val="15"/>
                                    </w:rPr>
                                  </w:pPr>
                                  <w:r>
                                    <w:rPr>
                                      <w:sz w:val="15"/>
                                    </w:rPr>
                                    <w:t>$1,000 per security</w:t>
                                  </w:r>
                                </w:p>
                              </w:tc>
                            </w:tr>
                            <w:tr>
                              <w:trPr/>
                              <w:tc>
                                <w:tcPr>
                                  <w:tcW w:w="176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438" w:type="dxa"/>
                                  <w:tcBorders/>
                                  <w:shd w:fill="DCEBF4" w:val="clear"/>
                                  <w:vAlign w:val="center"/>
                                </w:tcPr>
                                <w:p>
                                  <w:pPr>
                                    <w:pStyle w:val="TableContents"/>
                                    <w:bidi w:val="0"/>
                                    <w:spacing w:before="0" w:after="283"/>
                                    <w:jc w:val="left"/>
                                    <w:rPr>
                                      <w:sz w:val="15"/>
                                    </w:rPr>
                                  </w:pPr>
                                  <w:r>
                                    <w:rPr>
                                      <w:sz w:val="15"/>
                                    </w:rPr>
                                    <w:t>Expected to be August 25, 2026</w:t>
                                  </w:r>
                                </w:p>
                              </w:tc>
                            </w:tr>
                            <w:tr>
                              <w:trPr/>
                              <w:tc>
                                <w:tcPr>
                                  <w:tcW w:w="176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438" w:type="dxa"/>
                                  <w:tcBorders/>
                                  <w:vAlign w:val="center"/>
                                </w:tcPr>
                                <w:p>
                                  <w:pPr>
                                    <w:pStyle w:val="TableContents"/>
                                    <w:bidi w:val="0"/>
                                    <w:spacing w:before="0" w:after="283"/>
                                    <w:jc w:val="left"/>
                                    <w:rPr>
                                      <w:sz w:val="15"/>
                                    </w:rPr>
                                  </w:pPr>
                                  <w:r>
                                    <w:rPr>
                                      <w:sz w:val="15"/>
                                    </w:rPr>
                                    <w:t>3 business days after the pricing date</w:t>
                                  </w:r>
                                </w:p>
                              </w:tc>
                            </w:tr>
                            <w:tr>
                              <w:trPr/>
                              <w:tc>
                                <w:tcPr>
                                  <w:tcW w:w="176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438" w:type="dxa"/>
                                  <w:tcBorders/>
                                  <w:shd w:fill="DCEBF4" w:val="clear"/>
                                  <w:vAlign w:val="center"/>
                                </w:tcPr>
                                <w:p>
                                  <w:pPr>
                                    <w:pStyle w:val="TableContents"/>
                                    <w:bidi w:val="0"/>
                                    <w:spacing w:before="0" w:after="283"/>
                                    <w:jc w:val="left"/>
                                    <w:rPr>
                                      <w:sz w:val="15"/>
                                    </w:rPr>
                                  </w:pPr>
                                  <w:r>
                                    <w:rPr>
                                      <w:sz w:val="15"/>
                                    </w:rPr>
                                    <w:t>November 25, 2026, February 25, 2027, May 25, 2027, August 25, 2027, November 26, 2027, February 25, 2028, May 25, 2028, August 25, 2028, November 27, 2028, February 26, 2029, May 25, 2029, August 27, 2029, November 26, 2029, February 25, 2030, May 28, 2030, August 26, 2030, November 25, 2030, February 25, 2031, May 27, 2031 and August 25, 2031</w:t>
                                  </w:r>
                                </w:p>
                              </w:tc>
                            </w:tr>
                            <w:tr>
                              <w:trPr/>
                              <w:tc>
                                <w:tcPr>
                                  <w:tcW w:w="176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438" w:type="dxa"/>
                                  <w:tcBorders/>
                                  <w:vAlign w:val="center"/>
                                </w:tcPr>
                                <w:p>
                                  <w:pPr>
                                    <w:pStyle w:val="TableContents"/>
                                    <w:bidi w:val="0"/>
                                    <w:spacing w:before="0" w:after="283"/>
                                    <w:jc w:val="left"/>
                                    <w:rPr>
                                      <w:sz w:val="15"/>
                                    </w:rPr>
                                  </w:pPr>
                                  <w:r>
                                    <w:rPr>
                                      <w:sz w:val="15"/>
                                    </w:rPr>
                                    <w:t>December 1, 2026, March 2, 2027, May 28, 2027, August 30, 2027, December 1, 2027, March 1, 2028, May 31, 2028, August 30, 2028, November 30, 2028, March 1, 2029, May 31, 2029, August 30, 2029, November 29, 2029, February 28, 2030, May 31, 2030, August 29, 2030, November 29, 2030, February 28, 2031, May 30, 2031 and the maturity date</w:t>
                                  </w:r>
                                </w:p>
                              </w:tc>
                            </w:tr>
                            <w:tr>
                              <w:trPr/>
                              <w:tc>
                                <w:tcPr>
                                  <w:tcW w:w="176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438" w:type="dxa"/>
                                  <w:tcBorders/>
                                  <w:shd w:fill="DCEBF4" w:val="clear"/>
                                  <w:vAlign w:val="center"/>
                                </w:tcPr>
                                <w:p>
                                  <w:pPr>
                                    <w:pStyle w:val="TableContents"/>
                                    <w:bidi w:val="0"/>
                                    <w:spacing w:before="0" w:after="283"/>
                                    <w:jc w:val="left"/>
                                    <w:rPr>
                                      <w:sz w:val="15"/>
                                    </w:rPr>
                                  </w:pPr>
                                  <w:r>
                                    <w:rPr>
                                      <w:sz w:val="15"/>
                                    </w:rPr>
                                    <w:t>August 28, 2031</w:t>
                                  </w:r>
                                </w:p>
                              </w:tc>
                            </w:tr>
                            <w:tr>
                              <w:trPr/>
                              <w:tc>
                                <w:tcPr>
                                  <w:tcW w:w="1767" w:type="dxa"/>
                                  <w:tcBorders/>
                                  <w:vAlign w:val="center"/>
                                </w:tcPr>
                                <w:p>
                                  <w:pPr>
                                    <w:pStyle w:val="TableContents"/>
                                    <w:bidi w:val="0"/>
                                    <w:spacing w:before="0" w:after="283"/>
                                    <w:jc w:val="left"/>
                                    <w:rPr>
                                      <w:b/>
                                      <w:color w:val="296DC1"/>
                                      <w:sz w:val="16"/>
                                    </w:rPr>
                                  </w:pPr>
                                  <w:r>
                                    <w:rPr>
                                      <w:b/>
                                      <w:color w:val="296DC1"/>
                                      <w:sz w:val="16"/>
                                    </w:rPr>
                                    <w:t>CUSIP / ISIN:</w:t>
                                  </w:r>
                                </w:p>
                              </w:tc>
                              <w:tc>
                                <w:tcPr>
                                  <w:tcW w:w="8438" w:type="dxa"/>
                                  <w:tcBorders/>
                                  <w:vAlign w:val="center"/>
                                </w:tcPr>
                                <w:p>
                                  <w:pPr>
                                    <w:pStyle w:val="TableContents"/>
                                    <w:bidi w:val="0"/>
                                    <w:spacing w:before="0" w:after="283"/>
                                    <w:jc w:val="left"/>
                                    <w:rPr>
                                      <w:sz w:val="15"/>
                                    </w:rPr>
                                  </w:pPr>
                                  <w:r>
                                    <w:rPr>
                                      <w:sz w:val="15"/>
                                    </w:rPr>
                                    <w:t>46661MCW2 / US46661MCW29</w:t>
                                  </w:r>
                                </w:p>
                              </w:tc>
                            </w:tr>
                            <w:tr>
                              <w:trPr/>
                              <w:tc>
                                <w:tcPr>
                                  <w:tcW w:w="1767"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438" w:type="dxa"/>
                                  <w:tcBorders/>
                                  <w:shd w:fill="DCEBF4" w:val="clear"/>
                                  <w:vAlign w:val="center"/>
                                </w:tcPr>
                                <w:p>
                                  <w:pPr>
                                    <w:pStyle w:val="TableContents"/>
                                    <w:bidi w:val="0"/>
                                    <w:spacing w:before="0" w:after="283"/>
                                    <w:jc w:val="left"/>
                                    <w:rPr/>
                                  </w:pPr>
                                  <w:hyperlink r:id="rId2">
                                    <w:r>
                                      <w:rPr>
                                        <w:rStyle w:val="InternetLink"/>
                                        <w:sz w:val="15"/>
                                      </w:rPr>
                                      <w:t>http://www.sec.gov/Archives/edgar/data/</w:t>
                                      <w:br/>
                                      <w:t>19617/000121390026091531/ea0302686-01_424b2.htm</w:t>
                                    </w:r>
                                  </w:hyperlink>
                                </w:p>
                              </w:tc>
                            </w:tr>
                          </w:tbl>
                          <w:p>
                            <w:pPr>
                              <w:pStyle w:val="TextBody"/>
                              <w:bidi w:val="0"/>
                              <w:spacing w:before="0" w:after="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$920.00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10205" w:type="dxa"/>
                              <w:jc w:val="center"/>
                              <w:tblInd w:w="0" w:type="dxa"/>
                              <w:tblLayout w:type="fixed"/>
                              <w:tblCellMar>
                                <w:top w:w="0" w:type="dxa"/>
                                <w:left w:w="0" w:type="dxa"/>
                                <w:bottom w:w="0" w:type="dxa"/>
                                <w:right w:w="0" w:type="dxa"/>
                              </w:tblCellMar>
                            </w:tblPr>
                            <w:tblGrid>
                              <w:gridCol w:w="3578"/>
                              <w:gridCol w:w="6627"/>
                            </w:tblGrid>
                            <w:tr>
                              <w:trPr/>
                              <w:tc>
                                <w:tcPr>
                                  <w:tcW w:w="1020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578"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 Index</w:t>
                                  </w:r>
                                </w:p>
                              </w:tc>
                              <w:tc>
                                <w:tcPr>
                                  <w:tcW w:w="6627"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bl>
                          <w:tbl>
                            <w:tblPr>
                              <w:tblW w:w="1495" w:type="dxa"/>
                              <w:jc w:val="center"/>
                              <w:tblInd w:w="0" w:type="dxa"/>
                              <w:tblLayout w:type="fixed"/>
                              <w:tblCellMar>
                                <w:top w:w="0" w:type="dxa"/>
                                <w:left w:w="0" w:type="dxa"/>
                                <w:bottom w:w="0" w:type="dxa"/>
                                <w:right w:w="0" w:type="dxa"/>
                              </w:tblCellMar>
                            </w:tblPr>
                            <w:tblGrid>
                              <w:gridCol w:w="740"/>
                              <w:gridCol w:w="755"/>
                            </w:tblGrid>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$749.90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767"/>
                        <w:gridCol w:w="8438"/>
                      </w:tblGrid>
                      <w:tr>
                        <w:trPr/>
                        <w:tc>
                          <w:tcPr>
                            <w:tcW w:w="176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8438" w:type="dxa"/>
                            <w:tcBorders/>
                            <w:shd w:fill="DCEBF4" w:val="clear"/>
                            <w:vAlign w:val="center"/>
                          </w:tcPr>
                          <w:p>
                            <w:pPr>
                              <w:pStyle w:val="TableContents"/>
                              <w:bidi w:val="0"/>
                              <w:spacing w:before="0" w:after="283"/>
                              <w:jc w:val="left"/>
                              <w:rPr>
                                <w:sz w:val="15"/>
                              </w:rPr>
                            </w:pPr>
                            <w:r>
                              <w:rPr>
                                <w:sz w:val="15"/>
                              </w:rPr>
                              <w:t>$1,000 per security</w:t>
                            </w:r>
                          </w:p>
                        </w:tc>
                      </w:tr>
                      <w:tr>
                        <w:trPr/>
                        <w:tc>
                          <w:tcPr>
                            <w:tcW w:w="176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8438" w:type="dxa"/>
                            <w:tcBorders/>
                            <w:vAlign w:val="center"/>
                          </w:tcPr>
                          <w:p>
                            <w:pPr>
                              <w:pStyle w:val="TableContents"/>
                              <w:bidi w:val="0"/>
                              <w:spacing w:before="0" w:after="283"/>
                              <w:jc w:val="left"/>
                              <w:rPr>
                                <w:sz w:val="15"/>
                              </w:rPr>
                            </w:pPr>
                            <w:r>
                              <w:rPr>
                                <w:sz w:val="15"/>
                              </w:rPr>
                              <w:t>$1,000 per security</w:t>
                            </w:r>
                          </w:p>
                        </w:tc>
                      </w:tr>
                      <w:tr>
                        <w:trPr/>
                        <w:tc>
                          <w:tcPr>
                            <w:tcW w:w="176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438" w:type="dxa"/>
                            <w:tcBorders/>
                            <w:shd w:fill="DCEBF4" w:val="clear"/>
                            <w:vAlign w:val="center"/>
                          </w:tcPr>
                          <w:p>
                            <w:pPr>
                              <w:pStyle w:val="TableContents"/>
                              <w:bidi w:val="0"/>
                              <w:spacing w:before="0" w:after="283"/>
                              <w:jc w:val="left"/>
                              <w:rPr>
                                <w:sz w:val="15"/>
                              </w:rPr>
                            </w:pPr>
                            <w:r>
                              <w:rPr>
                                <w:sz w:val="15"/>
                              </w:rPr>
                              <w:t>Expected to be August 25, 2026</w:t>
                            </w:r>
                          </w:p>
                        </w:tc>
                      </w:tr>
                      <w:tr>
                        <w:trPr/>
                        <w:tc>
                          <w:tcPr>
                            <w:tcW w:w="176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438" w:type="dxa"/>
                            <w:tcBorders/>
                            <w:vAlign w:val="center"/>
                          </w:tcPr>
                          <w:p>
                            <w:pPr>
                              <w:pStyle w:val="TableContents"/>
                              <w:bidi w:val="0"/>
                              <w:spacing w:before="0" w:after="283"/>
                              <w:jc w:val="left"/>
                              <w:rPr>
                                <w:sz w:val="15"/>
                              </w:rPr>
                            </w:pPr>
                            <w:r>
                              <w:rPr>
                                <w:sz w:val="15"/>
                              </w:rPr>
                              <w:t>3 business days after the pricing date</w:t>
                            </w:r>
                          </w:p>
                        </w:tc>
                      </w:tr>
                      <w:tr>
                        <w:trPr/>
                        <w:tc>
                          <w:tcPr>
                            <w:tcW w:w="176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438" w:type="dxa"/>
                            <w:tcBorders/>
                            <w:shd w:fill="DCEBF4" w:val="clear"/>
                            <w:vAlign w:val="center"/>
                          </w:tcPr>
                          <w:p>
                            <w:pPr>
                              <w:pStyle w:val="TableContents"/>
                              <w:bidi w:val="0"/>
                              <w:spacing w:before="0" w:after="283"/>
                              <w:jc w:val="left"/>
                              <w:rPr>
                                <w:sz w:val="15"/>
                              </w:rPr>
                            </w:pPr>
                            <w:r>
                              <w:rPr>
                                <w:sz w:val="15"/>
                              </w:rPr>
                              <w:t>November 25, 2026, February 25, 2027, May 25, 2027, August 25, 2027, November 26, 2027, February 25, 2028, May 25, 2028, August 25, 2028, November 27, 2028, February 26, 2029, May 25, 2029, August 27, 2029, November 26, 2029, February 25, 2030, May 28, 2030, August 26, 2030, November 25, 2030, February 25, 2031, May 27, 2031 and August 25, 2031</w:t>
                            </w:r>
                          </w:p>
                        </w:tc>
                      </w:tr>
                      <w:tr>
                        <w:trPr/>
                        <w:tc>
                          <w:tcPr>
                            <w:tcW w:w="176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438" w:type="dxa"/>
                            <w:tcBorders/>
                            <w:vAlign w:val="center"/>
                          </w:tcPr>
                          <w:p>
                            <w:pPr>
                              <w:pStyle w:val="TableContents"/>
                              <w:bidi w:val="0"/>
                              <w:spacing w:before="0" w:after="283"/>
                              <w:jc w:val="left"/>
                              <w:rPr>
                                <w:sz w:val="15"/>
                              </w:rPr>
                            </w:pPr>
                            <w:r>
                              <w:rPr>
                                <w:sz w:val="15"/>
                              </w:rPr>
                              <w:t>December 1, 2026, March 2, 2027, May 28, 2027, August 30, 2027, December 1, 2027, March 1, 2028, May 31, 2028, August 30, 2028, November 30, 2028, March 1, 2029, May 31, 2029, August 30, 2029, November 29, 2029, February 28, 2030, May 31, 2030, August 29, 2030, November 29, 2030, February 28, 2031, May 30, 2031 and the maturity date</w:t>
                            </w:r>
                          </w:p>
                        </w:tc>
                      </w:tr>
                      <w:tr>
                        <w:trPr/>
                        <w:tc>
                          <w:tcPr>
                            <w:tcW w:w="176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438" w:type="dxa"/>
                            <w:tcBorders/>
                            <w:shd w:fill="DCEBF4" w:val="clear"/>
                            <w:vAlign w:val="center"/>
                          </w:tcPr>
                          <w:p>
                            <w:pPr>
                              <w:pStyle w:val="TableContents"/>
                              <w:bidi w:val="0"/>
                              <w:spacing w:before="0" w:after="283"/>
                              <w:jc w:val="left"/>
                              <w:rPr>
                                <w:sz w:val="15"/>
                              </w:rPr>
                            </w:pPr>
                            <w:r>
                              <w:rPr>
                                <w:sz w:val="15"/>
                              </w:rPr>
                              <w:t>August 28, 2031</w:t>
                            </w:r>
                          </w:p>
                        </w:tc>
                      </w:tr>
                      <w:tr>
                        <w:trPr/>
                        <w:tc>
                          <w:tcPr>
                            <w:tcW w:w="1767" w:type="dxa"/>
                            <w:tcBorders/>
                            <w:vAlign w:val="center"/>
                          </w:tcPr>
                          <w:p>
                            <w:pPr>
                              <w:pStyle w:val="TableContents"/>
                              <w:bidi w:val="0"/>
                              <w:spacing w:before="0" w:after="283"/>
                              <w:jc w:val="left"/>
                              <w:rPr>
                                <w:b/>
                                <w:color w:val="296DC1"/>
                                <w:sz w:val="16"/>
                              </w:rPr>
                            </w:pPr>
                            <w:r>
                              <w:rPr>
                                <w:b/>
                                <w:color w:val="296DC1"/>
                                <w:sz w:val="16"/>
                              </w:rPr>
                              <w:t>CUSIP / ISIN:</w:t>
                            </w:r>
                          </w:p>
                        </w:tc>
                        <w:tc>
                          <w:tcPr>
                            <w:tcW w:w="8438" w:type="dxa"/>
                            <w:tcBorders/>
                            <w:vAlign w:val="center"/>
                          </w:tcPr>
                          <w:p>
                            <w:pPr>
                              <w:pStyle w:val="TableContents"/>
                              <w:bidi w:val="0"/>
                              <w:spacing w:before="0" w:after="283"/>
                              <w:jc w:val="left"/>
                              <w:rPr>
                                <w:sz w:val="15"/>
                              </w:rPr>
                            </w:pPr>
                            <w:r>
                              <w:rPr>
                                <w:sz w:val="15"/>
                              </w:rPr>
                              <w:t>46661MCW2 / US46661MCW29</w:t>
                            </w:r>
                          </w:p>
                        </w:tc>
                      </w:tr>
                      <w:tr>
                        <w:trPr/>
                        <w:tc>
                          <w:tcPr>
                            <w:tcW w:w="1767"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438" w:type="dxa"/>
                            <w:tcBorders/>
                            <w:shd w:fill="DCEBF4" w:val="clear"/>
                            <w:vAlign w:val="center"/>
                          </w:tcPr>
                          <w:p>
                            <w:pPr>
                              <w:pStyle w:val="TableContents"/>
                              <w:bidi w:val="0"/>
                              <w:spacing w:before="0" w:after="283"/>
                              <w:jc w:val="left"/>
                              <w:rPr/>
                            </w:pPr>
                            <w:hyperlink r:id="rId3">
                              <w:r>
                                <w:rPr>
                                  <w:rStyle w:val="InternetLink"/>
                                  <w:sz w:val="15"/>
                                </w:rPr>
                                <w:t>http://www.sec.gov/Archives/edgar/data/</w:t>
                                <w:br/>
                                <w:t>19617/000121390026091531/ea0302686-01_424b2.htm</w:t>
                              </w:r>
                            </w:hyperlink>
                          </w:p>
                        </w:tc>
                      </w:tr>
                    </w:tbl>
                    <w:p>
                      <w:pPr>
                        <w:pStyle w:val="TextBody"/>
                        <w:bidi w:val="0"/>
                        <w:spacing w:before="0" w:after="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$920.00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10205" w:type="dxa"/>
                        <w:jc w:val="center"/>
                        <w:tblInd w:w="0" w:type="dxa"/>
                        <w:tblLayout w:type="fixed"/>
                        <w:tblCellMar>
                          <w:top w:w="0" w:type="dxa"/>
                          <w:left w:w="0" w:type="dxa"/>
                          <w:bottom w:w="0" w:type="dxa"/>
                          <w:right w:w="0" w:type="dxa"/>
                        </w:tblCellMar>
                      </w:tblPr>
                      <w:tblGrid>
                        <w:gridCol w:w="3578"/>
                        <w:gridCol w:w="6627"/>
                      </w:tblGrid>
                      <w:tr>
                        <w:trPr/>
                        <w:tc>
                          <w:tcPr>
                            <w:tcW w:w="1020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578"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 Index</w:t>
                            </w:r>
                          </w:p>
                        </w:tc>
                        <w:tc>
                          <w:tcPr>
                            <w:tcW w:w="6627"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bl>
                    <w:tbl>
                      <w:tblPr>
                        <w:tblW w:w="1495" w:type="dxa"/>
                        <w:jc w:val="center"/>
                        <w:tblInd w:w="0" w:type="dxa"/>
                        <w:tblLayout w:type="fixed"/>
                        <w:tblCellMar>
                          <w:top w:w="0" w:type="dxa"/>
                          <w:left w:w="0" w:type="dxa"/>
                          <w:bottom w:w="0" w:type="dxa"/>
                          <w:right w:w="0" w:type="dxa"/>
                        </w:tblCellMar>
                      </w:tblPr>
                      <w:tblGrid>
                        <w:gridCol w:w="740"/>
                        <w:gridCol w:w="755"/>
                      </w:tblGrid>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$749.90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v:textbox>
                <w10:wrap type="square" side="left"/>
              </v:rect>
            </w:pict>
          </mc:Fallback>
        </mc:AlternateConten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5-Year Worst-of NDX/SPX/RTY Contingent Income Callable Securities with 6-Month Initial Non-Call Period</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indices, including historical performance information, see the accompanying preliminary pricing supplement.</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You will not receive any contingent quarterly payment for any quarterly monitoring period if the closing level of any underlying index is less than its downside threshold level on any day during that quarterly monitoring period.</w:t>
            </w:r>
          </w:p>
        </w:tc>
      </w:tr>
    </w:tbl>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contingent quarterly payment is based on the closing levels of the underlying indices during the quarterly monitoring periods.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are exposed to the price risk of all three underlying indices, with respect to all the contingent quarterly payments, if any, and the payment at maturity,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37"/>
        <w:gridCol w:w="9896"/>
      </w:tblGrid>
      <w:tr>
        <w:trPr/>
        <w:tc>
          <w:tcPr>
            <w:tcW w:w="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6" w:type="dxa"/>
            <w:tcBorders/>
            <w:vAlign w:val="center"/>
          </w:tcPr>
          <w:p>
            <w:pPr>
              <w:pStyle w:val="TableContents"/>
              <w:bidi w:val="0"/>
              <w:spacing w:before="0" w:after="283"/>
              <w:jc w:val="left"/>
              <w:rPr>
                <w:sz w:val="18"/>
              </w:rPr>
            </w:pPr>
            <w:r>
              <w:rPr>
                <w:sz w:val="18"/>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0" w:type="dxa"/>
            <w:tcBorders/>
            <w:vAlign w:val="center"/>
          </w:tcPr>
          <w:p>
            <w:pPr>
              <w:pStyle w:val="TableContents"/>
              <w:bidi w:val="0"/>
              <w:spacing w:before="0" w:after="283"/>
              <w:jc w:val="left"/>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45" w:type="dxa"/>
            <w:tcBorders/>
            <w:vAlign w:val="center"/>
          </w:tcPr>
          <w:p>
            <w:pPr>
              <w:pStyle w:val="TableContents"/>
              <w:bidi w:val="0"/>
              <w:spacing w:before="0" w:after="283"/>
              <w:jc w:val="left"/>
              <w:rPr>
                <w:sz w:val="18"/>
              </w:rPr>
            </w:pPr>
            <w:r>
              <w:rPr>
                <w:sz w:val="18"/>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21" w:type="dxa"/>
            <w:tcBorders/>
            <w:vAlign w:val="center"/>
          </w:tcPr>
          <w:p>
            <w:pPr>
              <w:pStyle w:val="TableContents"/>
              <w:bidi w:val="0"/>
              <w:spacing w:before="0" w:after="283"/>
              <w:jc w:val="left"/>
              <w:rPr>
                <w:sz w:val="18"/>
              </w:rPr>
            </w:pPr>
            <w:r>
              <w:rPr>
                <w:sz w:val="18"/>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1" w:type="dxa"/>
            <w:tcBorders/>
            <w:vAlign w:val="center"/>
          </w:tcPr>
          <w:p>
            <w:pPr>
              <w:pStyle w:val="TableContents"/>
              <w:bidi w:val="0"/>
              <w:spacing w:before="0" w:after="283"/>
              <w:jc w:val="left"/>
              <w:rPr>
                <w:sz w:val="18"/>
              </w:rPr>
            </w:pPr>
            <w:r>
              <w:rPr>
                <w:sz w:val="18"/>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9" w:type="dxa"/>
            <w:tcBorders/>
            <w:vAlign w:val="center"/>
          </w:tcPr>
          <w:p>
            <w:pPr>
              <w:pStyle w:val="TableContents"/>
              <w:bidi w:val="0"/>
              <w:spacing w:before="0" w:after="283"/>
              <w:jc w:val="left"/>
              <w:rPr>
                <w:sz w:val="18"/>
              </w:rPr>
            </w:pPr>
            <w:r>
              <w:rPr>
                <w:sz w:val="18"/>
              </w:rPr>
              <w:t>The securities are subject to risks associated with securities issued by non-U.S. companies with respect to the SX5E Index.</w:t>
            </w:r>
          </w:p>
        </w:tc>
      </w:tr>
    </w:tbl>
    <w:tbl>
      <w:tblPr>
        <w:tblW w:w="5000" w:type="pct"/>
        <w:jc w:val="left"/>
        <w:tblInd w:w="0" w:type="dxa"/>
        <w:tblLayout w:type="fixed"/>
        <w:tblCellMar>
          <w:top w:w="0" w:type="dxa"/>
          <w:left w:w="0" w:type="dxa"/>
          <w:bottom w:w="0" w:type="dxa"/>
          <w:right w:w="0" w:type="dxa"/>
        </w:tblCellMar>
      </w:tblPr>
      <w:tblGrid>
        <w:gridCol w:w="47"/>
        <w:gridCol w:w="157"/>
        <w:gridCol w:w="10001"/>
      </w:tblGrid>
      <w:tr>
        <w:trPr/>
        <w:tc>
          <w:tcPr>
            <w:tcW w:w="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1" w:type="dxa"/>
            <w:tcBorders/>
            <w:vAlign w:val="center"/>
          </w:tcPr>
          <w:p>
            <w:pPr>
              <w:pStyle w:val="TableContents"/>
              <w:bidi w:val="0"/>
              <w:spacing w:before="0" w:after="283"/>
              <w:jc w:val="left"/>
              <w:rPr>
                <w:sz w:val="18"/>
              </w:rPr>
            </w:pPr>
            <w:r>
              <w:rPr>
                <w:sz w:val="18"/>
              </w:rPr>
              <w:t xml:space="preserve">The securities are not directly exposed to fluctuations in foreign exchange rates with respect to the SX5E Index. </w:t>
            </w:r>
          </w:p>
        </w:tc>
      </w:tr>
    </w:tbl>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9" w:type="dxa"/>
            <w:tcBorders/>
            <w:vAlign w:val="center"/>
          </w:tcPr>
          <w:p>
            <w:pPr>
              <w:pStyle w:val="TableContents"/>
              <w:bidi w:val="0"/>
              <w:spacing w:before="0" w:after="283"/>
              <w:jc w:val="left"/>
              <w:rPr>
                <w:sz w:val="18"/>
              </w:rPr>
            </w:pPr>
            <w:r>
              <w:rPr>
                <w:sz w:val="18"/>
              </w:rPr>
              <w:t xml:space="preserve">An investment in the securities is subject to risks associated with small capitalization stocks with respect to the RTY Index.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pPr>
            <w:r>
              <w:rPr/>
              <w:t>Governmental legislative and regulatory actions, including sanctions, could adversely affect your investment in the securities.</w:t>
            </w:r>
          </w:p>
        </w:tc>
      </w:tr>
    </w:tbl>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91531/ea0302686-01_424b2.htm" TargetMode="External"/><Relationship Id="rId3" Type="http://schemas.openxmlformats.org/officeDocument/2006/relationships/hyperlink" Target="http://www.sec.gov/Archives/edgar/data/19617/000121390026091531/ea0302686-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1892</Words>
  <Characters>10358</Characters>
  <CharactersWithSpaces>12113</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