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2771140</wp:posOffset>
            </wp:positionH>
            <wp:positionV relativeFrom="page">
              <wp:posOffset>157480</wp:posOffset>
            </wp:positionV>
            <wp:extent cx="201422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14220" cy="282575"/>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333-285537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April 15, 2026 to the Prospectus dated April 10, 2025 (the “Preliminary Prospectus Supplement”).</w:t>
      </w:r>
    </w:p>
    <w:p>
      <w:pPr>
        <w:sectPr>
          <w:pgSz w:w="11900" w:h="16838" w:orient="portrait"/>
          <w:cols w:equalWidth="0" w:num="1">
            <w:col w:w="11020"/>
          </w:cols>
          <w:pgMar w:left="440" w:top="891" w:right="439" w:bottom="1440" w:gutter="0" w:footer="0" w:header="0"/>
        </w:sectPr>
      </w:pPr>
    </w:p>
    <w:p>
      <w:pPr>
        <w:spacing w:after="0" w:line="18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JPMorgan Chase &amp; Co.</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 Senior Notes</w:t>
      </w:r>
    </w:p>
    <w:p>
      <w:pPr>
        <w:spacing w:after="0" w:line="129"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2037</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$3,750,000,000</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23, 2037</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23, 2026 to, but excluding, April 23, 2036</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23, 2036 to, but excluding, Maturity</w:t>
      </w:r>
    </w:p>
    <w:p>
      <w:pPr>
        <w:spacing w:after="0" w:line="129"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54"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30/360 during the Fixed Rate Period, Actual/360 during the Floating Rate Period</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4.125% due February 15, 2036</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4.278%</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+87 basis points</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5.148%</w:t>
      </w:r>
    </w:p>
    <w:p>
      <w:pPr>
        <w:sectPr>
          <w:pgSz w:w="11900" w:h="16838" w:orient="portrait"/>
          <w:cols w:equalWidth="0" w:num="2">
            <w:col w:w="4160" w:space="720"/>
            <w:col w:w="6140"/>
          </w:cols>
          <w:pgMar w:left="440" w:top="891" w:right="439" w:bottom="1440" w:gutter="0" w:footer="0" w:header="0"/>
          <w:type w:val="continuous"/>
        </w:sectPr>
      </w:pPr>
    </w:p>
    <w:bookmarkStart w:id="1" w:name="page2"/>
    <w:bookmarkEnd w:id="1"/>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Coupon: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Convention: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-213360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5.148%, payable semiannually in arrears during the Fixed Rate Period.</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1.260% per annum, payable quarterly in arrears during the Floating Rate Period.</w:t>
      </w:r>
    </w:p>
    <w:p>
      <w:pPr>
        <w:spacing w:after="0" w:line="5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Benchmark rate (expected to be Compounded SOFR as described under “Description of the Notes—Interest on the notes” in the Preliminary Prospectus Supplement).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during the Floating Rate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face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$3,733,125,000</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Fixed Rate Period, each April 23 and October 23, beginning October 23, 2026 and including April 23, 2036, and during the Floating Rate Period, each of July 23, 2036, October 23, 2036, January 23, 2037 and April 23, 2037.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redeem the notes, at our option, in whole at any time or in part from time to time, on or after October 23, 2026 and prior to April 23, 2036 upon at least 5 days’ but no more than 60 days’ notice to holders of the notes, at a redemption price equal to the greater of: (i) (a) the sum of the present values of the remaining scheduled payments of principal and interest on the notes to be</w:t>
      </w:r>
    </w:p>
    <w:p>
      <w:pPr>
        <w:sectPr>
          <w:pgSz w:w="11900" w:h="16838" w:orient="portrait"/>
          <w:cols w:equalWidth="0" w:num="2">
            <w:col w:w="3720" w:space="720"/>
            <w:col w:w="6140"/>
          </w:cols>
          <w:pgMar w:left="880" w:top="270" w:right="439" w:bottom="1440" w:gutter="0" w:footer="0" w:header="0"/>
        </w:sectPr>
      </w:pPr>
    </w:p>
    <w:bookmarkStart w:id="2" w:name="page3"/>
    <w:bookmarkEnd w:id="2"/>
    <w:p>
      <w:pPr>
        <w:ind w:left="10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w:t>
      </w:r>
    </w:p>
    <w:p>
      <w:pPr>
        <w:spacing w:after="0" w:line="158" w:lineRule="exact"/>
        <w:rPr>
          <w:sz w:val="20"/>
          <w:szCs w:val="20"/>
          <w:color w:val="auto"/>
        </w:rPr>
      </w:pPr>
    </w:p>
    <w:p>
      <w:pPr>
        <w:ind w:left="4440" w:right="40"/>
        <w:spacing w:after="0" w:line="256" w:lineRule="auto"/>
        <w:rPr>
          <w:sz w:val="20"/>
          <w:szCs w:val="20"/>
          <w:color w:val="auto"/>
        </w:rPr>
      </w:pPr>
      <w:r>
        <w:rPr>
          <w:rFonts w:ascii="Times New Roman" w:cs="Times New Roman" w:eastAsia="Times New Roman" w:hAnsi="Times New Roman"/>
          <w:sz w:val="18"/>
          <w:szCs w:val="18"/>
          <w:color w:val="auto"/>
        </w:rPr>
        <w:t>redeemed discounted to the redemption date (assuming the notes matured on April 23, 2036) on a semi-annual basis (assuming a 360-day year consisting of twelve 30-day months) at the “Treasury Rate” plus 15 basis points less (b) interest accrued on those notes to the redemption date; and (ii) 100% of the principal amount of the notes to be redeemed; plus, in either case, accrued and unpaid interest on the notes to be redeemed to, but excluding, the redemption date.</w:t>
      </w:r>
    </w:p>
    <w:p>
      <w:pPr>
        <w:spacing w:after="0" w:line="79" w:lineRule="exact"/>
        <w:rPr>
          <w:sz w:val="20"/>
          <w:szCs w:val="20"/>
          <w:color w:val="auto"/>
        </w:rPr>
      </w:pPr>
    </w:p>
    <w:p>
      <w:pPr>
        <w:ind w:left="4440" w:right="180"/>
        <w:spacing w:after="0" w:line="258" w:lineRule="auto"/>
        <w:rPr>
          <w:sz w:val="20"/>
          <w:szCs w:val="20"/>
          <w:color w:val="auto"/>
        </w:rPr>
      </w:pPr>
      <w:r>
        <w:rPr>
          <w:rFonts w:ascii="Times New Roman" w:cs="Times New Roman" w:eastAsia="Times New Roman" w:hAnsi="Times New Roman"/>
          <w:sz w:val="18"/>
          <w:szCs w:val="18"/>
          <w:color w:val="auto"/>
        </w:rPr>
        <w:t>In addition, we may redeem the notes, at our option, in whole, but not in part, on April 23, 2036 upon at least 5 days’ but no more than 60 days’ notice to holders of the notes, at a redemption price equal to 100% of the principal amount of the notes to be redeemed plus accrued and unpaid interest thereon to, but excluding, the redemption date.</w:t>
      </w:r>
    </w:p>
    <w:p>
      <w:pPr>
        <w:spacing w:after="0" w:line="75" w:lineRule="exact"/>
        <w:rPr>
          <w:sz w:val="20"/>
          <w:szCs w:val="20"/>
          <w:color w:val="auto"/>
        </w:rPr>
      </w:pPr>
    </w:p>
    <w:p>
      <w:pPr>
        <w:ind w:left="4440" w:right="140"/>
        <w:spacing w:after="0" w:line="258" w:lineRule="auto"/>
        <w:rPr>
          <w:sz w:val="20"/>
          <w:szCs w:val="20"/>
          <w:color w:val="auto"/>
        </w:rPr>
      </w:pPr>
      <w:r>
        <w:rPr>
          <w:rFonts w:ascii="Times New Roman" w:cs="Times New Roman" w:eastAsia="Times New Roman" w:hAnsi="Times New Roman"/>
          <w:sz w:val="18"/>
          <w:szCs w:val="18"/>
          <w:color w:val="auto"/>
        </w:rPr>
        <w:t>In addition, we may redeem the notes, at our option, in whole at any time or in part from time to time, on or after January 23, 2037 upon at least 5 days’ but no more than 60 days’ notice to holders of the notes, at a redemption price equal to 100% of the principal amount of the notes to be redeemed plus accrued and unpaid interest thereon to, but excluding, the redemption date.</w:t>
      </w:r>
    </w:p>
    <w:p>
      <w:pPr>
        <w:spacing w:after="0" w:line="75" w:lineRule="exact"/>
        <w:rPr>
          <w:sz w:val="20"/>
          <w:szCs w:val="20"/>
          <w:color w:val="auto"/>
        </w:rPr>
      </w:pPr>
    </w:p>
    <w:p>
      <w:pPr>
        <w:ind w:left="4440" w:right="780"/>
        <w:spacing w:after="0" w:line="282" w:lineRule="auto"/>
        <w:rPr>
          <w:sz w:val="20"/>
          <w:szCs w:val="20"/>
          <w:color w:val="auto"/>
        </w:rPr>
      </w:pPr>
      <w:r>
        <w:rPr>
          <w:rFonts w:ascii="Times New Roman" w:cs="Times New Roman" w:eastAsia="Times New Roman" w:hAnsi="Times New Roman"/>
          <w:sz w:val="18"/>
          <w:szCs w:val="18"/>
          <w:color w:val="auto"/>
        </w:rPr>
        <w:t>The foregoing supplements and supersedes the information set forth under “Description of the Notes” in the Preliminary Prospectus Supplement.</w:t>
      </w:r>
    </w:p>
    <w:p>
      <w:pPr>
        <w:sectPr>
          <w:pgSz w:w="11900" w:h="16838" w:orient="portrait"/>
          <w:cols w:equalWidth="0" w:num="1">
            <w:col w:w="10580"/>
          </w:cols>
          <w:pgMar w:left="880" w:top="270" w:right="4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46647PFP6 / US46647PFP62</w:t>
      </w:r>
    </w:p>
    <w:p>
      <w:pPr>
        <w:spacing w:after="0" w:line="129"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117"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23, 2026 (T+6)</w:t>
      </w:r>
    </w:p>
    <w:p>
      <w:pPr>
        <w:sectPr>
          <w:pgSz w:w="11900" w:h="16838" w:orient="portrait"/>
          <w:cols w:equalWidth="0" w:num="2">
            <w:col w:w="3720" w:space="720"/>
            <w:col w:w="6140"/>
          </w:cols>
          <w:pgMar w:left="880" w:top="270" w:right="439" w:bottom="1440" w:gutter="0" w:footer="0" w:header="0"/>
          <w:type w:val="continuous"/>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w:t>
      </w:r>
    </w:p>
    <w:p>
      <w:pPr>
        <w:sectPr>
          <w:pgSz w:w="11900" w:h="16838" w:orient="portrait"/>
          <w:cols w:equalWidth="0" w:num="1">
            <w:col w:w="10580"/>
          </w:cols>
          <w:pgMar w:left="880" w:top="270"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x $1,000</w:t>
      </w:r>
    </w:p>
    <w:p>
      <w:pPr>
        <w:spacing w:after="0" w:line="117"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Issuance:</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notes described in this term sheet, JPMorgan Chase &amp; Co. is concurrently offering $500,000,000 of floating rate notes due 2030, $2,750,000,000 of fixed-to-floating rate notes due 2030 and $3,000,000,000 of fixed-to-floating rate notes due 2032. The consummation of each of these offerings is not contingent on any other offering.</w:t>
      </w:r>
    </w:p>
    <w:p>
      <w:pPr>
        <w:spacing w:after="0" w:line="75"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28"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FHN Financial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nabSecurities,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Securities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Nykredit Bank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Rabo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 International Markets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Westpac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Veterans Group, PBC</w:t>
      </w:r>
    </w:p>
    <w:p>
      <w:pPr>
        <w:sectPr>
          <w:pgSz w:w="11900" w:h="16838" w:orient="portrait"/>
          <w:cols w:equalWidth="0" w:num="2">
            <w:col w:w="3720" w:space="720"/>
            <w:col w:w="6140"/>
          </w:cols>
          <w:pgMar w:left="880" w:top="270" w:right="4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AmeriVet Securities, Inc.</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Apto Partners,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CAVU Securities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C.L. King &amp; Associates,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Falcon Square Capital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Independence Point Securities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Roberts &amp; Ryan Investments,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Telsey Advisory Group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Tigress Financial Partners, LLC</w:t>
      </w:r>
    </w:p>
    <w:p>
      <w:pPr>
        <w:spacing w:after="0" w:line="2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April 23, 2026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2026-04-16T09:12:35Z</dcterms:created>
  <dcterms:modified xsi:type="dcterms:W3CDTF">2026-04-16T09:12:35Z</dcterms:modified>
</cp:coreProperties>
</file>