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270510</wp:posOffset>
            </wp:positionV>
            <wp:extent cx="30441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300990</wp:posOffset>
            </wp:positionV>
            <wp:extent cx="3044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288290</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JPMorgan Chase &amp; Co.</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279400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3240" w:type="dxa"/>
        <w:tblCellMar>
          <w:top w:w="0" w:type="dxa"/>
          <w:left w:w="0" w:type="dxa"/>
          <w:bottom w:w="0" w:type="dxa"/>
          <w:right w:w="0" w:type="dxa"/>
        </w:tblCellMar>
      </w:tblPr>
      <w:tr>
        <w:trPr>
          <w:trHeight w:val="161"/>
        </w:trPr>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1-5805</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13-2624428</w:t>
            </w:r>
          </w:p>
        </w:tc>
        <w:tc>
          <w:tcPr>
            <w:tcW w:w="0" w:type="dxa"/>
            <w:vAlign w:val="bottom"/>
          </w:tcPr>
          <w:p>
            <w:pPr>
              <w:spacing w:after="0"/>
              <w:rPr>
                <w:sz w:val="1"/>
                <w:szCs w:val="1"/>
                <w:color w:val="auto"/>
              </w:rPr>
            </w:pPr>
          </w:p>
        </w:tc>
      </w:tr>
      <w:tr>
        <w:trPr>
          <w:trHeight w:val="149"/>
        </w:trPr>
        <w:tc>
          <w:tcPr>
            <w:tcW w:w="15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w:t>
            </w:r>
          </w:p>
        </w:tc>
        <w:tc>
          <w:tcPr>
            <w:tcW w:w="13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15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3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9"/>
        </w:trPr>
        <w:tc>
          <w:tcPr>
            <w:tcW w:w="15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383 Madison Avenue,</w:t>
            </w:r>
          </w:p>
        </w:tc>
        <w:tc>
          <w:tcPr>
            <w:tcW w:w="1580" w:type="dxa"/>
            <w:vAlign w:val="bottom"/>
          </w:tcPr>
          <w:p>
            <w:pPr>
              <w:spacing w:after="0"/>
              <w:rPr>
                <w:sz w:val="24"/>
                <w:szCs w:val="24"/>
                <w:color w:val="auto"/>
              </w:rPr>
            </w:pPr>
          </w:p>
        </w:tc>
        <w:tc>
          <w:tcPr>
            <w:tcW w:w="13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10179</w:t>
            </w:r>
          </w:p>
        </w:tc>
        <w:tc>
          <w:tcPr>
            <w:tcW w:w="0" w:type="dxa"/>
            <w:vAlign w:val="bottom"/>
          </w:tcPr>
          <w:p>
            <w:pPr>
              <w:spacing w:after="0"/>
              <w:rPr>
                <w:sz w:val="1"/>
                <w:szCs w:val="1"/>
                <w:color w:val="auto"/>
              </w:rPr>
            </w:pPr>
          </w:p>
        </w:tc>
      </w:tr>
      <w:tr>
        <w:trPr>
          <w:trHeight w:val="190"/>
        </w:trPr>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15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(Address of principal</w:t>
            </w:r>
          </w:p>
        </w:tc>
        <w:tc>
          <w:tcPr>
            <w:tcW w:w="1580" w:type="dxa"/>
            <w:vAlign w:val="bottom"/>
          </w:tcPr>
          <w:p>
            <w:pPr>
              <w:spacing w:after="0"/>
              <w:rPr>
                <w:sz w:val="18"/>
                <w:szCs w:val="18"/>
                <w:color w:val="auto"/>
              </w:rPr>
            </w:pPr>
          </w:p>
        </w:tc>
        <w:tc>
          <w:tcPr>
            <w:tcW w:w="13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15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226060</wp:posOffset>
            </wp:positionV>
            <wp:extent cx="3044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320" w:hanging="316"/>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320" w:hanging="316"/>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320" w:hanging="316"/>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7"/>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04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JPM</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5.45% Non-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A</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Preferred Stock, Series P</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6.125% Non-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F</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Preferred Stock, Series Y</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6.10% Non-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G</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Preferred Stock, Series AA</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6.15%</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H</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Non-Cumulative Preferred Stock, Series BB</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5.75% Non-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D</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Preferred Stock, Series DD</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one-four hundredth interest in a share of 6.00% Non-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 PR C</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Preferred Stock, Series EE</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Alerian MLP Index ETNs due May 24, 2024</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AMJ</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NYSE Arca, Inc.</w:t>
            </w: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Guarantee of Callable Step-Up Fixed Rate Notes due April 26, 2028 of JPMorgan Chase</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JPM/28</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Financial Company LLC</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Guarantee of Cushing 30 MLP Index ETNs due June 15, 2037 of JPMorgan Chase Financial</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PPLN</w:t>
            </w: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NYSE Arca, Inc.</w:t>
            </w:r>
          </w:p>
        </w:tc>
      </w:tr>
      <w:tr>
        <w:trPr>
          <w:trHeight w:val="190"/>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Company LLC</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6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0900"/>
          </w:cols>
          <w:pgMar w:left="440" w:top="219" w:right="559" w:bottom="1086"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 2019, JPMorgan Chase &amp; Co. issued a press release announcing the redemption on December 1, 2019 of all of the 36,000,000 outstanding depositary shares, each representing a 1/400th interest in a share of JPMorgan Chase &amp; Co.’s 5.45% Non-Cumulative Preferred Stock, Series P, par value $1.00 per share and with a liquidation preference of $10,000 (the “Series P Preferred Stock”), pursuant to the optional redemption provisions provided in the documents governing such depositary shares and the Series P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referenced above is attached hereto as Exhibit 99.</w:t>
      </w:r>
    </w:p>
    <w:p>
      <w:pPr>
        <w:spacing w:after="0" w:line="3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860" w:hanging="577"/>
        <w:spacing w:after="0"/>
        <w:tabs>
          <w:tab w:leader="none" w:pos="860" w:val="left"/>
        </w:tabs>
        <w:numPr>
          <w:ilvl w:val="0"/>
          <w:numId w:val="2"/>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JPMorgan Chase &amp; Co. press release dated November 1, 2019</w:t>
        </w:r>
      </w:hyperlink>
    </w:p>
    <w:p>
      <w:pPr>
        <w:spacing w:after="0" w:line="117" w:lineRule="exact"/>
        <w:rPr>
          <w:sz w:val="20"/>
          <w:szCs w:val="20"/>
          <w:color w:val="auto"/>
        </w:rPr>
      </w:pPr>
    </w:p>
    <w:p>
      <w:pPr>
        <w:ind w:left="860" w:hanging="667"/>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860" w:hanging="667"/>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720"/>
          </w:cols>
          <w:pgMar w:left="440" w:top="293" w:right="7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Jordan A.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Jordan A. Costa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 2019</w:t>
      </w:r>
    </w:p>
    <w:p>
      <w:pPr>
        <w:sectPr>
          <w:pgSz w:w="11900" w:h="16838" w:orient="portrait"/>
          <w:cols w:equalWidth="0" w:num="1">
            <w:col w:w="10340"/>
          </w:cols>
          <w:pgMar w:left="440" w:top="293" w:right="1119" w:bottom="1440" w:gutter="0" w:footer="0" w:header="0"/>
        </w:sectPr>
      </w:pPr>
    </w:p>
    <w:bookmarkStart w:id="3" w:name="page4"/>
    <w:bookmarkEnd w:id="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 New York, NY 10179-0001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-113665</wp:posOffset>
            </wp:positionV>
            <wp:extent cx="276987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9870"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NYSE symbol: JPM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 IMMEDIATE RELEASE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JPMorgan Chase To Redeem All $900 Million Of Its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5.45% Non-Cumulative Preferred Stock, Series 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Represented By Depositary Shares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November 1, 2019 </w:t>
      </w:r>
      <w:r>
        <w:rPr>
          <w:rFonts w:ascii="Times New Roman" w:cs="Times New Roman" w:eastAsia="Times New Roman" w:hAnsi="Times New Roman"/>
          <w:sz w:val="18"/>
          <w:szCs w:val="18"/>
          <w:color w:val="auto"/>
        </w:rPr>
        <w:t>– JPMorgan Chase &amp; Co. (NYSE: JPM) (“JPMorgan Chase” or the “Firm”) has announced that it will redeem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2019 all of the 90,000 outstanding shares of its 5.45% Non-Cumulative Preferred Stock, Series P (“Series P Preferred Stock”). The shares of Series P Preferred Stock are represented by 36,000,000 depositary shares which are currently traded on the New York Stock Exchange under the symbol JPM PR A (CUSIP 46637G124). Each depositary share represents a 1/400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interest in a share of Series P Preferred Stock. The redemption price per share for the Series P Preferred Stock will be $10,000 (equivalent to $25.00 per depositary share).</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 of the redemption price will be made on December 2, 2019, the first business day after the redemption date of December 1, 2019, upon presentation and surrender of the depositary receipts evidencing the depositary shares to be redeemed to Computershare Inc., as Depositary, at 150 Royall Street, Canton, Massachusetts 02021. Depositary shares held in book-entry form shall be surrendered in accordance with applicable procedures of The Depository Trust Company.</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December 1, 2019 is also the final dividend payment date for the Series P Preferred Stock and the depositary shares. The record date for that dividend is November 1, 2019. Payment of the final dividend will be made on December 2, 2019, the first business day after the dividend payment date of December 1, 2019.</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JPMorgan Chase &amp; Co. (NYSE: JPM) is a leading global financial services firm with assets of $2.8 trillion and operations worldwide. The Firm is a leader in investment banking, financial services for consumers and small businesses, commercial banking, financial transaction processing, and asset management. A component of the Dow Jones Industrial Average, JPMorgan Chase &amp; Co. serves millions of customers in the United States and many of the world’s most prominent corporate, institutional and government clients under its J.P. Morgan and Chase brands. Information about JPMorgan Chase &amp; Co. is available at </w:t>
      </w:r>
      <w:r>
        <w:rPr>
          <w:rFonts w:ascii="Times New Roman" w:cs="Times New Roman" w:eastAsia="Times New Roman" w:hAnsi="Times New Roman"/>
          <w:sz w:val="18"/>
          <w:szCs w:val="18"/>
          <w:u w:val="single" w:color="auto"/>
          <w:color w:val="auto"/>
        </w:rPr>
        <w:t>www.jpmorganchase.com</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Pr>
          <w:p>
            <w:pPr>
              <w:jc w:val="right"/>
              <w:ind w:right="5130"/>
              <w:spacing w:after="0"/>
              <w:rPr>
                <w:sz w:val="20"/>
                <w:szCs w:val="20"/>
                <w:color w:val="auto"/>
              </w:rPr>
            </w:pPr>
            <w:r>
              <w:rPr>
                <w:rFonts w:ascii="Times New Roman" w:cs="Times New Roman" w:eastAsia="Times New Roman" w:hAnsi="Times New Roman"/>
                <w:sz w:val="18"/>
                <w:szCs w:val="18"/>
                <w:color w:val="auto"/>
              </w:rPr>
              <w:t>#  #</w:t>
            </w:r>
          </w:p>
        </w:tc>
      </w:tr>
      <w:tr>
        <w:trPr>
          <w:trHeight w:val="203"/>
        </w:trPr>
        <w:tc>
          <w:tcPr>
            <w:tcW w:w="20" w:type="dxa"/>
            <w:vAlign w:val="bottom"/>
          </w:tcPr>
          <w:p>
            <w:pPr>
              <w:spacing w:after="0"/>
              <w:rPr>
                <w:sz w:val="17"/>
                <w:szCs w:val="17"/>
                <w:color w:val="auto"/>
              </w:rPr>
            </w:pPr>
          </w:p>
        </w:tc>
        <w:tc>
          <w:tcPr>
            <w:tcW w:w="536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rPr>
                <w:sz w:val="17"/>
                <w:szCs w:val="17"/>
                <w:color w:val="auto"/>
              </w:rPr>
            </w:pPr>
          </w:p>
        </w:tc>
      </w:tr>
      <w:tr>
        <w:trPr>
          <w:trHeight w:val="232"/>
        </w:trPr>
        <w:tc>
          <w:tcPr>
            <w:tcW w:w="5380" w:type="dxa"/>
            <w:vAlign w:val="bottom"/>
            <w:gridSpan w:val="2"/>
          </w:tcPr>
          <w:p>
            <w:pPr>
              <w:jc w:val="right"/>
              <w:ind w:right="3120"/>
              <w:spacing w:after="0"/>
              <w:rPr>
                <w:sz w:val="20"/>
                <w:szCs w:val="20"/>
                <w:color w:val="auto"/>
              </w:rPr>
            </w:pPr>
            <w:r>
              <w:rPr>
                <w:rFonts w:ascii="Times New Roman" w:cs="Times New Roman" w:eastAsia="Times New Roman" w:hAnsi="Times New Roman"/>
                <w:sz w:val="18"/>
                <w:szCs w:val="18"/>
                <w:i w:val="1"/>
                <w:iCs w:val="1"/>
                <w:color w:val="auto"/>
              </w:rPr>
              <w:t xml:space="preserve">Investor Contact:  </w:t>
            </w:r>
            <w:r>
              <w:rPr>
                <w:rFonts w:ascii="Times New Roman" w:cs="Times New Roman" w:eastAsia="Times New Roman" w:hAnsi="Times New Roman"/>
                <w:sz w:val="18"/>
                <w:szCs w:val="18"/>
                <w:color w:val="auto"/>
              </w:rPr>
              <w:t>Jason Scott</w:t>
            </w:r>
          </w:p>
        </w:tc>
        <w:tc>
          <w:tcPr>
            <w:tcW w:w="5660" w:type="dxa"/>
            <w:vAlign w:val="bottom"/>
          </w:tcPr>
          <w:p>
            <w:pPr>
              <w:jc w:val="right"/>
              <w:ind w:right="1250"/>
              <w:spacing w:after="0"/>
              <w:rPr>
                <w:sz w:val="20"/>
                <w:szCs w:val="20"/>
                <w:color w:val="auto"/>
              </w:rPr>
            </w:pPr>
            <w:r>
              <w:rPr>
                <w:rFonts w:ascii="Times New Roman" w:cs="Times New Roman" w:eastAsia="Times New Roman" w:hAnsi="Times New Roman"/>
                <w:sz w:val="18"/>
                <w:szCs w:val="18"/>
                <w:i w:val="1"/>
                <w:iCs w:val="1"/>
                <w:color w:val="auto"/>
              </w:rPr>
              <w:t xml:space="preserve">Media Contact: </w:t>
            </w:r>
            <w:r>
              <w:rPr>
                <w:rFonts w:ascii="Times New Roman" w:cs="Times New Roman" w:eastAsia="Times New Roman" w:hAnsi="Times New Roman"/>
                <w:sz w:val="18"/>
                <w:szCs w:val="18"/>
                <w:color w:val="auto"/>
              </w:rPr>
              <w:t>Joseph Evangelisti</w:t>
            </w:r>
          </w:p>
        </w:tc>
      </w:tr>
      <w:tr>
        <w:trPr>
          <w:trHeight w:val="234"/>
        </w:trPr>
        <w:tc>
          <w:tcPr>
            <w:tcW w:w="5380" w:type="dxa"/>
            <w:vAlign w:val="bottom"/>
            <w:gridSpan w:val="2"/>
          </w:tcPr>
          <w:p>
            <w:pPr>
              <w:jc w:val="right"/>
              <w:ind w:right="2920"/>
              <w:spacing w:after="0"/>
              <w:rPr>
                <w:sz w:val="20"/>
                <w:szCs w:val="20"/>
                <w:color w:val="auto"/>
              </w:rPr>
            </w:pPr>
            <w:r>
              <w:rPr>
                <w:rFonts w:ascii="Times New Roman" w:cs="Times New Roman" w:eastAsia="Times New Roman" w:hAnsi="Times New Roman"/>
                <w:sz w:val="18"/>
                <w:szCs w:val="18"/>
                <w:color w:val="auto"/>
              </w:rPr>
              <w:t>212-270-2479</w:t>
            </w:r>
          </w:p>
        </w:tc>
        <w:tc>
          <w:tcPr>
            <w:tcW w:w="56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212-270-7438</w:t>
            </w:r>
          </w:p>
        </w:tc>
      </w:tr>
    </w:tbl>
    <w:p>
      <w:pPr>
        <w:spacing w:after="0" w:line="1" w:lineRule="exact"/>
        <w:rPr>
          <w:sz w:val="20"/>
          <w:szCs w:val="20"/>
          <w:color w:val="auto"/>
        </w:rPr>
      </w:pPr>
    </w:p>
    <w:sectPr>
      <w:pgSz w:w="11900" w:h="16838" w:orient="portrait"/>
      <w:cols w:equalWidth="0" w:num="1">
        <w:col w:w="11040"/>
      </w:cols>
      <w:pgMar w:left="44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2019-12-28T02:57:20Z</dcterms:created>
  <dcterms:modified xsi:type="dcterms:W3CDTF">2019-12-28T02:57:20Z</dcterms:modified>
</cp:coreProperties>
</file>