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333-293684 and 333-293684-01</w:t>
      </w:r>
    </w:p>
    <w:p>
      <w:pPr>
        <w:jc w:val="right"/>
        <w:spacing w:after="0" w:line="229" w:lineRule="auto"/>
        <w:rPr>
          <w:sz w:val="20"/>
          <w:szCs w:val="20"/>
          <w:color w:val="auto"/>
        </w:rPr>
      </w:pPr>
      <w:r>
        <w:rPr>
          <w:rFonts w:ascii="Arial" w:cs="Arial" w:eastAsia="Arial" w:hAnsi="Arial"/>
          <w:sz w:val="14"/>
          <w:szCs w:val="14"/>
          <w:color w:val="808080"/>
        </w:rPr>
        <w:t>Dated October 22, 2026</w:t>
      </w:r>
    </w:p>
    <w:p>
      <w:pPr>
        <w:spacing w:after="0" w:line="1" w:lineRule="exact"/>
        <w:rPr>
          <w:sz w:val="24"/>
          <w:szCs w:val="24"/>
          <w:color w:val="auto"/>
        </w:rPr>
      </w:pPr>
    </w:p>
    <w:p>
      <w:pPr>
        <w:spacing w:after="0"/>
        <w:rPr>
          <w:sz w:val="20"/>
          <w:szCs w:val="20"/>
          <w:color w:val="auto"/>
        </w:rPr>
      </w:pPr>
      <w:r>
        <w:rPr>
          <w:rFonts w:ascii="Arial" w:cs="Arial" w:eastAsia="Arial" w:hAnsi="Arial"/>
          <w:sz w:val="29"/>
          <w:szCs w:val="29"/>
          <w:color w:val="296DC1"/>
        </w:rPr>
        <w:t>6yNC1y SX5E/SPX/TPX Jump Securities with Auto-Callable Feature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right="720"/>
        <w:spacing w:after="0" w:line="247" w:lineRule="auto"/>
        <w:rPr>
          <w:sz w:val="20"/>
          <w:szCs w:val="20"/>
          <w:color w:val="auto"/>
        </w:rPr>
      </w:pPr>
      <w:r>
        <w:rPr>
          <w:rFonts w:ascii="Arial" w:cs="Arial" w:eastAsia="Arial" w:hAnsi="Arial"/>
          <w:sz w:val="16"/>
          <w:szCs w:val="16"/>
          <w:b w:val="1"/>
          <w:bCs w:val="1"/>
          <w:i w:val="1"/>
          <w:iCs w:val="1"/>
          <w:color w:val="auto"/>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522980"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22980" cy="10287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p>
      <w:pPr>
        <w:spacing w:after="0" w:line="1"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6"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Issuer:</w:t>
      </w:r>
    </w:p>
    <w:p>
      <w:pPr>
        <w:spacing w:after="0" w:line="149"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Guarantor:</w:t>
      </w:r>
    </w:p>
    <w:p>
      <w:pPr>
        <w:spacing w:after="0" w:line="15"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Underlying indices:</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100" w:right="260"/>
        <w:spacing w:after="0" w:line="294" w:lineRule="auto"/>
        <w:rPr>
          <w:sz w:val="20"/>
          <w:szCs w:val="20"/>
          <w:color w:val="auto"/>
        </w:rPr>
      </w:pPr>
      <w:r>
        <w:rPr>
          <w:rFonts w:ascii="Arial" w:cs="Arial" w:eastAsia="Arial" w:hAnsi="Arial"/>
          <w:sz w:val="14"/>
          <w:szCs w:val="14"/>
          <w:b w:val="1"/>
          <w:bCs w:val="1"/>
          <w:color w:val="296DC1"/>
        </w:rPr>
        <w:t>Automatic early redemption:</w:t>
      </w:r>
    </w:p>
    <w:p>
      <w:pPr>
        <w:spacing w:after="0" w:line="200" w:lineRule="exact"/>
        <w:rPr>
          <w:sz w:val="24"/>
          <w:szCs w:val="24"/>
          <w:color w:val="auto"/>
        </w:rPr>
      </w:pPr>
    </w:p>
    <w:p>
      <w:pPr>
        <w:spacing w:after="0" w:line="297" w:lineRule="exact"/>
        <w:rPr>
          <w:sz w:val="24"/>
          <w:szCs w:val="24"/>
          <w:color w:val="auto"/>
        </w:rPr>
      </w:pPr>
    </w:p>
    <w:p>
      <w:pPr>
        <w:ind w:left="100" w:right="160"/>
        <w:spacing w:after="0" w:line="294" w:lineRule="auto"/>
        <w:rPr>
          <w:sz w:val="20"/>
          <w:szCs w:val="20"/>
          <w:color w:val="auto"/>
        </w:rPr>
      </w:pPr>
      <w:r>
        <w:rPr>
          <w:rFonts w:ascii="Arial" w:cs="Arial" w:eastAsia="Arial" w:hAnsi="Arial"/>
          <w:sz w:val="14"/>
          <w:szCs w:val="14"/>
          <w:b w:val="1"/>
          <w:bCs w:val="1"/>
          <w:color w:val="296DC1"/>
        </w:rPr>
        <w:t>Early redemption payment: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right="300"/>
        <w:spacing w:after="0" w:line="251" w:lineRule="auto"/>
        <w:rPr>
          <w:sz w:val="20"/>
          <w:szCs w:val="20"/>
          <w:color w:val="auto"/>
        </w:rPr>
      </w:pPr>
      <w:r>
        <w:rPr>
          <w:rFonts w:ascii="Arial" w:cs="Arial" w:eastAsia="Arial" w:hAnsi="Arial"/>
          <w:sz w:val="14"/>
          <w:szCs w:val="14"/>
          <w:color w:val="auto"/>
        </w:rPr>
        <w:t>JPMorgan Chase Financial Company LLC (“JPMorgan Financial”)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-1099185</wp:posOffset>
            </wp:positionH>
            <wp:positionV relativeFrom="paragraph">
              <wp:posOffset>-1905</wp:posOffset>
            </wp:positionV>
            <wp:extent cx="352298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22980" cy="10287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4"/>
          <w:szCs w:val="14"/>
          <w:color w:val="auto"/>
        </w:rPr>
        <w:t>JPMorgan Chase &amp; Co.</w:t>
      </w:r>
    </w:p>
    <w:p>
      <w:pPr>
        <w:spacing w:after="0" w:line="201" w:lineRule="auto"/>
        <w:rPr>
          <w:sz w:val="20"/>
          <w:szCs w:val="20"/>
          <w:color w:val="auto"/>
        </w:rPr>
      </w:pPr>
      <w:r>
        <w:rPr>
          <w:rFonts w:ascii="Arial" w:cs="Arial" w:eastAsia="Arial" w:hAnsi="Arial"/>
          <w:sz w:val="14"/>
          <w:szCs w:val="14"/>
          <w:color w:val="auto"/>
        </w:rPr>
        <w:t>EURO STOXX 50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(Bloomberg ticker: SX5E Index)</w:t>
      </w:r>
    </w:p>
    <w:p>
      <w:pPr>
        <w:spacing w:after="0" w:line="181" w:lineRule="auto"/>
        <w:rPr>
          <w:sz w:val="20"/>
          <w:szCs w:val="20"/>
          <w:color w:val="auto"/>
        </w:rPr>
      </w:pPr>
      <w:r>
        <w:rPr>
          <w:rFonts w:ascii="Arial" w:cs="Arial" w:eastAsia="Arial" w:hAnsi="Arial"/>
          <w:sz w:val="12"/>
          <w:szCs w:val="12"/>
          <w:color w:val="auto"/>
        </w:rPr>
        <w:t>(the “SX5E Index”), S&amp;P 500</w:t>
      </w:r>
      <w:r>
        <w:rPr>
          <w:rFonts w:ascii="Arial" w:cs="Arial" w:eastAsia="Arial" w:hAnsi="Arial"/>
          <w:sz w:val="18"/>
          <w:szCs w:val="18"/>
          <w:color w:val="auto"/>
          <w:vertAlign w:val="superscript"/>
        </w:rPr>
        <w:t>®</w:t>
      </w:r>
      <w:r>
        <w:rPr>
          <w:rFonts w:ascii="Arial" w:cs="Arial" w:eastAsia="Arial" w:hAnsi="Arial"/>
          <w:sz w:val="12"/>
          <w:szCs w:val="12"/>
          <w:color w:val="auto"/>
        </w:rPr>
        <w:t xml:space="preserve"> Index (Bloomberg ticker:</w:t>
      </w:r>
    </w:p>
    <w:p>
      <w:pPr>
        <w:spacing w:after="0" w:line="1" w:lineRule="exact"/>
        <w:rPr>
          <w:sz w:val="24"/>
          <w:szCs w:val="24"/>
          <w:color w:val="auto"/>
        </w:rPr>
      </w:pPr>
    </w:p>
    <w:p>
      <w:pPr>
        <w:ind w:right="80"/>
        <w:spacing w:after="0" w:line="209" w:lineRule="auto"/>
        <w:rPr>
          <w:sz w:val="20"/>
          <w:szCs w:val="20"/>
          <w:color w:val="auto"/>
        </w:rPr>
      </w:pPr>
      <w:r>
        <w:rPr>
          <w:rFonts w:ascii="Arial" w:cs="Arial" w:eastAsia="Arial" w:hAnsi="Arial"/>
          <w:sz w:val="14"/>
          <w:szCs w:val="14"/>
          <w:color w:val="auto"/>
        </w:rPr>
        <w:t>SPX Index) (the “SPX Index”) and TOPIX</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(Bloomberg ticker: TPX Index) (the “TPX Index”) (each, an “underlying index”)</w:t>
      </w:r>
    </w:p>
    <w:p>
      <w:pPr>
        <w:spacing w:after="0" w:line="2"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 xml:space="preserve">If, on any of the determination dates (other than the final determination date), the closing level of each underlying index is </w:t>
      </w:r>
      <w:r>
        <w:rPr>
          <w:rFonts w:ascii="Arial" w:cs="Arial" w:eastAsia="Arial" w:hAnsi="Arial"/>
          <w:sz w:val="13"/>
          <w:szCs w:val="13"/>
          <w:b w:val="1"/>
          <w:bCs w:val="1"/>
          <w:color w:val="auto"/>
        </w:rPr>
        <w:t>greater than or equal to</w:t>
      </w:r>
      <w:r>
        <w:rPr>
          <w:rFonts w:ascii="Arial" w:cs="Arial" w:eastAsia="Arial" w:hAnsi="Arial"/>
          <w:sz w:val="13"/>
          <w:szCs w:val="13"/>
          <w:color w:val="auto"/>
        </w:rPr>
        <w:t xml:space="preserve"> its initial index value, the securities will be automatically redeemed for a cash payment equal to the early redemption payment payable on the applicable redemption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-1099185</wp:posOffset>
            </wp:positionH>
            <wp:positionV relativeFrom="paragraph">
              <wp:posOffset>-477520</wp:posOffset>
            </wp:positionV>
            <wp:extent cx="35229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22980" cy="565785"/>
                    </a:xfrm>
                    <a:prstGeom prst="rect">
                      <a:avLst/>
                    </a:prstGeom>
                    <a:noFill/>
                  </pic:spPr>
                </pic:pic>
              </a:graphicData>
            </a:graphic>
          </wp:anchor>
        </w:drawing>
      </w:r>
    </w:p>
    <w:p>
      <w:pPr>
        <w:spacing w:after="0" w:line="131" w:lineRule="exact"/>
        <w:rPr>
          <w:sz w:val="24"/>
          <w:szCs w:val="24"/>
          <w:color w:val="auto"/>
        </w:rPr>
      </w:pPr>
    </w:p>
    <w:p>
      <w:pPr>
        <w:ind w:right="120"/>
        <w:spacing w:after="0" w:line="243" w:lineRule="auto"/>
        <w:rPr>
          <w:sz w:val="20"/>
          <w:szCs w:val="20"/>
          <w:color w:val="auto"/>
        </w:rPr>
      </w:pPr>
      <w:r>
        <w:rPr>
          <w:rFonts w:ascii="Arial" w:cs="Arial" w:eastAsia="Arial" w:hAnsi="Arial"/>
          <w:sz w:val="13"/>
          <w:szCs w:val="13"/>
          <w:color w:val="auto"/>
        </w:rPr>
        <w:t xml:space="preserve">The early redemption payment will be an amount equal to the stated principal amount </w:t>
      </w:r>
      <w:r>
        <w:rPr>
          <w:rFonts w:ascii="Arial" w:cs="Arial" w:eastAsia="Arial" w:hAnsi="Arial"/>
          <w:sz w:val="13"/>
          <w:szCs w:val="13"/>
          <w:i w:val="1"/>
          <w:iCs w:val="1"/>
          <w:color w:val="auto"/>
        </w:rPr>
        <w:t>plus</w:t>
      </w:r>
      <w:r>
        <w:rPr>
          <w:rFonts w:ascii="Arial" w:cs="Arial" w:eastAsia="Arial" w:hAnsi="Arial"/>
          <w:sz w:val="13"/>
          <w:szCs w:val="13"/>
          <w:color w:val="auto"/>
        </w:rPr>
        <w:t xml:space="preserve"> an amount in cash per stated principal amount corresponding to a return of at least approximately 14.20% per annum (or at least 14.20% for the first determination date and increasing by at least 3.55% for each subsequent determination date), as follows: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660" w:type="dxa"/>
            <w:vAlign w:val="bottom"/>
            <w:shd w:val="clear" w:color="auto" w:fill="DCEBF4"/>
          </w:tcPr>
          <w:p>
            <w:pPr>
              <w:ind w:left="100"/>
              <w:spacing w:after="0" w:line="154" w:lineRule="exact"/>
              <w:rPr>
                <w:sz w:val="20"/>
                <w:szCs w:val="20"/>
                <w:color w:val="auto"/>
              </w:rPr>
            </w:pPr>
            <w:r>
              <w:rPr>
                <w:rFonts w:ascii="Arial" w:cs="Arial" w:eastAsia="Arial" w:hAnsi="Arial"/>
                <w:sz w:val="14"/>
                <w:szCs w:val="14"/>
                <w:b w:val="1"/>
                <w:bCs w:val="1"/>
                <w:color w:val="296DC1"/>
              </w:rPr>
              <w:t>Worst performing</w:t>
            </w:r>
          </w:p>
        </w:tc>
        <w:tc>
          <w:tcPr>
            <w:tcW w:w="3880" w:type="dxa"/>
            <w:vAlign w:val="bottom"/>
            <w:shd w:val="clear" w:color="auto" w:fill="DCEBF4"/>
          </w:tcPr>
          <w:p>
            <w:pPr>
              <w:ind w:left="60"/>
              <w:spacing w:after="0" w:line="154" w:lineRule="exact"/>
              <w:rPr>
                <w:sz w:val="20"/>
                <w:szCs w:val="20"/>
                <w:color w:val="auto"/>
              </w:rPr>
            </w:pPr>
            <w:r>
              <w:rPr>
                <w:rFonts w:ascii="Arial" w:cs="Arial" w:eastAsia="Arial" w:hAnsi="Arial"/>
                <w:sz w:val="14"/>
                <w:szCs w:val="14"/>
                <w:color w:val="auto"/>
              </w:rPr>
              <w:t>The underlying index with the worst index performance</w:t>
            </w:r>
          </w:p>
        </w:tc>
      </w:tr>
      <w:tr>
        <w:trPr>
          <w:trHeight w:val="171"/>
        </w:trPr>
        <w:tc>
          <w:tcPr>
            <w:tcW w:w="16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underlying index:</w:t>
            </w:r>
          </w:p>
        </w:tc>
        <w:tc>
          <w:tcPr>
            <w:tcW w:w="3880" w:type="dxa"/>
            <w:vAlign w:val="bottom"/>
            <w:shd w:val="clear" w:color="auto" w:fill="DCEBF4"/>
          </w:tcPr>
          <w:p>
            <w:pPr>
              <w:ind w:left="60"/>
              <w:spacing w:after="0"/>
              <w:rPr>
                <w:sz w:val="20"/>
                <w:szCs w:val="20"/>
                <w:color w:val="auto"/>
              </w:rPr>
            </w:pPr>
            <w:r>
              <w:rPr>
                <w:rFonts w:ascii="Arial" w:cs="Arial" w:eastAsia="Arial" w:hAnsi="Arial"/>
                <w:sz w:val="14"/>
                <w:szCs w:val="14"/>
                <w:color w:val="auto"/>
              </w:rPr>
              <w:t>factor</w:t>
            </w:r>
          </w:p>
        </w:tc>
      </w:tr>
      <w:tr>
        <w:trPr>
          <w:trHeight w:val="153"/>
        </w:trPr>
        <w:tc>
          <w:tcPr>
            <w:tcW w:w="1660" w:type="dxa"/>
            <w:vAlign w:val="bottom"/>
          </w:tcPr>
          <w:p>
            <w:pPr>
              <w:ind w:left="100"/>
              <w:spacing w:after="0" w:line="153" w:lineRule="exact"/>
              <w:rPr>
                <w:sz w:val="20"/>
                <w:szCs w:val="20"/>
                <w:color w:val="auto"/>
              </w:rPr>
            </w:pPr>
            <w:r>
              <w:rPr>
                <w:rFonts w:ascii="Arial" w:cs="Arial" w:eastAsia="Arial" w:hAnsi="Arial"/>
                <w:sz w:val="14"/>
                <w:szCs w:val="14"/>
                <w:b w:val="1"/>
                <w:bCs w:val="1"/>
                <w:color w:val="296DC1"/>
              </w:rPr>
              <w:t>Index performance</w:t>
            </w:r>
          </w:p>
        </w:tc>
        <w:tc>
          <w:tcPr>
            <w:tcW w:w="3880" w:type="dxa"/>
            <w:vAlign w:val="bottom"/>
          </w:tcPr>
          <w:p>
            <w:pPr>
              <w:ind w:left="60"/>
              <w:spacing w:after="0" w:line="153" w:lineRule="exact"/>
              <w:rPr>
                <w:sz w:val="20"/>
                <w:szCs w:val="20"/>
                <w:color w:val="auto"/>
              </w:rPr>
            </w:pPr>
            <w:r>
              <w:rPr>
                <w:rFonts w:ascii="Arial" w:cs="Arial" w:eastAsia="Arial" w:hAnsi="Arial"/>
                <w:sz w:val="14"/>
                <w:szCs w:val="14"/>
                <w:color w:val="auto"/>
              </w:rPr>
              <w:t>With respect to each underlying index, its final index value</w:t>
            </w:r>
          </w:p>
        </w:tc>
      </w:tr>
      <w:tr>
        <w:trPr>
          <w:trHeight w:val="171"/>
        </w:trPr>
        <w:tc>
          <w:tcPr>
            <w:tcW w:w="1660" w:type="dxa"/>
            <w:vAlign w:val="bottom"/>
          </w:tcPr>
          <w:p>
            <w:pPr>
              <w:ind w:left="100"/>
              <w:spacing w:after="0"/>
              <w:rPr>
                <w:sz w:val="20"/>
                <w:szCs w:val="20"/>
                <w:color w:val="auto"/>
              </w:rPr>
            </w:pPr>
            <w:r>
              <w:rPr>
                <w:rFonts w:ascii="Arial" w:cs="Arial" w:eastAsia="Arial" w:hAnsi="Arial"/>
                <w:sz w:val="14"/>
                <w:szCs w:val="14"/>
                <w:b w:val="1"/>
                <w:bCs w:val="1"/>
                <w:color w:val="296DC1"/>
              </w:rPr>
              <w:t>factor:</w:t>
            </w:r>
          </w:p>
        </w:tc>
        <w:tc>
          <w:tcPr>
            <w:tcW w:w="3880" w:type="dxa"/>
            <w:vAlign w:val="bottom"/>
          </w:tcPr>
          <w:p>
            <w:pPr>
              <w:ind w:left="60"/>
              <w:spacing w:after="0"/>
              <w:rPr>
                <w:sz w:val="20"/>
                <w:szCs w:val="20"/>
                <w:color w:val="auto"/>
              </w:rPr>
            </w:pPr>
            <w:r>
              <w:rPr>
                <w:rFonts w:ascii="Arial" w:cs="Arial" w:eastAsia="Arial" w:hAnsi="Arial"/>
                <w:sz w:val="14"/>
                <w:szCs w:val="14"/>
                <w:i w:val="1"/>
                <w:iCs w:val="1"/>
                <w:color w:val="auto"/>
              </w:rPr>
              <w:t xml:space="preserve">divided by </w:t>
            </w:r>
            <w:r>
              <w:rPr>
                <w:rFonts w:ascii="Arial" w:cs="Arial" w:eastAsia="Arial" w:hAnsi="Arial"/>
                <w:sz w:val="14"/>
                <w:szCs w:val="14"/>
                <w:color w:val="auto"/>
              </w:rPr>
              <w:t>its initial index value</w:t>
            </w:r>
          </w:p>
        </w:tc>
      </w:tr>
      <w:tr>
        <w:trPr>
          <w:trHeight w:val="153"/>
        </w:trPr>
        <w:tc>
          <w:tcPr>
            <w:tcW w:w="1660" w:type="dxa"/>
            <w:vAlign w:val="bottom"/>
            <w:shd w:val="clear" w:color="auto" w:fill="DCEBF4"/>
          </w:tcPr>
          <w:p>
            <w:pPr>
              <w:ind w:left="100"/>
              <w:spacing w:after="0" w:line="153" w:lineRule="exact"/>
              <w:rPr>
                <w:sz w:val="20"/>
                <w:szCs w:val="20"/>
                <w:color w:val="auto"/>
              </w:rPr>
            </w:pPr>
            <w:r>
              <w:rPr>
                <w:rFonts w:ascii="Arial" w:cs="Arial" w:eastAsia="Arial" w:hAnsi="Arial"/>
                <w:sz w:val="14"/>
                <w:szCs w:val="14"/>
                <w:b w:val="1"/>
                <w:bCs w:val="1"/>
                <w:color w:val="296DC1"/>
              </w:rPr>
              <w:t>Stated principal</w:t>
            </w:r>
          </w:p>
        </w:tc>
        <w:tc>
          <w:tcPr>
            <w:tcW w:w="3880" w:type="dxa"/>
            <w:vAlign w:val="bottom"/>
            <w:shd w:val="clear" w:color="auto" w:fill="DCEBF4"/>
          </w:tcPr>
          <w:p>
            <w:pPr>
              <w:ind w:left="60"/>
              <w:spacing w:after="0" w:line="153" w:lineRule="exact"/>
              <w:rPr>
                <w:sz w:val="20"/>
                <w:szCs w:val="20"/>
                <w:color w:val="auto"/>
              </w:rPr>
            </w:pPr>
            <w:r>
              <w:rPr>
                <w:rFonts w:ascii="Arial" w:cs="Arial" w:eastAsia="Arial" w:hAnsi="Arial"/>
                <w:sz w:val="14"/>
                <w:szCs w:val="14"/>
                <w:color w:val="auto"/>
              </w:rPr>
              <w:t>$1,000 per security</w:t>
            </w:r>
          </w:p>
        </w:tc>
      </w:tr>
      <w:tr>
        <w:trPr>
          <w:trHeight w:val="171"/>
        </w:trPr>
        <w:tc>
          <w:tcPr>
            <w:tcW w:w="16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amount:</w:t>
            </w:r>
          </w:p>
        </w:tc>
        <w:tc>
          <w:tcPr>
            <w:tcW w:w="3880" w:type="dxa"/>
            <w:vAlign w:val="bottom"/>
            <w:shd w:val="clear" w:color="auto" w:fill="DCEBF4"/>
          </w:tcPr>
          <w:p>
            <w:pPr>
              <w:spacing w:after="0"/>
              <w:rPr>
                <w:sz w:val="14"/>
                <w:szCs w:val="14"/>
                <w:color w:val="auto"/>
              </w:rPr>
            </w:pPr>
          </w:p>
        </w:tc>
      </w:tr>
      <w:tr>
        <w:trPr>
          <w:trHeight w:val="162"/>
        </w:trPr>
        <w:tc>
          <w:tcPr>
            <w:tcW w:w="1660" w:type="dxa"/>
            <w:vAlign w:val="bottom"/>
          </w:tcPr>
          <w:p>
            <w:pPr>
              <w:ind w:left="100"/>
              <w:spacing w:after="0"/>
              <w:rPr>
                <w:sz w:val="20"/>
                <w:szCs w:val="20"/>
                <w:color w:val="auto"/>
              </w:rPr>
            </w:pPr>
            <w:r>
              <w:rPr>
                <w:rFonts w:ascii="Arial" w:cs="Arial" w:eastAsia="Arial" w:hAnsi="Arial"/>
                <w:sz w:val="14"/>
                <w:szCs w:val="14"/>
                <w:b w:val="1"/>
                <w:bCs w:val="1"/>
                <w:color w:val="296DC1"/>
              </w:rPr>
              <w:t>Issue price:</w:t>
            </w:r>
          </w:p>
        </w:tc>
        <w:tc>
          <w:tcPr>
            <w:tcW w:w="3880" w:type="dxa"/>
            <w:vAlign w:val="bottom"/>
          </w:tcPr>
          <w:p>
            <w:pPr>
              <w:ind w:left="60"/>
              <w:spacing w:after="0"/>
              <w:rPr>
                <w:sz w:val="20"/>
                <w:szCs w:val="20"/>
                <w:color w:val="auto"/>
              </w:rPr>
            </w:pPr>
            <w:r>
              <w:rPr>
                <w:rFonts w:ascii="Arial" w:cs="Arial" w:eastAsia="Arial" w:hAnsi="Arial"/>
                <w:sz w:val="14"/>
                <w:szCs w:val="14"/>
                <w:color w:val="auto"/>
              </w:rPr>
              <w:t>$1,000 per security</w:t>
            </w:r>
          </w:p>
        </w:tc>
      </w:tr>
      <w:tr>
        <w:trPr>
          <w:trHeight w:val="162"/>
        </w:trPr>
        <w:tc>
          <w:tcPr>
            <w:tcW w:w="16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Pricing date:</w:t>
            </w:r>
          </w:p>
        </w:tc>
        <w:tc>
          <w:tcPr>
            <w:tcW w:w="3880" w:type="dxa"/>
            <w:vAlign w:val="bottom"/>
            <w:shd w:val="clear" w:color="auto" w:fill="DCEBF4"/>
          </w:tcPr>
          <w:p>
            <w:pPr>
              <w:ind w:left="60"/>
              <w:spacing w:after="0"/>
              <w:rPr>
                <w:sz w:val="20"/>
                <w:szCs w:val="20"/>
                <w:color w:val="auto"/>
              </w:rPr>
            </w:pPr>
            <w:r>
              <w:rPr>
                <w:rFonts w:ascii="Arial" w:cs="Arial" w:eastAsia="Arial" w:hAnsi="Arial"/>
                <w:sz w:val="14"/>
                <w:szCs w:val="14"/>
                <w:color w:val="auto"/>
              </w:rPr>
              <w:t>Expected to be October 30, 2026</w:t>
            </w:r>
          </w:p>
        </w:tc>
      </w:tr>
      <w:tr>
        <w:trPr>
          <w:trHeight w:val="153"/>
        </w:trPr>
        <w:tc>
          <w:tcPr>
            <w:tcW w:w="1660" w:type="dxa"/>
            <w:vAlign w:val="bottom"/>
          </w:tcPr>
          <w:p>
            <w:pPr>
              <w:ind w:left="100"/>
              <w:spacing w:after="0" w:line="153" w:lineRule="exact"/>
              <w:rPr>
                <w:sz w:val="20"/>
                <w:szCs w:val="20"/>
                <w:color w:val="auto"/>
              </w:rPr>
            </w:pPr>
            <w:r>
              <w:rPr>
                <w:rFonts w:ascii="Arial" w:cs="Arial" w:eastAsia="Arial" w:hAnsi="Arial"/>
                <w:sz w:val="14"/>
                <w:szCs w:val="14"/>
                <w:b w:val="1"/>
                <w:bCs w:val="1"/>
                <w:color w:val="296DC1"/>
              </w:rPr>
              <w:t>Original issue date</w:t>
            </w:r>
          </w:p>
        </w:tc>
        <w:tc>
          <w:tcPr>
            <w:tcW w:w="3880" w:type="dxa"/>
            <w:vAlign w:val="bottom"/>
          </w:tcPr>
          <w:p>
            <w:pPr>
              <w:ind w:left="60"/>
              <w:spacing w:after="0" w:line="153" w:lineRule="exact"/>
              <w:rPr>
                <w:sz w:val="20"/>
                <w:szCs w:val="20"/>
                <w:color w:val="auto"/>
              </w:rPr>
            </w:pPr>
            <w:r>
              <w:rPr>
                <w:rFonts w:ascii="Arial" w:cs="Arial" w:eastAsia="Arial" w:hAnsi="Arial"/>
                <w:sz w:val="14"/>
                <w:szCs w:val="14"/>
                <w:color w:val="auto"/>
              </w:rPr>
              <w:t>3 business days after the pricing date</w:t>
            </w:r>
          </w:p>
        </w:tc>
      </w:tr>
      <w:tr>
        <w:trPr>
          <w:trHeight w:val="171"/>
        </w:trPr>
        <w:tc>
          <w:tcPr>
            <w:tcW w:w="1660" w:type="dxa"/>
            <w:vAlign w:val="bottom"/>
          </w:tcPr>
          <w:p>
            <w:pPr>
              <w:ind w:left="100"/>
              <w:spacing w:after="0"/>
              <w:rPr>
                <w:sz w:val="20"/>
                <w:szCs w:val="20"/>
                <w:color w:val="auto"/>
              </w:rPr>
            </w:pPr>
            <w:r>
              <w:rPr>
                <w:rFonts w:ascii="Arial" w:cs="Arial" w:eastAsia="Arial" w:hAnsi="Arial"/>
                <w:sz w:val="14"/>
                <w:szCs w:val="14"/>
                <w:b w:val="1"/>
                <w:bCs w:val="1"/>
                <w:color w:val="296DC1"/>
              </w:rPr>
              <w:t>(settlement date):</w:t>
            </w:r>
          </w:p>
        </w:tc>
        <w:tc>
          <w:tcPr>
            <w:tcW w:w="3880" w:type="dxa"/>
            <w:vAlign w:val="bottom"/>
          </w:tcPr>
          <w:p>
            <w:pPr>
              <w:spacing w:after="0"/>
              <w:rPr>
                <w:sz w:val="14"/>
                <w:szCs w:val="14"/>
                <w:color w:val="auto"/>
              </w:rPr>
            </w:pPr>
          </w:p>
        </w:tc>
      </w:tr>
      <w:tr>
        <w:trPr>
          <w:trHeight w:val="162"/>
        </w:trPr>
        <w:tc>
          <w:tcPr>
            <w:tcW w:w="1660" w:type="dxa"/>
            <w:vAlign w:val="bottom"/>
            <w:shd w:val="clear" w:color="auto" w:fill="DCEBF4"/>
          </w:tcPr>
          <w:p>
            <w:pPr>
              <w:ind w:left="100"/>
              <w:spacing w:after="0" w:line="162" w:lineRule="exact"/>
              <w:rPr>
                <w:sz w:val="20"/>
                <w:szCs w:val="20"/>
                <w:color w:val="auto"/>
              </w:rPr>
            </w:pPr>
            <w:r>
              <w:rPr>
                <w:rFonts w:ascii="Arial" w:cs="Arial" w:eastAsia="Arial" w:hAnsi="Arial"/>
                <w:sz w:val="12"/>
                <w:szCs w:val="12"/>
                <w:b w:val="1"/>
                <w:bCs w:val="1"/>
                <w:color w:val="296DC1"/>
              </w:rPr>
              <w:t>Determination dates</w:t>
            </w:r>
            <w:r>
              <w:rPr>
                <w:rFonts w:ascii="Arial" w:cs="Arial" w:eastAsia="Arial" w:hAnsi="Arial"/>
                <w:sz w:val="18"/>
                <w:szCs w:val="18"/>
                <w:b w:val="1"/>
                <w:bCs w:val="1"/>
                <w:color w:val="296DC1"/>
                <w:vertAlign w:val="superscript"/>
              </w:rPr>
              <w:t>†</w:t>
            </w:r>
            <w:r>
              <w:rPr>
                <w:rFonts w:ascii="Arial" w:cs="Arial" w:eastAsia="Arial" w:hAnsi="Arial"/>
                <w:sz w:val="12"/>
                <w:szCs w:val="12"/>
                <w:b w:val="1"/>
                <w:bCs w:val="1"/>
                <w:color w:val="296DC1"/>
              </w:rPr>
              <w:t>:</w:t>
            </w:r>
          </w:p>
        </w:tc>
        <w:tc>
          <w:tcPr>
            <w:tcW w:w="3880" w:type="dxa"/>
            <w:vAlign w:val="bottom"/>
            <w:shd w:val="clear" w:color="auto" w:fill="DCEBF4"/>
          </w:tcPr>
          <w:p>
            <w:pPr>
              <w:ind w:left="60"/>
              <w:spacing w:after="0"/>
              <w:rPr>
                <w:sz w:val="20"/>
                <w:szCs w:val="20"/>
                <w:color w:val="auto"/>
              </w:rPr>
            </w:pPr>
            <w:r>
              <w:rPr>
                <w:rFonts w:ascii="Arial" w:cs="Arial" w:eastAsia="Arial" w:hAnsi="Arial"/>
                <w:sz w:val="14"/>
                <w:szCs w:val="14"/>
                <w:color w:val="auto"/>
              </w:rPr>
              <w:t>November 8, 2027, January 31, 2028, May 2, 2028, July</w:t>
            </w:r>
          </w:p>
        </w:tc>
      </w:tr>
      <w:tr>
        <w:trPr>
          <w:trHeight w:val="153"/>
        </w:trPr>
        <w:tc>
          <w:tcPr>
            <w:tcW w:w="1660" w:type="dxa"/>
            <w:vAlign w:val="bottom"/>
            <w:shd w:val="clear" w:color="auto" w:fill="DCEBF4"/>
          </w:tcPr>
          <w:p>
            <w:pPr>
              <w:spacing w:after="0"/>
              <w:rPr>
                <w:sz w:val="13"/>
                <w:szCs w:val="13"/>
                <w:color w:val="auto"/>
              </w:rPr>
            </w:pPr>
          </w:p>
        </w:tc>
        <w:tc>
          <w:tcPr>
            <w:tcW w:w="3880" w:type="dxa"/>
            <w:vAlign w:val="bottom"/>
            <w:shd w:val="clear" w:color="auto" w:fill="DCEBF4"/>
          </w:tcPr>
          <w:p>
            <w:pPr>
              <w:ind w:left="60"/>
              <w:spacing w:after="0" w:line="153" w:lineRule="exact"/>
              <w:rPr>
                <w:sz w:val="20"/>
                <w:szCs w:val="20"/>
                <w:color w:val="auto"/>
              </w:rPr>
            </w:pPr>
            <w:r>
              <w:rPr>
                <w:rFonts w:ascii="Arial" w:cs="Arial" w:eastAsia="Arial" w:hAnsi="Arial"/>
                <w:sz w:val="14"/>
                <w:szCs w:val="14"/>
                <w:color w:val="auto"/>
              </w:rPr>
              <w:t>31, 2028, October 30, 2028, January 30, 2029, May 2,</w:t>
            </w:r>
          </w:p>
        </w:tc>
      </w:tr>
      <w:tr>
        <w:trPr>
          <w:trHeight w:val="162"/>
        </w:trPr>
        <w:tc>
          <w:tcPr>
            <w:tcW w:w="1660" w:type="dxa"/>
            <w:vAlign w:val="bottom"/>
            <w:shd w:val="clear" w:color="auto" w:fill="DCEBF4"/>
          </w:tcPr>
          <w:p>
            <w:pPr>
              <w:spacing w:after="0"/>
              <w:rPr>
                <w:sz w:val="14"/>
                <w:szCs w:val="14"/>
                <w:color w:val="auto"/>
              </w:rPr>
            </w:pPr>
          </w:p>
        </w:tc>
        <w:tc>
          <w:tcPr>
            <w:tcW w:w="3880" w:type="dxa"/>
            <w:vAlign w:val="bottom"/>
            <w:shd w:val="clear" w:color="auto" w:fill="DCEBF4"/>
          </w:tcPr>
          <w:p>
            <w:pPr>
              <w:ind w:left="60"/>
              <w:spacing w:after="0"/>
              <w:rPr>
                <w:sz w:val="20"/>
                <w:szCs w:val="20"/>
                <w:color w:val="auto"/>
              </w:rPr>
            </w:pPr>
            <w:r>
              <w:rPr>
                <w:rFonts w:ascii="Arial" w:cs="Arial" w:eastAsia="Arial" w:hAnsi="Arial"/>
                <w:sz w:val="14"/>
                <w:szCs w:val="14"/>
                <w:color w:val="auto"/>
              </w:rPr>
              <w:t>2029, July 30, 2029, October 30, 2029, January 30, 2030,</w:t>
            </w:r>
          </w:p>
        </w:tc>
      </w:tr>
      <w:tr>
        <w:trPr>
          <w:trHeight w:val="162"/>
        </w:trPr>
        <w:tc>
          <w:tcPr>
            <w:tcW w:w="1660" w:type="dxa"/>
            <w:vAlign w:val="bottom"/>
            <w:shd w:val="clear" w:color="auto" w:fill="DCEBF4"/>
          </w:tcPr>
          <w:p>
            <w:pPr>
              <w:spacing w:after="0"/>
              <w:rPr>
                <w:sz w:val="14"/>
                <w:szCs w:val="14"/>
                <w:color w:val="auto"/>
              </w:rPr>
            </w:pPr>
          </w:p>
        </w:tc>
        <w:tc>
          <w:tcPr>
            <w:tcW w:w="3880" w:type="dxa"/>
            <w:vAlign w:val="bottom"/>
            <w:shd w:val="clear" w:color="auto" w:fill="DCEBF4"/>
          </w:tcPr>
          <w:p>
            <w:pPr>
              <w:ind w:left="60"/>
              <w:spacing w:after="0"/>
              <w:rPr>
                <w:sz w:val="20"/>
                <w:szCs w:val="20"/>
                <w:color w:val="auto"/>
              </w:rPr>
            </w:pPr>
            <w:r>
              <w:rPr>
                <w:rFonts w:ascii="Arial" w:cs="Arial" w:eastAsia="Arial" w:hAnsi="Arial"/>
                <w:sz w:val="14"/>
                <w:szCs w:val="14"/>
                <w:color w:val="auto"/>
              </w:rPr>
              <w:t>April 30, 2030, July 30, 2030, October 30, 2030, January</w:t>
            </w:r>
          </w:p>
        </w:tc>
      </w:tr>
      <w:tr>
        <w:trPr>
          <w:trHeight w:val="162"/>
        </w:trPr>
        <w:tc>
          <w:tcPr>
            <w:tcW w:w="1660" w:type="dxa"/>
            <w:vAlign w:val="bottom"/>
            <w:shd w:val="clear" w:color="auto" w:fill="DCEBF4"/>
          </w:tcPr>
          <w:p>
            <w:pPr>
              <w:spacing w:after="0"/>
              <w:rPr>
                <w:sz w:val="14"/>
                <w:szCs w:val="14"/>
                <w:color w:val="auto"/>
              </w:rPr>
            </w:pPr>
          </w:p>
        </w:tc>
        <w:tc>
          <w:tcPr>
            <w:tcW w:w="3880" w:type="dxa"/>
            <w:vAlign w:val="bottom"/>
            <w:shd w:val="clear" w:color="auto" w:fill="DCEBF4"/>
          </w:tcPr>
          <w:p>
            <w:pPr>
              <w:ind w:left="60"/>
              <w:spacing w:after="0"/>
              <w:rPr>
                <w:sz w:val="20"/>
                <w:szCs w:val="20"/>
                <w:color w:val="auto"/>
              </w:rPr>
            </w:pPr>
            <w:r>
              <w:rPr>
                <w:rFonts w:ascii="Arial" w:cs="Arial" w:eastAsia="Arial" w:hAnsi="Arial"/>
                <w:sz w:val="14"/>
                <w:szCs w:val="14"/>
                <w:color w:val="auto"/>
              </w:rPr>
              <w:t>30, 2031, April 30, 2031, July 30, 2031, October 30, 2031,</w:t>
            </w:r>
          </w:p>
        </w:tc>
      </w:tr>
      <w:tr>
        <w:trPr>
          <w:trHeight w:val="162"/>
        </w:trPr>
        <w:tc>
          <w:tcPr>
            <w:tcW w:w="1660" w:type="dxa"/>
            <w:vAlign w:val="bottom"/>
            <w:shd w:val="clear" w:color="auto" w:fill="DCEBF4"/>
          </w:tcPr>
          <w:p>
            <w:pPr>
              <w:spacing w:after="0"/>
              <w:rPr>
                <w:sz w:val="14"/>
                <w:szCs w:val="14"/>
                <w:color w:val="auto"/>
              </w:rPr>
            </w:pPr>
          </w:p>
        </w:tc>
        <w:tc>
          <w:tcPr>
            <w:tcW w:w="3880" w:type="dxa"/>
            <w:vAlign w:val="bottom"/>
            <w:shd w:val="clear" w:color="auto" w:fill="DCEBF4"/>
          </w:tcPr>
          <w:p>
            <w:pPr>
              <w:ind w:left="60"/>
              <w:spacing w:after="0"/>
              <w:rPr>
                <w:sz w:val="20"/>
                <w:szCs w:val="20"/>
                <w:color w:val="auto"/>
              </w:rPr>
            </w:pPr>
            <w:r>
              <w:rPr>
                <w:rFonts w:ascii="Arial" w:cs="Arial" w:eastAsia="Arial" w:hAnsi="Arial"/>
                <w:sz w:val="14"/>
                <w:szCs w:val="14"/>
                <w:color w:val="auto"/>
              </w:rPr>
              <w:t>January 30, 2032, April 30, 2032, July 30, 2032 and</w:t>
            </w:r>
          </w:p>
        </w:tc>
      </w:tr>
      <w:tr>
        <w:trPr>
          <w:trHeight w:val="171"/>
        </w:trPr>
        <w:tc>
          <w:tcPr>
            <w:tcW w:w="1660" w:type="dxa"/>
            <w:vAlign w:val="bottom"/>
            <w:shd w:val="clear" w:color="auto" w:fill="DCEBF4"/>
          </w:tcPr>
          <w:p>
            <w:pPr>
              <w:spacing w:after="0"/>
              <w:rPr>
                <w:sz w:val="14"/>
                <w:szCs w:val="14"/>
                <w:color w:val="auto"/>
              </w:rPr>
            </w:pPr>
          </w:p>
        </w:tc>
        <w:tc>
          <w:tcPr>
            <w:tcW w:w="3880" w:type="dxa"/>
            <w:vAlign w:val="bottom"/>
            <w:shd w:val="clear" w:color="auto" w:fill="DCEBF4"/>
          </w:tcPr>
          <w:p>
            <w:pPr>
              <w:ind w:left="60"/>
              <w:spacing w:after="0"/>
              <w:rPr>
                <w:sz w:val="20"/>
                <w:szCs w:val="20"/>
                <w:color w:val="auto"/>
              </w:rPr>
            </w:pPr>
            <w:r>
              <w:rPr>
                <w:rFonts w:ascii="Arial" w:cs="Arial" w:eastAsia="Arial" w:hAnsi="Arial"/>
                <w:sz w:val="14"/>
                <w:szCs w:val="14"/>
                <w:color w:val="auto"/>
              </w:rPr>
              <w:t>November 1, 2032 (the final determination date)</w:t>
            </w:r>
          </w:p>
        </w:tc>
      </w:tr>
      <w:tr>
        <w:trPr>
          <w:trHeight w:val="162"/>
        </w:trPr>
        <w:tc>
          <w:tcPr>
            <w:tcW w:w="1660" w:type="dxa"/>
            <w:vAlign w:val="bottom"/>
          </w:tcPr>
          <w:p>
            <w:pPr>
              <w:ind w:left="100"/>
              <w:spacing w:after="0" w:line="162" w:lineRule="exact"/>
              <w:rPr>
                <w:sz w:val="20"/>
                <w:szCs w:val="20"/>
                <w:color w:val="auto"/>
              </w:rPr>
            </w:pPr>
            <w:r>
              <w:rPr>
                <w:rFonts w:ascii="Arial" w:cs="Arial" w:eastAsia="Arial" w:hAnsi="Arial"/>
                <w:sz w:val="12"/>
                <w:szCs w:val="12"/>
                <w:b w:val="1"/>
                <w:bCs w:val="1"/>
                <w:color w:val="296DC1"/>
              </w:rPr>
              <w:t>Redemption dates</w:t>
            </w:r>
            <w:r>
              <w:rPr>
                <w:rFonts w:ascii="Arial" w:cs="Arial" w:eastAsia="Arial" w:hAnsi="Arial"/>
                <w:sz w:val="18"/>
                <w:szCs w:val="18"/>
                <w:b w:val="1"/>
                <w:bCs w:val="1"/>
                <w:color w:val="296DC1"/>
                <w:vertAlign w:val="superscript"/>
              </w:rPr>
              <w:t>†</w:t>
            </w:r>
            <w:r>
              <w:rPr>
                <w:rFonts w:ascii="Arial" w:cs="Arial" w:eastAsia="Arial" w:hAnsi="Arial"/>
                <w:sz w:val="12"/>
                <w:szCs w:val="12"/>
                <w:b w:val="1"/>
                <w:bCs w:val="1"/>
                <w:color w:val="296DC1"/>
              </w:rPr>
              <w:t>:</w:t>
            </w:r>
          </w:p>
        </w:tc>
        <w:tc>
          <w:tcPr>
            <w:tcW w:w="3880" w:type="dxa"/>
            <w:vAlign w:val="bottom"/>
          </w:tcPr>
          <w:p>
            <w:pPr>
              <w:ind w:left="60"/>
              <w:spacing w:after="0"/>
              <w:rPr>
                <w:sz w:val="20"/>
                <w:szCs w:val="20"/>
                <w:color w:val="auto"/>
              </w:rPr>
            </w:pPr>
            <w:r>
              <w:rPr>
                <w:rFonts w:ascii="Arial" w:cs="Arial" w:eastAsia="Arial" w:hAnsi="Arial"/>
                <w:sz w:val="14"/>
                <w:szCs w:val="14"/>
                <w:color w:val="auto"/>
              </w:rPr>
              <w:t>November 12, 2027, February 3, 2028, May 5, 2028,</w:t>
            </w:r>
          </w:p>
        </w:tc>
      </w:tr>
      <w:tr>
        <w:trPr>
          <w:trHeight w:val="153"/>
        </w:trPr>
        <w:tc>
          <w:tcPr>
            <w:tcW w:w="1660" w:type="dxa"/>
            <w:vAlign w:val="bottom"/>
          </w:tcPr>
          <w:p>
            <w:pPr>
              <w:spacing w:after="0"/>
              <w:rPr>
                <w:sz w:val="13"/>
                <w:szCs w:val="13"/>
                <w:color w:val="auto"/>
              </w:rPr>
            </w:pPr>
          </w:p>
        </w:tc>
        <w:tc>
          <w:tcPr>
            <w:tcW w:w="3880" w:type="dxa"/>
            <w:vAlign w:val="bottom"/>
          </w:tcPr>
          <w:p>
            <w:pPr>
              <w:ind w:left="60"/>
              <w:spacing w:after="0" w:line="153" w:lineRule="exact"/>
              <w:rPr>
                <w:sz w:val="20"/>
                <w:szCs w:val="20"/>
                <w:color w:val="auto"/>
              </w:rPr>
            </w:pPr>
            <w:r>
              <w:rPr>
                <w:rFonts w:ascii="Arial" w:cs="Arial" w:eastAsia="Arial" w:hAnsi="Arial"/>
                <w:sz w:val="14"/>
                <w:szCs w:val="14"/>
                <w:color w:val="auto"/>
              </w:rPr>
              <w:t>August 3, 2028, November 2, 2028, February 2, 2029, May</w:t>
            </w:r>
          </w:p>
        </w:tc>
      </w:tr>
      <w:tr>
        <w:trPr>
          <w:trHeight w:val="162"/>
        </w:trPr>
        <w:tc>
          <w:tcPr>
            <w:tcW w:w="1660" w:type="dxa"/>
            <w:vAlign w:val="bottom"/>
          </w:tcPr>
          <w:p>
            <w:pPr>
              <w:spacing w:after="0"/>
              <w:rPr>
                <w:sz w:val="14"/>
                <w:szCs w:val="14"/>
                <w:color w:val="auto"/>
              </w:rPr>
            </w:pPr>
          </w:p>
        </w:tc>
        <w:tc>
          <w:tcPr>
            <w:tcW w:w="3880" w:type="dxa"/>
            <w:vAlign w:val="bottom"/>
          </w:tcPr>
          <w:p>
            <w:pPr>
              <w:ind w:left="60"/>
              <w:spacing w:after="0"/>
              <w:rPr>
                <w:sz w:val="20"/>
                <w:szCs w:val="20"/>
                <w:color w:val="auto"/>
              </w:rPr>
            </w:pPr>
            <w:r>
              <w:rPr>
                <w:rFonts w:ascii="Arial" w:cs="Arial" w:eastAsia="Arial" w:hAnsi="Arial"/>
                <w:sz w:val="14"/>
                <w:szCs w:val="14"/>
                <w:color w:val="auto"/>
              </w:rPr>
              <w:t>7, 2029, August 2, 2029, November 2, 2029, February 4,</w:t>
            </w:r>
          </w:p>
        </w:tc>
      </w:tr>
      <w:tr>
        <w:trPr>
          <w:trHeight w:val="144"/>
        </w:trPr>
        <w:tc>
          <w:tcPr>
            <w:tcW w:w="1660" w:type="dxa"/>
            <w:vAlign w:val="bottom"/>
          </w:tcPr>
          <w:p>
            <w:pPr>
              <w:spacing w:after="0"/>
              <w:rPr>
                <w:sz w:val="12"/>
                <w:szCs w:val="12"/>
                <w:color w:val="auto"/>
              </w:rPr>
            </w:pPr>
          </w:p>
        </w:tc>
        <w:tc>
          <w:tcPr>
            <w:tcW w:w="3880" w:type="dxa"/>
            <w:vAlign w:val="bottom"/>
          </w:tcPr>
          <w:p>
            <w:pPr>
              <w:ind w:left="60"/>
              <w:spacing w:after="0" w:line="144" w:lineRule="exact"/>
              <w:rPr>
                <w:sz w:val="20"/>
                <w:szCs w:val="20"/>
                <w:color w:val="auto"/>
              </w:rPr>
            </w:pPr>
            <w:r>
              <w:rPr>
                <w:rFonts w:ascii="Arial" w:cs="Arial" w:eastAsia="Arial" w:hAnsi="Arial"/>
                <w:sz w:val="14"/>
                <w:szCs w:val="14"/>
                <w:color w:val="auto"/>
              </w:rPr>
              <w:t>2030, May 3, 2030, August 2, 2030, November 4, 2030,</w:t>
            </w:r>
          </w:p>
        </w:tc>
      </w:tr>
    </w:tbl>
    <w:p>
      <w:pPr>
        <w:spacing w:after="0" w:line="1" w:lineRule="exact"/>
        <w:rPr>
          <w:sz w:val="24"/>
          <w:szCs w:val="24"/>
          <w:color w:val="auto"/>
        </w:rPr>
      </w:pPr>
    </w:p>
    <w:p>
      <w:pPr>
        <w:sectPr>
          <w:pgSz w:w="11900" w:h="16838" w:orient="portrait"/>
          <w:cols w:equalWidth="0" w:num="3">
            <w:col w:w="1440" w:space="300"/>
            <w:col w:w="3780" w:space="160"/>
            <w:col w:w="5560"/>
          </w:cols>
          <w:pgMar w:left="320" w:top="219" w:right="33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1740" w:type="dxa"/>
            <w:vAlign w:val="bottom"/>
          </w:tcPr>
          <w:p>
            <w:pPr>
              <w:spacing w:after="0"/>
              <w:rPr>
                <w:sz w:val="15"/>
                <w:szCs w:val="15"/>
                <w:color w:val="auto"/>
              </w:rPr>
            </w:pPr>
          </w:p>
        </w:tc>
        <w:tc>
          <w:tcPr>
            <w:tcW w:w="1540" w:type="dxa"/>
            <w:vAlign w:val="bottom"/>
            <w:gridSpan w:val="2"/>
          </w:tcPr>
          <w:p>
            <w:pPr>
              <w:spacing w:after="0" w:line="177" w:lineRule="exact"/>
              <w:rPr>
                <w:sz w:val="20"/>
                <w:szCs w:val="20"/>
                <w:color w:val="auto"/>
              </w:rPr>
            </w:pPr>
            <w:r>
              <w:rPr>
                <w:rFonts w:ascii="Arial" w:cs="Arial" w:eastAsia="Arial" w:hAnsi="Arial"/>
                <w:sz w:val="12"/>
                <w:szCs w:val="12"/>
                <w:color w:val="auto"/>
              </w:rPr>
              <w:t>1</w:t>
            </w:r>
            <w:r>
              <w:rPr>
                <w:rFonts w:ascii="Arial" w:cs="Arial" w:eastAsia="Arial" w:hAnsi="Arial"/>
                <w:sz w:val="20"/>
                <w:szCs w:val="20"/>
                <w:color w:val="auto"/>
                <w:vertAlign w:val="superscript"/>
              </w:rPr>
              <w:t>st</w:t>
            </w:r>
            <w:r>
              <w:rPr>
                <w:rFonts w:ascii="Arial" w:cs="Arial" w:eastAsia="Arial" w:hAnsi="Arial"/>
                <w:sz w:val="12"/>
                <w:szCs w:val="12"/>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$1,142.00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$1,177.50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3</w:t>
            </w:r>
            <w:r>
              <w:rPr>
                <w:rFonts w:ascii="Arial" w:cs="Arial" w:eastAsia="Arial" w:hAnsi="Arial"/>
                <w:sz w:val="21"/>
                <w:szCs w:val="21"/>
                <w:color w:val="auto"/>
                <w:vertAlign w:val="superscript"/>
              </w:rPr>
              <w:t>rd</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$1,213.00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$1,248.50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$1,284.00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6</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$1,319.50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7</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$1,355.00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$1,390.50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9</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$1,426.00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10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$1,461.50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11</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$1,497.00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12</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$1,532.50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13</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$1,568.00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14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$1,603.50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15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$1,639.00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16</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$1,674.50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17</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$1,710.00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18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$1,745.50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19</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$1,781.00</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540" w:type="dxa"/>
            <w:vAlign w:val="bottom"/>
            <w:gridSpan w:val="2"/>
          </w:tcPr>
          <w:p>
            <w:pPr>
              <w:spacing w:after="0" w:line="189" w:lineRule="exact"/>
              <w:rPr>
                <w:sz w:val="20"/>
                <w:szCs w:val="20"/>
                <w:color w:val="auto"/>
              </w:rPr>
            </w:pPr>
            <w:r>
              <w:rPr>
                <w:rFonts w:ascii="Arial" w:cs="Arial" w:eastAsia="Arial" w:hAnsi="Arial"/>
                <w:sz w:val="13"/>
                <w:szCs w:val="13"/>
                <w:color w:val="auto"/>
              </w:rPr>
              <w:t>20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determination date:</w:t>
            </w:r>
          </w:p>
        </w:tc>
        <w:tc>
          <w:tcPr>
            <w:tcW w:w="2280" w:type="dxa"/>
            <w:vAlign w:val="bottom"/>
          </w:tcPr>
          <w:p>
            <w:pPr>
              <w:jc w:val="center"/>
              <w:ind w:right="553"/>
              <w:spacing w:after="0"/>
              <w:rPr>
                <w:sz w:val="20"/>
                <w:szCs w:val="20"/>
                <w:color w:val="auto"/>
              </w:rPr>
            </w:pPr>
            <w:r>
              <w:rPr>
                <w:rFonts w:ascii="Arial" w:cs="Arial" w:eastAsia="Arial" w:hAnsi="Arial"/>
                <w:sz w:val="13"/>
                <w:szCs w:val="13"/>
                <w:color w:val="auto"/>
              </w:rPr>
              <w:t>at least $1,816.50</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3820" w:type="dxa"/>
            <w:vAlign w:val="bottom"/>
            <w:gridSpan w:val="3"/>
          </w:tcPr>
          <w:p>
            <w:pPr>
              <w:spacing w:after="0"/>
              <w:rPr>
                <w:sz w:val="20"/>
                <w:szCs w:val="20"/>
                <w:color w:val="auto"/>
              </w:rPr>
            </w:pPr>
            <w:r>
              <w:rPr>
                <w:rFonts w:ascii="Arial" w:cs="Arial" w:eastAsia="Arial" w:hAnsi="Arial"/>
                <w:sz w:val="13"/>
                <w:szCs w:val="13"/>
                <w:color w:val="auto"/>
              </w:rPr>
              <w:t>The actual early redemption payment with respect to each</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3820" w:type="dxa"/>
            <w:vAlign w:val="bottom"/>
            <w:gridSpan w:val="3"/>
          </w:tcPr>
          <w:p>
            <w:pPr>
              <w:spacing w:after="0"/>
              <w:rPr>
                <w:sz w:val="20"/>
                <w:szCs w:val="20"/>
                <w:color w:val="auto"/>
              </w:rPr>
            </w:pPr>
            <w:r>
              <w:rPr>
                <w:rFonts w:ascii="Arial" w:cs="Arial" w:eastAsia="Arial" w:hAnsi="Arial"/>
                <w:sz w:val="13"/>
                <w:szCs w:val="13"/>
                <w:color w:val="auto"/>
              </w:rPr>
              <w:t>applicable determination date will be provided in the pricing</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3820" w:type="dxa"/>
            <w:vAlign w:val="bottom"/>
            <w:gridSpan w:val="3"/>
          </w:tcPr>
          <w:p>
            <w:pPr>
              <w:spacing w:after="0"/>
              <w:rPr>
                <w:sz w:val="20"/>
                <w:szCs w:val="20"/>
                <w:color w:val="auto"/>
              </w:rPr>
            </w:pPr>
            <w:r>
              <w:rPr>
                <w:rFonts w:ascii="Arial" w:cs="Arial" w:eastAsia="Arial" w:hAnsi="Arial"/>
                <w:sz w:val="13"/>
                <w:szCs w:val="13"/>
                <w:color w:val="auto"/>
              </w:rPr>
              <w:t>supplement. No further payments will be made on the</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3820" w:type="dxa"/>
            <w:vAlign w:val="bottom"/>
            <w:gridSpan w:val="3"/>
          </w:tcPr>
          <w:p>
            <w:pPr>
              <w:spacing w:after="0"/>
              <w:rPr>
                <w:sz w:val="20"/>
                <w:szCs w:val="20"/>
                <w:color w:val="auto"/>
              </w:rPr>
            </w:pPr>
            <w:r>
              <w:rPr>
                <w:rFonts w:ascii="Arial" w:cs="Arial" w:eastAsia="Arial" w:hAnsi="Arial"/>
                <w:sz w:val="13"/>
                <w:szCs w:val="13"/>
                <w:color w:val="auto"/>
              </w:rPr>
              <w:t>securities once they have been redeemed.</w:t>
            </w:r>
          </w:p>
        </w:tc>
        <w:tc>
          <w:tcPr>
            <w:tcW w:w="0" w:type="dxa"/>
            <w:vAlign w:val="bottom"/>
          </w:tcPr>
          <w:p>
            <w:pPr>
              <w:spacing w:after="0"/>
              <w:rPr>
                <w:sz w:val="1"/>
                <w:szCs w:val="1"/>
                <w:color w:val="auto"/>
              </w:rPr>
            </w:pPr>
          </w:p>
        </w:tc>
      </w:tr>
      <w:tr>
        <w:trPr>
          <w:trHeight w:val="136"/>
        </w:trPr>
        <w:tc>
          <w:tcPr>
            <w:tcW w:w="1740" w:type="dxa"/>
            <w:vAlign w:val="bottom"/>
            <w:shd w:val="clear" w:color="auto" w:fill="DCEBF4"/>
          </w:tcPr>
          <w:p>
            <w:pPr>
              <w:ind w:left="100"/>
              <w:spacing w:after="0" w:line="136" w:lineRule="exact"/>
              <w:rPr>
                <w:sz w:val="20"/>
                <w:szCs w:val="20"/>
                <w:color w:val="auto"/>
              </w:rPr>
            </w:pPr>
            <w:r>
              <w:rPr>
                <w:rFonts w:ascii="Arial" w:cs="Arial" w:eastAsia="Arial" w:hAnsi="Arial"/>
                <w:sz w:val="14"/>
                <w:szCs w:val="14"/>
                <w:b w:val="1"/>
                <w:bCs w:val="1"/>
                <w:color w:val="296DC1"/>
              </w:rPr>
              <w:t>Payment at maturity:</w:t>
            </w:r>
          </w:p>
        </w:tc>
        <w:tc>
          <w:tcPr>
            <w:tcW w:w="120" w:type="dxa"/>
            <w:vAlign w:val="bottom"/>
            <w:shd w:val="clear" w:color="auto" w:fill="DCEBF4"/>
          </w:tcPr>
          <w:p>
            <w:pPr>
              <w:ind w:left="20"/>
              <w:spacing w:after="0" w:line="136" w:lineRule="exact"/>
              <w:rPr>
                <w:sz w:val="20"/>
                <w:szCs w:val="20"/>
                <w:color w:val="auto"/>
              </w:rPr>
            </w:pPr>
            <w:r>
              <w:rPr>
                <w:rFonts w:ascii="Arial" w:cs="Arial" w:eastAsia="Arial" w:hAnsi="Arial"/>
                <w:sz w:val="13"/>
                <w:szCs w:val="13"/>
                <w:b w:val="1"/>
                <w:bCs w:val="1"/>
                <w:color w:val="auto"/>
              </w:rPr>
              <w:t>·</w:t>
            </w:r>
          </w:p>
        </w:tc>
        <w:tc>
          <w:tcPr>
            <w:tcW w:w="1420" w:type="dxa"/>
            <w:vAlign w:val="bottom"/>
            <w:shd w:val="clear" w:color="auto" w:fill="DCEBF4"/>
          </w:tcPr>
          <w:p>
            <w:pPr>
              <w:ind w:left="40"/>
              <w:spacing w:after="0" w:line="136" w:lineRule="exact"/>
              <w:rPr>
                <w:sz w:val="20"/>
                <w:szCs w:val="20"/>
                <w:color w:val="auto"/>
              </w:rPr>
            </w:pPr>
            <w:r>
              <w:rPr>
                <w:rFonts w:ascii="Arial" w:cs="Arial" w:eastAsia="Arial" w:hAnsi="Arial"/>
                <w:sz w:val="13"/>
                <w:szCs w:val="13"/>
                <w:color w:val="auto"/>
              </w:rPr>
              <w:t>If the final index value</w:t>
            </w:r>
          </w:p>
        </w:tc>
        <w:tc>
          <w:tcPr>
            <w:tcW w:w="2280" w:type="dxa"/>
            <w:vAlign w:val="bottom"/>
            <w:shd w:val="clear" w:color="auto" w:fill="DCEBF4"/>
          </w:tcPr>
          <w:p>
            <w:pPr>
              <w:spacing w:after="0" w:line="136" w:lineRule="exact"/>
              <w:rPr>
                <w:sz w:val="20"/>
                <w:szCs w:val="20"/>
                <w:color w:val="auto"/>
              </w:rPr>
            </w:pPr>
            <w:r>
              <w:rPr>
                <w:rFonts w:ascii="Arial" w:cs="Arial" w:eastAsia="Arial" w:hAnsi="Arial"/>
                <w:sz w:val="13"/>
                <w:szCs w:val="13"/>
                <w:color w:val="auto"/>
              </w:rPr>
              <w:t>the maturity redemption payment,</w:t>
            </w:r>
          </w:p>
        </w:tc>
        <w:tc>
          <w:tcPr>
            <w:tcW w:w="0" w:type="dxa"/>
            <w:vAlign w:val="bottom"/>
          </w:tcPr>
          <w:p>
            <w:pPr>
              <w:spacing w:after="0"/>
              <w:rPr>
                <w:sz w:val="1"/>
                <w:szCs w:val="1"/>
                <w:color w:val="auto"/>
              </w:rPr>
            </w:pPr>
          </w:p>
        </w:tc>
      </w:tr>
      <w:tr>
        <w:trPr>
          <w:trHeight w:val="149"/>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of each underlying</w:t>
            </w:r>
          </w:p>
        </w:tc>
        <w:tc>
          <w:tcPr>
            <w:tcW w:w="2280" w:type="dxa"/>
            <w:vAlign w:val="bottom"/>
            <w:shd w:val="clear" w:color="auto" w:fill="DCEBF4"/>
          </w:tcPr>
          <w:p>
            <w:pPr>
              <w:spacing w:after="0"/>
              <w:rPr>
                <w:sz w:val="20"/>
                <w:szCs w:val="20"/>
                <w:color w:val="auto"/>
              </w:rPr>
            </w:pPr>
            <w:r>
              <w:rPr>
                <w:rFonts w:ascii="Arial" w:cs="Arial" w:eastAsia="Arial" w:hAnsi="Arial"/>
                <w:sz w:val="13"/>
                <w:szCs w:val="13"/>
                <w:color w:val="auto"/>
              </w:rPr>
              <w:t>which is an amount in cash per stated</w:t>
            </w:r>
          </w:p>
        </w:tc>
        <w:tc>
          <w:tcPr>
            <w:tcW w:w="0" w:type="dxa"/>
            <w:vAlign w:val="bottom"/>
          </w:tcPr>
          <w:p>
            <w:pPr>
              <w:spacing w:after="0"/>
              <w:rPr>
                <w:sz w:val="1"/>
                <w:szCs w:val="1"/>
                <w:color w:val="auto"/>
              </w:rPr>
            </w:pPr>
          </w:p>
        </w:tc>
      </w:tr>
      <w:tr>
        <w:trPr>
          <w:trHeight w:val="148"/>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 xml:space="preserve">index is </w:t>
            </w:r>
            <w:r>
              <w:rPr>
                <w:rFonts w:ascii="Arial" w:cs="Arial" w:eastAsia="Arial" w:hAnsi="Arial"/>
                <w:sz w:val="13"/>
                <w:szCs w:val="13"/>
                <w:b w:val="1"/>
                <w:bCs w:val="1"/>
                <w:color w:val="auto"/>
              </w:rPr>
              <w:t>greater than</w:t>
            </w:r>
          </w:p>
        </w:tc>
        <w:tc>
          <w:tcPr>
            <w:tcW w:w="2280" w:type="dxa"/>
            <w:vAlign w:val="bottom"/>
            <w:shd w:val="clear" w:color="auto" w:fill="DCEBF4"/>
          </w:tcPr>
          <w:p>
            <w:pPr>
              <w:spacing w:after="0"/>
              <w:rPr>
                <w:sz w:val="20"/>
                <w:szCs w:val="20"/>
                <w:color w:val="auto"/>
              </w:rPr>
            </w:pPr>
            <w:r>
              <w:rPr>
                <w:rFonts w:ascii="Arial" w:cs="Arial" w:eastAsia="Arial" w:hAnsi="Arial"/>
                <w:sz w:val="13"/>
                <w:szCs w:val="13"/>
                <w:color w:val="auto"/>
              </w:rPr>
              <w:t>principal amount corresponding to a</w:t>
            </w:r>
          </w:p>
        </w:tc>
        <w:tc>
          <w:tcPr>
            <w:tcW w:w="0" w:type="dxa"/>
            <w:vAlign w:val="bottom"/>
          </w:tcPr>
          <w:p>
            <w:pPr>
              <w:spacing w:after="0"/>
              <w:rPr>
                <w:sz w:val="1"/>
                <w:szCs w:val="1"/>
                <w:color w:val="auto"/>
              </w:rPr>
            </w:pPr>
          </w:p>
        </w:tc>
      </w:tr>
      <w:tr>
        <w:trPr>
          <w:trHeight w:val="148"/>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b w:val="1"/>
                <w:bCs w:val="1"/>
                <w:color w:val="auto"/>
              </w:rPr>
              <w:t xml:space="preserve">or equal to </w:t>
            </w:r>
            <w:r>
              <w:rPr>
                <w:rFonts w:ascii="Arial" w:cs="Arial" w:eastAsia="Arial" w:hAnsi="Arial"/>
                <w:sz w:val="13"/>
                <w:szCs w:val="13"/>
                <w:color w:val="auto"/>
              </w:rPr>
              <w:t>its initial</w:t>
            </w:r>
          </w:p>
        </w:tc>
        <w:tc>
          <w:tcPr>
            <w:tcW w:w="2280" w:type="dxa"/>
            <w:vAlign w:val="bottom"/>
            <w:shd w:val="clear" w:color="auto" w:fill="DCEBF4"/>
          </w:tcPr>
          <w:p>
            <w:pPr>
              <w:spacing w:after="0"/>
              <w:rPr>
                <w:sz w:val="20"/>
                <w:szCs w:val="20"/>
                <w:color w:val="auto"/>
              </w:rPr>
            </w:pPr>
            <w:r>
              <w:rPr>
                <w:rFonts w:ascii="Arial" w:cs="Arial" w:eastAsia="Arial" w:hAnsi="Arial"/>
                <w:sz w:val="13"/>
                <w:szCs w:val="13"/>
                <w:color w:val="auto"/>
              </w:rPr>
              <w:t>return of at least approximately</w:t>
            </w:r>
          </w:p>
        </w:tc>
        <w:tc>
          <w:tcPr>
            <w:tcW w:w="0" w:type="dxa"/>
            <w:vAlign w:val="bottom"/>
          </w:tcPr>
          <w:p>
            <w:pPr>
              <w:spacing w:after="0"/>
              <w:rPr>
                <w:sz w:val="1"/>
                <w:szCs w:val="1"/>
                <w:color w:val="auto"/>
              </w:rPr>
            </w:pPr>
          </w:p>
        </w:tc>
      </w:tr>
      <w:tr>
        <w:trPr>
          <w:trHeight w:val="149"/>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index value:</w:t>
            </w:r>
          </w:p>
        </w:tc>
        <w:tc>
          <w:tcPr>
            <w:tcW w:w="2280" w:type="dxa"/>
            <w:vAlign w:val="bottom"/>
            <w:shd w:val="clear" w:color="auto" w:fill="DCEBF4"/>
          </w:tcPr>
          <w:p>
            <w:pPr>
              <w:spacing w:after="0"/>
              <w:rPr>
                <w:sz w:val="20"/>
                <w:szCs w:val="20"/>
                <w:color w:val="auto"/>
              </w:rPr>
            </w:pPr>
            <w:r>
              <w:rPr>
                <w:rFonts w:ascii="Arial" w:cs="Arial" w:eastAsia="Arial" w:hAnsi="Arial"/>
                <w:sz w:val="13"/>
                <w:szCs w:val="13"/>
                <w:color w:val="auto"/>
              </w:rPr>
              <w:t>14.20% per annum, or at least</w:t>
            </w:r>
          </w:p>
        </w:tc>
        <w:tc>
          <w:tcPr>
            <w:tcW w:w="0" w:type="dxa"/>
            <w:vAlign w:val="bottom"/>
          </w:tcPr>
          <w:p>
            <w:pPr>
              <w:spacing w:after="0"/>
              <w:rPr>
                <w:sz w:val="1"/>
                <w:szCs w:val="1"/>
                <w:color w:val="auto"/>
              </w:rPr>
            </w:pPr>
          </w:p>
        </w:tc>
      </w:tr>
      <w:tr>
        <w:trPr>
          <w:trHeight w:val="148"/>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spacing w:after="0"/>
              <w:rPr>
                <w:sz w:val="12"/>
                <w:szCs w:val="12"/>
                <w:color w:val="auto"/>
              </w:rPr>
            </w:pPr>
          </w:p>
        </w:tc>
        <w:tc>
          <w:tcPr>
            <w:tcW w:w="2280" w:type="dxa"/>
            <w:vAlign w:val="bottom"/>
            <w:shd w:val="clear" w:color="auto" w:fill="DCEBF4"/>
          </w:tcPr>
          <w:p>
            <w:pPr>
              <w:spacing w:after="0"/>
              <w:rPr>
                <w:sz w:val="20"/>
                <w:szCs w:val="20"/>
                <w:color w:val="auto"/>
              </w:rPr>
            </w:pPr>
            <w:r>
              <w:rPr>
                <w:rFonts w:ascii="Arial" w:cs="Arial" w:eastAsia="Arial" w:hAnsi="Arial"/>
                <w:sz w:val="13"/>
                <w:szCs w:val="13"/>
                <w:color w:val="auto"/>
              </w:rPr>
              <w:t>$1,852.00. The actual maturity</w:t>
            </w:r>
          </w:p>
        </w:tc>
        <w:tc>
          <w:tcPr>
            <w:tcW w:w="0" w:type="dxa"/>
            <w:vAlign w:val="bottom"/>
          </w:tcPr>
          <w:p>
            <w:pPr>
              <w:spacing w:after="0"/>
              <w:rPr>
                <w:sz w:val="1"/>
                <w:szCs w:val="1"/>
                <w:color w:val="auto"/>
              </w:rPr>
            </w:pPr>
          </w:p>
        </w:tc>
      </w:tr>
      <w:tr>
        <w:trPr>
          <w:trHeight w:val="149"/>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spacing w:after="0"/>
              <w:rPr>
                <w:sz w:val="12"/>
                <w:szCs w:val="12"/>
                <w:color w:val="auto"/>
              </w:rPr>
            </w:pPr>
          </w:p>
        </w:tc>
        <w:tc>
          <w:tcPr>
            <w:tcW w:w="2280" w:type="dxa"/>
            <w:vAlign w:val="bottom"/>
            <w:shd w:val="clear" w:color="auto" w:fill="DCEBF4"/>
          </w:tcPr>
          <w:p>
            <w:pPr>
              <w:spacing w:after="0"/>
              <w:rPr>
                <w:sz w:val="20"/>
                <w:szCs w:val="20"/>
                <w:color w:val="auto"/>
              </w:rPr>
            </w:pPr>
            <w:r>
              <w:rPr>
                <w:rFonts w:ascii="Arial" w:cs="Arial" w:eastAsia="Arial" w:hAnsi="Arial"/>
                <w:sz w:val="13"/>
                <w:szCs w:val="13"/>
                <w:color w:val="auto"/>
              </w:rPr>
              <w:t>redemption payment will be provided</w:t>
            </w:r>
          </w:p>
        </w:tc>
        <w:tc>
          <w:tcPr>
            <w:tcW w:w="0" w:type="dxa"/>
            <w:vAlign w:val="bottom"/>
          </w:tcPr>
          <w:p>
            <w:pPr>
              <w:spacing w:after="0"/>
              <w:rPr>
                <w:sz w:val="1"/>
                <w:szCs w:val="1"/>
                <w:color w:val="auto"/>
              </w:rPr>
            </w:pPr>
          </w:p>
        </w:tc>
      </w:tr>
      <w:tr>
        <w:trPr>
          <w:trHeight w:val="148"/>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spacing w:after="0"/>
              <w:rPr>
                <w:sz w:val="12"/>
                <w:szCs w:val="12"/>
                <w:color w:val="auto"/>
              </w:rPr>
            </w:pPr>
          </w:p>
        </w:tc>
        <w:tc>
          <w:tcPr>
            <w:tcW w:w="2280" w:type="dxa"/>
            <w:vAlign w:val="bottom"/>
            <w:shd w:val="clear" w:color="auto" w:fill="DCEBF4"/>
          </w:tcPr>
          <w:p>
            <w:pPr>
              <w:spacing w:after="0"/>
              <w:rPr>
                <w:sz w:val="20"/>
                <w:szCs w:val="20"/>
                <w:color w:val="auto"/>
              </w:rPr>
            </w:pPr>
            <w:r>
              <w:rPr>
                <w:rFonts w:ascii="Arial" w:cs="Arial" w:eastAsia="Arial" w:hAnsi="Arial"/>
                <w:sz w:val="13"/>
                <w:szCs w:val="13"/>
                <w:color w:val="auto"/>
              </w:rPr>
              <w:t>in the pricing supplement.</w:t>
            </w:r>
          </w:p>
        </w:tc>
        <w:tc>
          <w:tcPr>
            <w:tcW w:w="0" w:type="dxa"/>
            <w:vAlign w:val="bottom"/>
          </w:tcPr>
          <w:p>
            <w:pPr>
              <w:spacing w:after="0"/>
              <w:rPr>
                <w:sz w:val="1"/>
                <w:szCs w:val="1"/>
                <w:color w:val="auto"/>
              </w:rPr>
            </w:pPr>
          </w:p>
        </w:tc>
      </w:tr>
      <w:tr>
        <w:trPr>
          <w:trHeight w:val="162"/>
        </w:trPr>
        <w:tc>
          <w:tcPr>
            <w:tcW w:w="1740" w:type="dxa"/>
            <w:vAlign w:val="bottom"/>
            <w:shd w:val="clear" w:color="auto" w:fill="DCEBF4"/>
          </w:tcPr>
          <w:p>
            <w:pPr>
              <w:spacing w:after="0"/>
              <w:rPr>
                <w:sz w:val="14"/>
                <w:szCs w:val="14"/>
                <w:color w:val="auto"/>
              </w:rPr>
            </w:pPr>
          </w:p>
        </w:tc>
        <w:tc>
          <w:tcPr>
            <w:tcW w:w="120" w:type="dxa"/>
            <w:vAlign w:val="bottom"/>
            <w:shd w:val="clear" w:color="auto" w:fill="DCEBF4"/>
          </w:tcPr>
          <w:p>
            <w:pPr>
              <w:ind w:left="20"/>
              <w:spacing w:after="0"/>
              <w:rPr>
                <w:sz w:val="20"/>
                <w:szCs w:val="20"/>
                <w:color w:val="auto"/>
              </w:rPr>
            </w:pPr>
            <w:r>
              <w:rPr>
                <w:rFonts w:ascii="Arial" w:cs="Arial" w:eastAsia="Arial" w:hAnsi="Arial"/>
                <w:sz w:val="13"/>
                <w:szCs w:val="13"/>
                <w:b w:val="1"/>
                <w:bCs w:val="1"/>
                <w:color w:val="auto"/>
              </w:rPr>
              <w:t>·</w:t>
            </w: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If the final index value</w:t>
            </w:r>
          </w:p>
        </w:tc>
        <w:tc>
          <w:tcPr>
            <w:tcW w:w="2280" w:type="dxa"/>
            <w:vAlign w:val="bottom"/>
            <w:shd w:val="clear" w:color="auto" w:fill="DCEBF4"/>
          </w:tcPr>
          <w:p>
            <w:pPr>
              <w:jc w:val="center"/>
              <w:ind w:right="593"/>
              <w:spacing w:after="0"/>
              <w:rPr>
                <w:sz w:val="20"/>
                <w:szCs w:val="20"/>
                <w:color w:val="auto"/>
              </w:rPr>
            </w:pPr>
            <w:r>
              <w:rPr>
                <w:rFonts w:ascii="Arial" w:cs="Arial" w:eastAsia="Arial" w:hAnsi="Arial"/>
                <w:sz w:val="13"/>
                <w:szCs w:val="13"/>
                <w:color w:val="auto"/>
              </w:rPr>
              <w:t>the stated principal amount</w:t>
            </w:r>
          </w:p>
        </w:tc>
        <w:tc>
          <w:tcPr>
            <w:tcW w:w="0" w:type="dxa"/>
            <w:vAlign w:val="bottom"/>
          </w:tcPr>
          <w:p>
            <w:pPr>
              <w:spacing w:after="0"/>
              <w:rPr>
                <w:sz w:val="1"/>
                <w:szCs w:val="1"/>
                <w:color w:val="auto"/>
              </w:rPr>
            </w:pPr>
          </w:p>
        </w:tc>
      </w:tr>
      <w:tr>
        <w:trPr>
          <w:trHeight w:val="146"/>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line="147" w:lineRule="exact"/>
              <w:rPr>
                <w:sz w:val="20"/>
                <w:szCs w:val="20"/>
                <w:color w:val="auto"/>
              </w:rPr>
            </w:pPr>
            <w:r>
              <w:rPr>
                <w:rFonts w:ascii="Arial" w:cs="Arial" w:eastAsia="Arial" w:hAnsi="Arial"/>
                <w:sz w:val="13"/>
                <w:szCs w:val="13"/>
                <w:color w:val="auto"/>
              </w:rPr>
              <w:t>of any underlying index</w:t>
            </w:r>
          </w:p>
        </w:tc>
        <w:tc>
          <w:tcPr>
            <w:tcW w:w="2280" w:type="dxa"/>
            <w:vAlign w:val="bottom"/>
            <w:shd w:val="clear" w:color="auto" w:fill="DCEBF4"/>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740" w:type="dxa"/>
            <w:vAlign w:val="bottom"/>
            <w:shd w:val="clear" w:color="auto" w:fill="DCEBF4"/>
          </w:tcPr>
          <w:p>
            <w:pPr>
              <w:spacing w:after="0"/>
              <w:rPr>
                <w:sz w:val="13"/>
                <w:szCs w:val="13"/>
                <w:color w:val="auto"/>
              </w:rPr>
            </w:pPr>
          </w:p>
        </w:tc>
        <w:tc>
          <w:tcPr>
            <w:tcW w:w="120" w:type="dxa"/>
            <w:vAlign w:val="bottom"/>
            <w:shd w:val="clear" w:color="auto" w:fill="DCEBF4"/>
          </w:tcPr>
          <w:p>
            <w:pPr>
              <w:spacing w:after="0"/>
              <w:rPr>
                <w:sz w:val="13"/>
                <w:szCs w:val="13"/>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 xml:space="preserve">is </w:t>
            </w:r>
            <w:r>
              <w:rPr>
                <w:rFonts w:ascii="Arial" w:cs="Arial" w:eastAsia="Arial" w:hAnsi="Arial"/>
                <w:sz w:val="13"/>
                <w:szCs w:val="13"/>
                <w:b w:val="1"/>
                <w:bCs w:val="1"/>
                <w:color w:val="auto"/>
              </w:rPr>
              <w:t>less than</w:t>
            </w:r>
            <w:r>
              <w:rPr>
                <w:rFonts w:ascii="Arial" w:cs="Arial" w:eastAsia="Arial" w:hAnsi="Arial"/>
                <w:sz w:val="13"/>
                <w:szCs w:val="13"/>
                <w:color w:val="auto"/>
              </w:rPr>
              <w:t xml:space="preserve"> its initial</w:t>
            </w:r>
          </w:p>
        </w:tc>
        <w:tc>
          <w:tcPr>
            <w:tcW w:w="2280" w:type="dxa"/>
            <w:vAlign w:val="bottom"/>
            <w:shd w:val="clear" w:color="auto" w:fill="DCEBF4"/>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index value, but the</w:t>
            </w:r>
          </w:p>
        </w:tc>
        <w:tc>
          <w:tcPr>
            <w:tcW w:w="2280" w:type="dxa"/>
            <w:vAlign w:val="bottom"/>
            <w:shd w:val="clear" w:color="auto" w:fill="DCEBF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final index value of</w:t>
            </w:r>
          </w:p>
        </w:tc>
        <w:tc>
          <w:tcPr>
            <w:tcW w:w="2280" w:type="dxa"/>
            <w:vAlign w:val="bottom"/>
            <w:shd w:val="clear" w:color="auto" w:fill="DCEBF4"/>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line="147" w:lineRule="exact"/>
              <w:rPr>
                <w:sz w:val="20"/>
                <w:szCs w:val="20"/>
                <w:color w:val="auto"/>
              </w:rPr>
            </w:pPr>
            <w:r>
              <w:rPr>
                <w:rFonts w:ascii="Arial" w:cs="Arial" w:eastAsia="Arial" w:hAnsi="Arial"/>
                <w:sz w:val="13"/>
                <w:szCs w:val="13"/>
                <w:color w:val="auto"/>
              </w:rPr>
              <w:t>each underlying index</w:t>
            </w:r>
          </w:p>
        </w:tc>
        <w:tc>
          <w:tcPr>
            <w:tcW w:w="2280" w:type="dxa"/>
            <w:vAlign w:val="bottom"/>
            <w:shd w:val="clear" w:color="auto" w:fill="DCEBF4"/>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 xml:space="preserve">is </w:t>
            </w:r>
            <w:r>
              <w:rPr>
                <w:rFonts w:ascii="Arial" w:cs="Arial" w:eastAsia="Arial" w:hAnsi="Arial"/>
                <w:sz w:val="13"/>
                <w:szCs w:val="13"/>
                <w:b w:val="1"/>
                <w:bCs w:val="1"/>
                <w:color w:val="auto"/>
              </w:rPr>
              <w:t>greater than or</w:t>
            </w:r>
          </w:p>
        </w:tc>
        <w:tc>
          <w:tcPr>
            <w:tcW w:w="2280" w:type="dxa"/>
            <w:vAlign w:val="bottom"/>
            <w:shd w:val="clear" w:color="auto" w:fill="DCEBF4"/>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740" w:type="dxa"/>
            <w:vAlign w:val="bottom"/>
            <w:shd w:val="clear" w:color="auto" w:fill="DCEBF4"/>
          </w:tcPr>
          <w:p>
            <w:pPr>
              <w:spacing w:after="0"/>
              <w:rPr>
                <w:sz w:val="13"/>
                <w:szCs w:val="13"/>
                <w:color w:val="auto"/>
              </w:rPr>
            </w:pPr>
          </w:p>
        </w:tc>
        <w:tc>
          <w:tcPr>
            <w:tcW w:w="120" w:type="dxa"/>
            <w:vAlign w:val="bottom"/>
            <w:shd w:val="clear" w:color="auto" w:fill="DCEBF4"/>
          </w:tcPr>
          <w:p>
            <w:pPr>
              <w:spacing w:after="0"/>
              <w:rPr>
                <w:sz w:val="13"/>
                <w:szCs w:val="13"/>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b w:val="1"/>
                <w:bCs w:val="1"/>
                <w:color w:val="auto"/>
              </w:rPr>
              <w:t xml:space="preserve">equal to </w:t>
            </w:r>
            <w:r>
              <w:rPr>
                <w:rFonts w:ascii="Arial" w:cs="Arial" w:eastAsia="Arial" w:hAnsi="Arial"/>
                <w:sz w:val="13"/>
                <w:szCs w:val="13"/>
                <w:color w:val="auto"/>
              </w:rPr>
              <w:t>its downside</w:t>
            </w:r>
          </w:p>
        </w:tc>
        <w:tc>
          <w:tcPr>
            <w:tcW w:w="2280" w:type="dxa"/>
            <w:vAlign w:val="bottom"/>
            <w:shd w:val="clear" w:color="auto" w:fill="DCEBF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40" w:type="dxa"/>
            <w:vAlign w:val="bottom"/>
            <w:shd w:val="clear" w:color="auto" w:fill="DCEBF4"/>
          </w:tcPr>
          <w:p>
            <w:pPr>
              <w:spacing w:after="0"/>
              <w:rPr>
                <w:sz w:val="13"/>
                <w:szCs w:val="13"/>
                <w:color w:val="auto"/>
              </w:rPr>
            </w:pPr>
          </w:p>
        </w:tc>
        <w:tc>
          <w:tcPr>
            <w:tcW w:w="120" w:type="dxa"/>
            <w:vAlign w:val="bottom"/>
            <w:shd w:val="clear" w:color="auto" w:fill="DCEBF4"/>
          </w:tcPr>
          <w:p>
            <w:pPr>
              <w:spacing w:after="0"/>
              <w:rPr>
                <w:sz w:val="13"/>
                <w:szCs w:val="13"/>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threshold level:</w:t>
            </w:r>
          </w:p>
        </w:tc>
        <w:tc>
          <w:tcPr>
            <w:tcW w:w="2280" w:type="dxa"/>
            <w:vAlign w:val="bottom"/>
            <w:vMerge w:val="restart"/>
            <w:shd w:val="clear" w:color="auto" w:fill="DCEBF4"/>
          </w:tcPr>
          <w:p>
            <w:pPr>
              <w:spacing w:after="0"/>
              <w:rPr>
                <w:sz w:val="20"/>
                <w:szCs w:val="20"/>
                <w:color w:val="auto"/>
              </w:rPr>
            </w:pPr>
            <w:r>
              <w:rPr>
                <w:rFonts w:ascii="Arial" w:cs="Arial" w:eastAsia="Arial" w:hAnsi="Arial"/>
                <w:sz w:val="13"/>
                <w:szCs w:val="13"/>
                <w:color w:val="auto"/>
              </w:rPr>
              <w:t xml:space="preserve">(i) the stated principal amount </w:t>
            </w:r>
            <w:r>
              <w:rPr>
                <w:rFonts w:ascii="Arial" w:cs="Arial" w:eastAsia="Arial" w:hAnsi="Arial"/>
                <w:sz w:val="13"/>
                <w:szCs w:val="13"/>
                <w:i w:val="1"/>
                <w:iCs w:val="1"/>
                <w:color w:val="auto"/>
              </w:rPr>
              <w:t>times</w:t>
            </w:r>
          </w:p>
        </w:tc>
        <w:tc>
          <w:tcPr>
            <w:tcW w:w="0" w:type="dxa"/>
            <w:vAlign w:val="bottom"/>
          </w:tcPr>
          <w:p>
            <w:pPr>
              <w:spacing w:after="0"/>
              <w:rPr>
                <w:sz w:val="1"/>
                <w:szCs w:val="1"/>
                <w:color w:val="auto"/>
              </w:rPr>
            </w:pPr>
          </w:p>
        </w:tc>
      </w:tr>
      <w:tr>
        <w:trPr>
          <w:trHeight w:val="136"/>
        </w:trPr>
        <w:tc>
          <w:tcPr>
            <w:tcW w:w="1740" w:type="dxa"/>
            <w:vAlign w:val="bottom"/>
            <w:shd w:val="clear" w:color="auto" w:fill="DCEBF4"/>
          </w:tcPr>
          <w:p>
            <w:pPr>
              <w:spacing w:after="0"/>
              <w:rPr>
                <w:sz w:val="11"/>
                <w:szCs w:val="11"/>
                <w:color w:val="auto"/>
              </w:rPr>
            </w:pPr>
          </w:p>
        </w:tc>
        <w:tc>
          <w:tcPr>
            <w:tcW w:w="1540" w:type="dxa"/>
            <w:vAlign w:val="bottom"/>
            <w:gridSpan w:val="2"/>
            <w:shd w:val="clear" w:color="auto" w:fill="DCEBF4"/>
          </w:tcPr>
          <w:p>
            <w:pPr>
              <w:ind w:left="20"/>
              <w:spacing w:after="0" w:line="137"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If the final index value</w:t>
            </w:r>
          </w:p>
        </w:tc>
        <w:tc>
          <w:tcPr>
            <w:tcW w:w="2280" w:type="dxa"/>
            <w:vAlign w:val="bottom"/>
            <w:vMerge w:val="continue"/>
            <w:shd w:val="clear" w:color="auto" w:fill="DCEBF4"/>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of any underlying index</w:t>
            </w:r>
          </w:p>
        </w:tc>
        <w:tc>
          <w:tcPr>
            <w:tcW w:w="2280" w:type="dxa"/>
            <w:vAlign w:val="bottom"/>
            <w:shd w:val="clear" w:color="auto" w:fill="DCEBF4"/>
          </w:tcPr>
          <w:p>
            <w:pPr>
              <w:spacing w:after="0"/>
              <w:rPr>
                <w:sz w:val="20"/>
                <w:szCs w:val="20"/>
                <w:color w:val="auto"/>
              </w:rPr>
            </w:pPr>
            <w:r>
              <w:rPr>
                <w:rFonts w:ascii="Arial" w:cs="Arial" w:eastAsia="Arial" w:hAnsi="Arial"/>
                <w:sz w:val="13"/>
                <w:szCs w:val="13"/>
                <w:color w:val="auto"/>
              </w:rPr>
              <w:t>(ii) the index performance factor of</w:t>
            </w:r>
          </w:p>
        </w:tc>
        <w:tc>
          <w:tcPr>
            <w:tcW w:w="0" w:type="dxa"/>
            <w:vAlign w:val="bottom"/>
          </w:tcPr>
          <w:p>
            <w:pPr>
              <w:spacing w:after="0"/>
              <w:rPr>
                <w:sz w:val="1"/>
                <w:szCs w:val="1"/>
                <w:color w:val="auto"/>
              </w:rPr>
            </w:pPr>
          </w:p>
        </w:tc>
      </w:tr>
      <w:tr>
        <w:trPr>
          <w:trHeight w:val="160"/>
        </w:trPr>
        <w:tc>
          <w:tcPr>
            <w:tcW w:w="1740" w:type="dxa"/>
            <w:vAlign w:val="bottom"/>
            <w:shd w:val="clear" w:color="auto" w:fill="DCEBF4"/>
          </w:tcPr>
          <w:p>
            <w:pPr>
              <w:spacing w:after="0"/>
              <w:rPr>
                <w:sz w:val="13"/>
                <w:szCs w:val="13"/>
                <w:color w:val="auto"/>
              </w:rPr>
            </w:pPr>
          </w:p>
        </w:tc>
        <w:tc>
          <w:tcPr>
            <w:tcW w:w="120" w:type="dxa"/>
            <w:vAlign w:val="bottom"/>
            <w:shd w:val="clear" w:color="auto" w:fill="DCEBF4"/>
          </w:tcPr>
          <w:p>
            <w:pPr>
              <w:spacing w:after="0"/>
              <w:rPr>
                <w:sz w:val="13"/>
                <w:szCs w:val="13"/>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 xml:space="preserve">is </w:t>
            </w:r>
            <w:r>
              <w:rPr>
                <w:rFonts w:ascii="Arial" w:cs="Arial" w:eastAsia="Arial" w:hAnsi="Arial"/>
                <w:sz w:val="13"/>
                <w:szCs w:val="13"/>
                <w:b w:val="1"/>
                <w:bCs w:val="1"/>
                <w:color w:val="auto"/>
              </w:rPr>
              <w:t>less than</w:t>
            </w:r>
            <w:r>
              <w:rPr>
                <w:rFonts w:ascii="Arial" w:cs="Arial" w:eastAsia="Arial" w:hAnsi="Arial"/>
                <w:sz w:val="13"/>
                <w:szCs w:val="13"/>
                <w:color w:val="auto"/>
              </w:rPr>
              <w:t xml:space="preserve"> its</w:t>
            </w:r>
          </w:p>
        </w:tc>
        <w:tc>
          <w:tcPr>
            <w:tcW w:w="2280" w:type="dxa"/>
            <w:vAlign w:val="bottom"/>
            <w:shd w:val="clear" w:color="auto" w:fill="DCEBF4"/>
          </w:tcPr>
          <w:p>
            <w:pPr>
              <w:spacing w:after="0"/>
              <w:rPr>
                <w:sz w:val="20"/>
                <w:szCs w:val="20"/>
                <w:color w:val="auto"/>
              </w:rPr>
            </w:pPr>
            <w:r>
              <w:rPr>
                <w:rFonts w:ascii="Arial" w:cs="Arial" w:eastAsia="Arial" w:hAnsi="Arial"/>
                <w:sz w:val="13"/>
                <w:szCs w:val="13"/>
                <w:color w:val="auto"/>
              </w:rPr>
              <w:t>the worst performing underlying index</w:t>
            </w:r>
          </w:p>
        </w:tc>
        <w:tc>
          <w:tcPr>
            <w:tcW w:w="0" w:type="dxa"/>
            <w:vAlign w:val="bottom"/>
          </w:tcPr>
          <w:p>
            <w:pPr>
              <w:spacing w:after="0"/>
              <w:rPr>
                <w:sz w:val="1"/>
                <w:szCs w:val="1"/>
                <w:color w:val="auto"/>
              </w:rPr>
            </w:pPr>
          </w:p>
        </w:tc>
      </w:tr>
      <w:tr>
        <w:trPr>
          <w:trHeight w:val="148"/>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downside threshold</w:t>
            </w:r>
          </w:p>
        </w:tc>
        <w:tc>
          <w:tcPr>
            <w:tcW w:w="2280" w:type="dxa"/>
            <w:vAlign w:val="bottom"/>
            <w:shd w:val="clear" w:color="auto" w:fill="DCEBF4"/>
          </w:tcPr>
          <w:p>
            <w:pPr>
              <w:spacing w:after="0"/>
              <w:rPr>
                <w:sz w:val="20"/>
                <w:szCs w:val="20"/>
                <w:color w:val="auto"/>
              </w:rPr>
            </w:pPr>
            <w:r>
              <w:rPr>
                <w:rFonts w:ascii="Arial" w:cs="Arial" w:eastAsia="Arial" w:hAnsi="Arial"/>
                <w:sz w:val="13"/>
                <w:szCs w:val="13"/>
                <w:b w:val="1"/>
                <w:bCs w:val="1"/>
                <w:color w:val="auto"/>
              </w:rPr>
              <w:t>Under these circumstances, the</w:t>
            </w:r>
          </w:p>
        </w:tc>
        <w:tc>
          <w:tcPr>
            <w:tcW w:w="0" w:type="dxa"/>
            <w:vAlign w:val="bottom"/>
          </w:tcPr>
          <w:p>
            <w:pPr>
              <w:spacing w:after="0"/>
              <w:rPr>
                <w:sz w:val="1"/>
                <w:szCs w:val="1"/>
                <w:color w:val="auto"/>
              </w:rPr>
            </w:pPr>
          </w:p>
        </w:tc>
      </w:tr>
      <w:tr>
        <w:trPr>
          <w:trHeight w:val="149"/>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ind w:left="40"/>
              <w:spacing w:after="0"/>
              <w:rPr>
                <w:sz w:val="20"/>
                <w:szCs w:val="20"/>
                <w:color w:val="auto"/>
              </w:rPr>
            </w:pPr>
            <w:r>
              <w:rPr>
                <w:rFonts w:ascii="Arial" w:cs="Arial" w:eastAsia="Arial" w:hAnsi="Arial"/>
                <w:sz w:val="13"/>
                <w:szCs w:val="13"/>
                <w:color w:val="auto"/>
              </w:rPr>
              <w:t>level:</w:t>
            </w:r>
          </w:p>
        </w:tc>
        <w:tc>
          <w:tcPr>
            <w:tcW w:w="2280" w:type="dxa"/>
            <w:vAlign w:val="bottom"/>
            <w:shd w:val="clear" w:color="auto" w:fill="DCEBF4"/>
          </w:tcPr>
          <w:p>
            <w:pPr>
              <w:spacing w:after="0"/>
              <w:rPr>
                <w:sz w:val="20"/>
                <w:szCs w:val="20"/>
                <w:color w:val="auto"/>
              </w:rPr>
            </w:pPr>
            <w:r>
              <w:rPr>
                <w:rFonts w:ascii="Arial" w:cs="Arial" w:eastAsia="Arial" w:hAnsi="Arial"/>
                <w:sz w:val="13"/>
                <w:szCs w:val="13"/>
                <w:b w:val="1"/>
                <w:bCs w:val="1"/>
                <w:color w:val="auto"/>
              </w:rPr>
              <w:t>payment at maturity will be less</w:t>
            </w:r>
          </w:p>
        </w:tc>
        <w:tc>
          <w:tcPr>
            <w:tcW w:w="0" w:type="dxa"/>
            <w:vAlign w:val="bottom"/>
          </w:tcPr>
          <w:p>
            <w:pPr>
              <w:spacing w:after="0"/>
              <w:rPr>
                <w:sz w:val="1"/>
                <w:szCs w:val="1"/>
                <w:color w:val="auto"/>
              </w:rPr>
            </w:pPr>
          </w:p>
        </w:tc>
      </w:tr>
      <w:tr>
        <w:trPr>
          <w:trHeight w:val="149"/>
        </w:trPr>
        <w:tc>
          <w:tcPr>
            <w:tcW w:w="1740" w:type="dxa"/>
            <w:vAlign w:val="bottom"/>
            <w:shd w:val="clear" w:color="auto" w:fill="DCEBF4"/>
          </w:tcPr>
          <w:p>
            <w:pPr>
              <w:spacing w:after="0"/>
              <w:rPr>
                <w:sz w:val="12"/>
                <w:szCs w:val="12"/>
                <w:color w:val="auto"/>
              </w:rPr>
            </w:pPr>
          </w:p>
        </w:tc>
        <w:tc>
          <w:tcPr>
            <w:tcW w:w="120" w:type="dxa"/>
            <w:vAlign w:val="bottom"/>
            <w:shd w:val="clear" w:color="auto" w:fill="DCEBF4"/>
          </w:tcPr>
          <w:p>
            <w:pPr>
              <w:spacing w:after="0"/>
              <w:rPr>
                <w:sz w:val="12"/>
                <w:szCs w:val="12"/>
                <w:color w:val="auto"/>
              </w:rPr>
            </w:pPr>
          </w:p>
        </w:tc>
        <w:tc>
          <w:tcPr>
            <w:tcW w:w="1420" w:type="dxa"/>
            <w:vAlign w:val="bottom"/>
            <w:shd w:val="clear" w:color="auto" w:fill="DCEBF4"/>
          </w:tcPr>
          <w:p>
            <w:pPr>
              <w:spacing w:after="0"/>
              <w:rPr>
                <w:sz w:val="12"/>
                <w:szCs w:val="12"/>
                <w:color w:val="auto"/>
              </w:rPr>
            </w:pPr>
          </w:p>
        </w:tc>
        <w:tc>
          <w:tcPr>
            <w:tcW w:w="2280" w:type="dxa"/>
            <w:vAlign w:val="bottom"/>
            <w:shd w:val="clear" w:color="auto" w:fill="DCEBF4"/>
          </w:tcPr>
          <w:p>
            <w:pPr>
              <w:spacing w:after="0"/>
              <w:rPr>
                <w:sz w:val="20"/>
                <w:szCs w:val="20"/>
                <w:color w:val="auto"/>
              </w:rPr>
            </w:pPr>
            <w:r>
              <w:rPr>
                <w:rFonts w:ascii="Arial" w:cs="Arial" w:eastAsia="Arial" w:hAnsi="Arial"/>
                <w:sz w:val="13"/>
                <w:szCs w:val="13"/>
                <w:b w:val="1"/>
                <w:bCs w:val="1"/>
                <w:color w:val="auto"/>
              </w:rPr>
              <w:t>than 80% of the stated principal</w:t>
            </w:r>
          </w:p>
        </w:tc>
        <w:tc>
          <w:tcPr>
            <w:tcW w:w="0" w:type="dxa"/>
            <w:vAlign w:val="bottom"/>
          </w:tcPr>
          <w:p>
            <w:pPr>
              <w:spacing w:after="0"/>
              <w:rPr>
                <w:sz w:val="1"/>
                <w:szCs w:val="1"/>
                <w:color w:val="auto"/>
              </w:rPr>
            </w:pPr>
          </w:p>
        </w:tc>
      </w:tr>
      <w:tr>
        <w:trPr>
          <w:trHeight w:val="163"/>
        </w:trPr>
        <w:tc>
          <w:tcPr>
            <w:tcW w:w="174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1420" w:type="dxa"/>
            <w:vAlign w:val="bottom"/>
            <w:shd w:val="clear" w:color="auto" w:fill="DCEBF4"/>
          </w:tcPr>
          <w:p>
            <w:pPr>
              <w:spacing w:after="0"/>
              <w:rPr>
                <w:sz w:val="14"/>
                <w:szCs w:val="14"/>
                <w:color w:val="auto"/>
              </w:rPr>
            </w:pPr>
          </w:p>
        </w:tc>
        <w:tc>
          <w:tcPr>
            <w:tcW w:w="2280" w:type="dxa"/>
            <w:vAlign w:val="bottom"/>
            <w:shd w:val="clear" w:color="auto" w:fill="DCEBF4"/>
          </w:tcPr>
          <w:p>
            <w:pPr>
              <w:spacing w:after="0"/>
              <w:rPr>
                <w:sz w:val="20"/>
                <w:szCs w:val="20"/>
                <w:color w:val="auto"/>
              </w:rPr>
            </w:pPr>
            <w:r>
              <w:rPr>
                <w:rFonts w:ascii="Arial" w:cs="Arial" w:eastAsia="Arial" w:hAnsi="Arial"/>
                <w:sz w:val="13"/>
                <w:szCs w:val="13"/>
                <w:b w:val="1"/>
                <w:bCs w:val="1"/>
                <w:color w:val="auto"/>
              </w:rPr>
              <w:t>amount and could be zero.</w:t>
            </w:r>
          </w:p>
        </w:tc>
        <w:tc>
          <w:tcPr>
            <w:tcW w:w="0" w:type="dxa"/>
            <w:vAlign w:val="bottom"/>
          </w:tcPr>
          <w:p>
            <w:pPr>
              <w:spacing w:after="0"/>
              <w:rPr>
                <w:sz w:val="1"/>
                <w:szCs w:val="1"/>
                <w:color w:val="auto"/>
              </w:rPr>
            </w:pPr>
          </w:p>
        </w:tc>
      </w:tr>
      <w:tr>
        <w:trPr>
          <w:trHeight w:val="153"/>
        </w:trPr>
        <w:tc>
          <w:tcPr>
            <w:tcW w:w="1740" w:type="dxa"/>
            <w:vAlign w:val="bottom"/>
          </w:tcPr>
          <w:p>
            <w:pPr>
              <w:ind w:left="100"/>
              <w:spacing w:after="0" w:line="153" w:lineRule="exact"/>
              <w:rPr>
                <w:sz w:val="20"/>
                <w:szCs w:val="20"/>
                <w:color w:val="auto"/>
              </w:rPr>
            </w:pPr>
            <w:r>
              <w:rPr>
                <w:rFonts w:ascii="Arial" w:cs="Arial" w:eastAsia="Arial" w:hAnsi="Arial"/>
                <w:sz w:val="14"/>
                <w:szCs w:val="14"/>
                <w:b w:val="1"/>
                <w:bCs w:val="1"/>
                <w:color w:val="296DC1"/>
              </w:rPr>
              <w:t>Downside threshold</w:t>
            </w:r>
          </w:p>
        </w:tc>
        <w:tc>
          <w:tcPr>
            <w:tcW w:w="3820" w:type="dxa"/>
            <w:vAlign w:val="bottom"/>
            <w:gridSpan w:val="3"/>
          </w:tcPr>
          <w:p>
            <w:pPr>
              <w:spacing w:after="0" w:line="153" w:lineRule="exact"/>
              <w:rPr>
                <w:sz w:val="20"/>
                <w:szCs w:val="20"/>
                <w:color w:val="auto"/>
              </w:rPr>
            </w:pPr>
            <w:r>
              <w:rPr>
                <w:rFonts w:ascii="Arial" w:cs="Arial" w:eastAsia="Arial" w:hAnsi="Arial"/>
                <w:sz w:val="14"/>
                <w:szCs w:val="14"/>
                <w:color w:val="auto"/>
              </w:rPr>
              <w:t>With respect to each underlying index, 80% of its initial</w:t>
            </w:r>
          </w:p>
        </w:tc>
        <w:tc>
          <w:tcPr>
            <w:tcW w:w="0" w:type="dxa"/>
            <w:vAlign w:val="bottom"/>
          </w:tcPr>
          <w:p>
            <w:pPr>
              <w:spacing w:after="0"/>
              <w:rPr>
                <w:sz w:val="1"/>
                <w:szCs w:val="1"/>
                <w:color w:val="auto"/>
              </w:rPr>
            </w:pPr>
          </w:p>
        </w:tc>
      </w:tr>
      <w:tr>
        <w:trPr>
          <w:trHeight w:val="171"/>
        </w:trPr>
        <w:tc>
          <w:tcPr>
            <w:tcW w:w="1740" w:type="dxa"/>
            <w:vAlign w:val="bottom"/>
          </w:tcPr>
          <w:p>
            <w:pPr>
              <w:ind w:left="100"/>
              <w:spacing w:after="0"/>
              <w:rPr>
                <w:sz w:val="20"/>
                <w:szCs w:val="20"/>
                <w:color w:val="auto"/>
              </w:rPr>
            </w:pPr>
            <w:r>
              <w:rPr>
                <w:rFonts w:ascii="Arial" w:cs="Arial" w:eastAsia="Arial" w:hAnsi="Arial"/>
                <w:sz w:val="14"/>
                <w:szCs w:val="14"/>
                <w:b w:val="1"/>
                <w:bCs w:val="1"/>
                <w:color w:val="296DC1"/>
              </w:rPr>
              <w:t>level:</w:t>
            </w:r>
          </w:p>
        </w:tc>
        <w:tc>
          <w:tcPr>
            <w:tcW w:w="1540" w:type="dxa"/>
            <w:vAlign w:val="bottom"/>
            <w:gridSpan w:val="2"/>
          </w:tcPr>
          <w:p>
            <w:pPr>
              <w:spacing w:after="0"/>
              <w:rPr>
                <w:sz w:val="20"/>
                <w:szCs w:val="20"/>
                <w:color w:val="auto"/>
              </w:rPr>
            </w:pPr>
            <w:r>
              <w:rPr>
                <w:rFonts w:ascii="Arial" w:cs="Arial" w:eastAsia="Arial" w:hAnsi="Arial"/>
                <w:sz w:val="14"/>
                <w:szCs w:val="14"/>
                <w:color w:val="auto"/>
              </w:rPr>
              <w:t>index value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40" w:type="dxa"/>
            <w:vAlign w:val="bottom"/>
            <w:shd w:val="clear" w:color="auto" w:fill="DCEBF4"/>
          </w:tcPr>
          <w:p>
            <w:pPr>
              <w:ind w:left="100"/>
              <w:spacing w:after="0" w:line="153" w:lineRule="exact"/>
              <w:rPr>
                <w:sz w:val="20"/>
                <w:szCs w:val="20"/>
                <w:color w:val="auto"/>
              </w:rPr>
            </w:pPr>
            <w:r>
              <w:rPr>
                <w:rFonts w:ascii="Arial" w:cs="Arial" w:eastAsia="Arial" w:hAnsi="Arial"/>
                <w:sz w:val="14"/>
                <w:szCs w:val="14"/>
                <w:b w:val="1"/>
                <w:bCs w:val="1"/>
                <w:color w:val="296DC1"/>
              </w:rPr>
              <w:t>Initial index value:</w:t>
            </w:r>
          </w:p>
        </w:tc>
        <w:tc>
          <w:tcPr>
            <w:tcW w:w="3820" w:type="dxa"/>
            <w:vAlign w:val="bottom"/>
            <w:gridSpan w:val="3"/>
            <w:shd w:val="clear" w:color="auto" w:fill="DCEBF4"/>
          </w:tcPr>
          <w:p>
            <w:pPr>
              <w:spacing w:after="0" w:line="153" w:lineRule="exact"/>
              <w:rPr>
                <w:sz w:val="20"/>
                <w:szCs w:val="20"/>
                <w:color w:val="auto"/>
              </w:rPr>
            </w:pPr>
            <w:r>
              <w:rPr>
                <w:rFonts w:ascii="Arial" w:cs="Arial" w:eastAsia="Arial" w:hAnsi="Arial"/>
                <w:sz w:val="14"/>
                <w:szCs w:val="14"/>
                <w:color w:val="auto"/>
              </w:rPr>
              <w:t>With respect to each underlying index, its closing level on</w:t>
            </w:r>
          </w:p>
        </w:tc>
        <w:tc>
          <w:tcPr>
            <w:tcW w:w="0" w:type="dxa"/>
            <w:vAlign w:val="bottom"/>
          </w:tcPr>
          <w:p>
            <w:pPr>
              <w:spacing w:after="0"/>
              <w:rPr>
                <w:sz w:val="1"/>
                <w:szCs w:val="1"/>
                <w:color w:val="auto"/>
              </w:rPr>
            </w:pPr>
          </w:p>
        </w:tc>
      </w:tr>
      <w:tr>
        <w:trPr>
          <w:trHeight w:val="171"/>
        </w:trPr>
        <w:tc>
          <w:tcPr>
            <w:tcW w:w="1740" w:type="dxa"/>
            <w:vAlign w:val="bottom"/>
            <w:shd w:val="clear" w:color="auto" w:fill="DCEBF4"/>
          </w:tcPr>
          <w:p>
            <w:pPr>
              <w:spacing w:after="0"/>
              <w:rPr>
                <w:sz w:val="14"/>
                <w:szCs w:val="14"/>
                <w:color w:val="auto"/>
              </w:rPr>
            </w:pPr>
          </w:p>
        </w:tc>
        <w:tc>
          <w:tcPr>
            <w:tcW w:w="1540" w:type="dxa"/>
            <w:vAlign w:val="bottom"/>
            <w:gridSpan w:val="2"/>
            <w:shd w:val="clear" w:color="auto" w:fill="DCEBF4"/>
          </w:tcPr>
          <w:p>
            <w:pPr>
              <w:spacing w:after="0"/>
              <w:rPr>
                <w:sz w:val="20"/>
                <w:szCs w:val="20"/>
                <w:color w:val="auto"/>
              </w:rPr>
            </w:pPr>
            <w:r>
              <w:rPr>
                <w:rFonts w:ascii="Arial" w:cs="Arial" w:eastAsia="Arial" w:hAnsi="Arial"/>
                <w:sz w:val="14"/>
                <w:szCs w:val="14"/>
                <w:color w:val="auto"/>
              </w:rPr>
              <w:t>the pricing date</w:t>
            </w:r>
          </w:p>
        </w:tc>
        <w:tc>
          <w:tcPr>
            <w:tcW w:w="2280" w:type="dxa"/>
            <w:vAlign w:val="bottom"/>
            <w:shd w:val="clear" w:color="auto" w:fill="DCEBF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40" w:type="dxa"/>
            <w:vAlign w:val="bottom"/>
          </w:tcPr>
          <w:p>
            <w:pPr>
              <w:ind w:left="100"/>
              <w:spacing w:after="0" w:line="153" w:lineRule="exact"/>
              <w:rPr>
                <w:sz w:val="20"/>
                <w:szCs w:val="20"/>
                <w:color w:val="auto"/>
              </w:rPr>
            </w:pPr>
            <w:r>
              <w:rPr>
                <w:rFonts w:ascii="Arial" w:cs="Arial" w:eastAsia="Arial" w:hAnsi="Arial"/>
                <w:sz w:val="14"/>
                <w:szCs w:val="14"/>
                <w:b w:val="1"/>
                <w:bCs w:val="1"/>
                <w:color w:val="296DC1"/>
              </w:rPr>
              <w:t>Final index value:</w:t>
            </w:r>
          </w:p>
        </w:tc>
        <w:tc>
          <w:tcPr>
            <w:tcW w:w="3820" w:type="dxa"/>
            <w:vAlign w:val="bottom"/>
            <w:gridSpan w:val="3"/>
          </w:tcPr>
          <w:p>
            <w:pPr>
              <w:spacing w:after="0" w:line="153" w:lineRule="exact"/>
              <w:rPr>
                <w:sz w:val="20"/>
                <w:szCs w:val="20"/>
                <w:color w:val="auto"/>
              </w:rPr>
            </w:pPr>
            <w:r>
              <w:rPr>
                <w:rFonts w:ascii="Arial" w:cs="Arial" w:eastAsia="Arial" w:hAnsi="Arial"/>
                <w:sz w:val="14"/>
                <w:szCs w:val="14"/>
                <w:color w:val="auto"/>
              </w:rPr>
              <w:t>With respect to each underlying index, its closing level on</w:t>
            </w: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3820" w:type="dxa"/>
            <w:vAlign w:val="bottom"/>
            <w:gridSpan w:val="3"/>
          </w:tcPr>
          <w:p>
            <w:pPr>
              <w:spacing w:after="0"/>
              <w:rPr>
                <w:sz w:val="20"/>
                <w:szCs w:val="20"/>
                <w:color w:val="auto"/>
              </w:rPr>
            </w:pPr>
            <w:r>
              <w:rPr>
                <w:rFonts w:ascii="Arial" w:cs="Arial" w:eastAsia="Arial" w:hAnsi="Arial"/>
                <w:sz w:val="14"/>
                <w:szCs w:val="14"/>
                <w:color w:val="auto"/>
              </w:rPr>
              <w:t>the final determination date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Arial" w:cs="Arial" w:eastAsia="Arial" w:hAnsi="Arial"/>
                <w:sz w:val="14"/>
                <w:szCs w:val="14"/>
                <w:color w:val="auto"/>
              </w:rPr>
              <w:t>February 4, 2031, May 5, 2031, August 4, 2031, November</w:t>
            </w:r>
          </w:p>
        </w:tc>
      </w:tr>
      <w:tr>
        <w:trPr>
          <w:trHeight w:val="162"/>
        </w:trPr>
        <w:tc>
          <w:tcPr>
            <w:tcW w:w="172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Arial" w:cs="Arial" w:eastAsia="Arial" w:hAnsi="Arial"/>
                <w:sz w:val="14"/>
                <w:szCs w:val="14"/>
                <w:color w:val="auto"/>
              </w:rPr>
              <w:t>4, 2031, February 4, 2032, May 5, 2032, August 4, 2032</w:t>
            </w:r>
          </w:p>
        </w:tc>
      </w:tr>
      <w:tr>
        <w:trPr>
          <w:trHeight w:val="171"/>
        </w:trPr>
        <w:tc>
          <w:tcPr>
            <w:tcW w:w="172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Arial" w:cs="Arial" w:eastAsia="Arial" w:hAnsi="Arial"/>
                <w:sz w:val="14"/>
                <w:szCs w:val="14"/>
                <w:color w:val="auto"/>
              </w:rPr>
              <w:t>and the maturity date</w:t>
            </w:r>
          </w:p>
        </w:tc>
      </w:tr>
      <w:tr>
        <w:trPr>
          <w:trHeight w:val="189"/>
        </w:trPr>
        <w:tc>
          <w:tcPr>
            <w:tcW w:w="1720" w:type="dxa"/>
            <w:vAlign w:val="bottom"/>
            <w:shd w:val="clear" w:color="auto" w:fill="DCEBF4"/>
          </w:tcPr>
          <w:p>
            <w:pPr>
              <w:ind w:left="100"/>
              <w:spacing w:after="0" w:line="189" w:lineRule="exact"/>
              <w:rPr>
                <w:sz w:val="20"/>
                <w:szCs w:val="20"/>
                <w:color w:val="auto"/>
              </w:rPr>
            </w:pPr>
            <w:r>
              <w:rPr>
                <w:rFonts w:ascii="Arial" w:cs="Arial" w:eastAsia="Arial" w:hAnsi="Arial"/>
                <w:sz w:val="13"/>
                <w:szCs w:val="13"/>
                <w:b w:val="1"/>
                <w:bCs w:val="1"/>
                <w:color w:val="296DC1"/>
              </w:rPr>
              <w:t>Maturity date</w:t>
            </w:r>
            <w:r>
              <w:rPr>
                <w:rFonts w:ascii="Arial" w:cs="Arial" w:eastAsia="Arial" w:hAnsi="Arial"/>
                <w:sz w:val="21"/>
                <w:szCs w:val="21"/>
                <w:b w:val="1"/>
                <w:bCs w:val="1"/>
                <w:color w:val="296DC1"/>
                <w:vertAlign w:val="superscript"/>
              </w:rPr>
              <w:t>†</w:t>
            </w:r>
            <w:r>
              <w:rPr>
                <w:rFonts w:ascii="Arial" w:cs="Arial" w:eastAsia="Arial" w:hAnsi="Arial"/>
                <w:sz w:val="13"/>
                <w:szCs w:val="13"/>
                <w:b w:val="1"/>
                <w:bCs w:val="1"/>
                <w:color w:val="296DC1"/>
              </w:rPr>
              <w:t>:</w:t>
            </w:r>
          </w:p>
        </w:tc>
        <w:tc>
          <w:tcPr>
            <w:tcW w:w="3820" w:type="dxa"/>
            <w:vAlign w:val="bottom"/>
            <w:gridSpan w:val="2"/>
            <w:shd w:val="clear" w:color="auto" w:fill="DCEBF4"/>
          </w:tcPr>
          <w:p>
            <w:pPr>
              <w:spacing w:after="0"/>
              <w:rPr>
                <w:sz w:val="20"/>
                <w:szCs w:val="20"/>
                <w:color w:val="auto"/>
              </w:rPr>
            </w:pPr>
            <w:r>
              <w:rPr>
                <w:rFonts w:ascii="Arial" w:cs="Arial" w:eastAsia="Arial" w:hAnsi="Arial"/>
                <w:sz w:val="14"/>
                <w:szCs w:val="14"/>
                <w:color w:val="auto"/>
              </w:rPr>
              <w:t>November 4, 2032</w:t>
            </w:r>
          </w:p>
        </w:tc>
      </w:tr>
      <w:tr>
        <w:trPr>
          <w:trHeight w:val="153"/>
        </w:trPr>
        <w:tc>
          <w:tcPr>
            <w:tcW w:w="1720" w:type="dxa"/>
            <w:vAlign w:val="bottom"/>
          </w:tcPr>
          <w:p>
            <w:pPr>
              <w:ind w:left="100"/>
              <w:spacing w:after="0" w:line="153" w:lineRule="exact"/>
              <w:rPr>
                <w:sz w:val="20"/>
                <w:szCs w:val="20"/>
                <w:color w:val="auto"/>
              </w:rPr>
            </w:pPr>
            <w:r>
              <w:rPr>
                <w:rFonts w:ascii="Arial" w:cs="Arial" w:eastAsia="Arial" w:hAnsi="Arial"/>
                <w:sz w:val="14"/>
                <w:szCs w:val="14"/>
                <w:b w:val="1"/>
                <w:bCs w:val="1"/>
                <w:color w:val="296DC1"/>
              </w:rPr>
              <w:t>CUSIP / ISIN:</w:t>
            </w:r>
          </w:p>
        </w:tc>
        <w:tc>
          <w:tcPr>
            <w:tcW w:w="3820" w:type="dxa"/>
            <w:vAlign w:val="bottom"/>
            <w:gridSpan w:val="2"/>
          </w:tcPr>
          <w:p>
            <w:pPr>
              <w:spacing w:after="0" w:line="153" w:lineRule="exact"/>
              <w:rPr>
                <w:sz w:val="20"/>
                <w:szCs w:val="20"/>
                <w:color w:val="auto"/>
              </w:rPr>
            </w:pPr>
            <w:r>
              <w:rPr>
                <w:rFonts w:ascii="Arial" w:cs="Arial" w:eastAsia="Arial" w:hAnsi="Arial"/>
                <w:sz w:val="14"/>
                <w:szCs w:val="14"/>
                <w:color w:val="auto"/>
              </w:rPr>
              <w:t>46661QQA6 / US46661QQA66</w:t>
            </w:r>
          </w:p>
        </w:tc>
      </w:tr>
      <w:tr>
        <w:trPr>
          <w:trHeight w:val="158"/>
        </w:trPr>
        <w:tc>
          <w:tcPr>
            <w:tcW w:w="1720" w:type="dxa"/>
            <w:vAlign w:val="bottom"/>
          </w:tcPr>
          <w:p>
            <w:pPr>
              <w:ind w:left="100"/>
              <w:spacing w:after="0" w:line="158" w:lineRule="exact"/>
              <w:rPr>
                <w:sz w:val="20"/>
                <w:szCs w:val="20"/>
                <w:color w:val="auto"/>
              </w:rPr>
            </w:pPr>
            <w:r>
              <w:rPr>
                <w:rFonts w:ascii="Arial" w:cs="Arial" w:eastAsia="Arial" w:hAnsi="Arial"/>
                <w:sz w:val="14"/>
                <w:szCs w:val="14"/>
                <w:b w:val="1"/>
                <w:bCs w:val="1"/>
                <w:color w:val="296DC1"/>
              </w:rPr>
              <w:t>Preliminary pricing</w:t>
            </w:r>
          </w:p>
        </w:tc>
        <w:tc>
          <w:tcPr>
            <w:tcW w:w="3820" w:type="dxa"/>
            <w:vAlign w:val="bottom"/>
            <w:gridSpan w:val="2"/>
          </w:tcPr>
          <w:p>
            <w:pPr>
              <w:spacing w:after="0" w:line="158" w:lineRule="exact"/>
              <w:rPr>
                <w:rFonts w:ascii="Arial" w:cs="Arial" w:eastAsia="Arial" w:hAnsi="Arial"/>
                <w:sz w:val="14"/>
                <w:szCs w:val="14"/>
                <w:color w:val="0000EE"/>
              </w:rPr>
            </w:pPr>
            <w:hyperlink r:id="rId12">
              <w:r>
                <w:rPr>
                  <w:rFonts w:ascii="Arial" w:cs="Arial" w:eastAsia="Arial" w:hAnsi="Arial"/>
                  <w:sz w:val="14"/>
                  <w:szCs w:val="14"/>
                  <w:color w:val="0000EE"/>
                </w:rPr>
                <w:t>http://www.sec.gov/Archives/edgar/data/</w:t>
              </w:r>
            </w:hyperlink>
          </w:p>
        </w:tc>
      </w:tr>
      <w:tr>
        <w:trPr>
          <w:trHeight w:val="155"/>
        </w:trPr>
        <w:tc>
          <w:tcPr>
            <w:tcW w:w="1720" w:type="dxa"/>
            <w:vAlign w:val="bottom"/>
          </w:tcPr>
          <w:p>
            <w:pPr>
              <w:ind w:left="100"/>
              <w:spacing w:after="0" w:line="155" w:lineRule="exact"/>
              <w:rPr>
                <w:sz w:val="20"/>
                <w:szCs w:val="20"/>
                <w:color w:val="auto"/>
              </w:rPr>
            </w:pPr>
            <w:r>
              <w:rPr>
                <w:rFonts w:ascii="Arial" w:cs="Arial" w:eastAsia="Arial" w:hAnsi="Arial"/>
                <w:sz w:val="14"/>
                <w:szCs w:val="14"/>
                <w:b w:val="1"/>
                <w:bCs w:val="1"/>
                <w:color w:val="296DC1"/>
              </w:rPr>
              <w:t>supplement:</w:t>
            </w:r>
          </w:p>
        </w:tc>
        <w:tc>
          <w:tcPr>
            <w:tcW w:w="2560" w:type="dxa"/>
            <w:vAlign w:val="bottom"/>
            <w:tcBorders>
              <w:top w:val="single" w:sz="8" w:color="0000EE"/>
            </w:tcBorders>
          </w:tcPr>
          <w:p>
            <w:pPr>
              <w:spacing w:after="0" w:line="155" w:lineRule="exact"/>
              <w:rPr>
                <w:rFonts w:ascii="Arial" w:cs="Arial" w:eastAsia="Arial" w:hAnsi="Arial"/>
                <w:sz w:val="14"/>
                <w:szCs w:val="14"/>
                <w:u w:val="single" w:color="auto"/>
                <w:color w:val="0000EE"/>
                <w:w w:val="98"/>
              </w:rPr>
            </w:pPr>
            <w:hyperlink r:id="rId12">
              <w:r>
                <w:rPr>
                  <w:rFonts w:ascii="Arial" w:cs="Arial" w:eastAsia="Arial" w:hAnsi="Arial"/>
                  <w:sz w:val="14"/>
                  <w:szCs w:val="14"/>
                  <w:u w:val="single" w:color="auto"/>
                  <w:color w:val="0000EE"/>
                  <w:w w:val="98"/>
                </w:rPr>
                <w:t>19617/000121390026111975/ea0309453</w:t>
              </w:r>
            </w:hyperlink>
          </w:p>
        </w:tc>
        <w:tc>
          <w:tcPr>
            <w:tcW w:w="1260" w:type="dxa"/>
            <w:vAlign w:val="bottom"/>
          </w:tcPr>
          <w:p>
            <w:pPr>
              <w:ind w:left="60"/>
              <w:spacing w:after="0" w:line="155" w:lineRule="exact"/>
              <w:rPr>
                <w:rFonts w:ascii="Arial" w:cs="Arial" w:eastAsia="Arial" w:hAnsi="Arial"/>
                <w:sz w:val="14"/>
                <w:szCs w:val="14"/>
                <w:u w:val="single" w:color="auto"/>
                <w:color w:val="0000EE"/>
              </w:rPr>
            </w:pPr>
            <w:hyperlink r:id="rId12">
              <w:r>
                <w:rPr>
                  <w:rFonts w:ascii="Arial" w:cs="Arial" w:eastAsia="Arial" w:hAnsi="Arial"/>
                  <w:sz w:val="14"/>
                  <w:szCs w:val="14"/>
                  <w:u w:val="single" w:color="auto"/>
                  <w:color w:val="0000EE"/>
                </w:rPr>
                <w:t>-01_424b2.htm</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352298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522980" cy="205740"/>
                    </a:xfrm>
                    <a:prstGeom prst="rect">
                      <a:avLst/>
                    </a:prstGeom>
                    <a:noFill/>
                  </pic:spPr>
                </pic:pic>
              </a:graphicData>
            </a:graphic>
          </wp:anchor>
        </w:drawing>
      </w:r>
    </w:p>
    <w:p>
      <w:pPr>
        <w:ind w:left="140"/>
        <w:spacing w:after="0" w:line="184"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4"/>
          <w:szCs w:val="14"/>
          <w:color w:val="auto"/>
        </w:rPr>
        <w:t>Subject to postponement or early acceleration</w:t>
      </w:r>
    </w:p>
    <w:p>
      <w:pPr>
        <w:ind w:left="140" w:right="60"/>
        <w:spacing w:after="0" w:line="242" w:lineRule="auto"/>
        <w:rPr>
          <w:sz w:val="20"/>
          <w:szCs w:val="20"/>
          <w:color w:val="auto"/>
        </w:rPr>
      </w:pPr>
      <w:r>
        <w:rPr>
          <w:rFonts w:ascii="Arial" w:cs="Arial" w:eastAsia="Arial" w:hAnsi="Arial"/>
          <w:sz w:val="14"/>
          <w:szCs w:val="14"/>
          <w:color w:val="auto"/>
        </w:rPr>
        <w:t>The estimated value of the securities on the pricing date will be provided in the pricing supplement and will not be less than $920.00 per $1,000 stated principal amount security. For information about the estimated value of the securities, which likely will be lower than the price you paid for the securities, please see the hyperlink above.</w:t>
      </w:r>
    </w:p>
    <w:p>
      <w:pPr>
        <w:spacing w:after="0" w:line="161" w:lineRule="exact"/>
        <w:rPr>
          <w:sz w:val="20"/>
          <w:szCs w:val="20"/>
          <w:color w:val="auto"/>
        </w:rPr>
      </w:pPr>
    </w:p>
    <w:p>
      <w:pPr>
        <w:ind w:left="140" w:right="20"/>
        <w:spacing w:after="0" w:line="241" w:lineRule="auto"/>
        <w:rPr>
          <w:sz w:val="20"/>
          <w:szCs w:val="20"/>
          <w:color w:val="auto"/>
        </w:rPr>
      </w:pPr>
      <w:r>
        <w:rPr>
          <w:rFonts w:ascii="Arial" w:cs="Arial" w:eastAsia="Arial" w:hAnsi="Arial"/>
          <w:sz w:val="14"/>
          <w:szCs w:val="14"/>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352298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522980" cy="30861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FFFFFF"/>
        </w:rPr>
        <w:t>Hypothetical Payout at Maturity</w:t>
      </w:r>
    </w:p>
    <w:p>
      <w:pPr>
        <w:ind w:left="500"/>
        <w:spacing w:after="0" w:line="200" w:lineRule="auto"/>
        <w:tabs>
          <w:tab w:leader="none" w:pos="3560" w:val="left"/>
        </w:tabs>
        <w:rPr>
          <w:sz w:val="20"/>
          <w:szCs w:val="20"/>
          <w:color w:val="auto"/>
        </w:rPr>
      </w:pPr>
      <w:r>
        <w:rPr>
          <w:rFonts w:ascii="Arial" w:cs="Arial" w:eastAsia="Arial" w:hAnsi="Arial"/>
          <w:sz w:val="14"/>
          <w:szCs w:val="14"/>
          <w:b w:val="1"/>
          <w:bCs w:val="1"/>
          <w:color w:val="FFFFFF"/>
        </w:rPr>
        <w:t>Change in Worst Performing</w:t>
      </w:r>
      <w:r>
        <w:rPr>
          <w:sz w:val="20"/>
          <w:szCs w:val="20"/>
          <w:color w:val="auto"/>
        </w:rPr>
        <w:tab/>
      </w:r>
      <w:r>
        <w:rPr>
          <w:rFonts w:ascii="Arial" w:cs="Arial" w:eastAsia="Arial" w:hAnsi="Arial"/>
          <w:sz w:val="17"/>
          <w:szCs w:val="17"/>
          <w:b w:val="1"/>
          <w:bCs w:val="1"/>
          <w:color w:val="FFFFFF"/>
          <w:vertAlign w:val="subscript"/>
        </w:rPr>
        <w:t>Payment at Maturity</w:t>
      </w:r>
    </w:p>
    <w:p>
      <w:pPr>
        <w:ind w:left="920"/>
        <w:spacing w:after="0"/>
        <w:rPr>
          <w:sz w:val="20"/>
          <w:szCs w:val="20"/>
          <w:color w:val="auto"/>
        </w:rPr>
      </w:pPr>
      <w:r>
        <w:rPr>
          <w:rFonts w:ascii="Arial" w:cs="Arial" w:eastAsia="Arial" w:hAnsi="Arial"/>
          <w:sz w:val="14"/>
          <w:szCs w:val="14"/>
          <w:b w:val="1"/>
          <w:bCs w:val="1"/>
          <w:color w:val="FFFFFF"/>
        </w:rPr>
        <w:t>Underlying Index</w:t>
      </w:r>
    </w:p>
    <w:tbl>
      <w:tblPr>
        <w:tblLayout w:type="fixed"/>
        <w:tblInd w:w="0" w:type="dxa"/>
        <w:tblCellMar>
          <w:top w:w="0" w:type="dxa"/>
          <w:left w:w="0" w:type="dxa"/>
          <w:bottom w:w="0" w:type="dxa"/>
          <w:right w:w="0" w:type="dxa"/>
        </w:tblCellMar>
      </w:tblPr>
      <w:tr>
        <w:trPr>
          <w:trHeight w:val="158"/>
        </w:trPr>
        <w:tc>
          <w:tcPr>
            <w:tcW w:w="2880" w:type="dxa"/>
            <w:vAlign w:val="bottom"/>
          </w:tcPr>
          <w:p>
            <w:pPr>
              <w:jc w:val="center"/>
              <w:ind w:left="48"/>
              <w:spacing w:after="0" w:line="158" w:lineRule="exact"/>
              <w:rPr>
                <w:sz w:val="20"/>
                <w:szCs w:val="20"/>
                <w:color w:val="auto"/>
              </w:rPr>
            </w:pPr>
            <w:r>
              <w:rPr>
                <w:rFonts w:ascii="Arial" w:cs="Arial" w:eastAsia="Arial" w:hAnsi="Arial"/>
                <w:sz w:val="14"/>
                <w:szCs w:val="14"/>
                <w:color w:val="auto"/>
              </w:rPr>
              <w:t>90.00%</w:t>
            </w:r>
          </w:p>
        </w:tc>
        <w:tc>
          <w:tcPr>
            <w:tcW w:w="2660" w:type="dxa"/>
            <w:vAlign w:val="bottom"/>
          </w:tcPr>
          <w:p>
            <w:pPr>
              <w:jc w:val="center"/>
              <w:ind w:left="68"/>
              <w:spacing w:after="0" w:line="158" w:lineRule="exact"/>
              <w:rPr>
                <w:sz w:val="20"/>
                <w:szCs w:val="20"/>
                <w:color w:val="auto"/>
              </w:rPr>
            </w:pPr>
            <w:r>
              <w:rPr>
                <w:rFonts w:ascii="Arial" w:cs="Arial" w:eastAsia="Arial" w:hAnsi="Arial"/>
                <w:sz w:val="14"/>
                <w:szCs w:val="14"/>
                <w:color w:val="auto"/>
              </w:rPr>
              <w:t>$1,852.00</w:t>
            </w:r>
          </w:p>
        </w:tc>
      </w:tr>
      <w:tr>
        <w:trPr>
          <w:trHeight w:val="162"/>
        </w:trPr>
        <w:tc>
          <w:tcPr>
            <w:tcW w:w="28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85.20%</w:t>
            </w:r>
          </w:p>
        </w:tc>
        <w:tc>
          <w:tcPr>
            <w:tcW w:w="266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$1,852.00</w:t>
            </w:r>
          </w:p>
        </w:tc>
      </w:tr>
      <w:tr>
        <w:trPr>
          <w:trHeight w:val="162"/>
        </w:trPr>
        <w:tc>
          <w:tcPr>
            <w:tcW w:w="2880" w:type="dxa"/>
            <w:vAlign w:val="bottom"/>
          </w:tcPr>
          <w:p>
            <w:pPr>
              <w:jc w:val="center"/>
              <w:ind w:left="48"/>
              <w:spacing w:after="0"/>
              <w:rPr>
                <w:sz w:val="20"/>
                <w:szCs w:val="20"/>
                <w:color w:val="auto"/>
              </w:rPr>
            </w:pPr>
            <w:r>
              <w:rPr>
                <w:rFonts w:ascii="Arial" w:cs="Arial" w:eastAsia="Arial" w:hAnsi="Arial"/>
                <w:sz w:val="14"/>
                <w:szCs w:val="14"/>
                <w:color w:val="auto"/>
              </w:rPr>
              <w:t>80.00%</w:t>
            </w:r>
          </w:p>
        </w:tc>
        <w:tc>
          <w:tcPr>
            <w:tcW w:w="2660" w:type="dxa"/>
            <w:vAlign w:val="bottom"/>
          </w:tcPr>
          <w:p>
            <w:pPr>
              <w:jc w:val="center"/>
              <w:ind w:left="68"/>
              <w:spacing w:after="0"/>
              <w:rPr>
                <w:sz w:val="20"/>
                <w:szCs w:val="20"/>
                <w:color w:val="auto"/>
              </w:rPr>
            </w:pPr>
            <w:r>
              <w:rPr>
                <w:rFonts w:ascii="Arial" w:cs="Arial" w:eastAsia="Arial" w:hAnsi="Arial"/>
                <w:sz w:val="14"/>
                <w:szCs w:val="14"/>
                <w:color w:val="auto"/>
              </w:rPr>
              <w:t>$1,852.00</w:t>
            </w:r>
          </w:p>
        </w:tc>
      </w:tr>
      <w:tr>
        <w:trPr>
          <w:trHeight w:val="162"/>
        </w:trPr>
        <w:tc>
          <w:tcPr>
            <w:tcW w:w="28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65.00%</w:t>
            </w:r>
          </w:p>
        </w:tc>
        <w:tc>
          <w:tcPr>
            <w:tcW w:w="266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$1,852.00</w:t>
            </w:r>
          </w:p>
        </w:tc>
      </w:tr>
      <w:tr>
        <w:trPr>
          <w:trHeight w:val="162"/>
        </w:trPr>
        <w:tc>
          <w:tcPr>
            <w:tcW w:w="2880" w:type="dxa"/>
            <w:vAlign w:val="bottom"/>
          </w:tcPr>
          <w:p>
            <w:pPr>
              <w:jc w:val="center"/>
              <w:ind w:left="48"/>
              <w:spacing w:after="0"/>
              <w:rPr>
                <w:sz w:val="20"/>
                <w:szCs w:val="20"/>
                <w:color w:val="auto"/>
              </w:rPr>
            </w:pPr>
            <w:r>
              <w:rPr>
                <w:rFonts w:ascii="Arial" w:cs="Arial" w:eastAsia="Arial" w:hAnsi="Arial"/>
                <w:sz w:val="14"/>
                <w:szCs w:val="14"/>
                <w:color w:val="auto"/>
              </w:rPr>
              <w:t>40.00%</w:t>
            </w:r>
          </w:p>
        </w:tc>
        <w:tc>
          <w:tcPr>
            <w:tcW w:w="2660" w:type="dxa"/>
            <w:vAlign w:val="bottom"/>
          </w:tcPr>
          <w:p>
            <w:pPr>
              <w:jc w:val="center"/>
              <w:ind w:left="68"/>
              <w:spacing w:after="0"/>
              <w:rPr>
                <w:sz w:val="20"/>
                <w:szCs w:val="20"/>
                <w:color w:val="auto"/>
              </w:rPr>
            </w:pPr>
            <w:r>
              <w:rPr>
                <w:rFonts w:ascii="Arial" w:cs="Arial" w:eastAsia="Arial" w:hAnsi="Arial"/>
                <w:sz w:val="14"/>
                <w:szCs w:val="14"/>
                <w:color w:val="auto"/>
              </w:rPr>
              <w:t>$1,852.00</w:t>
            </w:r>
          </w:p>
        </w:tc>
      </w:tr>
      <w:tr>
        <w:trPr>
          <w:trHeight w:val="162"/>
        </w:trPr>
        <w:tc>
          <w:tcPr>
            <w:tcW w:w="28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30.00%</w:t>
            </w:r>
          </w:p>
        </w:tc>
        <w:tc>
          <w:tcPr>
            <w:tcW w:w="266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$1,852.00</w:t>
            </w:r>
          </w:p>
        </w:tc>
      </w:tr>
      <w:tr>
        <w:trPr>
          <w:trHeight w:val="162"/>
        </w:trPr>
        <w:tc>
          <w:tcPr>
            <w:tcW w:w="2880" w:type="dxa"/>
            <w:vAlign w:val="bottom"/>
          </w:tcPr>
          <w:p>
            <w:pPr>
              <w:jc w:val="center"/>
              <w:ind w:left="48"/>
              <w:spacing w:after="0"/>
              <w:rPr>
                <w:sz w:val="20"/>
                <w:szCs w:val="20"/>
                <w:color w:val="auto"/>
              </w:rPr>
            </w:pPr>
            <w:r>
              <w:rPr>
                <w:rFonts w:ascii="Arial" w:cs="Arial" w:eastAsia="Arial" w:hAnsi="Arial"/>
                <w:sz w:val="14"/>
                <w:szCs w:val="14"/>
                <w:color w:val="auto"/>
              </w:rPr>
              <w:t>20.00%</w:t>
            </w:r>
          </w:p>
        </w:tc>
        <w:tc>
          <w:tcPr>
            <w:tcW w:w="2660" w:type="dxa"/>
            <w:vAlign w:val="bottom"/>
          </w:tcPr>
          <w:p>
            <w:pPr>
              <w:jc w:val="center"/>
              <w:ind w:left="68"/>
              <w:spacing w:after="0"/>
              <w:rPr>
                <w:sz w:val="20"/>
                <w:szCs w:val="20"/>
                <w:color w:val="auto"/>
              </w:rPr>
            </w:pPr>
            <w:r>
              <w:rPr>
                <w:rFonts w:ascii="Arial" w:cs="Arial" w:eastAsia="Arial" w:hAnsi="Arial"/>
                <w:sz w:val="14"/>
                <w:szCs w:val="14"/>
                <w:color w:val="auto"/>
              </w:rPr>
              <w:t>$1,852.00</w:t>
            </w:r>
          </w:p>
        </w:tc>
      </w:tr>
      <w:tr>
        <w:trPr>
          <w:trHeight w:val="162"/>
        </w:trPr>
        <w:tc>
          <w:tcPr>
            <w:tcW w:w="28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10.00%</w:t>
            </w:r>
          </w:p>
        </w:tc>
        <w:tc>
          <w:tcPr>
            <w:tcW w:w="266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$1,852.00</w:t>
            </w:r>
          </w:p>
        </w:tc>
      </w:tr>
      <w:tr>
        <w:trPr>
          <w:trHeight w:val="162"/>
        </w:trPr>
        <w:tc>
          <w:tcPr>
            <w:tcW w:w="2880" w:type="dxa"/>
            <w:vAlign w:val="bottom"/>
          </w:tcPr>
          <w:p>
            <w:pPr>
              <w:jc w:val="center"/>
              <w:ind w:left="48"/>
              <w:spacing w:after="0"/>
              <w:rPr>
                <w:sz w:val="20"/>
                <w:szCs w:val="20"/>
                <w:color w:val="auto"/>
              </w:rPr>
            </w:pPr>
            <w:r>
              <w:rPr>
                <w:rFonts w:ascii="Arial" w:cs="Arial" w:eastAsia="Arial" w:hAnsi="Arial"/>
                <w:sz w:val="14"/>
                <w:szCs w:val="14"/>
                <w:color w:val="auto"/>
              </w:rPr>
              <w:t>5.00%</w:t>
            </w:r>
          </w:p>
        </w:tc>
        <w:tc>
          <w:tcPr>
            <w:tcW w:w="2660" w:type="dxa"/>
            <w:vAlign w:val="bottom"/>
          </w:tcPr>
          <w:p>
            <w:pPr>
              <w:jc w:val="center"/>
              <w:ind w:left="68"/>
              <w:spacing w:after="0"/>
              <w:rPr>
                <w:sz w:val="20"/>
                <w:szCs w:val="20"/>
                <w:color w:val="auto"/>
              </w:rPr>
            </w:pPr>
            <w:r>
              <w:rPr>
                <w:rFonts w:ascii="Arial" w:cs="Arial" w:eastAsia="Arial" w:hAnsi="Arial"/>
                <w:sz w:val="14"/>
                <w:szCs w:val="14"/>
                <w:color w:val="auto"/>
              </w:rPr>
              <w:t>$1,852.00</w:t>
            </w:r>
          </w:p>
        </w:tc>
      </w:tr>
      <w:tr>
        <w:trPr>
          <w:trHeight w:val="162"/>
        </w:trPr>
        <w:tc>
          <w:tcPr>
            <w:tcW w:w="28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0.00%</w:t>
            </w:r>
          </w:p>
        </w:tc>
        <w:tc>
          <w:tcPr>
            <w:tcW w:w="266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$1,852.00</w:t>
            </w:r>
          </w:p>
        </w:tc>
      </w:tr>
      <w:tr>
        <w:trPr>
          <w:trHeight w:val="162"/>
        </w:trPr>
        <w:tc>
          <w:tcPr>
            <w:tcW w:w="2880" w:type="dxa"/>
            <w:vAlign w:val="bottom"/>
          </w:tcPr>
          <w:p>
            <w:pPr>
              <w:jc w:val="center"/>
              <w:ind w:left="48"/>
              <w:spacing w:after="0"/>
              <w:rPr>
                <w:sz w:val="20"/>
                <w:szCs w:val="20"/>
                <w:color w:val="auto"/>
              </w:rPr>
            </w:pPr>
            <w:r>
              <w:rPr>
                <w:rFonts w:ascii="Arial" w:cs="Arial" w:eastAsia="Arial" w:hAnsi="Arial"/>
                <w:sz w:val="14"/>
                <w:szCs w:val="14"/>
                <w:color w:val="auto"/>
                <w:w w:val="99"/>
              </w:rPr>
              <w:t>-10.00%</w:t>
            </w:r>
          </w:p>
        </w:tc>
        <w:tc>
          <w:tcPr>
            <w:tcW w:w="2660" w:type="dxa"/>
            <w:vAlign w:val="bottom"/>
          </w:tcPr>
          <w:p>
            <w:pPr>
              <w:jc w:val="center"/>
              <w:ind w:left="68"/>
              <w:spacing w:after="0"/>
              <w:rPr>
                <w:sz w:val="20"/>
                <w:szCs w:val="20"/>
                <w:color w:val="auto"/>
              </w:rPr>
            </w:pPr>
            <w:r>
              <w:rPr>
                <w:rFonts w:ascii="Arial" w:cs="Arial" w:eastAsia="Arial" w:hAnsi="Arial"/>
                <w:sz w:val="14"/>
                <w:szCs w:val="14"/>
                <w:color w:val="auto"/>
              </w:rPr>
              <w:t>$1,000.00</w:t>
            </w:r>
          </w:p>
        </w:tc>
      </w:tr>
      <w:tr>
        <w:trPr>
          <w:trHeight w:val="162"/>
        </w:trPr>
        <w:tc>
          <w:tcPr>
            <w:tcW w:w="28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w w:val="99"/>
              </w:rPr>
              <w:t>-20.00%</w:t>
            </w:r>
          </w:p>
        </w:tc>
        <w:tc>
          <w:tcPr>
            <w:tcW w:w="266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r>
      <w:tr>
        <w:trPr>
          <w:trHeight w:val="162"/>
        </w:trPr>
        <w:tc>
          <w:tcPr>
            <w:tcW w:w="2880" w:type="dxa"/>
            <w:vAlign w:val="bottom"/>
          </w:tcPr>
          <w:p>
            <w:pPr>
              <w:jc w:val="center"/>
              <w:ind w:left="48"/>
              <w:spacing w:after="0"/>
              <w:rPr>
                <w:sz w:val="20"/>
                <w:szCs w:val="20"/>
                <w:color w:val="auto"/>
              </w:rPr>
            </w:pPr>
            <w:r>
              <w:rPr>
                <w:rFonts w:ascii="Arial" w:cs="Arial" w:eastAsia="Arial" w:hAnsi="Arial"/>
                <w:sz w:val="14"/>
                <w:szCs w:val="14"/>
                <w:color w:val="auto"/>
                <w:w w:val="99"/>
              </w:rPr>
              <w:t>-20.01%</w:t>
            </w:r>
          </w:p>
        </w:tc>
        <w:tc>
          <w:tcPr>
            <w:tcW w:w="2660" w:type="dxa"/>
            <w:vAlign w:val="bottom"/>
          </w:tcPr>
          <w:p>
            <w:pPr>
              <w:jc w:val="center"/>
              <w:ind w:left="68"/>
              <w:spacing w:after="0"/>
              <w:rPr>
                <w:sz w:val="20"/>
                <w:szCs w:val="20"/>
                <w:color w:val="auto"/>
              </w:rPr>
            </w:pPr>
            <w:r>
              <w:rPr>
                <w:rFonts w:ascii="Arial" w:cs="Arial" w:eastAsia="Arial" w:hAnsi="Arial"/>
                <w:sz w:val="14"/>
                <w:szCs w:val="14"/>
                <w:color w:val="auto"/>
              </w:rPr>
              <w:t>$799.90</w:t>
            </w:r>
          </w:p>
        </w:tc>
      </w:tr>
      <w:tr>
        <w:trPr>
          <w:trHeight w:val="162"/>
        </w:trPr>
        <w:tc>
          <w:tcPr>
            <w:tcW w:w="2880" w:type="dxa"/>
            <w:vAlign w:val="bottom"/>
            <w:shd w:val="clear" w:color="auto" w:fill="D1D1D1"/>
          </w:tcPr>
          <w:p>
            <w:pPr>
              <w:jc w:val="center"/>
              <w:ind w:left="48"/>
              <w:spacing w:after="0"/>
              <w:rPr>
                <w:sz w:val="20"/>
                <w:szCs w:val="20"/>
                <w:color w:val="auto"/>
              </w:rPr>
            </w:pPr>
            <w:r>
              <w:rPr>
                <w:rFonts w:ascii="Arial" w:cs="Arial" w:eastAsia="Arial" w:hAnsi="Arial"/>
                <w:sz w:val="14"/>
                <w:szCs w:val="14"/>
                <w:color w:val="auto"/>
                <w:w w:val="99"/>
              </w:rPr>
              <w:t>-30.00%</w:t>
            </w:r>
          </w:p>
        </w:tc>
        <w:tc>
          <w:tcPr>
            <w:tcW w:w="2660" w:type="dxa"/>
            <w:vAlign w:val="bottom"/>
            <w:shd w:val="clear" w:color="auto" w:fill="D1D1D1"/>
          </w:tcPr>
          <w:p>
            <w:pPr>
              <w:jc w:val="center"/>
              <w:ind w:left="68"/>
              <w:spacing w:after="0"/>
              <w:rPr>
                <w:sz w:val="20"/>
                <w:szCs w:val="20"/>
                <w:color w:val="auto"/>
              </w:rPr>
            </w:pPr>
            <w:r>
              <w:rPr>
                <w:rFonts w:ascii="Arial" w:cs="Arial" w:eastAsia="Arial" w:hAnsi="Arial"/>
                <w:sz w:val="14"/>
                <w:szCs w:val="14"/>
                <w:color w:val="auto"/>
              </w:rPr>
              <w:t>$700.00</w:t>
            </w:r>
          </w:p>
        </w:tc>
      </w:tr>
      <w:tr>
        <w:trPr>
          <w:trHeight w:val="162"/>
        </w:trPr>
        <w:tc>
          <w:tcPr>
            <w:tcW w:w="2880" w:type="dxa"/>
            <w:vAlign w:val="bottom"/>
          </w:tcPr>
          <w:p>
            <w:pPr>
              <w:jc w:val="center"/>
              <w:ind w:left="48"/>
              <w:spacing w:after="0"/>
              <w:rPr>
                <w:sz w:val="20"/>
                <w:szCs w:val="20"/>
                <w:color w:val="auto"/>
              </w:rPr>
            </w:pPr>
            <w:r>
              <w:rPr>
                <w:rFonts w:ascii="Arial" w:cs="Arial" w:eastAsia="Arial" w:hAnsi="Arial"/>
                <w:sz w:val="14"/>
                <w:szCs w:val="14"/>
                <w:color w:val="auto"/>
                <w:w w:val="99"/>
              </w:rPr>
              <w:t>-40.00%</w:t>
            </w:r>
          </w:p>
        </w:tc>
        <w:tc>
          <w:tcPr>
            <w:tcW w:w="2660" w:type="dxa"/>
            <w:vAlign w:val="bottom"/>
          </w:tcPr>
          <w:p>
            <w:pPr>
              <w:jc w:val="center"/>
              <w:ind w:left="68"/>
              <w:spacing w:after="0"/>
              <w:rPr>
                <w:sz w:val="20"/>
                <w:szCs w:val="20"/>
                <w:color w:val="auto"/>
              </w:rPr>
            </w:pPr>
            <w:r>
              <w:rPr>
                <w:rFonts w:ascii="Arial" w:cs="Arial" w:eastAsia="Arial" w:hAnsi="Arial"/>
                <w:sz w:val="14"/>
                <w:szCs w:val="14"/>
                <w:color w:val="auto"/>
              </w:rPr>
              <w:t>$600.00</w:t>
            </w:r>
          </w:p>
        </w:tc>
      </w:tr>
      <w:tr>
        <w:trPr>
          <w:trHeight w:val="162"/>
        </w:trPr>
        <w:tc>
          <w:tcPr>
            <w:tcW w:w="2880" w:type="dxa"/>
            <w:vAlign w:val="bottom"/>
            <w:shd w:val="clear" w:color="auto" w:fill="D1D1D1"/>
          </w:tcPr>
          <w:p>
            <w:pPr>
              <w:jc w:val="center"/>
              <w:ind w:left="48"/>
              <w:spacing w:after="0"/>
              <w:rPr>
                <w:sz w:val="20"/>
                <w:szCs w:val="20"/>
                <w:color w:val="auto"/>
              </w:rPr>
            </w:pPr>
            <w:r>
              <w:rPr>
                <w:rFonts w:ascii="Arial" w:cs="Arial" w:eastAsia="Arial" w:hAnsi="Arial"/>
                <w:sz w:val="14"/>
                <w:szCs w:val="14"/>
                <w:color w:val="auto"/>
                <w:w w:val="99"/>
              </w:rPr>
              <w:t>-50.00%</w:t>
            </w:r>
          </w:p>
        </w:tc>
        <w:tc>
          <w:tcPr>
            <w:tcW w:w="2660" w:type="dxa"/>
            <w:vAlign w:val="bottom"/>
            <w:shd w:val="clear" w:color="auto" w:fill="D1D1D1"/>
          </w:tcPr>
          <w:p>
            <w:pPr>
              <w:jc w:val="center"/>
              <w:ind w:left="68"/>
              <w:spacing w:after="0"/>
              <w:rPr>
                <w:sz w:val="20"/>
                <w:szCs w:val="20"/>
                <w:color w:val="auto"/>
              </w:rPr>
            </w:pPr>
            <w:r>
              <w:rPr>
                <w:rFonts w:ascii="Arial" w:cs="Arial" w:eastAsia="Arial" w:hAnsi="Arial"/>
                <w:sz w:val="14"/>
                <w:szCs w:val="14"/>
                <w:color w:val="auto"/>
              </w:rPr>
              <w:t>$500.00</w:t>
            </w:r>
          </w:p>
        </w:tc>
      </w:tr>
      <w:tr>
        <w:trPr>
          <w:trHeight w:val="162"/>
        </w:trPr>
        <w:tc>
          <w:tcPr>
            <w:tcW w:w="2880" w:type="dxa"/>
            <w:vAlign w:val="bottom"/>
          </w:tcPr>
          <w:p>
            <w:pPr>
              <w:jc w:val="center"/>
              <w:ind w:left="48"/>
              <w:spacing w:after="0"/>
              <w:rPr>
                <w:sz w:val="20"/>
                <w:szCs w:val="20"/>
                <w:color w:val="auto"/>
              </w:rPr>
            </w:pPr>
            <w:r>
              <w:rPr>
                <w:rFonts w:ascii="Arial" w:cs="Arial" w:eastAsia="Arial" w:hAnsi="Arial"/>
                <w:sz w:val="14"/>
                <w:szCs w:val="14"/>
                <w:color w:val="auto"/>
                <w:w w:val="99"/>
              </w:rPr>
              <w:t>-60.00%</w:t>
            </w:r>
          </w:p>
        </w:tc>
        <w:tc>
          <w:tcPr>
            <w:tcW w:w="2660" w:type="dxa"/>
            <w:vAlign w:val="bottom"/>
          </w:tcPr>
          <w:p>
            <w:pPr>
              <w:jc w:val="center"/>
              <w:ind w:left="68"/>
              <w:spacing w:after="0"/>
              <w:rPr>
                <w:sz w:val="20"/>
                <w:szCs w:val="20"/>
                <w:color w:val="auto"/>
              </w:rPr>
            </w:pPr>
            <w:r>
              <w:rPr>
                <w:rFonts w:ascii="Arial" w:cs="Arial" w:eastAsia="Arial" w:hAnsi="Arial"/>
                <w:sz w:val="14"/>
                <w:szCs w:val="14"/>
                <w:color w:val="auto"/>
              </w:rPr>
              <w:t>$400.00</w:t>
            </w:r>
          </w:p>
        </w:tc>
      </w:tr>
      <w:tr>
        <w:trPr>
          <w:trHeight w:val="162"/>
        </w:trPr>
        <w:tc>
          <w:tcPr>
            <w:tcW w:w="2880" w:type="dxa"/>
            <w:vAlign w:val="bottom"/>
            <w:shd w:val="clear" w:color="auto" w:fill="D1D1D1"/>
          </w:tcPr>
          <w:p>
            <w:pPr>
              <w:jc w:val="center"/>
              <w:ind w:left="48"/>
              <w:spacing w:after="0"/>
              <w:rPr>
                <w:sz w:val="20"/>
                <w:szCs w:val="20"/>
                <w:color w:val="auto"/>
              </w:rPr>
            </w:pPr>
            <w:r>
              <w:rPr>
                <w:rFonts w:ascii="Arial" w:cs="Arial" w:eastAsia="Arial" w:hAnsi="Arial"/>
                <w:sz w:val="14"/>
                <w:szCs w:val="14"/>
                <w:color w:val="auto"/>
                <w:w w:val="99"/>
              </w:rPr>
              <w:t>-80.00%</w:t>
            </w:r>
          </w:p>
        </w:tc>
        <w:tc>
          <w:tcPr>
            <w:tcW w:w="2660" w:type="dxa"/>
            <w:vAlign w:val="bottom"/>
            <w:shd w:val="clear" w:color="auto" w:fill="D1D1D1"/>
          </w:tcPr>
          <w:p>
            <w:pPr>
              <w:jc w:val="center"/>
              <w:ind w:left="68"/>
              <w:spacing w:after="0"/>
              <w:rPr>
                <w:sz w:val="20"/>
                <w:szCs w:val="20"/>
                <w:color w:val="auto"/>
              </w:rPr>
            </w:pPr>
            <w:r>
              <w:rPr>
                <w:rFonts w:ascii="Arial" w:cs="Arial" w:eastAsia="Arial" w:hAnsi="Arial"/>
                <w:sz w:val="14"/>
                <w:szCs w:val="14"/>
                <w:color w:val="auto"/>
              </w:rPr>
              <w:t>$200.00</w:t>
            </w:r>
          </w:p>
        </w:tc>
      </w:tr>
      <w:tr>
        <w:trPr>
          <w:trHeight w:val="190"/>
        </w:trPr>
        <w:tc>
          <w:tcPr>
            <w:tcW w:w="2880" w:type="dxa"/>
            <w:vAlign w:val="bottom"/>
          </w:tcPr>
          <w:p>
            <w:pPr>
              <w:jc w:val="center"/>
              <w:ind w:left="48"/>
              <w:spacing w:after="0"/>
              <w:rPr>
                <w:sz w:val="20"/>
                <w:szCs w:val="20"/>
                <w:color w:val="auto"/>
              </w:rPr>
            </w:pPr>
            <w:r>
              <w:rPr>
                <w:rFonts w:ascii="Arial" w:cs="Arial" w:eastAsia="Arial" w:hAnsi="Arial"/>
                <w:sz w:val="14"/>
                <w:szCs w:val="14"/>
                <w:color w:val="auto"/>
              </w:rPr>
              <w:t>-100.00%</w:t>
            </w:r>
          </w:p>
        </w:tc>
        <w:tc>
          <w:tcPr>
            <w:tcW w:w="2660" w:type="dxa"/>
            <w:vAlign w:val="bottom"/>
          </w:tcPr>
          <w:p>
            <w:pPr>
              <w:jc w:val="center"/>
              <w:ind w:left="68"/>
              <w:spacing w:after="0"/>
              <w:rPr>
                <w:sz w:val="20"/>
                <w:szCs w:val="20"/>
                <w:color w:val="auto"/>
              </w:rPr>
            </w:pPr>
            <w:r>
              <w:rPr>
                <w:rFonts w:ascii="Arial" w:cs="Arial" w:eastAsia="Arial" w:hAnsi="Arial"/>
                <w:sz w:val="14"/>
                <w:szCs w:val="14"/>
                <w:color w:val="auto"/>
              </w:rPr>
              <w:t>$0.00</w:t>
            </w:r>
          </w:p>
        </w:tc>
      </w:tr>
    </w:tbl>
    <w:p>
      <w:pPr>
        <w:sectPr>
          <w:pgSz w:w="11900" w:h="16838" w:orient="portrait"/>
          <w:cols w:equalWidth="0" w:num="2">
            <w:col w:w="5560" w:space="120"/>
            <w:col w:w="5560"/>
          </w:cols>
          <w:pgMar w:left="320" w:top="2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color w:val="296DC1"/>
        </w:rPr>
        <w:t>6yNC1y SX5E/SPX/TPX Jump Securities with Auto-Callable Feature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296DC1"/>
        </w:rPr>
        <w:t>Underlying Indices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about the underlying indices, including historical performance information, see the accompanying preliminary pricing supplement.</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296DC1"/>
        </w:rPr>
        <w:t>Risk Considerations</w:t>
      </w:r>
    </w:p>
    <w:p>
      <w:pPr>
        <w:spacing w:after="0" w:line="85"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The risks identified below are not exhaustive. Please see “Risk Factors” in the accompanying prospectus supplement, product supplement and preliminary pricing supplement for additional information.</w:t>
      </w:r>
    </w:p>
    <w:p>
      <w:pPr>
        <w:spacing w:after="0" w:line="230" w:lineRule="auto"/>
        <w:rPr>
          <w:sz w:val="20"/>
          <w:szCs w:val="20"/>
          <w:color w:val="auto"/>
        </w:rPr>
      </w:pPr>
      <w:r>
        <w:rPr>
          <w:rFonts w:ascii="Arial" w:cs="Arial" w:eastAsia="Arial" w:hAnsi="Arial"/>
          <w:sz w:val="18"/>
          <w:szCs w:val="18"/>
          <w:color w:val="296DC1"/>
        </w:rPr>
        <w:t>Risks Relating to the Securities Generally</w:t>
      </w:r>
    </w:p>
    <w:p>
      <w:pPr>
        <w:ind w:left="340" w:hanging="332"/>
        <w:spacing w:after="0" w:line="183" w:lineRule="auto"/>
        <w:tabs>
          <w:tab w:leader="none" w:pos="340" w:val="left"/>
        </w:tabs>
        <w:numPr>
          <w:ilvl w:val="0"/>
          <w:numId w:val="1"/>
        </w:numPr>
        <w:rPr>
          <w:rFonts w:ascii="Wingdings" w:cs="Wingdings" w:eastAsia="Wingdings" w:hAnsi="Wingdings"/>
          <w:sz w:val="22"/>
          <w:szCs w:val="22"/>
          <w:b w:val="1"/>
          <w:bCs w:val="1"/>
          <w:color w:val="A3C4EB"/>
        </w:rPr>
      </w:pPr>
      <w:r>
        <w:rPr>
          <w:rFonts w:ascii="Arial" w:cs="Arial" w:eastAsia="Arial" w:hAnsi="Arial"/>
          <w:sz w:val="14"/>
          <w:szCs w:val="14"/>
          <w:color w:val="auto"/>
        </w:rPr>
        <w:t>The securities do not pay interest or guarantee the return of any principal and your investment in the securities may result in a loss.</w:t>
      </w:r>
    </w:p>
    <w:p>
      <w:pPr>
        <w:spacing w:after="0" w:line="52" w:lineRule="exact"/>
        <w:rPr>
          <w:rFonts w:ascii="Wingdings" w:cs="Wingdings" w:eastAsia="Wingdings" w:hAnsi="Wingdings"/>
          <w:sz w:val="22"/>
          <w:szCs w:val="22"/>
          <w:b w:val="1"/>
          <w:bCs w:val="1"/>
          <w:color w:val="A3C4EB"/>
        </w:rPr>
      </w:pPr>
    </w:p>
    <w:p>
      <w:pPr>
        <w:ind w:left="340" w:hanging="332"/>
        <w:spacing w:after="0" w:line="191" w:lineRule="auto"/>
        <w:tabs>
          <w:tab w:leader="none" w:pos="340" w:val="left"/>
        </w:tabs>
        <w:numPr>
          <w:ilvl w:val="0"/>
          <w:numId w:val="1"/>
        </w:numPr>
        <w:rPr>
          <w:rFonts w:ascii="Wingdings" w:cs="Wingdings" w:eastAsia="Wingdings" w:hAnsi="Wingdings"/>
          <w:sz w:val="20"/>
          <w:szCs w:val="20"/>
          <w:b w:val="1"/>
          <w:bCs w:val="1"/>
          <w:color w:val="A3C4EB"/>
        </w:rPr>
      </w:pPr>
      <w:r>
        <w:rPr>
          <w:rFonts w:ascii="Arial" w:cs="Arial" w:eastAsia="Arial" w:hAnsi="Arial"/>
          <w:sz w:val="14"/>
          <w:szCs w:val="14"/>
          <w:color w:val="auto"/>
        </w:rPr>
        <w:t>The appreciation potential of the securities is limited.</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1"/>
        </w:numPr>
        <w:rPr>
          <w:rFonts w:ascii="Wingdings" w:cs="Wingdings" w:eastAsia="Wingdings" w:hAnsi="Wingdings"/>
          <w:sz w:val="20"/>
          <w:szCs w:val="20"/>
          <w:b w:val="1"/>
          <w:bCs w:val="1"/>
          <w:color w:val="A3C4EB"/>
        </w:rPr>
      </w:pPr>
      <w:r>
        <w:rPr>
          <w:rFonts w:ascii="Arial" w:cs="Arial" w:eastAsia="Arial" w:hAnsi="Arial"/>
          <w:sz w:val="14"/>
          <w:szCs w:val="14"/>
          <w:color w:val="auto"/>
        </w:rPr>
        <w:t>You are exposed to the price risk of each underlying index.</w:t>
      </w:r>
    </w:p>
    <w:p>
      <w:pPr>
        <w:spacing w:after="0" w:line="52" w:lineRule="exact"/>
        <w:rPr>
          <w:rFonts w:ascii="Wingdings" w:cs="Wingdings" w:eastAsia="Wingdings" w:hAnsi="Wingdings"/>
          <w:sz w:val="20"/>
          <w:szCs w:val="20"/>
          <w:b w:val="1"/>
          <w:bCs w:val="1"/>
          <w:color w:val="A3C4EB"/>
        </w:rPr>
      </w:pPr>
    </w:p>
    <w:p>
      <w:pPr>
        <w:ind w:left="340" w:right="20" w:hanging="332"/>
        <w:spacing w:after="0" w:line="192" w:lineRule="auto"/>
        <w:tabs>
          <w:tab w:leader="none" w:pos="340" w:val="left"/>
        </w:tabs>
        <w:numPr>
          <w:ilvl w:val="0"/>
          <w:numId w:val="1"/>
        </w:numPr>
        <w:rPr>
          <w:rFonts w:ascii="Wingdings" w:cs="Wingdings" w:eastAsia="Wingdings" w:hAnsi="Wingdings"/>
          <w:sz w:val="22"/>
          <w:szCs w:val="22"/>
          <w:b w:val="1"/>
          <w:bCs w:val="1"/>
          <w:color w:val="A3C4EB"/>
        </w:rPr>
      </w:pPr>
      <w:r>
        <w:rPr>
          <w:rFonts w:ascii="Arial" w:cs="Arial" w:eastAsia="Arial" w:hAnsi="Arial"/>
          <w:sz w:val="14"/>
          <w:szCs w:val="14"/>
          <w:color w:val="auto"/>
        </w:rPr>
        <w:t>Because the securities are linked to the performance of the worst performing underlying index, you are exposed to greater risks of no early redemption payment or maturity redemption payment and sustaining a significant loss on your investment than if the securities were linked to just one underlying index.</w:t>
      </w:r>
    </w:p>
    <w:p>
      <w:pPr>
        <w:spacing w:after="0" w:line="1" w:lineRule="exact"/>
        <w:rPr>
          <w:rFonts w:ascii="Wingdings" w:cs="Wingdings" w:eastAsia="Wingdings" w:hAnsi="Wingdings"/>
          <w:sz w:val="22"/>
          <w:szCs w:val="22"/>
          <w:b w:val="1"/>
          <w:bCs w:val="1"/>
          <w:color w:val="A3C4EB"/>
        </w:rPr>
      </w:pPr>
    </w:p>
    <w:p>
      <w:pPr>
        <w:ind w:left="340" w:right="80" w:hanging="332"/>
        <w:spacing w:after="0" w:line="191" w:lineRule="auto"/>
        <w:tabs>
          <w:tab w:leader="none" w:pos="340" w:val="left"/>
        </w:tabs>
        <w:numPr>
          <w:ilvl w:val="0"/>
          <w:numId w:val="1"/>
        </w:numPr>
        <w:rPr>
          <w:rFonts w:ascii="Wingdings" w:cs="Wingdings" w:eastAsia="Wingdings" w:hAnsi="Wingdings"/>
          <w:sz w:val="22"/>
          <w:szCs w:val="22"/>
          <w:b w:val="1"/>
          <w:bCs w:val="1"/>
          <w:color w:val="A3C4EB"/>
        </w:rPr>
      </w:pPr>
      <w:r>
        <w:rPr>
          <w:rFonts w:ascii="Arial" w:cs="Arial" w:eastAsia="Arial" w:hAnsi="Arial"/>
          <w:sz w:val="14"/>
          <w:szCs w:val="14"/>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spacing w:after="0" w:line="1" w:lineRule="exact"/>
        <w:rPr>
          <w:rFonts w:ascii="Wingdings" w:cs="Wingdings" w:eastAsia="Wingdings" w:hAnsi="Wingdings"/>
          <w:sz w:val="22"/>
          <w:szCs w:val="22"/>
          <w:b w:val="1"/>
          <w:bCs w:val="1"/>
          <w:color w:val="A3C4EB"/>
        </w:rPr>
      </w:pPr>
    </w:p>
    <w:p>
      <w:pPr>
        <w:ind w:left="340" w:hanging="332"/>
        <w:spacing w:after="0" w:line="190" w:lineRule="auto"/>
        <w:tabs>
          <w:tab w:leader="none" w:pos="340" w:val="left"/>
        </w:tabs>
        <w:numPr>
          <w:ilvl w:val="0"/>
          <w:numId w:val="1"/>
        </w:numPr>
        <w:rPr>
          <w:rFonts w:ascii="Wingdings" w:cs="Wingdings" w:eastAsia="Wingdings" w:hAnsi="Wingdings"/>
          <w:sz w:val="20"/>
          <w:szCs w:val="20"/>
          <w:b w:val="1"/>
          <w:bCs w:val="1"/>
          <w:color w:val="A3C4EB"/>
        </w:rPr>
      </w:pPr>
      <w:r>
        <w:rPr>
          <w:rFonts w:ascii="Arial" w:cs="Arial" w:eastAsia="Arial" w:hAnsi="Arial"/>
          <w:sz w:val="14"/>
          <w:szCs w:val="14"/>
          <w:color w:val="auto"/>
        </w:rPr>
        <w:t>As a finance subsidiary, JPMorgan Financial has no independent activities and has limited assets.</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1"/>
        </w:numPr>
        <w:rPr>
          <w:rFonts w:ascii="Wingdings" w:cs="Wingdings" w:eastAsia="Wingdings" w:hAnsi="Wingdings"/>
          <w:sz w:val="20"/>
          <w:szCs w:val="20"/>
          <w:b w:val="1"/>
          <w:bCs w:val="1"/>
          <w:color w:val="A3C4EB"/>
        </w:rPr>
      </w:pPr>
      <w:r>
        <w:rPr>
          <w:rFonts w:ascii="Arial" w:cs="Arial" w:eastAsia="Arial" w:hAnsi="Arial"/>
          <w:sz w:val="14"/>
          <w:szCs w:val="14"/>
          <w:color w:val="auto"/>
        </w:rPr>
        <w:t>Investors will not participate in any appreciation of any underlying index.</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1"/>
        </w:numPr>
        <w:rPr>
          <w:rFonts w:ascii="Wingdings" w:cs="Wingdings" w:eastAsia="Wingdings" w:hAnsi="Wingdings"/>
          <w:sz w:val="20"/>
          <w:szCs w:val="20"/>
          <w:b w:val="1"/>
          <w:bCs w:val="1"/>
          <w:color w:val="A3C4EB"/>
        </w:rPr>
      </w:pPr>
      <w:r>
        <w:rPr>
          <w:rFonts w:ascii="Arial" w:cs="Arial" w:eastAsia="Arial" w:hAnsi="Arial"/>
          <w:sz w:val="14"/>
          <w:szCs w:val="14"/>
          <w:color w:val="auto"/>
        </w:rPr>
        <w:t>Early redemption risk.</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1"/>
        </w:numPr>
        <w:rPr>
          <w:rFonts w:ascii="Wingdings" w:cs="Wingdings" w:eastAsia="Wingdings" w:hAnsi="Wingdings"/>
          <w:sz w:val="20"/>
          <w:szCs w:val="20"/>
          <w:b w:val="1"/>
          <w:bCs w:val="1"/>
          <w:color w:val="A3C4EB"/>
        </w:rPr>
      </w:pPr>
      <w:r>
        <w:rPr>
          <w:rFonts w:ascii="Arial" w:cs="Arial" w:eastAsia="Arial" w:hAnsi="Arial"/>
          <w:sz w:val="14"/>
          <w:szCs w:val="14"/>
          <w:color w:val="auto"/>
        </w:rPr>
        <w:t>Secondary trading may be limited.</w:t>
      </w:r>
    </w:p>
    <w:p>
      <w:pPr>
        <w:spacing w:after="0" w:line="52" w:lineRule="exact"/>
        <w:rPr>
          <w:rFonts w:ascii="Wingdings" w:cs="Wingdings" w:eastAsia="Wingdings" w:hAnsi="Wingdings"/>
          <w:sz w:val="20"/>
          <w:szCs w:val="20"/>
          <w:b w:val="1"/>
          <w:bCs w:val="1"/>
          <w:color w:val="A3C4EB"/>
        </w:rPr>
      </w:pPr>
    </w:p>
    <w:p>
      <w:pPr>
        <w:ind w:left="340" w:right="100" w:hanging="332"/>
        <w:spacing w:after="0" w:line="192" w:lineRule="auto"/>
        <w:tabs>
          <w:tab w:leader="none" w:pos="340" w:val="left"/>
        </w:tabs>
        <w:numPr>
          <w:ilvl w:val="0"/>
          <w:numId w:val="1"/>
        </w:numPr>
        <w:rPr>
          <w:rFonts w:ascii="Wingdings" w:cs="Wingdings" w:eastAsia="Wingdings" w:hAnsi="Wingdings"/>
          <w:sz w:val="22"/>
          <w:szCs w:val="22"/>
          <w:b w:val="1"/>
          <w:bCs w:val="1"/>
          <w:color w:val="A3C4EB"/>
        </w:rPr>
      </w:pPr>
      <w:r>
        <w:rPr>
          <w:rFonts w:ascii="Arial" w:cs="Arial" w:eastAsia="Arial" w:hAnsi="Arial"/>
          <w:sz w:val="14"/>
          <w:szCs w:val="14"/>
          <w:color w:val="auto"/>
        </w:rPr>
        <w:t>We may accelerate your securities in our sole discretion and the calculation agent may adjust their final payment in good faith and in a commercially reasonable manner if an acceleration event occurs.</w:t>
      </w:r>
    </w:p>
    <w:p>
      <w:pPr>
        <w:spacing w:after="0" w:line="1" w:lineRule="exact"/>
        <w:rPr>
          <w:rFonts w:ascii="Wingdings" w:cs="Wingdings" w:eastAsia="Wingdings" w:hAnsi="Wingdings"/>
          <w:sz w:val="22"/>
          <w:szCs w:val="22"/>
          <w:b w:val="1"/>
          <w:bCs w:val="1"/>
          <w:color w:val="A3C4EB"/>
        </w:rPr>
      </w:pPr>
    </w:p>
    <w:p>
      <w:pPr>
        <w:ind w:left="340" w:hanging="332"/>
        <w:spacing w:after="0" w:line="190" w:lineRule="auto"/>
        <w:tabs>
          <w:tab w:leader="none" w:pos="340" w:val="left"/>
        </w:tabs>
        <w:numPr>
          <w:ilvl w:val="0"/>
          <w:numId w:val="1"/>
        </w:numPr>
        <w:rPr>
          <w:rFonts w:ascii="Wingdings" w:cs="Wingdings" w:eastAsia="Wingdings" w:hAnsi="Wingdings"/>
          <w:sz w:val="20"/>
          <w:szCs w:val="20"/>
          <w:b w:val="1"/>
          <w:bCs w:val="1"/>
          <w:color w:val="A3C4EB"/>
        </w:rPr>
      </w:pPr>
      <w:r>
        <w:rPr>
          <w:rFonts w:ascii="Arial" w:cs="Arial" w:eastAsia="Arial" w:hAnsi="Arial"/>
          <w:sz w:val="14"/>
          <w:szCs w:val="14"/>
          <w:color w:val="auto"/>
        </w:rPr>
        <w:t>The final terms and estimated valuation of the securities will be provided in the pricing supplement.</w:t>
      </w:r>
    </w:p>
    <w:p>
      <w:pPr>
        <w:spacing w:after="0" w:line="52" w:lineRule="exact"/>
        <w:rPr>
          <w:rFonts w:ascii="Wingdings" w:cs="Wingdings" w:eastAsia="Wingdings" w:hAnsi="Wingdings"/>
          <w:sz w:val="20"/>
          <w:szCs w:val="20"/>
          <w:b w:val="1"/>
          <w:bCs w:val="1"/>
          <w:color w:val="A3C4EB"/>
        </w:rPr>
      </w:pPr>
    </w:p>
    <w:p>
      <w:pPr>
        <w:ind w:left="340" w:hanging="332"/>
        <w:spacing w:after="0" w:line="191" w:lineRule="auto"/>
        <w:tabs>
          <w:tab w:leader="none" w:pos="340" w:val="left"/>
        </w:tabs>
        <w:numPr>
          <w:ilvl w:val="0"/>
          <w:numId w:val="1"/>
        </w:numPr>
        <w:rPr>
          <w:rFonts w:ascii="Wingdings" w:cs="Wingdings" w:eastAsia="Wingdings" w:hAnsi="Wingdings"/>
          <w:sz w:val="20"/>
          <w:szCs w:val="20"/>
          <w:b w:val="1"/>
          <w:bCs w:val="1"/>
          <w:color w:val="A3C4EB"/>
        </w:rPr>
      </w:pPr>
      <w:r>
        <w:rPr>
          <w:rFonts w:ascii="Arial" w:cs="Arial" w:eastAsia="Arial" w:hAnsi="Arial"/>
          <w:sz w:val="14"/>
          <w:szCs w:val="14"/>
          <w:color w:val="auto"/>
        </w:rPr>
        <w:t>The tax consequences of an investment in the securities are uncertain.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spacing w:after="0" w:line="9" w:lineRule="exact"/>
        <w:rPr>
          <w:sz w:val="20"/>
          <w:szCs w:val="20"/>
          <w:color w:val="auto"/>
        </w:rPr>
      </w:pPr>
    </w:p>
    <w:p>
      <w:pPr>
        <w:ind w:left="340" w:right="60" w:hanging="332"/>
        <w:spacing w:after="0" w:line="197" w:lineRule="auto"/>
        <w:tabs>
          <w:tab w:leader="none" w:pos="340" w:val="left"/>
        </w:tabs>
        <w:numPr>
          <w:ilvl w:val="0"/>
          <w:numId w:val="2"/>
        </w:numPr>
        <w:rPr>
          <w:rFonts w:ascii="Wingdings" w:cs="Wingdings" w:eastAsia="Wingdings" w:hAnsi="Wingdings"/>
          <w:sz w:val="22"/>
          <w:szCs w:val="22"/>
          <w:b w:val="1"/>
          <w:bCs w:val="1"/>
          <w:color w:val="A3C4EB"/>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1" w:lineRule="exact"/>
        <w:rPr>
          <w:rFonts w:ascii="Wingdings" w:cs="Wingdings" w:eastAsia="Wingdings" w:hAnsi="Wingdings"/>
          <w:sz w:val="22"/>
          <w:szCs w:val="22"/>
          <w:b w:val="1"/>
          <w:bCs w:val="1"/>
          <w:color w:val="A3C4EB"/>
        </w:rPr>
      </w:pPr>
    </w:p>
    <w:p>
      <w:pPr>
        <w:ind w:left="340" w:hanging="332"/>
        <w:spacing w:after="0" w:line="190" w:lineRule="auto"/>
        <w:tabs>
          <w:tab w:leader="none" w:pos="340" w:val="left"/>
        </w:tabs>
        <w:numPr>
          <w:ilvl w:val="0"/>
          <w:numId w:val="2"/>
        </w:numPr>
        <w:rPr>
          <w:rFonts w:ascii="Wingdings" w:cs="Wingdings" w:eastAsia="Wingdings" w:hAnsi="Wingdings"/>
          <w:sz w:val="20"/>
          <w:szCs w:val="20"/>
          <w:b w:val="1"/>
          <w:bCs w:val="1"/>
          <w:color w:val="A3C4EB"/>
        </w:rPr>
      </w:pPr>
      <w:r>
        <w:rPr>
          <w:rFonts w:ascii="Arial" w:cs="Arial" w:eastAsia="Arial" w:hAnsi="Arial"/>
          <w:sz w:val="14"/>
          <w:szCs w:val="14"/>
          <w:color w:val="auto"/>
        </w:rPr>
        <w:t>Hedging and trading activities by the issuer and its affiliates could potentially affect the value of the securities.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sectPr>
          <w:pgSz w:w="11900" w:h="16838" w:orient="portrait"/>
          <w:cols w:equalWidth="0" w:num="1">
            <w:col w:w="11220"/>
          </w:cols>
          <w:pgMar w:left="320" w:top="678" w:right="359" w:bottom="1440" w:gutter="0" w:footer="0" w:header="0"/>
        </w:sectPr>
      </w:pPr>
    </w:p>
    <w:p>
      <w:pPr>
        <w:spacing w:after="0" w:line="9"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202"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estimated value of the securities will be lower than the original issue price (price to public) of the securities.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The estimated value of the securities does not represent future values of the securities and may differ from others’ estimates.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estimated value of the securities is derived by reference to an internal funding rate.</w:t>
      </w:r>
    </w:p>
    <w:p>
      <w:pPr>
        <w:spacing w:after="0" w:line="69"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The value of the securities as published by J.P. Morgan Securities LLC (and which may be reflected on customer account statements) may be higher than the then-current estimated value of the securities for a limited time period.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Secondary market prices of the securities will likely be lower than the original issue price of the securities.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Secondary market prices of the securities will be impacted by many economic and market factors.</w:t>
      </w:r>
    </w:p>
    <w:p>
      <w:pPr>
        <w:spacing w:after="0" w:line="113" w:lineRule="exact"/>
        <w:rPr>
          <w:sz w:val="20"/>
          <w:szCs w:val="20"/>
          <w:color w:val="auto"/>
        </w:rPr>
      </w:pPr>
    </w:p>
    <w:p>
      <w:pPr>
        <w:sectPr>
          <w:pgSz w:w="11900" w:h="16838" w:orient="portrait"/>
          <w:cols w:equalWidth="0" w:num="2">
            <w:col w:w="100" w:space="240"/>
            <w:col w:w="10880"/>
          </w:cols>
          <w:pgMar w:left="320" w:top="678" w:right="359" w:bottom="1440" w:gutter="0" w:footer="0" w:header="0"/>
          <w:type w:val="continuous"/>
        </w:sectPr>
      </w:pPr>
    </w:p>
    <w:p>
      <w:pPr>
        <w:spacing w:after="0"/>
        <w:rPr>
          <w:sz w:val="20"/>
          <w:szCs w:val="20"/>
          <w:color w:val="auto"/>
        </w:rPr>
      </w:pPr>
      <w:r>
        <w:rPr>
          <w:rFonts w:ascii="Arial" w:cs="Arial" w:eastAsia="Arial" w:hAnsi="Arial"/>
          <w:sz w:val="17"/>
          <w:szCs w:val="17"/>
          <w:color w:val="296DC1"/>
        </w:rPr>
        <w:t>Risks Relating to the Underlying Indices</w:t>
      </w:r>
    </w:p>
    <w:p>
      <w:pPr>
        <w:sectPr>
          <w:pgSz w:w="11900" w:h="16838" w:orient="portrait"/>
          <w:cols w:equalWidth="0" w:num="1">
            <w:col w:w="11220"/>
          </w:cols>
          <w:pgMar w:left="320" w:top="678" w:right="3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107" w:lineRule="exact"/>
        <w:rPr>
          <w:sz w:val="20"/>
          <w:szCs w:val="20"/>
          <w:color w:val="auto"/>
        </w:rPr>
      </w:pPr>
    </w:p>
    <w:p>
      <w:pPr>
        <w:spacing w:after="0"/>
        <w:rPr>
          <w:sz w:val="20"/>
          <w:szCs w:val="20"/>
          <w:color w:val="auto"/>
        </w:rPr>
      </w:pPr>
      <w:r>
        <w:rPr>
          <w:rFonts w:ascii="Wingdings" w:cs="Wingdings" w:eastAsia="Wingdings" w:hAnsi="Wingdings"/>
          <w:sz w:val="11"/>
          <w:szCs w:val="11"/>
          <w:b w:val="1"/>
          <w:bCs w:val="1"/>
          <w:color w:val="A3C4EB"/>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JPMorgan Chase &amp; Co. is currently one of the companies that make up the SPX Index.</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Investing in the securities is not equivalent to investing in any underlying index.</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Adjustments to any underlying index could adversely affect the value of the securities.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securities are subject to risks associated with securities issued by non-U.S. companies with respect to the SX5E Index and the TPX Index.</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securities are not directly exposed to fluctuations in foreign exchange rates with respect to the SX5E Index and the TPX Index.</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Governmental legislative and regulatory actions, including sanctions, could adversely affect your investment in the securities.</w:t>
      </w:r>
    </w:p>
    <w:p>
      <w:pPr>
        <w:spacing w:after="0" w:line="163" w:lineRule="exact"/>
        <w:rPr>
          <w:sz w:val="20"/>
          <w:szCs w:val="20"/>
          <w:color w:val="auto"/>
        </w:rPr>
      </w:pPr>
    </w:p>
    <w:p>
      <w:pPr>
        <w:sectPr>
          <w:pgSz w:w="11900" w:h="16838" w:orient="portrait"/>
          <w:cols w:equalWidth="0" w:num="2">
            <w:col w:w="100" w:space="240"/>
            <w:col w:w="10880"/>
          </w:cols>
          <w:pgMar w:left="320" w:top="678" w:right="359" w:bottom="1440" w:gutter="0" w:footer="0" w:header="0"/>
          <w:type w:val="continuous"/>
        </w:sectPr>
      </w:pPr>
    </w:p>
    <w:p>
      <w:pPr>
        <w:spacing w:after="0"/>
        <w:rPr>
          <w:sz w:val="20"/>
          <w:szCs w:val="20"/>
          <w:color w:val="auto"/>
        </w:rPr>
      </w:pPr>
      <w:r>
        <w:rPr>
          <w:rFonts w:ascii="Arial" w:cs="Arial" w:eastAsia="Arial" w:hAnsi="Arial"/>
          <w:sz w:val="22"/>
          <w:szCs w:val="22"/>
          <w:color w:val="296DC1"/>
        </w:rPr>
        <w:t>Tax Considerations</w:t>
      </w:r>
    </w:p>
    <w:p>
      <w:pPr>
        <w:spacing w:after="0" w:line="85" w:lineRule="exact"/>
        <w:rPr>
          <w:sz w:val="20"/>
          <w:szCs w:val="20"/>
          <w:color w:val="auto"/>
        </w:rPr>
      </w:pPr>
    </w:p>
    <w:p>
      <w:pPr>
        <w:ind w:right="500"/>
        <w:spacing w:after="0" w:line="285" w:lineRule="auto"/>
        <w:rPr>
          <w:sz w:val="20"/>
          <w:szCs w:val="20"/>
          <w:color w:val="auto"/>
        </w:rPr>
      </w:pPr>
      <w:r>
        <w:rPr>
          <w:rFonts w:ascii="Arial" w:cs="Arial" w:eastAsia="Arial" w:hAnsi="Arial"/>
          <w:sz w:val="14"/>
          <w:szCs w:val="14"/>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have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67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2" Type="http://schemas.openxmlformats.org/officeDocument/2006/relationships/hyperlink" Target="http://www.sec.gov/Archives/edgar/data/19617/000121390026111975/ea0309453-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2026-10-26T08:38:16Z</dcterms:created>
  <dcterms:modified xsi:type="dcterms:W3CDTF">2026-10-26T08:38:16Z</dcterms:modified>
</cp:coreProperties>
</file>