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4997-01_fwp.htm"/>
      <w:bookmarkStart w:id="1" w:name="ksea0294997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June 16,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IBIT Auto-Callable Dual Directional Trigger PLUS</w:t>
      </w:r>
    </w:p>
    <w:p>
      <w:pPr>
        <w:pStyle w:val="TextBody"/>
        <w:bidi w:val="0"/>
        <w:spacing w:before="40" w:after="40"/>
        <w:ind w:left="108" w:right="0" w:hanging="0"/>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This document provides a summary of the terms of the Auto-Callable Dual Directional Trigger PLUS, which we refer to as the Trigger PLUS. Investors must carefully review the accompanying preliminary pricing supplement referenced below, underlying supplement, product supplement, prospectus supplement and prospectus and the “Risk Considerations” on the following page, prior to making an investment decision.</w:t>
      </w:r>
    </w:p>
    <w:p>
      <w:pPr>
        <w:pStyle w:val="TextBody"/>
        <w:bidi w:val="0"/>
        <w:ind w:left="0" w:right="0" w:hanging="0"/>
        <w:jc w:val="left"/>
        <w:rPr>
          <w:caps w:val="false"/>
          <w:smallCaps w:val="false"/>
          <w:color w:val="296DC1"/>
        </w:rPr>
      </w:pPr>
      <w:r>
        <w:rPr>
          <w:caps w:val="false"/>
          <w:smallCaps w:val="false"/>
          <w:color w:val="296DC1"/>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40" w:after="40"/>
                              <w:ind w:left="1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9"/>
                              <w:gridCol w:w="8946"/>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46"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46" w:type="dxa"/>
                                  <w:tcBorders/>
                                  <w:shd w:fill="DCEBF4" w:val="clear"/>
                                  <w:vAlign w:val="center"/>
                                </w:tcPr>
                                <w:p>
                                  <w:pPr>
                                    <w:pStyle w:val="TableContents"/>
                                    <w:bidi w:val="0"/>
                                    <w:spacing w:before="0" w:after="283"/>
                                    <w:jc w:val="left"/>
                                    <w:rPr>
                                      <w:sz w:val="16"/>
                                    </w:rPr>
                                  </w:pPr>
                                  <w:r>
                                    <w:rPr>
                                      <w:sz w:val="16"/>
                                    </w:rPr>
                                    <w:t>JPMorgan Chase &amp; Co.</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946"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Bitcoin Trust ETF (Bloomberg ticker: IBIT UQ Equity).  We refer to the iShares</w:t>
                                  </w:r>
                                  <w:r>
                                    <w:rPr>
                                      <w:position w:val="5"/>
                                      <w:sz w:val="13"/>
                                      <w:sz w:val="16"/>
                                    </w:rPr>
                                    <w:t>®</w:t>
                                  </w:r>
                                  <w:r>
                                    <w:rPr>
                                      <w:sz w:val="16"/>
                                    </w:rPr>
                                    <w:t xml:space="preserve"> Bitcoin Trust ETF as the “Fund.”</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46" w:type="dxa"/>
                                  <w:tcBorders/>
                                  <w:shd w:fill="DAE9F7" w:val="clear"/>
                                  <w:vAlign w:val="center"/>
                                </w:tcPr>
                                <w:p>
                                  <w:pPr>
                                    <w:pStyle w:val="TableContents"/>
                                    <w:bidi w:val="0"/>
                                    <w:spacing w:before="0" w:after="283"/>
                                    <w:jc w:val="left"/>
                                    <w:rPr>
                                      <w:sz w:val="15"/>
                                    </w:rPr>
                                  </w:pPr>
                                  <w:r>
                                    <w:rPr>
                                      <w:sz w:val="15"/>
                                    </w:rPr>
                                    <w:t xml:space="preserve">If, on the redemption observation date, the closing price of one ETF Share is </w:t>
                                  </w:r>
                                  <w:r>
                                    <w:rPr>
                                      <w:b/>
                                      <w:sz w:val="15"/>
                                    </w:rPr>
                                    <w:t>greater than or equal to</w:t>
                                  </w:r>
                                  <w:r>
                                    <w:rPr>
                                      <w:sz w:val="15"/>
                                    </w:rPr>
                                    <w:t xml:space="preserve"> the initial share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share price is greater than the initial share price or the absolute return feature that applies to the payment at maturity if the final share price is less than or equal to the initial share price but is greater than or equal to the trigger level.  Moreover, if the Trigger PLUS are automatically redeemed, your investment may underperform the ETF Shares, and the early redemption payment may be significantly less than the payment at maturity you would receive for the same level of appreciation of the ETF Shares had the Trigger PLUS not been automatically redeemed and instead remained outstanding until maturity</w:t>
                                  </w:r>
                                  <w:r>
                                    <w:rPr>
                                      <w:i/>
                                      <w:sz w:val="15"/>
                                    </w:rPr>
                                    <w: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46" w:type="dxa"/>
                                  <w:tcBorders/>
                                  <w:vAlign w:val="center"/>
                                </w:tcPr>
                                <w:p>
                                  <w:pPr>
                                    <w:pStyle w:val="TableContents"/>
                                    <w:bidi w:val="0"/>
                                    <w:spacing w:before="0" w:after="283"/>
                                    <w:jc w:val="left"/>
                                    <w:rPr>
                                      <w:sz w:val="15"/>
                                    </w:rPr>
                                  </w:pPr>
                                  <w:r>
                                    <w:rPr>
                                      <w:sz w:val="15"/>
                                    </w:rPr>
                                    <w:t>At least $1,253.50 per Trigger PLUS. The actual early redemption payment will be provided in the pricing supplement and will not be less than $1,253.50 per Trigger PLUS.</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46" w:type="dxa"/>
                                  <w:tcBorders/>
                                  <w:shd w:fill="DAE9F7" w:val="clear"/>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share price,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leveraged upside payment</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share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($1,000 × absolute share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ETF Shares. In no event will this amount exceed the stated principal amount plus $250.00. Accordingly, the maximum downside payment at maturity is $1,250.00 per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final share price is less than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share performance factor</w:t>
                                  </w:r>
                                </w:p>
                                <w:p>
                                  <w:pPr>
                                    <w:pStyle w:val="TableContents"/>
                                    <w:bidi w:val="0"/>
                                    <w:spacing w:before="20" w:after="20"/>
                                    <w:ind w:left="252" w:right="20" w:hanging="252"/>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46" w:type="dxa"/>
                                  <w:tcBorders/>
                                  <w:vAlign w:val="center"/>
                                </w:tcPr>
                                <w:p>
                                  <w:pPr>
                                    <w:pStyle w:val="TableContents"/>
                                    <w:bidi w:val="0"/>
                                    <w:spacing w:before="0" w:after="283"/>
                                    <w:jc w:val="left"/>
                                    <w:rPr>
                                      <w:sz w:val="16"/>
                                    </w:rPr>
                                  </w:pPr>
                                  <w:r>
                                    <w:rPr>
                                      <w:sz w:val="16"/>
                                    </w:rPr>
                                    <w:t>$1,000 × leverage factor × share percent change</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change:</w:t>
                                  </w:r>
                                </w:p>
                              </w:tc>
                              <w:tc>
                                <w:tcPr>
                                  <w:tcW w:w="8946" w:type="dxa"/>
                                  <w:tcBorders/>
                                  <w:shd w:fill="DAE9F7" w:val="clear"/>
                                  <w:vAlign w:val="center"/>
                                </w:tcPr>
                                <w:p>
                                  <w:pPr>
                                    <w:pStyle w:val="TableContents"/>
                                    <w:bidi w:val="0"/>
                                    <w:spacing w:before="0" w:after="283"/>
                                    <w:jc w:val="left"/>
                                    <w:rPr>
                                      <w:sz w:val="16"/>
                                    </w:rPr>
                                  </w:pPr>
                                  <w:r>
                                    <w:rPr>
                                      <w:sz w:val="16"/>
                                    </w:rPr>
                                    <w:t>(final share price – initial share price) / initial share price</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946"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  </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946" w:type="dxa"/>
                                  <w:tcBorders/>
                                  <w:shd w:fill="DAE9F7" w:val="clear"/>
                                  <w:vAlign w:val="center"/>
                                </w:tcPr>
                                <w:p>
                                  <w:pPr>
                                    <w:pStyle w:val="TableContents"/>
                                    <w:bidi w:val="0"/>
                                    <w:spacing w:before="0" w:after="283"/>
                                    <w:jc w:val="left"/>
                                    <w:rPr>
                                      <w:sz w:val="16"/>
                                    </w:rPr>
                                  </w:pPr>
                                  <w:r>
                                    <w:rPr>
                                      <w:sz w:val="16"/>
                                    </w:rPr>
                                    <w:t>The closing price of one ETF Share on the pricing date</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946" w:type="dxa"/>
                                  <w:tcBorders/>
                                  <w:shd w:fill="FFFFFF" w:val="clear"/>
                                  <w:vAlign w:val="center"/>
                                </w:tcPr>
                                <w:p>
                                  <w:pPr>
                                    <w:pStyle w:val="TableContents"/>
                                    <w:bidi w:val="0"/>
                                    <w:spacing w:before="0" w:after="283"/>
                                    <w:jc w:val="left"/>
                                    <w:rPr>
                                      <w:sz w:val="16"/>
                                    </w:rPr>
                                  </w:pPr>
                                  <w:r>
                                    <w:rPr>
                                      <w:sz w:val="16"/>
                                    </w:rPr>
                                    <w:t>The closing price of one ETF Share on the valuation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adjustment factor:</w:t>
                                  </w:r>
                                </w:p>
                              </w:tc>
                              <w:tc>
                                <w:tcPr>
                                  <w:tcW w:w="8946" w:type="dxa"/>
                                  <w:tcBorders/>
                                  <w:shd w:fill="DCEBF4" w:val="clear"/>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46" w:type="dxa"/>
                                  <w:tcBorders/>
                                  <w:vAlign w:val="center"/>
                                </w:tcPr>
                                <w:p>
                                  <w:pPr>
                                    <w:pStyle w:val="TableContents"/>
                                    <w:bidi w:val="0"/>
                                    <w:spacing w:before="0" w:after="283"/>
                                    <w:jc w:val="left"/>
                                    <w:rPr>
                                      <w:sz w:val="16"/>
                                    </w:rPr>
                                  </w:pPr>
                                  <w:r>
                                    <w:rPr>
                                      <w:sz w:val="16"/>
                                    </w:rPr>
                                    <w:t>75% of the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46" w:type="dxa"/>
                                  <w:tcBorders/>
                                  <w:shd w:fill="DCEBF4" w:val="clear"/>
                                  <w:vAlign w:val="center"/>
                                </w:tcPr>
                                <w:p>
                                  <w:pPr>
                                    <w:pStyle w:val="TableContents"/>
                                    <w:bidi w:val="0"/>
                                    <w:spacing w:before="0" w:after="283"/>
                                    <w:jc w:val="left"/>
                                    <w:rPr>
                                      <w:sz w:val="16"/>
                                    </w:rPr>
                                  </w:pPr>
                                  <w:r>
                                    <w:rPr>
                                      <w:sz w:val="16"/>
                                    </w:rPr>
                                    <w:t>150%</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946" w:type="dxa"/>
                                  <w:tcBorders/>
                                  <w:vAlign w:val="center"/>
                                </w:tcPr>
                                <w:p>
                                  <w:pPr>
                                    <w:pStyle w:val="TableContents"/>
                                    <w:bidi w:val="0"/>
                                    <w:spacing w:before="0" w:after="283"/>
                                    <w:jc w:val="left"/>
                                    <w:rPr>
                                      <w:sz w:val="16"/>
                                    </w:rPr>
                                  </w:pPr>
                                  <w:r>
                                    <w:rPr>
                                      <w:sz w:val="16"/>
                                    </w:rPr>
                                    <w:t>final share price /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46" w:type="dxa"/>
                                  <w:tcBorders/>
                                  <w:shd w:fill="DCEBF4" w:val="clear"/>
                                  <w:vAlign w:val="center"/>
                                </w:tcPr>
                                <w:p>
                                  <w:pPr>
                                    <w:pStyle w:val="TableContents"/>
                                    <w:bidi w:val="0"/>
                                    <w:spacing w:before="0" w:after="283"/>
                                    <w:jc w:val="left"/>
                                    <w:rPr>
                                      <w:sz w:val="16"/>
                                    </w:rPr>
                                  </w:pPr>
                                  <w:r>
                                    <w:rPr>
                                      <w:sz w:val="16"/>
                                    </w:rPr>
                                    <w:t>$1,000 per Trigger PLUS</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46" w:type="dxa"/>
                                  <w:tcBorders/>
                                  <w:vAlign w:val="center"/>
                                </w:tcPr>
                                <w:p>
                                  <w:pPr>
                                    <w:pStyle w:val="TableContents"/>
                                    <w:bidi w:val="0"/>
                                    <w:spacing w:before="0" w:after="283"/>
                                    <w:jc w:val="left"/>
                                    <w:rPr>
                                      <w:sz w:val="16"/>
                                    </w:rPr>
                                  </w:pPr>
                                  <w:r>
                                    <w:rPr>
                                      <w:sz w:val="16"/>
                                    </w:rPr>
                                    <w:t>$1,000 per Trigger PLUS</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46" w:type="dxa"/>
                                  <w:tcBorders/>
                                  <w:shd w:fill="DCEBF4" w:val="clear"/>
                                  <w:vAlign w:val="center"/>
                                </w:tcPr>
                                <w:p>
                                  <w:pPr>
                                    <w:pStyle w:val="TableContents"/>
                                    <w:bidi w:val="0"/>
                                    <w:spacing w:before="0" w:after="283"/>
                                    <w:jc w:val="left"/>
                                    <w:rPr>
                                      <w:sz w:val="16"/>
                                    </w:rPr>
                                  </w:pPr>
                                  <w:r>
                                    <w:rPr>
                                      <w:sz w:val="16"/>
                                    </w:rPr>
                                    <w:t>Expected to be June 30, 2026</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46"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46" w:type="dxa"/>
                                  <w:tcBorders/>
                                  <w:shd w:fill="DCEBF4" w:val="clear"/>
                                  <w:vAlign w:val="center"/>
                                </w:tcPr>
                                <w:p>
                                  <w:pPr>
                                    <w:pStyle w:val="TableContents"/>
                                    <w:bidi w:val="0"/>
                                    <w:spacing w:before="0" w:after="283"/>
                                    <w:jc w:val="left"/>
                                    <w:rPr>
                                      <w:sz w:val="15"/>
                                    </w:rPr>
                                  </w:pPr>
                                  <w:r>
                                    <w:rPr>
                                      <w:sz w:val="15"/>
                                    </w:rPr>
                                    <w:t>July 8, 2027</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46" w:type="dxa"/>
                                  <w:tcBorders/>
                                  <w:shd w:fill="FFFFFF" w:val="clear"/>
                                  <w:vAlign w:val="center"/>
                                </w:tcPr>
                                <w:p>
                                  <w:pPr>
                                    <w:pStyle w:val="TableContents"/>
                                    <w:bidi w:val="0"/>
                                    <w:spacing w:before="0" w:after="283"/>
                                    <w:jc w:val="left"/>
                                    <w:rPr>
                                      <w:color w:val="000000"/>
                                      <w:sz w:val="16"/>
                                    </w:rPr>
                                  </w:pPr>
                                  <w:r>
                                    <w:rPr>
                                      <w:color w:val="000000"/>
                                      <w:sz w:val="16"/>
                                    </w:rPr>
                                    <w:t>July 13, 2027</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46" w:type="dxa"/>
                                  <w:tcBorders/>
                                  <w:shd w:fill="DCEBF4" w:val="clear"/>
                                  <w:vAlign w:val="center"/>
                                </w:tcPr>
                                <w:p>
                                  <w:pPr>
                                    <w:pStyle w:val="TableContents"/>
                                    <w:bidi w:val="0"/>
                                    <w:spacing w:before="0" w:after="283"/>
                                    <w:jc w:val="left"/>
                                    <w:rPr>
                                      <w:color w:val="000000"/>
                                      <w:sz w:val="16"/>
                                    </w:rPr>
                                  </w:pPr>
                                  <w:r>
                                    <w:rPr>
                                      <w:color w:val="000000"/>
                                      <w:sz w:val="16"/>
                                    </w:rPr>
                                    <w:t>June 30, 2028</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46" w:type="dxa"/>
                                  <w:tcBorders/>
                                  <w:shd w:fill="FFFFFF" w:val="clear"/>
                                  <w:vAlign w:val="center"/>
                                </w:tcPr>
                                <w:p>
                                  <w:pPr>
                                    <w:pStyle w:val="TableContents"/>
                                    <w:bidi w:val="0"/>
                                    <w:spacing w:before="0" w:after="283"/>
                                    <w:jc w:val="left"/>
                                    <w:rPr>
                                      <w:color w:val="000000"/>
                                      <w:sz w:val="16"/>
                                    </w:rPr>
                                  </w:pPr>
                                  <w:r>
                                    <w:rPr>
                                      <w:color w:val="000000"/>
                                      <w:sz w:val="16"/>
                                    </w:rPr>
                                    <w:t>July 6, 2028</w:t>
                                  </w:r>
                                </w:p>
                              </w:tc>
                            </w:tr>
                            <w:tr>
                              <w:trPr/>
                              <w:tc>
                                <w:tcPr>
                                  <w:tcW w:w="1259"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946" w:type="dxa"/>
                                  <w:tcBorders/>
                                  <w:shd w:fill="DCEBF4" w:val="clear"/>
                                  <w:vAlign w:val="center"/>
                                </w:tcPr>
                                <w:p>
                                  <w:pPr>
                                    <w:pStyle w:val="TableContents"/>
                                    <w:bidi w:val="0"/>
                                    <w:spacing w:before="0" w:after="283"/>
                                    <w:jc w:val="left"/>
                                    <w:rPr>
                                      <w:color w:val="000000"/>
                                      <w:sz w:val="16"/>
                                    </w:rPr>
                                  </w:pPr>
                                  <w:r>
                                    <w:rPr>
                                      <w:color w:val="000000"/>
                                      <w:sz w:val="16"/>
                                    </w:rPr>
                                    <w:t>46661CWM4 / US46661CWM45</w:t>
                                  </w:r>
                                </w:p>
                              </w:tc>
                            </w:tr>
                            <w:tr>
                              <w:trPr/>
                              <w:tc>
                                <w:tcPr>
                                  <w:tcW w:w="1259"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946" w:type="dxa"/>
                                  <w:tcBorders/>
                                  <w:shd w:fill="FFFFFF" w:val="clear"/>
                                  <w:vAlign w:val="center"/>
                                </w:tcPr>
                                <w:p>
                                  <w:pPr>
                                    <w:pStyle w:val="TableContents"/>
                                    <w:bidi w:val="0"/>
                                    <w:spacing w:before="0" w:after="283"/>
                                    <w:jc w:val="left"/>
                                    <w:rPr/>
                                  </w:pPr>
                                  <w:hyperlink r:id="rId2">
                                    <w:r>
                                      <w:rPr>
                                        <w:rStyle w:val="InternetLink"/>
                                        <w:color w:val="000000"/>
                                        <w:sz w:val="16"/>
                                      </w:rPr>
                                      <w:t>http://www.sec.gov/Archives/edgar/data/19617/000121390026069147/ea0294883-01_424b2.htm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40"/>
                        <w:ind w:left="10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9"/>
                        <w:gridCol w:w="8946"/>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46"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46" w:type="dxa"/>
                            <w:tcBorders/>
                            <w:shd w:fill="DCEBF4" w:val="clear"/>
                            <w:vAlign w:val="center"/>
                          </w:tcPr>
                          <w:p>
                            <w:pPr>
                              <w:pStyle w:val="TableContents"/>
                              <w:bidi w:val="0"/>
                              <w:spacing w:before="0" w:after="283"/>
                              <w:jc w:val="left"/>
                              <w:rPr>
                                <w:sz w:val="16"/>
                              </w:rPr>
                            </w:pPr>
                            <w:r>
                              <w:rPr>
                                <w:sz w:val="16"/>
                              </w:rPr>
                              <w:t>JPMorgan Chase &amp; Co.</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ETF Shares: </w:t>
                            </w:r>
                          </w:p>
                        </w:tc>
                        <w:tc>
                          <w:tcPr>
                            <w:tcW w:w="8946" w:type="dxa"/>
                            <w:tcBorders/>
                            <w:vAlign w:val="center"/>
                          </w:tcPr>
                          <w:p>
                            <w:pPr>
                              <w:pStyle w:val="TableContents"/>
                              <w:bidi w:val="0"/>
                              <w:spacing w:before="0" w:after="283"/>
                              <w:jc w:val="left"/>
                              <w:rPr>
                                <w:sz w:val="16"/>
                              </w:rPr>
                            </w:pPr>
                            <w:r>
                              <w:rPr>
                                <w:sz w:val="16"/>
                              </w:rPr>
                              <w:t>Shares of the iShares</w:t>
                            </w:r>
                            <w:r>
                              <w:rPr>
                                <w:position w:val="5"/>
                                <w:sz w:val="13"/>
                                <w:sz w:val="16"/>
                              </w:rPr>
                              <w:t>®</w:t>
                            </w:r>
                            <w:r>
                              <w:rPr>
                                <w:sz w:val="16"/>
                              </w:rPr>
                              <w:t xml:space="preserve"> Bitcoin Trust ETF (Bloomberg ticker: IBIT UQ Equity).  We refer to the iShares</w:t>
                            </w:r>
                            <w:r>
                              <w:rPr>
                                <w:position w:val="5"/>
                                <w:sz w:val="13"/>
                                <w:sz w:val="16"/>
                              </w:rPr>
                              <w:t>®</w:t>
                            </w:r>
                            <w:r>
                              <w:rPr>
                                <w:sz w:val="16"/>
                              </w:rPr>
                              <w:t xml:space="preserve"> Bitcoin Trust ETF as the “Fund.”</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 xml:space="preserve">Early redemption: </w:t>
                            </w:r>
                          </w:p>
                        </w:tc>
                        <w:tc>
                          <w:tcPr>
                            <w:tcW w:w="8946" w:type="dxa"/>
                            <w:tcBorders/>
                            <w:shd w:fill="DAE9F7" w:val="clear"/>
                            <w:vAlign w:val="center"/>
                          </w:tcPr>
                          <w:p>
                            <w:pPr>
                              <w:pStyle w:val="TableContents"/>
                              <w:bidi w:val="0"/>
                              <w:spacing w:before="0" w:after="283"/>
                              <w:jc w:val="left"/>
                              <w:rPr>
                                <w:sz w:val="15"/>
                              </w:rPr>
                            </w:pPr>
                            <w:r>
                              <w:rPr>
                                <w:sz w:val="15"/>
                              </w:rPr>
                              <w:t xml:space="preserve">If, on the redemption observation date, the closing price of one ETF Share is </w:t>
                            </w:r>
                            <w:r>
                              <w:rPr>
                                <w:b/>
                                <w:sz w:val="15"/>
                              </w:rPr>
                              <w:t>greater than or equal to</w:t>
                            </w:r>
                            <w:r>
                              <w:rPr>
                                <w:sz w:val="15"/>
                              </w:rPr>
                              <w:t xml:space="preserve"> the initial share price, the Trigger PLUS will be automatically redeemed for the early redemption payment on the redemption date.  No further payments will be made on the Trigger PLUS once they have been redeemed.  In addition, if the Trigger PLUS are automatically redeemed prior to maturity, you will not benefit from the leverage feature that applies to the payment at maturity if the final share price is greater than the initial share price or the absolute return feature that applies to the payment at maturity if the final share price is less than or equal to the initial share price but is greater than or equal to the trigger level.  Moreover, if the Trigger PLUS are automatically redeemed, your investment may underperform the ETF Shares, and the early redemption payment may be significantly less than the payment at maturity you would receive for the same level of appreciation of the ETF Shares had the Trigger PLUS not been automatically redeemed and instead remained outstanding until maturity</w:t>
                            </w:r>
                            <w:r>
                              <w:rPr>
                                <w:i/>
                                <w:sz w:val="15"/>
                              </w:rPr>
                              <w: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Early redemption payment:</w:t>
                            </w:r>
                          </w:p>
                        </w:tc>
                        <w:tc>
                          <w:tcPr>
                            <w:tcW w:w="8946" w:type="dxa"/>
                            <w:tcBorders/>
                            <w:vAlign w:val="center"/>
                          </w:tcPr>
                          <w:p>
                            <w:pPr>
                              <w:pStyle w:val="TableContents"/>
                              <w:bidi w:val="0"/>
                              <w:spacing w:before="0" w:after="283"/>
                              <w:jc w:val="left"/>
                              <w:rPr>
                                <w:sz w:val="15"/>
                              </w:rPr>
                            </w:pPr>
                            <w:r>
                              <w:rPr>
                                <w:sz w:val="15"/>
                              </w:rPr>
                              <w:t>At least $1,253.50 per Trigger PLUS. The actual early redemption payment will be provided in the pricing supplement and will not be less than $1,253.50 per Trigger PLUS.</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Payment at maturity: </w:t>
                            </w:r>
                          </w:p>
                        </w:tc>
                        <w:tc>
                          <w:tcPr>
                            <w:tcW w:w="8946" w:type="dxa"/>
                            <w:tcBorders/>
                            <w:shd w:fill="DAE9F7" w:val="clear"/>
                            <w:vAlign w:val="center"/>
                          </w:tcPr>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Trigger PLUS have not been automatically redeemed prior to maturity and:</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greater than</w:t>
                            </w:r>
                            <w:r>
                              <w:rPr>
                                <w:rFonts w:ascii="Arial;Helvetica;Sans-Serif" w:hAnsi="Arial;Helvetica;Sans-Serif"/>
                                <w:b w:val="false"/>
                                <w:i w:val="false"/>
                                <w:caps w:val="false"/>
                                <w:smallCaps w:val="false"/>
                                <w:sz w:val="15"/>
                              </w:rPr>
                              <w:t xml:space="preserve"> the initial share price,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leveraged upside payment</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If the final share price is </w:t>
                            </w:r>
                            <w:r>
                              <w:rPr>
                                <w:rFonts w:ascii="Arial;Helvetica;Sans-Serif" w:hAnsi="Arial;Helvetica;Sans-Serif"/>
                                <w:b w:val="false"/>
                                <w:i/>
                                <w:caps w:val="false"/>
                                <w:smallCaps w:val="false"/>
                                <w:sz w:val="15"/>
                              </w:rPr>
                              <w:t>less than or equal to</w:t>
                            </w:r>
                            <w:r>
                              <w:rPr>
                                <w:rFonts w:ascii="Arial;Helvetica;Sans-Serif" w:hAnsi="Arial;Helvetica;Sans-Serif"/>
                                <w:b w:val="false"/>
                                <w:i w:val="false"/>
                                <w:caps w:val="false"/>
                                <w:smallCaps w:val="false"/>
                                <w:sz w:val="15"/>
                              </w:rPr>
                              <w:t xml:space="preserve"> the initial share price but is </w:t>
                            </w:r>
                            <w:r>
                              <w:rPr>
                                <w:rFonts w:ascii="Arial;Helvetica;Sans-Serif" w:hAnsi="Arial;Helvetica;Sans-Serif"/>
                                <w:b w:val="false"/>
                                <w:i/>
                                <w:caps w:val="false"/>
                                <w:smallCaps w:val="false"/>
                                <w:sz w:val="15"/>
                              </w:rPr>
                              <w:t>greater than or equal to</w:t>
                            </w:r>
                            <w:r>
                              <w:rPr>
                                <w:rFonts w:ascii="Arial;Helvetica;Sans-Serif" w:hAnsi="Arial;Helvetica;Sans-Serif"/>
                                <w:b w:val="false"/>
                                <w:i w:val="false"/>
                                <w:caps w:val="false"/>
                                <w:smallCaps w:val="false"/>
                                <w:sz w:val="15"/>
                              </w:rPr>
                              <w:t xml:space="preserve">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($1,000 × absolute share return)</w:t>
                            </w:r>
                          </w:p>
                          <w:p>
                            <w:pPr>
                              <w:pStyle w:val="TableContents"/>
                              <w:bidi w:val="0"/>
                              <w:spacing w:before="30" w:after="30"/>
                              <w:ind w:left="30" w:right="30" w:hanging="0"/>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In this scenario, you will receive a 1% positive return on the Trigger PLUS for each 1% negative return on the ETF Shares. In no event will this amount exceed the stated principal amount plus $250.00. Accordingly, the maximum downside payment at maturity is $1,250.00 per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If the final share price is less than the trigger level, for each $1,000 stated principal amount Trigger PLUS:</w:t>
                            </w:r>
                          </w:p>
                          <w:p>
                            <w:pPr>
                              <w:pStyle w:val="TableContents"/>
                              <w:bidi w:val="0"/>
                              <w:spacing w:before="30" w:after="30"/>
                              <w:ind w:left="30" w:right="30" w:hanging="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$1,000 × share performance factor</w:t>
                            </w:r>
                          </w:p>
                          <w:p>
                            <w:pPr>
                              <w:pStyle w:val="TableContents"/>
                              <w:bidi w:val="0"/>
                              <w:spacing w:before="20" w:after="20"/>
                              <w:ind w:left="252" w:right="20" w:hanging="252"/>
                              <w:jc w:val="left"/>
                              <w:rPr>
                                <w:rFonts w:ascii="Arial;Helvetica;Sans-Serif" w:hAnsi="Arial;Helvetica;Sans-Serif"/>
                                <w:b w:val="false"/>
                                <w:i/>
                                <w:caps w:val="false"/>
                                <w:smallCaps w:val="false"/>
                                <w:sz w:val="15"/>
                              </w:rPr>
                            </w:pPr>
                            <w:r>
                              <w:rPr>
                                <w:rFonts w:ascii="Arial;Helvetica;Sans-Serif" w:hAnsi="Arial;Helvetica;Sans-Serif"/>
                                <w:b w:val="false"/>
                                <w:i/>
                                <w:caps w:val="false"/>
                                <w:smallCaps w:val="false"/>
                                <w:sz w:val="15"/>
                              </w:rPr>
                              <w:t>This amount will be less than the stated principal amount of $1,000 per Trigger PLUS and will represent a loss of more than 25%, and possibly all, of your investment.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Leveraged upside payment:</w:t>
                            </w:r>
                          </w:p>
                        </w:tc>
                        <w:tc>
                          <w:tcPr>
                            <w:tcW w:w="8946" w:type="dxa"/>
                            <w:tcBorders/>
                            <w:vAlign w:val="center"/>
                          </w:tcPr>
                          <w:p>
                            <w:pPr>
                              <w:pStyle w:val="TableContents"/>
                              <w:bidi w:val="0"/>
                              <w:spacing w:before="0" w:after="283"/>
                              <w:jc w:val="left"/>
                              <w:rPr>
                                <w:sz w:val="16"/>
                              </w:rPr>
                            </w:pPr>
                            <w:r>
                              <w:rPr>
                                <w:sz w:val="16"/>
                              </w:rPr>
                              <w:t>$1,000 × leverage factor × share percent change</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percent change:</w:t>
                            </w:r>
                          </w:p>
                        </w:tc>
                        <w:tc>
                          <w:tcPr>
                            <w:tcW w:w="8946" w:type="dxa"/>
                            <w:tcBorders/>
                            <w:shd w:fill="DAE9F7" w:val="clear"/>
                            <w:vAlign w:val="center"/>
                          </w:tcPr>
                          <w:p>
                            <w:pPr>
                              <w:pStyle w:val="TableContents"/>
                              <w:bidi w:val="0"/>
                              <w:spacing w:before="0" w:after="283"/>
                              <w:jc w:val="left"/>
                              <w:rPr>
                                <w:sz w:val="16"/>
                              </w:rPr>
                            </w:pPr>
                            <w:r>
                              <w:rPr>
                                <w:sz w:val="16"/>
                              </w:rPr>
                              <w:t>(final share price – initial share price) / initial share price</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share return:</w:t>
                            </w:r>
                          </w:p>
                        </w:tc>
                        <w:tc>
                          <w:tcPr>
                            <w:tcW w:w="8946" w:type="dxa"/>
                            <w:tcBorders/>
                            <w:vAlign w:val="center"/>
                          </w:tcPr>
                          <w:p>
                            <w:pPr>
                              <w:pStyle w:val="TableContents"/>
                              <w:bidi w:val="0"/>
                              <w:spacing w:before="0" w:after="283"/>
                              <w:jc w:val="left"/>
                              <w:rPr>
                                <w:sz w:val="16"/>
                              </w:rPr>
                            </w:pPr>
                            <w:r>
                              <w:rPr>
                                <w:sz w:val="16"/>
                              </w:rPr>
                              <w:t>The absolute value of the share percent change.  For example, a -5% share percent change will result in a +5% absolute share return.  </w:t>
                            </w:r>
                          </w:p>
                        </w:tc>
                      </w:tr>
                      <w:tr>
                        <w:trPr/>
                        <w:tc>
                          <w:tcPr>
                            <w:tcW w:w="1259" w:type="dxa"/>
                            <w:tcBorders/>
                            <w:shd w:fill="DAE9F7"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Initial share price: </w:t>
                            </w:r>
                          </w:p>
                        </w:tc>
                        <w:tc>
                          <w:tcPr>
                            <w:tcW w:w="8946" w:type="dxa"/>
                            <w:tcBorders/>
                            <w:shd w:fill="DAE9F7" w:val="clear"/>
                            <w:vAlign w:val="center"/>
                          </w:tcPr>
                          <w:p>
                            <w:pPr>
                              <w:pStyle w:val="TableContents"/>
                              <w:bidi w:val="0"/>
                              <w:spacing w:before="0" w:after="283"/>
                              <w:jc w:val="left"/>
                              <w:rPr>
                                <w:sz w:val="16"/>
                              </w:rPr>
                            </w:pPr>
                            <w:r>
                              <w:rPr>
                                <w:sz w:val="16"/>
                              </w:rPr>
                              <w:t>The closing price of one ETF Share on the pricing date</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share price: </w:t>
                            </w:r>
                          </w:p>
                        </w:tc>
                        <w:tc>
                          <w:tcPr>
                            <w:tcW w:w="8946" w:type="dxa"/>
                            <w:tcBorders/>
                            <w:shd w:fill="FFFFFF" w:val="clear"/>
                            <w:vAlign w:val="center"/>
                          </w:tcPr>
                          <w:p>
                            <w:pPr>
                              <w:pStyle w:val="TableContents"/>
                              <w:bidi w:val="0"/>
                              <w:spacing w:before="0" w:after="283"/>
                              <w:jc w:val="left"/>
                              <w:rPr>
                                <w:sz w:val="16"/>
                              </w:rPr>
                            </w:pPr>
                            <w:r>
                              <w:rPr>
                                <w:sz w:val="16"/>
                              </w:rPr>
                              <w:t>The closing price of one ETF Share on the valuation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adjustment factor:</w:t>
                            </w:r>
                          </w:p>
                        </w:tc>
                        <w:tc>
                          <w:tcPr>
                            <w:tcW w:w="8946" w:type="dxa"/>
                            <w:tcBorders/>
                            <w:shd w:fill="DCEBF4" w:val="clear"/>
                            <w:vAlign w:val="center"/>
                          </w:tcPr>
                          <w:p>
                            <w:pPr>
                              <w:pStyle w:val="TableContents"/>
                              <w:bidi w:val="0"/>
                              <w:spacing w:before="0" w:after="283"/>
                              <w:jc w:val="left"/>
                              <w:rPr>
                                <w:sz w:val="16"/>
                              </w:rPr>
                            </w:pPr>
                            <w:r>
                              <w:rPr>
                                <w:sz w:val="16"/>
                              </w:rPr>
                              <w:t>The share adjustment factor is referenced in determining the closing price of one ETF Share and is set initially at 1.0 on the pricing date.  The share adjustment factor is subject to adjustment in the event of certain events affecting the ETF Shares. See “The Underlyings — Funds — Anti-Dilution Adjustments” in the accompanying product supplement.</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8946" w:type="dxa"/>
                            <w:tcBorders/>
                            <w:vAlign w:val="center"/>
                          </w:tcPr>
                          <w:p>
                            <w:pPr>
                              <w:pStyle w:val="TableContents"/>
                              <w:bidi w:val="0"/>
                              <w:spacing w:before="0" w:after="283"/>
                              <w:jc w:val="left"/>
                              <w:rPr>
                                <w:sz w:val="16"/>
                              </w:rPr>
                            </w:pPr>
                            <w:r>
                              <w:rPr>
                                <w:sz w:val="16"/>
                              </w:rPr>
                              <w:t>75% of the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Leverage factor: </w:t>
                            </w:r>
                          </w:p>
                        </w:tc>
                        <w:tc>
                          <w:tcPr>
                            <w:tcW w:w="8946" w:type="dxa"/>
                            <w:tcBorders/>
                            <w:shd w:fill="DCEBF4" w:val="clear"/>
                            <w:vAlign w:val="center"/>
                          </w:tcPr>
                          <w:p>
                            <w:pPr>
                              <w:pStyle w:val="TableContents"/>
                              <w:bidi w:val="0"/>
                              <w:spacing w:before="0" w:after="283"/>
                              <w:jc w:val="left"/>
                              <w:rPr>
                                <w:sz w:val="16"/>
                              </w:rPr>
                            </w:pPr>
                            <w:r>
                              <w:rPr>
                                <w:sz w:val="16"/>
                              </w:rPr>
                              <w:t>150%</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Share performance factor:</w:t>
                            </w:r>
                          </w:p>
                        </w:tc>
                        <w:tc>
                          <w:tcPr>
                            <w:tcW w:w="8946" w:type="dxa"/>
                            <w:tcBorders/>
                            <w:vAlign w:val="center"/>
                          </w:tcPr>
                          <w:p>
                            <w:pPr>
                              <w:pStyle w:val="TableContents"/>
                              <w:bidi w:val="0"/>
                              <w:spacing w:before="0" w:after="283"/>
                              <w:jc w:val="left"/>
                              <w:rPr>
                                <w:sz w:val="16"/>
                              </w:rPr>
                            </w:pPr>
                            <w:r>
                              <w:rPr>
                                <w:sz w:val="16"/>
                              </w:rPr>
                              <w:t>final share price / initial share price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946" w:type="dxa"/>
                            <w:tcBorders/>
                            <w:shd w:fill="DCEBF4" w:val="clear"/>
                            <w:vAlign w:val="center"/>
                          </w:tcPr>
                          <w:p>
                            <w:pPr>
                              <w:pStyle w:val="TableContents"/>
                              <w:bidi w:val="0"/>
                              <w:spacing w:before="0" w:after="283"/>
                              <w:jc w:val="left"/>
                              <w:rPr>
                                <w:sz w:val="16"/>
                              </w:rPr>
                            </w:pPr>
                            <w:r>
                              <w:rPr>
                                <w:sz w:val="16"/>
                              </w:rPr>
                              <w:t>$1,000 per Trigger PLUS</w:t>
                            </w:r>
                          </w:p>
                        </w:tc>
                      </w:tr>
                      <w:tr>
                        <w:trPr/>
                        <w:tc>
                          <w:tcPr>
                            <w:tcW w:w="1259"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946" w:type="dxa"/>
                            <w:tcBorders/>
                            <w:vAlign w:val="center"/>
                          </w:tcPr>
                          <w:p>
                            <w:pPr>
                              <w:pStyle w:val="TableContents"/>
                              <w:bidi w:val="0"/>
                              <w:spacing w:before="0" w:after="283"/>
                              <w:jc w:val="left"/>
                              <w:rPr>
                                <w:sz w:val="16"/>
                              </w:rPr>
                            </w:pPr>
                            <w:r>
                              <w:rPr>
                                <w:sz w:val="16"/>
                              </w:rPr>
                              <w:t>$1,000 per Trigger PLUS</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946" w:type="dxa"/>
                            <w:tcBorders/>
                            <w:shd w:fill="DCEBF4" w:val="clear"/>
                            <w:vAlign w:val="center"/>
                          </w:tcPr>
                          <w:p>
                            <w:pPr>
                              <w:pStyle w:val="TableContents"/>
                              <w:bidi w:val="0"/>
                              <w:spacing w:before="0" w:after="283"/>
                              <w:jc w:val="left"/>
                              <w:rPr>
                                <w:sz w:val="16"/>
                              </w:rPr>
                            </w:pPr>
                            <w:r>
                              <w:rPr>
                                <w:sz w:val="16"/>
                              </w:rPr>
                              <w:t>Expected to be June 30, 2026</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946" w:type="dxa"/>
                            <w:tcBorders/>
                            <w:shd w:fill="FFFFFF" w:val="clear"/>
                            <w:vAlign w:val="center"/>
                          </w:tcPr>
                          <w:p>
                            <w:pPr>
                              <w:pStyle w:val="TableContents"/>
                              <w:bidi w:val="0"/>
                              <w:spacing w:before="0" w:after="283"/>
                              <w:jc w:val="left"/>
                              <w:rPr>
                                <w:sz w:val="16"/>
                              </w:rPr>
                            </w:pPr>
                            <w:r>
                              <w:rPr>
                                <w:sz w:val="16"/>
                              </w:rPr>
                              <w:t>3 business days after the pricing date</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observation date</w:t>
                            </w:r>
                            <w:r>
                              <w:rPr>
                                <w:rFonts w:ascii="Arial;Helvetica;Sans-Serif" w:hAnsi="Arial;Helvetica;Sans-Serif"/>
                                <w:b/>
                                <w:color w:val="296DC1"/>
                                <w:position w:val="5"/>
                                <w:sz w:val="12"/>
                                <w:sz w:val="15"/>
                              </w:rPr>
                              <w:t>†</w:t>
                            </w:r>
                            <w:r>
                              <w:rPr>
                                <w:rFonts w:ascii="Arial;Helvetica;Sans-Serif" w:hAnsi="Arial;Helvetica;Sans-Serif"/>
                                <w:b/>
                                <w:color w:val="296DC1"/>
                                <w:sz w:val="15"/>
                              </w:rPr>
                              <w:t>:</w:t>
                            </w:r>
                          </w:p>
                        </w:tc>
                        <w:tc>
                          <w:tcPr>
                            <w:tcW w:w="8946" w:type="dxa"/>
                            <w:tcBorders/>
                            <w:shd w:fill="DCEBF4" w:val="clear"/>
                            <w:vAlign w:val="center"/>
                          </w:tcPr>
                          <w:p>
                            <w:pPr>
                              <w:pStyle w:val="TableContents"/>
                              <w:bidi w:val="0"/>
                              <w:spacing w:before="0" w:after="283"/>
                              <w:jc w:val="left"/>
                              <w:rPr>
                                <w:sz w:val="15"/>
                              </w:rPr>
                            </w:pPr>
                            <w:r>
                              <w:rPr>
                                <w:sz w:val="15"/>
                              </w:rPr>
                              <w:t>July 8, 2027</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5"/>
                              </w:rPr>
                            </w:pPr>
                            <w:r>
                              <w:rPr>
                                <w:rFonts w:ascii="Arial;Helvetica;Sans-Serif" w:hAnsi="Arial;Helvetica;Sans-Serif"/>
                                <w:b/>
                                <w:color w:val="296DC1"/>
                                <w:sz w:val="15"/>
                              </w:rPr>
                              <w:t>Redemption date</w:t>
                            </w:r>
                            <w:r>
                              <w:rPr>
                                <w:rFonts w:ascii="Arial;Helvetica;Sans-Serif" w:hAnsi="Arial;Helvetica;Sans-Serif"/>
                                <w:b/>
                                <w:color w:val="296DC1"/>
                                <w:position w:val="5"/>
                                <w:sz w:val="12"/>
                                <w:sz w:val="15"/>
                              </w:rPr>
                              <w:t>†</w:t>
                            </w:r>
                            <w:r>
                              <w:rPr>
                                <w:rFonts w:ascii="Arial;Helvetica;Sans-Serif" w:hAnsi="Arial;Helvetica;Sans-Serif"/>
                                <w:b/>
                                <w:color w:val="296DC1"/>
                                <w:sz w:val="15"/>
                              </w:rPr>
                              <w:t xml:space="preserve">: </w:t>
                            </w:r>
                          </w:p>
                        </w:tc>
                        <w:tc>
                          <w:tcPr>
                            <w:tcW w:w="8946" w:type="dxa"/>
                            <w:tcBorders/>
                            <w:shd w:fill="FFFFFF" w:val="clear"/>
                            <w:vAlign w:val="center"/>
                          </w:tcPr>
                          <w:p>
                            <w:pPr>
                              <w:pStyle w:val="TableContents"/>
                              <w:bidi w:val="0"/>
                              <w:spacing w:before="0" w:after="283"/>
                              <w:jc w:val="left"/>
                              <w:rPr>
                                <w:color w:val="000000"/>
                                <w:sz w:val="16"/>
                              </w:rPr>
                            </w:pPr>
                            <w:r>
                              <w:rPr>
                                <w:color w:val="000000"/>
                                <w:sz w:val="16"/>
                              </w:rPr>
                              <w:t>July 13, 2027</w:t>
                            </w:r>
                          </w:p>
                        </w:tc>
                      </w:tr>
                      <w:tr>
                        <w:trPr/>
                        <w:tc>
                          <w:tcPr>
                            <w:tcW w:w="1259"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946" w:type="dxa"/>
                            <w:tcBorders/>
                            <w:shd w:fill="DCEBF4" w:val="clear"/>
                            <w:vAlign w:val="center"/>
                          </w:tcPr>
                          <w:p>
                            <w:pPr>
                              <w:pStyle w:val="TableContents"/>
                              <w:bidi w:val="0"/>
                              <w:spacing w:before="0" w:after="283"/>
                              <w:jc w:val="left"/>
                              <w:rPr>
                                <w:color w:val="000000"/>
                                <w:sz w:val="16"/>
                              </w:rPr>
                            </w:pPr>
                            <w:r>
                              <w:rPr>
                                <w:color w:val="000000"/>
                                <w:sz w:val="16"/>
                              </w:rPr>
                              <w:t>June 30, 2028</w:t>
                            </w:r>
                          </w:p>
                        </w:tc>
                      </w:tr>
                      <w:tr>
                        <w:trPr/>
                        <w:tc>
                          <w:tcPr>
                            <w:tcW w:w="1259"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946" w:type="dxa"/>
                            <w:tcBorders/>
                            <w:shd w:fill="FFFFFF" w:val="clear"/>
                            <w:vAlign w:val="center"/>
                          </w:tcPr>
                          <w:p>
                            <w:pPr>
                              <w:pStyle w:val="TableContents"/>
                              <w:bidi w:val="0"/>
                              <w:spacing w:before="0" w:after="283"/>
                              <w:jc w:val="left"/>
                              <w:rPr>
                                <w:color w:val="000000"/>
                                <w:sz w:val="16"/>
                              </w:rPr>
                            </w:pPr>
                            <w:r>
                              <w:rPr>
                                <w:color w:val="000000"/>
                                <w:sz w:val="16"/>
                              </w:rPr>
                              <w:t>July 6, 2028</w:t>
                            </w:r>
                          </w:p>
                        </w:tc>
                      </w:tr>
                      <w:tr>
                        <w:trPr/>
                        <w:tc>
                          <w:tcPr>
                            <w:tcW w:w="1259"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946" w:type="dxa"/>
                            <w:tcBorders/>
                            <w:shd w:fill="DCEBF4" w:val="clear"/>
                            <w:vAlign w:val="center"/>
                          </w:tcPr>
                          <w:p>
                            <w:pPr>
                              <w:pStyle w:val="TableContents"/>
                              <w:bidi w:val="0"/>
                              <w:spacing w:before="0" w:after="283"/>
                              <w:jc w:val="left"/>
                              <w:rPr>
                                <w:color w:val="000000"/>
                                <w:sz w:val="16"/>
                              </w:rPr>
                            </w:pPr>
                            <w:r>
                              <w:rPr>
                                <w:color w:val="000000"/>
                                <w:sz w:val="16"/>
                              </w:rPr>
                              <w:t>46661CWM4 / US46661CWM45</w:t>
                            </w:r>
                          </w:p>
                        </w:tc>
                      </w:tr>
                      <w:tr>
                        <w:trPr/>
                        <w:tc>
                          <w:tcPr>
                            <w:tcW w:w="1259" w:type="dxa"/>
                            <w:tcBorders/>
                            <w:shd w:fill="FFFFFF"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946" w:type="dxa"/>
                            <w:tcBorders/>
                            <w:shd w:fill="FFFFFF" w:val="clear"/>
                            <w:vAlign w:val="center"/>
                          </w:tcPr>
                          <w:p>
                            <w:pPr>
                              <w:pStyle w:val="TableContents"/>
                              <w:bidi w:val="0"/>
                              <w:spacing w:before="0" w:after="283"/>
                              <w:jc w:val="left"/>
                              <w:rPr/>
                            </w:pPr>
                            <w:hyperlink r:id="rId3">
                              <w:r>
                                <w:rPr>
                                  <w:rStyle w:val="InternetLink"/>
                                  <w:color w:val="000000"/>
                                  <w:sz w:val="16"/>
                                </w:rPr>
                                <w:t>http://www.sec.gov/Archives/edgar/data/19617/000121390026069147/ea0294883-01_424b2.htm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4"/>
                        </w:rPr>
                        <w:t>Subject to postponement or early acceleration</w:t>
                      </w:r>
                    </w:p>
                    <w:p>
                      <w:pPr>
                        <w:pStyle w:val="TextBody"/>
                        <w:bidi w:val="0"/>
                        <w:spacing w:before="0" w:after="283"/>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bl>
                            <w:tblPr>
                              <w:tblW w:w="8235" w:type="dxa"/>
                              <w:jc w:val="left"/>
                              <w:tblInd w:w="0" w:type="dxa"/>
                              <w:tblLayout w:type="fixed"/>
                              <w:tblCellMar>
                                <w:top w:w="0" w:type="dxa"/>
                                <w:left w:w="0" w:type="dxa"/>
                                <w:bottom w:w="0" w:type="dxa"/>
                                <w:right w:w="0" w:type="dxa"/>
                              </w:tblCellMar>
                            </w:tblPr>
                            <w:tblGrid>
                              <w:gridCol w:w="8235"/>
                            </w:tblGrid>
                            <w:tr>
                              <w:trPr/>
                              <w:tc>
                                <w:tcPr>
                                  <w:tcW w:w="823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Auto-Callable Dual Directional Trigger PLUS Payoff Diagram* </w:t>
                                  </w:r>
                                </w:p>
                              </w:tc>
                            </w:tr>
                            <w:tr>
                              <w:trPr/>
                              <w:tc>
                                <w:tcPr>
                                  <w:tcW w:w="8235" w:type="dxa"/>
                                  <w:tcBorders/>
                                  <w:vAlign w:val="center"/>
                                </w:tcPr>
                                <w:p>
                                  <w:pPr>
                                    <w:pStyle w:val="TableContents"/>
                                    <w:bidi w:val="0"/>
                                    <w:spacing w:before="0" w:after="283"/>
                                    <w:jc w:val="center"/>
                                    <w:rPr/>
                                  </w:pPr>
                                  <w:r>
                                    <w:rPr/>
                                    <w:drawing>
                                      <wp:inline distT="0" distB="0" distL="0" distR="0">
                                        <wp:extent cx="5210175" cy="3581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5210175" cy="3581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700"/>
                              <w:gridCol w:w="2120"/>
                            </w:tblGrid>
                            <w:tr>
                              <w:trPr/>
                              <w:tc>
                                <w:tcPr>
                                  <w:tcW w:w="170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ETF Shares</w:t>
                                  </w:r>
                                </w:p>
                              </w:tc>
                              <w:tc>
                                <w:tcPr>
                                  <w:tcW w:w="212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ind w:left="0" w:right="0" w:hanging="0"/>
                              <w:jc w:val="left"/>
                              <w:rPr>
                                <w:caps w:val="false"/>
                                <w:smallCaps w:val="false"/>
                                <w:color w:val="296DC1"/>
                              </w:rPr>
                            </w:pPr>
                            <w:r>
                              <w:rPr>
                                <w:caps w:val="false"/>
                                <w:smallCaps w:val="false"/>
                                <w:color w:val="296DC1"/>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estimated value of the Trigger PLUS on the pricing date will be provided in the pricing supplement and will not be less than $930.00 per $1,000 stated principal amount Trigger PLUS. For information about the estimated value of the Trigger PLUS, which likely will be lower than the price you paid for the Trigger PLUS, please see the hyperlink above.</w:t>
                      </w:r>
                    </w:p>
                    <w:p>
                      <w:pPr>
                        <w:pStyle w:val="TextBody"/>
                        <w:bidi w:val="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Any payment on the Trigger PLUS is subject to the credit risk of JPMorgan Financial, as issuer of the Trigger PLUS, and the credit risk of JPMorgan Chase &amp; Co., as guarantor of the Trigger PLUS.</w:t>
                      </w:r>
                    </w:p>
                    <w:tbl>
                      <w:tblPr>
                        <w:tblW w:w="8235" w:type="dxa"/>
                        <w:jc w:val="left"/>
                        <w:tblInd w:w="0" w:type="dxa"/>
                        <w:tblLayout w:type="fixed"/>
                        <w:tblCellMar>
                          <w:top w:w="0" w:type="dxa"/>
                          <w:left w:w="0" w:type="dxa"/>
                          <w:bottom w:w="0" w:type="dxa"/>
                          <w:right w:w="0" w:type="dxa"/>
                        </w:tblCellMar>
                      </w:tblPr>
                      <w:tblGrid>
                        <w:gridCol w:w="8235"/>
                      </w:tblGrid>
                      <w:tr>
                        <w:trPr/>
                        <w:tc>
                          <w:tcPr>
                            <w:tcW w:w="823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 xml:space="preserve">Auto-Callable Dual Directional Trigger PLUS Payoff Diagram* </w:t>
                            </w:r>
                          </w:p>
                        </w:tc>
                      </w:tr>
                      <w:tr>
                        <w:trPr/>
                        <w:tc>
                          <w:tcPr>
                            <w:tcW w:w="8235" w:type="dxa"/>
                            <w:tcBorders/>
                            <w:vAlign w:val="center"/>
                          </w:tcPr>
                          <w:p>
                            <w:pPr>
                              <w:pStyle w:val="TableContents"/>
                              <w:bidi w:val="0"/>
                              <w:spacing w:before="0" w:after="283"/>
                              <w:jc w:val="center"/>
                              <w:rPr/>
                            </w:pPr>
                            <w:r>
                              <w:rPr/>
                              <w:drawing>
                                <wp:inline distT="0" distB="0" distL="0" distR="0">
                                  <wp:extent cx="5210175" cy="3581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5210175" cy="358140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700"/>
                        <w:gridCol w:w="2120"/>
                      </w:tblGrid>
                      <w:tr>
                        <w:trPr/>
                        <w:tc>
                          <w:tcPr>
                            <w:tcW w:w="170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Change in ETF Shares</w:t>
                            </w:r>
                          </w:p>
                        </w:tc>
                        <w:tc>
                          <w:tcPr>
                            <w:tcW w:w="2120" w:type="dxa"/>
                            <w:tcBorders/>
                            <w:shd w:fill="296DC1" w:val="clear"/>
                            <w:vAlign w:val="center"/>
                          </w:tcPr>
                          <w:p>
                            <w:pPr>
                              <w:pStyle w:val="TableContents"/>
                              <w:bidi w:val="0"/>
                              <w:spacing w:before="0" w:after="283"/>
                              <w:jc w:val="center"/>
                              <w:rPr>
                                <w:rFonts w:ascii="Arial;Helvetica;Sans-Serif" w:hAnsi="Arial;Helvetica;Sans-Serif"/>
                                <w:b w:val="false"/>
                                <w:color w:val="FFFFFF"/>
                                <w:sz w:val="16"/>
                              </w:rPr>
                            </w:pPr>
                            <w:r>
                              <w:rPr>
                                <w:rFonts w:ascii="Arial;Helvetica;Sans-Serif" w:hAnsi="Arial;Helvetica;Sans-Serif"/>
                                <w:b w:val="false"/>
                                <w:color w:val="FFFFFF"/>
                                <w:sz w:val="16"/>
                              </w:rPr>
                              <w:t>Return on the Trigger PLUS*</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7.50%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1.50%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170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12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170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12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bl>
                    <w:p>
                      <w:pPr>
                        <w:pStyle w:val="TextBody"/>
                        <w:bidi w:val="0"/>
                        <w:spacing w:before="0" w:after="283"/>
                        <w:ind w:left="0" w:right="0" w:hanging="0"/>
                        <w:jc w:val="left"/>
                        <w:rPr>
                          <w:caps w:val="false"/>
                          <w:smallCaps w:val="false"/>
                          <w:color w:val="296DC1"/>
                        </w:rPr>
                      </w:pPr>
                      <w:r>
                        <w:rPr>
                          <w:caps w:val="false"/>
                          <w:smallCaps w:val="false"/>
                          <w:color w:val="296DC1"/>
                        </w:rPr>
                        <w:t> </w:t>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2-Year IBIT Dual Directional Trigger PLUS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ETF Shares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ETF Shares,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Trigger PLUS Generally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do not pay interest or, if the Trigger PLUS have not been automatically redeemed prior to maturity, guarantee the return of any principal and your investment in the Trigger PLUS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If the Trigger PLUS are automatically redeemed prior to maturity, the appreciation potential of the Trigger PLUS is limited to the early redemption payment.</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rP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If the Trigger PLUS have not been automatically redeemed prior to maturity, your maximum downside gain on the Trigger PLUS is limited by the trigger level.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The Trigger PLUS are subject to the credit risks of JPMorgan Financial and JPMorgan Chase &amp; Co., and any actual or anticipated changes to our or JPMorgan Chase &amp; Co.’s credit ratings or credit spreads may adversely affect the market value of the Trigger PLUS. </w:t>
            </w:r>
          </w:p>
        </w:tc>
      </w:tr>
    </w:tbl>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2" w:type="dxa"/>
            <w:tcBorders/>
            <w:vAlign w:val="center"/>
          </w:tcPr>
          <w:p>
            <w:pPr>
              <w:pStyle w:val="TableContents"/>
              <w:bidi w:val="0"/>
              <w:spacing w:before="0" w:after="283"/>
              <w:jc w:val="left"/>
              <w:rPr>
                <w:sz w:val="18"/>
              </w:rPr>
            </w:pPr>
            <w:r>
              <w:rPr>
                <w:sz w:val="18"/>
              </w:rPr>
              <w:t xml:space="preserve">As a finance subsidiary, JPMorgan Financial has no independent activities and has limited assets. </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8"/>
              </w:rPr>
            </w:pPr>
            <w:r>
              <w:rPr>
                <w:sz w:val="18"/>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145"/>
        <w:gridCol w:w="480"/>
        <w:gridCol w:w="9580"/>
      </w:tblGrid>
      <w:tr>
        <w:trPr/>
        <w:tc>
          <w:tcPr>
            <w:tcW w:w="1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80" w:type="dxa"/>
            <w:tcBorders/>
            <w:vAlign w:val="center"/>
          </w:tcPr>
          <w:p>
            <w:pPr>
              <w:pStyle w:val="TableContents"/>
              <w:bidi w:val="0"/>
              <w:spacing w:before="0" w:after="283"/>
              <w:jc w:val="left"/>
              <w:rPr>
                <w:sz w:val="18"/>
              </w:rPr>
            </w:pPr>
            <w:r>
              <w:rPr>
                <w:sz w:val="18"/>
              </w:rPr>
              <w:t xml:space="preserve">Secondary trading may be limited.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Trigger PLUS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0" w:type="dxa"/>
            <w:tcBorders/>
            <w:vAlign w:val="center"/>
          </w:tcPr>
          <w:p>
            <w:pPr>
              <w:pStyle w:val="TableContents"/>
              <w:bidi w:val="0"/>
              <w:spacing w:before="0" w:after="283"/>
              <w:jc w:val="left"/>
              <w:rPr>
                <w:sz w:val="18"/>
              </w:rPr>
            </w:pPr>
            <w:r>
              <w:rPr>
                <w:sz w:val="18"/>
              </w:rPr>
              <w:t xml:space="preserve">The final terms and </w:t>
            </w:r>
            <w:r>
              <w:rPr>
                <w:rFonts w:ascii="Arial;Helvetica;Sans-Serif" w:hAnsi="Arial;Helvetica;Sans-Serif"/>
                <w:b w:val="false"/>
                <w:sz w:val="18"/>
              </w:rPr>
              <w:t xml:space="preserve">estimated </w:t>
            </w:r>
            <w:r>
              <w:rPr>
                <w:sz w:val="18"/>
              </w:rPr>
              <w:t xml:space="preserve">valuation of the Trigger PLUS will be provided in the pricing supplement. </w:t>
            </w:r>
          </w:p>
        </w:tc>
      </w:tr>
    </w:tbl>
    <w:tbl>
      <w:tblPr>
        <w:tblW w:w="5000" w:type="pct"/>
        <w:jc w:val="left"/>
        <w:tblInd w:w="0" w:type="dxa"/>
        <w:tblLayout w:type="fixed"/>
        <w:tblCellMar>
          <w:top w:w="0" w:type="dxa"/>
          <w:left w:w="0" w:type="dxa"/>
          <w:bottom w:w="0" w:type="dxa"/>
          <w:right w:w="0" w:type="dxa"/>
        </w:tblCellMar>
      </w:tblPr>
      <w:tblGrid>
        <w:gridCol w:w="70"/>
        <w:gridCol w:w="232"/>
        <w:gridCol w:w="9903"/>
      </w:tblGrid>
      <w:tr>
        <w:trPr/>
        <w:tc>
          <w:tcPr>
            <w:tcW w:w="7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3" w:type="dxa"/>
            <w:tcBorders/>
            <w:vAlign w:val="center"/>
          </w:tcPr>
          <w:p>
            <w:pPr>
              <w:pStyle w:val="TableContents"/>
              <w:bidi w:val="0"/>
              <w:spacing w:before="0" w:after="283"/>
              <w:jc w:val="left"/>
              <w:rPr>
                <w:sz w:val="18"/>
              </w:rPr>
            </w:pPr>
            <w:r>
              <w:rPr>
                <w:sz w:val="18"/>
              </w:rPr>
              <w:t xml:space="preserve">The tax consequences of an investment in the Trigger PLUS are uncertain. </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Economic interests of the issuer, the guarantor, the calculation agent, the agent of the offering of the Trigger PLUS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6"/>
        <w:gridCol w:w="154"/>
        <w:gridCol w:w="10005"/>
      </w:tblGrid>
      <w:tr>
        <w:trPr/>
        <w:tc>
          <w:tcPr>
            <w:tcW w:w="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5"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Trigger PLUS.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Trigger PLUS</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8"/>
              </w:rPr>
            </w:pPr>
            <w:r>
              <w:rPr>
                <w:sz w:val="18"/>
              </w:rPr>
              <w:t>The estimated value of the Trigger PLUS will be lower than the original issue price (price to public) of the Trigger PLUS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0"/>
        <w:gridCol w:w="131"/>
        <w:gridCol w:w="10034"/>
      </w:tblGrid>
      <w:tr>
        <w:trPr/>
        <w:tc>
          <w:tcPr>
            <w:tcW w:w="4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34" w:type="dxa"/>
            <w:tcBorders/>
            <w:vAlign w:val="center"/>
          </w:tcPr>
          <w:p>
            <w:pPr>
              <w:pStyle w:val="TableContents"/>
              <w:bidi w:val="0"/>
              <w:spacing w:before="0" w:after="283"/>
              <w:jc w:val="left"/>
              <w:rPr>
                <w:sz w:val="18"/>
              </w:rPr>
            </w:pPr>
            <w:r>
              <w:rPr>
                <w:sz w:val="18"/>
              </w:rPr>
              <w:t>The estimated value of the Trigger PLUS does not represent future values of the Trigger PLUS and may differ from others’ estimates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51"/>
        <w:gridCol w:w="171"/>
        <w:gridCol w:w="9983"/>
      </w:tblGrid>
      <w:tr>
        <w:trPr/>
        <w:tc>
          <w:tcPr>
            <w:tcW w:w="5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3" w:type="dxa"/>
            <w:tcBorders/>
            <w:vAlign w:val="center"/>
          </w:tcPr>
          <w:p>
            <w:pPr>
              <w:pStyle w:val="TableContents"/>
              <w:bidi w:val="0"/>
              <w:spacing w:before="0" w:after="283"/>
              <w:jc w:val="left"/>
              <w:rPr/>
            </w:pPr>
            <w:r>
              <w:rPr>
                <w:rFonts w:ascii="Arial;Helvetica;Sans-Serif" w:hAnsi="Arial;Helvetica;Sans-Serif"/>
                <w:b w:val="false"/>
                <w:sz w:val="18"/>
              </w:rPr>
              <w:t xml:space="preserve">The estimated value of the </w:t>
            </w:r>
            <w:r>
              <w:rPr>
                <w:sz w:val="18"/>
              </w:rPr>
              <w:t xml:space="preserve">Trigger PLUS </w:t>
            </w:r>
            <w:r>
              <w:rPr>
                <w:rFonts w:ascii="Arial;Helvetica;Sans-Serif" w:hAnsi="Arial;Helvetica;Sans-Serif"/>
                <w:b w:val="false"/>
                <w:sz w:val="18"/>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8"/>
              </w:rPr>
              <w:t xml:space="preserve">The value of the </w:t>
            </w:r>
            <w:r>
              <w:rPr>
                <w:sz w:val="18"/>
              </w:rPr>
              <w:t xml:space="preserve">Trigger PLUS </w:t>
            </w:r>
            <w:r>
              <w:rPr>
                <w:rFonts w:ascii="Arial;Helvetica;Sans-Serif" w:hAnsi="Arial;Helvetica;Sans-Serif"/>
                <w:b w:val="false"/>
                <w:sz w:val="18"/>
              </w:rPr>
              <w:t xml:space="preserve">as published by J.P. Morgan Securities LLC (and which may be reflected on customer account statements) may be higher than the then-current estimated value of the </w:t>
            </w:r>
            <w:r>
              <w:rPr>
                <w:sz w:val="18"/>
              </w:rPr>
              <w:t xml:space="preserve">Trigger PLUS </w:t>
            </w:r>
            <w:r>
              <w:rPr>
                <w:rFonts w:ascii="Arial;Helvetica;Sans-Serif" w:hAnsi="Arial;Helvetica;Sans-Serif"/>
                <w:b w:val="false"/>
                <w:sz w:val="18"/>
              </w:rPr>
              <w:t>for a limited time period.</w:t>
            </w:r>
          </w:p>
        </w:tc>
      </w:tr>
    </w:tbl>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9" w:type="dxa"/>
            <w:tcBorders/>
            <w:vAlign w:val="center"/>
          </w:tcPr>
          <w:p>
            <w:pPr>
              <w:pStyle w:val="TableContents"/>
              <w:bidi w:val="0"/>
              <w:spacing w:before="0" w:after="283"/>
              <w:jc w:val="left"/>
              <w:rPr>
                <w:sz w:val="18"/>
              </w:rPr>
            </w:pPr>
            <w:r>
              <w:rPr>
                <w:sz w:val="18"/>
              </w:rPr>
              <w:t>Secondary market prices of the Trigger PLUS will likely be lower than the original issue price of the Trigger PLUS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6"/>
        <w:gridCol w:w="153"/>
        <w:gridCol w:w="10006"/>
      </w:tblGrid>
      <w:tr>
        <w:trPr/>
        <w:tc>
          <w:tcPr>
            <w:tcW w:w="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6" w:type="dxa"/>
            <w:tcBorders/>
            <w:vAlign w:val="center"/>
          </w:tcPr>
          <w:p>
            <w:pPr>
              <w:pStyle w:val="TableContents"/>
              <w:bidi w:val="0"/>
              <w:spacing w:before="0" w:after="283"/>
              <w:jc w:val="left"/>
              <w:rPr/>
            </w:pPr>
            <w:r>
              <w:rPr>
                <w:rFonts w:ascii="Arial;Helvetica;Sans-Serif" w:hAnsi="Arial;Helvetica;Sans-Serif"/>
                <w:b w:val="false"/>
                <w:sz w:val="18"/>
              </w:rPr>
              <w:t xml:space="preserve">Secondary market prices of the </w:t>
            </w:r>
            <w:r>
              <w:rPr>
                <w:sz w:val="18"/>
              </w:rPr>
              <w:t xml:space="preserve">Trigger PLUS </w:t>
            </w:r>
            <w:r>
              <w:rPr>
                <w:rFonts w:ascii="Arial;Helvetica;Sans-Serif" w:hAnsi="Arial;Helvetica;Sans-Serif"/>
                <w:b w:val="false"/>
                <w:sz w:val="18"/>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ETF Shares</w:t>
      </w:r>
    </w:p>
    <w:tbl>
      <w:tblPr>
        <w:tblW w:w="5000" w:type="pct"/>
        <w:jc w:val="left"/>
        <w:tblInd w:w="0" w:type="dxa"/>
        <w:tblLayout w:type="fixed"/>
        <w:tblCellMar>
          <w:top w:w="0" w:type="dxa"/>
          <w:left w:w="0" w:type="dxa"/>
          <w:bottom w:w="0" w:type="dxa"/>
          <w:right w:w="0" w:type="dxa"/>
        </w:tblCellMar>
      </w:tblPr>
      <w:tblGrid>
        <w:gridCol w:w="66"/>
        <w:gridCol w:w="220"/>
        <w:gridCol w:w="9919"/>
      </w:tblGrid>
      <w:tr>
        <w:trPr/>
        <w:tc>
          <w:tcPr>
            <w:tcW w:w="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9" w:type="dxa"/>
            <w:tcBorders/>
            <w:vAlign w:val="center"/>
          </w:tcPr>
          <w:p>
            <w:pPr>
              <w:pStyle w:val="TableContents"/>
              <w:bidi w:val="0"/>
              <w:spacing w:before="0" w:after="283"/>
              <w:jc w:val="left"/>
              <w:rPr>
                <w:sz w:val="18"/>
              </w:rPr>
            </w:pPr>
            <w:r>
              <w:rPr>
                <w:sz w:val="18"/>
              </w:rPr>
              <w:t>Investing in the Trigger PLUS is not equivalent to investing in the ETF Shares.</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both"/>
              <w:rPr>
                <w:sz w:val="18"/>
              </w:rPr>
            </w:pPr>
            <w:r>
              <w:rPr>
                <w:sz w:val="18"/>
              </w:rPr>
              <w:t>The Fund is not an investment company or a commodity pool and will not be subject to regulation under the Investment Company Act of 1940, as amended, or the Commodity Exchange Act.</w:t>
            </w:r>
          </w:p>
        </w:tc>
      </w:tr>
    </w:tbl>
    <w:tbl>
      <w:tblPr>
        <w:tblW w:w="5000" w:type="pct"/>
        <w:jc w:val="left"/>
        <w:tblInd w:w="0" w:type="dxa"/>
        <w:tblLayout w:type="fixed"/>
        <w:tblCellMar>
          <w:top w:w="0" w:type="dxa"/>
          <w:left w:w="0" w:type="dxa"/>
          <w:bottom w:w="0" w:type="dxa"/>
          <w:right w:w="0" w:type="dxa"/>
        </w:tblCellMar>
      </w:tblPr>
      <w:tblGrid>
        <w:gridCol w:w="108"/>
        <w:gridCol w:w="359"/>
        <w:gridCol w:w="9738"/>
      </w:tblGrid>
      <w:tr>
        <w:trPr/>
        <w:tc>
          <w:tcPr>
            <w:tcW w:w="1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38" w:type="dxa"/>
            <w:tcBorders/>
            <w:vAlign w:val="center"/>
          </w:tcPr>
          <w:p>
            <w:pPr>
              <w:pStyle w:val="TableContents"/>
              <w:bidi w:val="0"/>
              <w:spacing w:before="0" w:after="283"/>
              <w:jc w:val="left"/>
              <w:rPr>
                <w:sz w:val="18"/>
              </w:rPr>
            </w:pPr>
            <w:r>
              <w:rPr>
                <w:sz w:val="18"/>
              </w:rPr>
              <w:t>There are risks associated with the ETF Shares.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performance and market value of the ETF Shares, particularly during periods of market volatility, may not correlate with the performance of the underlying asset as well as the net asset value per ETF Share.</w:t>
            </w:r>
          </w:p>
        </w:tc>
      </w:tr>
    </w:tbl>
    <w:tbl>
      <w:tblPr>
        <w:tblW w:w="5000" w:type="pct"/>
        <w:jc w:val="left"/>
        <w:tblInd w:w="0" w:type="dxa"/>
        <w:tblLayout w:type="fixed"/>
        <w:tblCellMar>
          <w:top w:w="0" w:type="dxa"/>
          <w:left w:w="0" w:type="dxa"/>
          <w:bottom w:w="0" w:type="dxa"/>
          <w:right w:w="0" w:type="dxa"/>
        </w:tblCellMar>
      </w:tblPr>
      <w:tblGrid>
        <w:gridCol w:w="83"/>
        <w:gridCol w:w="274"/>
        <w:gridCol w:w="9848"/>
      </w:tblGrid>
      <w:tr>
        <w:trPr/>
        <w:tc>
          <w:tcPr>
            <w:tcW w:w="8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48" w:type="dxa"/>
            <w:tcBorders/>
            <w:vAlign w:val="center"/>
          </w:tcPr>
          <w:p>
            <w:pPr>
              <w:pStyle w:val="TableContents"/>
              <w:bidi w:val="0"/>
              <w:spacing w:before="0" w:after="283"/>
              <w:jc w:val="left"/>
              <w:rPr/>
            </w:pPr>
            <w:r>
              <w:rPr/>
              <w:t>The Trigger PLUS are subject to volatility risk.</w:t>
            </w:r>
          </w:p>
        </w:tc>
      </w:tr>
    </w:tbl>
    <w:tbl>
      <w:tblPr>
        <w:tblW w:w="5000" w:type="pct"/>
        <w:jc w:val="left"/>
        <w:tblInd w:w="0" w:type="dxa"/>
        <w:tblLayout w:type="fixed"/>
        <w:tblCellMar>
          <w:top w:w="0" w:type="dxa"/>
          <w:left w:w="0" w:type="dxa"/>
          <w:bottom w:w="0" w:type="dxa"/>
          <w:right w:w="0" w:type="dxa"/>
        </w:tblCellMar>
      </w:tblPr>
      <w:tblGrid>
        <w:gridCol w:w="65"/>
        <w:gridCol w:w="215"/>
        <w:gridCol w:w="9925"/>
      </w:tblGrid>
      <w:tr>
        <w:trPr/>
        <w:tc>
          <w:tcPr>
            <w:tcW w:w="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5" w:type="dxa"/>
            <w:tcBorders/>
            <w:vAlign w:val="center"/>
          </w:tcPr>
          <w:p>
            <w:pPr>
              <w:pStyle w:val="TableContents"/>
              <w:bidi w:val="0"/>
              <w:spacing w:before="0" w:after="283"/>
              <w:jc w:val="left"/>
              <w:rPr>
                <w:sz w:val="18"/>
              </w:rPr>
            </w:pPr>
            <w:r>
              <w:rPr>
                <w:sz w:val="18"/>
              </w:rPr>
              <w:t>The Trigger PLUS are subject to risks relating to bitcoin and the bitcoin network.</w:t>
            </w:r>
          </w:p>
        </w:tc>
      </w:tr>
    </w:tbl>
    <w:tbl>
      <w:tblPr>
        <w:tblW w:w="5000" w:type="pct"/>
        <w:jc w:val="left"/>
        <w:tblInd w:w="0" w:type="dxa"/>
        <w:tblLayout w:type="fixed"/>
        <w:tblCellMar>
          <w:top w:w="0" w:type="dxa"/>
          <w:left w:w="0" w:type="dxa"/>
          <w:bottom w:w="0" w:type="dxa"/>
          <w:right w:w="0" w:type="dxa"/>
        </w:tblCellMar>
      </w:tblPr>
      <w:tblGrid>
        <w:gridCol w:w="208"/>
        <w:gridCol w:w="684"/>
        <w:gridCol w:w="9313"/>
      </w:tblGrid>
      <w:tr>
        <w:trPr/>
        <w:tc>
          <w:tcPr>
            <w:tcW w:w="20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313" w:type="dxa"/>
            <w:tcBorders/>
            <w:vAlign w:val="center"/>
          </w:tcPr>
          <w:p>
            <w:pPr>
              <w:pStyle w:val="TableContents"/>
              <w:bidi w:val="0"/>
              <w:spacing w:before="0" w:after="283"/>
              <w:jc w:val="left"/>
              <w:rPr>
                <w:sz w:val="18"/>
              </w:rPr>
            </w:pPr>
            <w:r>
              <w:rPr>
                <w:sz w:val="18"/>
              </w:rPr>
              <w:t>Limited trading history.</w:t>
            </w:r>
          </w:p>
        </w:tc>
      </w:tr>
    </w:tbl>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14" w:type="dxa"/>
            <w:tcBorders/>
            <w:vAlign w:val="center"/>
          </w:tcPr>
          <w:p>
            <w:pPr>
              <w:pStyle w:val="TableContents"/>
              <w:bidi w:val="0"/>
              <w:spacing w:before="0" w:after="283"/>
              <w:jc w:val="left"/>
              <w:rPr>
                <w:sz w:val="18"/>
              </w:rPr>
            </w:pPr>
            <w:r>
              <w:rPr>
                <w:sz w:val="18"/>
              </w:rPr>
              <w:t>The anti-dilution protection for the ETF Shares is limited.</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Trigger PLUS — Tax considerations” concerning the U.S. federal income tax consequences of an investment in the Trigger PLUS, and you should consult your tax adviser.</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caps w:val="false"/>
          <w:smallCaps w:val="false"/>
        </w:rPr>
      </w:pPr>
      <w:r>
        <w:rPr>
          <w:caps w:val="false"/>
          <w:smallCaps w:val="false"/>
        </w:rPr>
        <w:t> </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0"/>
        <w:ind w:left="0" w:right="0" w:hanging="0"/>
        <w:jc w:val="left"/>
        <w:rPr/>
      </w:pPr>
      <w:r>
        <w:rPr/>
        <w:t> </w:t>
      </w:r>
    </w:p>
    <w:p>
      <w:pPr>
        <w:pStyle w:val="TextBody"/>
        <w:bidi w:val="0"/>
        <w:spacing w:before="0" w:after="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69147/ea0294883-01_424b2.htm" TargetMode="External"/><Relationship Id="rId3" Type="http://schemas.openxmlformats.org/officeDocument/2006/relationships/hyperlink" Target="http://www.sec.gov/Archives/edgar/data/19617/000121390026069147/ea0294883-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1756</Words>
  <Characters>9224</Characters>
  <CharactersWithSpaces>10850</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