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171337_fwp.htm"/>
      <w:bookmarkStart w:id="1" w:name="ksea171337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333-270004 and 333-270004-01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March 8, 2024</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2yr TSM Contingent Income Auto-Callable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679450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67945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50"/>
                              <w:gridCol w:w="2921"/>
                              <w:gridCol w:w="5834"/>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45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755" w:type="dxa"/>
                                  <w:gridSpan w:val="2"/>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JPMorgan Chase Financial Company LLC (“JPMorgan Financial”)</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JPMorgan Chase &amp; Co.</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755" w:type="dxa"/>
                                  <w:gridSpan w:val="2"/>
                                  <w:tcBorders/>
                                  <w:vAlign w:val="center"/>
                                </w:tcPr>
                                <w:p>
                                  <w:pPr>
                                    <w:pStyle w:val="TableContents"/>
                                    <w:bidi w:val="0"/>
                                    <w:spacing w:before="0" w:after="283"/>
                                    <w:jc w:val="left"/>
                                    <w:rPr/>
                                  </w:pPr>
                                  <w:r>
                                    <w:rPr>
                                      <w:rFonts w:ascii="Arial;Helvetica;Sans-Serif" w:hAnsi="Arial;Helvetica;Sans-Serif"/>
                                      <w:sz w:val="16"/>
                                    </w:rPr>
                                    <w:t>American depositary shares of Taiwan Semiconductor Manufacturing Company Limited (“Taiwan Semiconductor ADSs”) (Bloomberg ticker: TSM UN Equity).  Each Taiwan Semiconductor ADS represents five common shares, par value NT$10.00 per share, of Taiwan Semiconductor Manufacturing Company Limited.  The common shares of Taiwan Semiconductor Manufacturing Company Limited are referred to as “Taiwan Semiconductor underlying securities.”</w:t>
                                  </w:r>
                                  <w:r>
                                    <w:rPr/>
                                    <w:t>  </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755" w:type="dxa"/>
                                  <w:gridSpan w:val="2"/>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40" w:after="40"/>
                                    <w:ind w:left="40" w:right="4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755" w:type="dxa"/>
                                  <w:gridSpan w:val="2"/>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The early redemption payment will be an amount equal to (i) the stated principal amount </w:t>
                                  </w:r>
                                  <w:r>
                                    <w:rPr>
                                      <w:rFonts w:ascii="Arial;Helvetica;Sans-Serif" w:hAnsi="Arial;Helvetica;Sans-Serif"/>
                                      <w:i/>
                                      <w:sz w:val="16"/>
                                    </w:rPr>
                                    <w:t>plus</w:t>
                                  </w:r>
                                  <w:r>
                                    <w:rPr>
                                      <w:rFonts w:ascii="Arial;Helvetica;Sans-Serif" w:hAnsi="Arial;Helvetica;Sans-Serif"/>
                                      <w:sz w:val="16"/>
                                    </w:rPr>
                                    <w:t xml:space="preserve"> (ii) the contingent quarterly payment with respect to the related determination date.</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755" w:type="dxa"/>
                                  <w:gridSpan w:val="2"/>
                                  <w:tcBorders/>
                                  <w:shd w:fill="DCEBF4" w:val="clear"/>
                                  <w:vAlign w:val="center"/>
                                </w:tcPr>
                                <w:p>
                                  <w:pPr>
                                    <w:pStyle w:val="TableContents"/>
                                    <w:bidi w:val="0"/>
                                    <w:ind w:left="216" w:right="0" w:hanging="216"/>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$29.00 (at least 2.90% of the stated principal amount) per security on the related contingent payment date. The actual contingent quarterly payment will be provided in the pricing supplement. </w:t>
                                  </w:r>
                                </w:p>
                                <w:p>
                                  <w:pPr>
                                    <w:pStyle w:val="TableContents"/>
                                    <w:bidi w:val="0"/>
                                    <w:spacing w:before="0" w:after="283"/>
                                    <w:ind w:left="216" w:right="0" w:hanging="216"/>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755" w:type="dxa"/>
                                  <w:gridSpan w:val="2"/>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June 17, 2024, September 16, 2024, December 16, 2024, March 17, 2025, June 16, 2025, September 15, 2025, December 15, 2025 and March 16, 2026</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June 21, 2024, September 19, 2024, December 19, 2024, March 20, 2025, June 20, 2025, September 18, 2025, December 18, 2025 and the maturity date</w:t>
                                  </w:r>
                                </w:p>
                              </w:tc>
                            </w:tr>
                            <w:tr>
                              <w:trPr/>
                              <w:tc>
                                <w:tcPr>
                                  <w:tcW w:w="1450" w:type="dxa"/>
                                  <w:tcBorders/>
                                  <w:vAlign w:val="center"/>
                                </w:tcPr>
                                <w:p>
                                  <w:pPr>
                                    <w:pStyle w:val="TableContents"/>
                                    <w:bidi w:val="0"/>
                                    <w:spacing w:before="0" w:after="283"/>
                                    <w:ind w:left="0" w:right="0" w:hanging="216"/>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921" w:type="dxa"/>
                                  <w:tcBorders/>
                                  <w:vAlign w:val="center"/>
                                </w:tcPr>
                                <w:p>
                                  <w:pPr>
                                    <w:pStyle w:val="TableContents"/>
                                    <w:bidi w:val="0"/>
                                    <w:spacing w:before="0" w:after="283"/>
                                    <w:jc w:val="left"/>
                                    <w:rPr/>
                                  </w:pPr>
                                  <w:r>
                                    <w:rPr>
                                      <w:rFonts w:ascii="Symbol" w:hAnsi="Symbol"/>
                                      <w:sz w:val="16"/>
                                    </w:rPr>
                                    <w:t>·</w:t>
                                  </w:r>
                                  <w:r>
                                    <w:rPr/>
                                    <w:t xml:space="preserve">   </w:t>
                                  </w:r>
                                  <w:r>
                                    <w:rPr>
                                      <w:rFonts w:ascii="Arial;Helvetica;Sans-Serif" w:hAnsi="Arial;Helvetica;Sans-Serif"/>
                                      <w:sz w:val="16"/>
                                    </w:rPr>
                                    <w:t xml:space="preserve">If the final stock price is </w:t>
                                  </w:r>
                                  <w:r>
                                    <w:rPr>
                                      <w:rFonts w:ascii="Arial;Helvetica;Sans-Serif" w:hAnsi="Arial;Helvetica;Sans-Serif"/>
                                      <w:b/>
                                      <w:sz w:val="16"/>
                                    </w:rPr>
                                    <w:t>greater than or equal to</w:t>
                                  </w:r>
                                  <w:r>
                                    <w:rPr>
                                      <w:rFonts w:ascii="Arial;Helvetica;Sans-Serif" w:hAnsi="Arial;Helvetica;Sans-Serif"/>
                                      <w:sz w:val="16"/>
                                    </w:rPr>
                                    <w:t xml:space="preserve"> the downside threshold level:</w:t>
                                  </w:r>
                                </w:p>
                              </w:tc>
                              <w:tc>
                                <w:tcPr>
                                  <w:tcW w:w="583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(i) the stated principal amount </w:t>
                                  </w:r>
                                  <w:r>
                                    <w:rPr>
                                      <w:rFonts w:ascii="Arial;Helvetica;Sans-Serif" w:hAnsi="Arial;Helvetica;Sans-Serif"/>
                                      <w:i/>
                                      <w:sz w:val="16"/>
                                    </w:rPr>
                                    <w:t>plus</w:t>
                                  </w:r>
                                  <w:r>
                                    <w:rPr>
                                      <w:rFonts w:ascii="Arial;Helvetica;Sans-Serif" w:hAnsi="Arial;Helvetica;Sans-Serif"/>
                                      <w:sz w:val="16"/>
                                    </w:rPr>
                                    <w:t xml:space="preserve"> (ii) the contingent quarterly payment with respect to the final determination date</w:t>
                                  </w:r>
                                </w:p>
                              </w:tc>
                            </w:tr>
                            <w:tr>
                              <w:trPr/>
                              <w:tc>
                                <w:tcPr>
                                  <w:tcW w:w="1450" w:type="dxa"/>
                                  <w:tcBorders/>
                                  <w:vAlign w:val="center"/>
                                </w:tcPr>
                                <w:p>
                                  <w:pPr>
                                    <w:pStyle w:val="TableContents"/>
                                    <w:bidi w:val="0"/>
                                    <w:spacing w:before="0" w:after="283"/>
                                    <w:ind w:left="0" w:right="0" w:hanging="216"/>
                                    <w:jc w:val="left"/>
                                    <w:rPr/>
                                  </w:pPr>
                                  <w:r>
                                    <w:rPr/>
                                    <w:t> </w:t>
                                  </w:r>
                                </w:p>
                              </w:tc>
                              <w:tc>
                                <w:tcPr>
                                  <w:tcW w:w="2921" w:type="dxa"/>
                                  <w:tcBorders/>
                                  <w:vAlign w:val="center"/>
                                </w:tcPr>
                                <w:p>
                                  <w:pPr>
                                    <w:pStyle w:val="TableContents"/>
                                    <w:bidi w:val="0"/>
                                    <w:spacing w:before="0" w:after="283"/>
                                    <w:jc w:val="left"/>
                                    <w:rPr/>
                                  </w:pPr>
                                  <w:r>
                                    <w:rPr>
                                      <w:rFonts w:ascii="Symbol" w:hAnsi="Symbol"/>
                                      <w:sz w:val="16"/>
                                    </w:rPr>
                                    <w:t>·</w:t>
                                  </w:r>
                                  <w:r>
                                    <w:rPr/>
                                    <w:t xml:space="preserve">   </w:t>
                                  </w:r>
                                  <w:r>
                                    <w:rPr>
                                      <w:rFonts w:ascii="Arial;Helvetica;Sans-Serif" w:hAnsi="Arial;Helvetica;Sans-Serif"/>
                                      <w:sz w:val="16"/>
                                    </w:rPr>
                                    <w:t xml:space="preserve">If the final stock price is </w:t>
                                  </w:r>
                                  <w:r>
                                    <w:rPr>
                                      <w:rFonts w:ascii="Arial;Helvetica;Sans-Serif" w:hAnsi="Arial;Helvetica;Sans-Serif"/>
                                      <w:b/>
                                      <w:sz w:val="16"/>
                                    </w:rPr>
                                    <w:t>less than</w:t>
                                  </w:r>
                                  <w:r>
                                    <w:rPr>
                                      <w:rFonts w:ascii="Arial;Helvetica;Sans-Serif" w:hAnsi="Arial;Helvetica;Sans-Serif"/>
                                      <w:sz w:val="16"/>
                                    </w:rPr>
                                    <w:t xml:space="preserve"> the downside threshold level:</w:t>
                                  </w:r>
                                </w:p>
                              </w:tc>
                              <w:tc>
                                <w:tcPr>
                                  <w:tcW w:w="583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(i) the stated principal amount </w:t>
                                  </w:r>
                                  <w:r>
                                    <w:rPr>
                                      <w:rFonts w:ascii="Arial;Helvetica;Sans-Serif" w:hAnsi="Arial;Helvetica;Sans-Serif"/>
                                      <w:i/>
                                      <w:sz w:val="16"/>
                                    </w:rPr>
                                    <w:t>times</w:t>
                                  </w:r>
                                  <w:r>
                                    <w:rPr>
                                      <w:rFonts w:ascii="Arial;Helvetica;Sans-Serif" w:hAnsi="Arial;Helvetica;Sans-Serif"/>
                                      <w:sz w:val="16"/>
                                    </w:rPr>
                                    <w:t xml:space="preserve"> (ii) the stock performance factor.  This cash payment will be less than 60% of the stated principal amount of the securities and could be zero.</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60% of the initial stock price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50"/>
                        <w:gridCol w:w="2921"/>
                        <w:gridCol w:w="5834"/>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45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755" w:type="dxa"/>
                            <w:gridSpan w:val="2"/>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JPMorgan Chase Financial Company LLC (“JPMorgan Financial”)</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JPMorgan Chase &amp; Co.</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755" w:type="dxa"/>
                            <w:gridSpan w:val="2"/>
                            <w:tcBorders/>
                            <w:vAlign w:val="center"/>
                          </w:tcPr>
                          <w:p>
                            <w:pPr>
                              <w:pStyle w:val="TableContents"/>
                              <w:bidi w:val="0"/>
                              <w:spacing w:before="0" w:after="283"/>
                              <w:jc w:val="left"/>
                              <w:rPr/>
                            </w:pPr>
                            <w:r>
                              <w:rPr>
                                <w:rFonts w:ascii="Arial;Helvetica;Sans-Serif" w:hAnsi="Arial;Helvetica;Sans-Serif"/>
                                <w:sz w:val="16"/>
                              </w:rPr>
                              <w:t>American depositary shares of Taiwan Semiconductor Manufacturing Company Limited (“Taiwan Semiconductor ADSs”) (Bloomberg ticker: TSM UN Equity).  Each Taiwan Semiconductor ADS represents five common shares, par value NT$10.00 per share, of Taiwan Semiconductor Manufacturing Company Limited.  The common shares of Taiwan Semiconductor Manufacturing Company Limited are referred to as “Taiwan Semiconductor underlying securities.”</w:t>
                            </w:r>
                            <w:r>
                              <w:rPr/>
                              <w:t>  </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755" w:type="dxa"/>
                            <w:gridSpan w:val="2"/>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40" w:after="40"/>
                              <w:ind w:left="40" w:right="4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755" w:type="dxa"/>
                            <w:gridSpan w:val="2"/>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The early redemption payment will be an amount equal to (i) the stated principal amount </w:t>
                            </w:r>
                            <w:r>
                              <w:rPr>
                                <w:rFonts w:ascii="Arial;Helvetica;Sans-Serif" w:hAnsi="Arial;Helvetica;Sans-Serif"/>
                                <w:i/>
                                <w:sz w:val="16"/>
                              </w:rPr>
                              <w:t>plus</w:t>
                            </w:r>
                            <w:r>
                              <w:rPr>
                                <w:rFonts w:ascii="Arial;Helvetica;Sans-Serif" w:hAnsi="Arial;Helvetica;Sans-Serif"/>
                                <w:sz w:val="16"/>
                              </w:rPr>
                              <w:t xml:space="preserve"> (ii) the contingent quarterly payment with respect to the related determination date.</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755" w:type="dxa"/>
                            <w:gridSpan w:val="2"/>
                            <w:tcBorders/>
                            <w:shd w:fill="DCEBF4" w:val="clear"/>
                            <w:vAlign w:val="center"/>
                          </w:tcPr>
                          <w:p>
                            <w:pPr>
                              <w:pStyle w:val="TableContents"/>
                              <w:bidi w:val="0"/>
                              <w:ind w:left="216" w:right="0" w:hanging="216"/>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$29.00 (at least 2.90% of the stated principal amount) per security on the related contingent payment date. The actual contingent quarterly payment will be provided in the pricing supplement. </w:t>
                            </w:r>
                          </w:p>
                          <w:p>
                            <w:pPr>
                              <w:pStyle w:val="TableContents"/>
                              <w:bidi w:val="0"/>
                              <w:spacing w:before="0" w:after="283"/>
                              <w:ind w:left="216" w:right="0" w:hanging="216"/>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45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755" w:type="dxa"/>
                            <w:gridSpan w:val="2"/>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June 17, 2024, September 16, 2024, December 16, 2024, March 17, 2025, June 16, 2025, September 15, 2025, December 15, 2025 and March 16, 2026</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June 21, 2024, September 19, 2024, December 19, 2024, March 20, 2025, June 20, 2025, September 18, 2025, December 18, 2025 and the maturity date</w:t>
                            </w:r>
                          </w:p>
                        </w:tc>
                      </w:tr>
                      <w:tr>
                        <w:trPr/>
                        <w:tc>
                          <w:tcPr>
                            <w:tcW w:w="1450" w:type="dxa"/>
                            <w:tcBorders/>
                            <w:vAlign w:val="center"/>
                          </w:tcPr>
                          <w:p>
                            <w:pPr>
                              <w:pStyle w:val="TableContents"/>
                              <w:bidi w:val="0"/>
                              <w:spacing w:before="0" w:after="283"/>
                              <w:ind w:left="0" w:right="0" w:hanging="216"/>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921" w:type="dxa"/>
                            <w:tcBorders/>
                            <w:vAlign w:val="center"/>
                          </w:tcPr>
                          <w:p>
                            <w:pPr>
                              <w:pStyle w:val="TableContents"/>
                              <w:bidi w:val="0"/>
                              <w:spacing w:before="0" w:after="283"/>
                              <w:jc w:val="left"/>
                              <w:rPr/>
                            </w:pPr>
                            <w:r>
                              <w:rPr>
                                <w:rFonts w:ascii="Symbol" w:hAnsi="Symbol"/>
                                <w:sz w:val="16"/>
                              </w:rPr>
                              <w:t>·</w:t>
                            </w:r>
                            <w:r>
                              <w:rPr/>
                              <w:t xml:space="preserve">   </w:t>
                            </w:r>
                            <w:r>
                              <w:rPr>
                                <w:rFonts w:ascii="Arial;Helvetica;Sans-Serif" w:hAnsi="Arial;Helvetica;Sans-Serif"/>
                                <w:sz w:val="16"/>
                              </w:rPr>
                              <w:t xml:space="preserve">If the final stock price is </w:t>
                            </w:r>
                            <w:r>
                              <w:rPr>
                                <w:rFonts w:ascii="Arial;Helvetica;Sans-Serif" w:hAnsi="Arial;Helvetica;Sans-Serif"/>
                                <w:b/>
                                <w:sz w:val="16"/>
                              </w:rPr>
                              <w:t>greater than or equal to</w:t>
                            </w:r>
                            <w:r>
                              <w:rPr>
                                <w:rFonts w:ascii="Arial;Helvetica;Sans-Serif" w:hAnsi="Arial;Helvetica;Sans-Serif"/>
                                <w:sz w:val="16"/>
                              </w:rPr>
                              <w:t xml:space="preserve"> the downside threshold level:</w:t>
                            </w:r>
                          </w:p>
                        </w:tc>
                        <w:tc>
                          <w:tcPr>
                            <w:tcW w:w="583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(i) the stated principal amount </w:t>
                            </w:r>
                            <w:r>
                              <w:rPr>
                                <w:rFonts w:ascii="Arial;Helvetica;Sans-Serif" w:hAnsi="Arial;Helvetica;Sans-Serif"/>
                                <w:i/>
                                <w:sz w:val="16"/>
                              </w:rPr>
                              <w:t>plus</w:t>
                            </w:r>
                            <w:r>
                              <w:rPr>
                                <w:rFonts w:ascii="Arial;Helvetica;Sans-Serif" w:hAnsi="Arial;Helvetica;Sans-Serif"/>
                                <w:sz w:val="16"/>
                              </w:rPr>
                              <w:t xml:space="preserve"> (ii) the contingent quarterly payment with respect to the final determination date</w:t>
                            </w:r>
                          </w:p>
                        </w:tc>
                      </w:tr>
                      <w:tr>
                        <w:trPr/>
                        <w:tc>
                          <w:tcPr>
                            <w:tcW w:w="1450" w:type="dxa"/>
                            <w:tcBorders/>
                            <w:vAlign w:val="center"/>
                          </w:tcPr>
                          <w:p>
                            <w:pPr>
                              <w:pStyle w:val="TableContents"/>
                              <w:bidi w:val="0"/>
                              <w:spacing w:before="0" w:after="283"/>
                              <w:ind w:left="0" w:right="0" w:hanging="216"/>
                              <w:jc w:val="left"/>
                              <w:rPr/>
                            </w:pPr>
                            <w:r>
                              <w:rPr/>
                              <w:t> </w:t>
                            </w:r>
                          </w:p>
                        </w:tc>
                        <w:tc>
                          <w:tcPr>
                            <w:tcW w:w="2921" w:type="dxa"/>
                            <w:tcBorders/>
                            <w:vAlign w:val="center"/>
                          </w:tcPr>
                          <w:p>
                            <w:pPr>
                              <w:pStyle w:val="TableContents"/>
                              <w:bidi w:val="0"/>
                              <w:spacing w:before="0" w:after="283"/>
                              <w:jc w:val="left"/>
                              <w:rPr/>
                            </w:pPr>
                            <w:r>
                              <w:rPr>
                                <w:rFonts w:ascii="Symbol" w:hAnsi="Symbol"/>
                                <w:sz w:val="16"/>
                              </w:rPr>
                              <w:t>·</w:t>
                            </w:r>
                            <w:r>
                              <w:rPr/>
                              <w:t xml:space="preserve">   </w:t>
                            </w:r>
                            <w:r>
                              <w:rPr>
                                <w:rFonts w:ascii="Arial;Helvetica;Sans-Serif" w:hAnsi="Arial;Helvetica;Sans-Serif"/>
                                <w:sz w:val="16"/>
                              </w:rPr>
                              <w:t xml:space="preserve">If the final stock price is </w:t>
                            </w:r>
                            <w:r>
                              <w:rPr>
                                <w:rFonts w:ascii="Arial;Helvetica;Sans-Serif" w:hAnsi="Arial;Helvetica;Sans-Serif"/>
                                <w:b/>
                                <w:sz w:val="16"/>
                              </w:rPr>
                              <w:t>less than</w:t>
                            </w:r>
                            <w:r>
                              <w:rPr>
                                <w:rFonts w:ascii="Arial;Helvetica;Sans-Serif" w:hAnsi="Arial;Helvetica;Sans-Serif"/>
                                <w:sz w:val="16"/>
                              </w:rPr>
                              <w:t xml:space="preserve"> the downside threshold level:</w:t>
                            </w:r>
                          </w:p>
                        </w:tc>
                        <w:tc>
                          <w:tcPr>
                            <w:tcW w:w="583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(i) the stated principal amount </w:t>
                            </w:r>
                            <w:r>
                              <w:rPr>
                                <w:rFonts w:ascii="Arial;Helvetica;Sans-Serif" w:hAnsi="Arial;Helvetica;Sans-Serif"/>
                                <w:i/>
                                <w:sz w:val="16"/>
                              </w:rPr>
                              <w:t>times</w:t>
                            </w:r>
                            <w:r>
                              <w:rPr>
                                <w:rFonts w:ascii="Arial;Helvetica;Sans-Serif" w:hAnsi="Arial;Helvetica;Sans-Serif"/>
                                <w:sz w:val="16"/>
                              </w:rPr>
                              <w:t xml:space="preserve"> (ii) the stock performance factor.  This cash payment will be less than 60% of the stated principal amount of the securities and could be zero.</w:t>
                            </w:r>
                          </w:p>
                        </w:tc>
                      </w:tr>
                      <w:tr>
                        <w:trPr/>
                        <w:tc>
                          <w:tcPr>
                            <w:tcW w:w="145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755" w:type="dxa"/>
                            <w:gridSpan w:val="2"/>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60% of the initial stock price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99"/>
                              <w:gridCol w:w="8406"/>
                            </w:tblGrid>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closing price of the underlying stock on the pricing date</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closing price of the underlying stock on the final determination date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final stock price / initial stock price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$1,000 per security</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$1,000 per security</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Expected to be March 15, 2024</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 business days after the pricing date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March 19, 2026</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48134W6P7 / US48134W6P76</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8406" w:type="dxa"/>
                                  <w:tcBorders/>
                                  <w:vAlign w:val="center"/>
                                </w:tcPr>
                                <w:p>
                                  <w:pPr>
                                    <w:pStyle w:val="TableContents"/>
                                    <w:bidi w:val="0"/>
                                    <w:spacing w:before="0" w:after="283"/>
                                    <w:jc w:val="left"/>
                                    <w:rPr/>
                                  </w:pPr>
                                  <w:hyperlink r:id="rId2">
                                    <w:r>
                                      <w:rPr>
                                        <w:rStyle w:val="InternetLink"/>
                                        <w:rFonts w:ascii="Arial;Helvetica;Sans-Serif" w:hAnsi="Arial;Helvetica;Sans-Serif"/>
                                        <w:color w:val="0000FF"/>
                                        <w:sz w:val="16"/>
                                      </w:rPr>
                                      <w:t>http://www.sec.gov/Archives/edgar/data/</w:t>
                                      <w:br/>
                                      <w:t>1665650/000121390024021124/ea171333_424b2.htm</w:t>
                                    </w:r>
                                  </w:hyperlink>
                                  <w:r>
                                    <w:rPr>
                                      <w:rFonts w:ascii="Arial;Helvetica;Sans-Serif" w:hAnsi="Arial;Helvetica;Sans-Serif"/>
                                      <w:sz w:val="16"/>
                                    </w:rPr>
                                    <w:t xml:space="preserve">  </w:t>
                                  </w:r>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5080" w:type="dxa"/>
                              <w:jc w:val="left"/>
                              <w:tblInd w:w="0" w:type="dxa"/>
                              <w:tblLayout w:type="fixed"/>
                              <w:tblCellMar>
                                <w:top w:w="0" w:type="dxa"/>
                                <w:left w:w="0" w:type="dxa"/>
                                <w:bottom w:w="0" w:type="dxa"/>
                                <w:right w:w="0" w:type="dxa"/>
                              </w:tblCellMar>
                            </w:tblPr>
                            <w:tblGrid>
                              <w:gridCol w:w="2255"/>
                              <w:gridCol w:w="2825"/>
                            </w:tblGrid>
                            <w:tr>
                              <w:trPr/>
                              <w:tc>
                                <w:tcPr>
                                  <w:tcW w:w="5080" w:type="dxa"/>
                                  <w:gridSpan w:val="2"/>
                                  <w:tcBorders/>
                                  <w:shd w:fill="296DC1" w:val="clear"/>
                                  <w:vAlign w:val="center"/>
                                </w:tcPr>
                                <w:p>
                                  <w:pPr>
                                    <w:pStyle w:val="TableContents"/>
                                    <w:bidi w:val="0"/>
                                    <w:spacing w:before="60" w:after="60"/>
                                    <w:ind w:left="60" w:right="6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60" w:after="60"/>
                                    <w:ind w:left="60" w:right="6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Underlying Stock</w:t>
                                  </w:r>
                                </w:p>
                              </w:tc>
                              <w:tc>
                                <w:tcPr>
                                  <w:tcW w:w="282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w:t>
                                    <w:br/>
                                    <w:t>coupon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28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$599.90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799"/>
                        <w:gridCol w:w="8406"/>
                      </w:tblGrid>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closing price of the underlying stock on the pricing date</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closing price of the underlying stock on the final determination date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final stock price / initial stock price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$1,000 per security</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$1,000 per security</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Expected to be March 15, 2024</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 business days after the pricing date</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March 19, 2026</w:t>
                            </w:r>
                          </w:p>
                        </w:tc>
                      </w:tr>
                      <w:tr>
                        <w:trPr/>
                        <w:tc>
                          <w:tcPr>
                            <w:tcW w:w="179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8406"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48134W6P7 / US48134W6P76</w:t>
                            </w:r>
                          </w:p>
                        </w:tc>
                      </w:tr>
                      <w:tr>
                        <w:trPr/>
                        <w:tc>
                          <w:tcPr>
                            <w:tcW w:w="179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8406" w:type="dxa"/>
                            <w:tcBorders/>
                            <w:vAlign w:val="center"/>
                          </w:tcPr>
                          <w:p>
                            <w:pPr>
                              <w:pStyle w:val="TableContents"/>
                              <w:bidi w:val="0"/>
                              <w:spacing w:before="0" w:after="283"/>
                              <w:jc w:val="left"/>
                              <w:rPr/>
                            </w:pPr>
                            <w:hyperlink r:id="rId3">
                              <w:r>
                                <w:rPr>
                                  <w:rStyle w:val="InternetLink"/>
                                  <w:rFonts w:ascii="Arial;Helvetica;Sans-Serif" w:hAnsi="Arial;Helvetica;Sans-Serif"/>
                                  <w:color w:val="0000FF"/>
                                  <w:sz w:val="16"/>
                                </w:rPr>
                                <w:t>http://www.sec.gov/Archives/edgar/data/</w:t>
                                <w:br/>
                                <w:t>1665650/000121390024021124/ea171333_424b2.htm</w:t>
                              </w:r>
                            </w:hyperlink>
                            <w:r>
                              <w:rPr>
                                <w:rFonts w:ascii="Arial;Helvetica;Sans-Serif" w:hAnsi="Arial;Helvetica;Sans-Serif"/>
                                <w:sz w:val="16"/>
                              </w:rPr>
                              <w:t xml:space="preserve">  </w:t>
                            </w:r>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5080" w:type="dxa"/>
                        <w:jc w:val="left"/>
                        <w:tblInd w:w="0" w:type="dxa"/>
                        <w:tblLayout w:type="fixed"/>
                        <w:tblCellMar>
                          <w:top w:w="0" w:type="dxa"/>
                          <w:left w:w="0" w:type="dxa"/>
                          <w:bottom w:w="0" w:type="dxa"/>
                          <w:right w:w="0" w:type="dxa"/>
                        </w:tblCellMar>
                      </w:tblPr>
                      <w:tblGrid>
                        <w:gridCol w:w="2255"/>
                        <w:gridCol w:w="2825"/>
                      </w:tblGrid>
                      <w:tr>
                        <w:trPr/>
                        <w:tc>
                          <w:tcPr>
                            <w:tcW w:w="5080" w:type="dxa"/>
                            <w:gridSpan w:val="2"/>
                            <w:tcBorders/>
                            <w:shd w:fill="296DC1" w:val="clear"/>
                            <w:vAlign w:val="center"/>
                          </w:tcPr>
                          <w:p>
                            <w:pPr>
                              <w:pStyle w:val="TableContents"/>
                              <w:bidi w:val="0"/>
                              <w:spacing w:before="60" w:after="60"/>
                              <w:ind w:left="60" w:right="6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60" w:after="60"/>
                              <w:ind w:left="60" w:right="6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Underlying Stock</w:t>
                            </w:r>
                          </w:p>
                        </w:tc>
                        <w:tc>
                          <w:tcPr>
                            <w:tcW w:w="282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w:t>
                              <w:br/>
                              <w:t>coupon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28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$599.90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2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2yr TSM Contingent Income Auto-Callable Securities</w:t>
      </w:r>
    </w:p>
    <w:p>
      <w:pPr>
        <w:pStyle w:val="TextBody"/>
        <w:bidi w:val="0"/>
        <w:jc w:val="left"/>
        <w:rPr>
          <w:rFonts w:ascii="Arial;Helvetica;Sans-Serif" w:hAnsi="Arial;Helvetica;Sans-Serif"/>
          <w:b w:val="false"/>
          <w:i w:val="false"/>
          <w:caps w:val="false"/>
          <w:smallCaps w:val="false"/>
          <w:color w:val="296DC1"/>
          <w:sz w:val="26"/>
        </w:rPr>
      </w:pPr>
      <w:r>
        <w:rPr>
          <w:rFonts w:ascii="Arial;Helvetica;Sans-Serif" w:hAnsi="Arial;Helvetica;Sans-Serif"/>
          <w:b w:val="false"/>
          <w:i w:val="false"/>
          <w:caps w:val="false"/>
          <w:smallCaps w:val="false"/>
          <w:color w:val="296DC1"/>
          <w:sz w:val="26"/>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will not receive any contingent quarterly payment for any quarterly period if the closing price of the underlying stock on the relevant determination date is less than the downside threshold level. </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0" w:type="dxa"/>
            <w:tcBorders/>
            <w:vAlign w:val="center"/>
          </w:tcPr>
          <w:p>
            <w:pPr>
              <w:pStyle w:val="TableContents"/>
              <w:bidi w:val="0"/>
              <w:spacing w:before="0" w:after="283"/>
              <w:jc w:val="left"/>
              <w:rPr>
                <w:sz w:val="18"/>
              </w:rPr>
            </w:pPr>
            <w:r>
              <w:rPr>
                <w:sz w:val="18"/>
              </w:rPr>
              <w:t>The contingent quarterly payment is based solely on the closing prices of the underlying stock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5" w:type="dxa"/>
            <w:tcBorders/>
            <w:vAlign w:val="center"/>
          </w:tcPr>
          <w:p>
            <w:pPr>
              <w:pStyle w:val="TableContents"/>
              <w:bidi w:val="0"/>
              <w:spacing w:before="0" w:after="283"/>
              <w:jc w:val="left"/>
              <w:rPr>
                <w:sz w:val="18"/>
              </w:rPr>
            </w:pPr>
            <w:r>
              <w:rPr>
                <w:sz w:val="18"/>
              </w:rPr>
              <w:t>As a finance subsidiary, JPMorgan Financial has no independent operations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8"/>
              </w:rPr>
            </w:pPr>
            <w:r>
              <w:rPr>
                <w:sz w:val="18"/>
              </w:rPr>
              <w:t>Investors will not participate in any appreciation of the underlying stock.</w:t>
            </w:r>
          </w:p>
        </w:tc>
      </w:tr>
    </w:tbl>
    <w:tbl>
      <w:tblPr>
        <w:tblW w:w="5000" w:type="pct"/>
        <w:jc w:val="left"/>
        <w:tblInd w:w="0" w:type="dxa"/>
        <w:tblLayout w:type="fixed"/>
        <w:tblCellMar>
          <w:top w:w="0" w:type="dxa"/>
          <w:left w:w="0" w:type="dxa"/>
          <w:bottom w:w="0" w:type="dxa"/>
          <w:right w:w="0" w:type="dxa"/>
        </w:tblCellMar>
      </w:tblPr>
      <w:tblGrid>
        <w:gridCol w:w="218"/>
        <w:gridCol w:w="720"/>
        <w:gridCol w:w="9267"/>
      </w:tblGrid>
      <w:tr>
        <w:trPr/>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67" w:type="dxa"/>
            <w:tcBorders/>
            <w:vAlign w:val="center"/>
          </w:tcPr>
          <w:p>
            <w:pPr>
              <w:pStyle w:val="TableContents"/>
              <w:bidi w:val="0"/>
              <w:spacing w:before="0" w:after="283"/>
              <w:jc w:val="left"/>
              <w:rPr>
                <w:sz w:val="18"/>
              </w:rPr>
            </w:pPr>
            <w:r>
              <w:rPr>
                <w:sz w:val="18"/>
              </w:rPr>
              <w:t>Early redemption risk.</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There are risks associated with investments in securities linked to the value of equity securities issued by a non-U.S. company. </w:t>
            </w:r>
          </w:p>
        </w:tc>
      </w:tr>
    </w:tbl>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5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securities entail emerging markets risk.</w:t>
            </w:r>
          </w:p>
        </w:tc>
      </w:tr>
    </w:tbl>
    <w:tbl>
      <w:tblPr>
        <w:tblW w:w="5000" w:type="pct"/>
        <w:jc w:val="left"/>
        <w:tblInd w:w="0" w:type="dxa"/>
        <w:tblLayout w:type="fixed"/>
        <w:tblCellMar>
          <w:top w:w="0" w:type="dxa"/>
          <w:left w:w="0" w:type="dxa"/>
          <w:bottom w:w="0" w:type="dxa"/>
          <w:right w:w="0" w:type="dxa"/>
        </w:tblCellMar>
      </w:tblPr>
      <w:tblGrid>
        <w:gridCol w:w="86"/>
        <w:gridCol w:w="286"/>
        <w:gridCol w:w="9833"/>
      </w:tblGrid>
      <w:tr>
        <w:trPr/>
        <w:tc>
          <w:tcPr>
            <w:tcW w:w="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3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securities are subject to currency exchange risk.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There are important differences between the rights of holders of Taiwan Semiconductor ADSs and the rights of holders of the Taiwan Semiconductor Manufacturing Company Limited underlying securities. </w:t>
            </w:r>
          </w:p>
        </w:tc>
      </w:tr>
    </w:tbl>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4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No affiliation with Taiwan Semiconductor Manufacturing Company Limited.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may engage in business with or involving Taiwan Semiconductor Manufacturing Company Limited without regard to your interests.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securities.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underlying stock is limited and may be discretionary.</w:t>
            </w:r>
          </w:p>
        </w:tc>
      </w:tr>
    </w:tbl>
    <w:p>
      <w:pPr>
        <w:pStyle w:val="TextBody"/>
        <w:bidi w:val="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5650/000121390024021124/ea171333_424b2.htm" TargetMode="External"/><Relationship Id="rId3" Type="http://schemas.openxmlformats.org/officeDocument/2006/relationships/hyperlink" Target="https://www.sec.gov/Archives/edgar/data/1665650/000121390024021124/ea171333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9080</Characters>
  <CharactersWithSpaces>10583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