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393-01_fwp.htm"/>
      <w:bookmarkStart w:id="1" w:name="ksea0303393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Carrier Global Corporation Pricing Date: September 1, 2026 Final Review Date: September 1, 2028 Maturity Date: September 7, 2028 Review Dates: Quarterly Contingent Interest Rate: At least 11.00%* per annum, payable quarterly at a rate of at least 2.75%*, if applicable Interest Barrier/ Trigger Value: An amount that represents 60.00 % of the Initial Value CUSIP: 46661M2Q6 Preliminary Pricing Supplement: http://sp.jpmorgan.com/document/cusip/46661M2Q6/doctype/Product_Termsheet/document.pdf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payable on the applicable Call Settlement Date. No further p aym 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CARR Auto Callable Contingent Interest Notes North America Structured Investments Payment at Maturity (assuming 11.00% per annum Contingent Interest Rate) Stock Return $1,027.50 60.00% $1,027.50 40.00% $1,027.50 20.00% $1,027.50 5.00% $1,027.50 0.00% $1,027.50 - 5.00% $1,027.50 - 10.00% $1,027.50 - 20.00% $1,027.50 - 30.00% $1,027.50 - 40.00% $599.90 - 40.01% $500.00 - 50.00% $400.00 - 60.00% $300.00 - 70.00%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$27.50 (equivalent to a Contingent Interest Rate of at least 11.00% per annum, payable at a rate of at least 2.75% per quarter).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CARR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1527</Words>
  <Characters>7723</Characters>
  <CharactersWithSpaces>9251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