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7431-01_fwp.htm"/>
      <w:bookmarkStart w:id="1" w:name="ksea030743101_fwp"/>
      <w:bookmarkStart w:id="2" w:name="ea0307431-01_fwp.htm"/>
      <w:bookmarkStart w:id="3" w:name="ksea030743101_fwp"/>
      <w:bookmarkEnd w:id="2"/>
      <w:bookmarkEnd w:id="3"/>
    </w:p>
    <w:tbl>
      <w:tblPr>
        <w:tblW w:w="10205" w:type="dxa"/>
        <w:jc w:val="left"/>
        <w:tblInd w:w="0" w:type="dxa"/>
        <w:tblLayout w:type="fixed"/>
        <w:tblCellMar>
          <w:top w:w="0" w:type="dxa"/>
          <w:left w:w="0" w:type="dxa"/>
          <w:bottom w:w="0" w:type="dxa"/>
          <w:right w:w="0" w:type="dxa"/>
        </w:tblCellMar>
      </w:tblPr>
      <w:tblGrid>
        <w:gridCol w:w="6923"/>
        <w:gridCol w:w="3282"/>
      </w:tblGrid>
      <w:tr>
        <w:trPr/>
        <w:tc>
          <w:tcPr>
            <w:tcW w:w="6923" w:type="dxa"/>
            <w:tcBorders/>
            <w:vAlign w:val="center"/>
          </w:tcPr>
          <w:p>
            <w:pPr>
              <w:pStyle w:val="TableContents"/>
              <w:bidi w:val="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3282" w:type="dxa"/>
            <w:tcBorders/>
            <w:vAlign w:val="center"/>
          </w:tcPr>
          <w:p>
            <w:pPr>
              <w:pStyle w:val="TableContents"/>
              <w:bidi w:val="0"/>
              <w:ind w:left="133" w:right="133" w:hanging="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ind w:left="133" w:right="133" w:hanging="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w:t>
            </w:r>
          </w:p>
          <w:p>
            <w:pPr>
              <w:pStyle w:val="TableContents"/>
              <w:bidi w:val="0"/>
              <w:spacing w:before="0" w:after="283"/>
              <w:ind w:left="133" w:right="133" w:hanging="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333-293684-01</w:t>
            </w:r>
          </w:p>
        </w:tc>
      </w:tr>
      <w:tr>
        <w:trPr/>
        <w:tc>
          <w:tcPr>
            <w:tcW w:w="6923" w:type="dxa"/>
            <w:tcBorders/>
            <w:vAlign w:val="center"/>
          </w:tcPr>
          <w:p>
            <w:pPr>
              <w:pStyle w:val="TableContents"/>
              <w:bidi w:val="0"/>
              <w:spacing w:before="0" w:after="283"/>
              <w:jc w:val="left"/>
              <w:rPr>
                <w:sz w:val="4"/>
                <w:szCs w:val="4"/>
              </w:rPr>
            </w:pPr>
            <w:r>
              <w:rPr>
                <w:sz w:val="4"/>
                <w:szCs w:val="4"/>
              </w:rPr>
            </w:r>
          </w:p>
        </w:tc>
        <w:tc>
          <w:tcPr>
            <w:tcW w:w="3282" w:type="dxa"/>
            <w:tcBorders/>
            <w:vAlign w:val="center"/>
          </w:tcPr>
          <w:p>
            <w:pPr>
              <w:pStyle w:val="TableContents"/>
              <w:bidi w:val="0"/>
              <w:spacing w:before="0" w:after="283"/>
              <w:jc w:val="right"/>
              <w:rPr/>
            </w:pPr>
            <w:r>
              <w:rPr/>
              <w:drawing>
                <wp:inline distT="0" distB="0" distL="0" distR="0">
                  <wp:extent cx="1524000"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400050"/>
                          </a:xfrm>
                          <a:prstGeom prst="rect">
                            <a:avLst/>
                          </a:prstGeom>
                        </pic:spPr>
                      </pic:pic>
                    </a:graphicData>
                  </a:graphic>
                </wp:inline>
              </w:drawing>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40" w:after="20"/>
              <w:ind w:left="40" w:right="4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Securities—Auto-Callable with Contingent Coupon with Memory Feature and Contingent Downside</w:t>
            </w:r>
          </w:p>
          <w:p>
            <w:pPr>
              <w:pStyle w:val="TableContents"/>
              <w:bidi w:val="0"/>
              <w:spacing w:before="40" w:after="20"/>
              <w:ind w:left="40" w:right="4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Common Stock of Walmart Inc. due October 11, 2029</w:t>
            </w:r>
          </w:p>
          <w:p>
            <w:pPr>
              <w:pStyle w:val="TableContents"/>
              <w:bidi w:val="0"/>
              <w:spacing w:before="40" w:after="20"/>
              <w:ind w:left="40" w:right="4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October 1, 2026 to Preliminary Pricing Supplement dated October 1, 2026</w:t>
            </w:r>
          </w:p>
        </w:tc>
      </w:tr>
    </w:tbl>
    <w:p>
      <w:pPr>
        <w:pStyle w:val="TextBody"/>
        <w:bidi w:val="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008745"/>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008745"/>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081"/>
                              <w:gridCol w:w="9124"/>
                            </w:tblGrid>
                            <w:tr>
                              <w:trPr/>
                              <w:tc>
                                <w:tcPr>
                                  <w:tcW w:w="10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Issuer:</w:t>
                                  </w:r>
                                </w:p>
                              </w:tc>
                              <w:tc>
                                <w:tcPr>
                                  <w:tcW w:w="912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Financial Company LLC</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Guarantor:</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&amp; C0.</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Underlying Stock:</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common stock of Walmart Inc. (Bloomberg ticker: WMT) (the “</w:t>
                                  </w:r>
                                  <w:r>
                                    <w:rPr>
                                      <w:rFonts w:ascii="Georgia;Times;Serif" w:hAnsi="Georgia;Times;Serif"/>
                                      <w:b w:val="false"/>
                                      <w:i w:val="false"/>
                                      <w:caps w:val="false"/>
                                      <w:smallCaps w:val="false"/>
                                      <w:sz w:val="15"/>
                                      <w:u w:val="single"/>
                                    </w:rPr>
                                    <w:t>Underlying Stock</w:t>
                                  </w:r>
                                  <w:r>
                                    <w:rPr>
                                      <w:rFonts w:ascii="Georgia;Times;Serif" w:hAnsi="Georgia;Times;Serif"/>
                                      <w:b w:val="false"/>
                                      <w:i w:val="false"/>
                                      <w:caps w:val="false"/>
                                      <w:smallCaps w:val="false"/>
                                      <w:sz w:val="15"/>
                                    </w:rPr>
                                    <w:t>”)</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Pricing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October 6, 2026</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October 9, 2026</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Stated Maturity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October 11, 2029</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Principal Amount: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per security (100% of par)</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20" w:after="20"/>
                                    <w:ind w:left="20" w:right="20" w:hanging="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On each contingent coupon payment date, you will receive a contingent coupon payment at a per annum rate equal to the contingent coupon rate if, </w:t>
                                  </w:r>
                                  <w:r>
                                    <w:rPr>
                                      <w:rFonts w:ascii="Georgia;Times;Serif" w:hAnsi="Georgia;Times;Serif"/>
                                      <w:b/>
                                      <w:i w:val="false"/>
                                      <w:caps w:val="false"/>
                                      <w:smallCaps w:val="false"/>
                                      <w:sz w:val="15"/>
                                    </w:rPr>
                                    <w:t>and only if</w:t>
                                  </w:r>
                                  <w:r>
                                    <w:rPr>
                                      <w:rFonts w:ascii="Georgia;Times;Serif" w:hAnsi="Georgia;Times;Serif"/>
                                      <w:b w:val="false"/>
                                      <w:i w:val="false"/>
                                      <w:caps w:val="false"/>
                                      <w:smallCaps w:val="false"/>
                                      <w:sz w:val="15"/>
                                    </w:rPr>
                                    <w:t xml:space="preserve">, the stock closing price of the Underlying Stock on the related calculation day is greater than or equal to the threshold price. In addition, if the stock closing price of the Underlying Stock on one or more calculation days is less than the threshold price and, on a subsequent calculation day, the stock closing price of the Underlying Stock is greater than or equal to the threshold price, on the contingent coupon payment date related to that subsequent calculation day, you will receive the contingent coupon payment due for that subsequent calculation day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all previously unpaid contingent coupon payments (without interest on amounts previously unpaid). Each “</w:t>
                                  </w:r>
                                  <w:r>
                                    <w:rPr>
                                      <w:rFonts w:ascii="Georgia;Times;Serif" w:hAnsi="Georgia;Times;Serif"/>
                                      <w:b w:val="false"/>
                                      <w:i w:val="false"/>
                                      <w:caps w:val="false"/>
                                      <w:smallCaps w:val="false"/>
                                      <w:sz w:val="15"/>
                                      <w:u w:val="single"/>
                                    </w:rPr>
                                    <w:t>contingent coupon payment</w:t>
                                  </w:r>
                                  <w:r>
                                    <w:rPr>
                                      <w:rFonts w:ascii="Georgia;Times;Serif" w:hAnsi="Georgia;Times;Serif"/>
                                      <w:b w:val="false"/>
                                      <w:i w:val="false"/>
                                      <w:caps w:val="false"/>
                                      <w:smallCaps w:val="false"/>
                                      <w:sz w:val="15"/>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contingent coupon rate) / 4</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 Dates</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Quarterly, on the third business day following each calculation day, </w:t>
                                  </w:r>
                                  <w:r>
                                    <w:rPr>
                                      <w:rFonts w:ascii="Georgia;Times;Serif" w:hAnsi="Georgia;Times;Serif"/>
                                      <w:b w:val="false"/>
                                      <w:i/>
                                      <w:caps w:val="false"/>
                                      <w:smallCaps w:val="false"/>
                                      <w:sz w:val="15"/>
                                    </w:rPr>
                                    <w:t xml:space="preserve">provided </w:t>
                                  </w:r>
                                  <w:r>
                                    <w:rPr>
                                      <w:rFonts w:ascii="Georgia;Times;Serif" w:hAnsi="Georgia;Times;Serif"/>
                                      <w:b w:val="false"/>
                                      <w:i w:val="false"/>
                                      <w:caps w:val="false"/>
                                      <w:smallCaps w:val="false"/>
                                      <w:sz w:val="15"/>
                                    </w:rPr>
                                    <w:t>that the contingent coupon payment date with respect to the final calculation day will be the stated maturity date</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Rate:</w:t>
                                  </w:r>
                                </w:p>
                              </w:tc>
                              <w:tc>
                                <w:tcPr>
                                  <w:tcW w:w="9124"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At least 8.55% per annum (to be provided in the pricing supplement)</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Automatic Call: </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If the stock closing price of the Underlying Stock on any of the calculation days from January 2027 to July 2029, inclusive, is greater than or equal to the starting price,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 final contingent coupon payment and any previously unpaid contingent coupon payments.  </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Days</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Quarterly, on the 6</w:t>
                                  </w:r>
                                  <w:r>
                                    <w:rPr>
                                      <w:rFonts w:ascii="Georgia;Times;Serif" w:hAnsi="Georgia;Times;Serif"/>
                                      <w:b w:val="false"/>
                                      <w:i w:val="false"/>
                                      <w:caps w:val="false"/>
                                      <w:smallCaps w:val="false"/>
                                      <w:position w:val="5"/>
                                      <w:sz w:val="12"/>
                                      <w:sz w:val="15"/>
                                    </w:rPr>
                                    <w:t>th</w:t>
                                  </w:r>
                                  <w:r>
                                    <w:rPr>
                                      <w:rFonts w:ascii="Georgia;Times;Serif" w:hAnsi="Georgia;Times;Serif"/>
                                      <w:b w:val="false"/>
                                      <w:i w:val="false"/>
                                      <w:caps w:val="false"/>
                                      <w:smallCaps w:val="false"/>
                                      <w:sz w:val="15"/>
                                    </w:rPr>
                                    <w:t xml:space="preserve"> day of each January, April, July and October, commencing January 2027 and ending October 2029, </w:t>
                                  </w:r>
                                  <w:r>
                                    <w:rPr>
                                      <w:rFonts w:ascii="Georgia;Times;Serif" w:hAnsi="Georgia;Times;Serif"/>
                                      <w:b w:val="false"/>
                                      <w:i/>
                                      <w:caps w:val="false"/>
                                      <w:smallCaps w:val="false"/>
                                      <w:sz w:val="15"/>
                                    </w:rPr>
                                    <w:t xml:space="preserve">provided </w:t>
                                  </w:r>
                                  <w:r>
                                    <w:rPr>
                                      <w:rFonts w:ascii="Georgia;Times;Serif" w:hAnsi="Georgia;Times;Serif"/>
                                      <w:b w:val="false"/>
                                      <w:i w:val="false"/>
                                      <w:caps w:val="false"/>
                                      <w:smallCaps w:val="false"/>
                                      <w:sz w:val="15"/>
                                    </w:rPr>
                                    <w:t>that the October 2029 calculation day will be October 8, 2029.  We refer to October 8, 2029 as the “</w:t>
                                  </w:r>
                                  <w:r>
                                    <w:rPr>
                                      <w:rFonts w:ascii="Georgia;Times;Serif" w:hAnsi="Georgia;Times;Serif"/>
                                      <w:b w:val="false"/>
                                      <w:i w:val="false"/>
                                      <w:caps w:val="false"/>
                                      <w:smallCaps w:val="false"/>
                                      <w:sz w:val="15"/>
                                      <w:u w:val="single"/>
                                    </w:rPr>
                                    <w:t>final calculation day</w:t>
                                  </w:r>
                                  <w:r>
                                    <w:rPr>
                                      <w:rFonts w:ascii="Georgia;Times;Serif" w:hAnsi="Georgia;Times;Serif"/>
                                      <w:b w:val="false"/>
                                      <w:i w:val="false"/>
                                      <w:caps w:val="false"/>
                                      <w:smallCaps w:val="false"/>
                                      <w:sz w:val="15"/>
                                    </w:rPr>
                                    <w:t>.”</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Settlement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 xml:space="preserve">: </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Three business days after the applicable calculation day</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Maturity Payment Amount (per Security):</w:t>
                                  </w:r>
                                </w:p>
                              </w:tc>
                              <w:tc>
                                <w:tcPr>
                                  <w:tcW w:w="9124"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5"/>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15"/>
                                    </w:rPr>
                                    <w:t>   </w:t>
                                  </w:r>
                                  <w:r>
                                    <w:rPr>
                                      <w:rFonts w:ascii="Georgia;Times;Serif" w:hAnsi="Georgia;Times;Serif"/>
                                      <w:b w:val="false"/>
                                      <w:i w:val="false"/>
                                      <w:caps w:val="false"/>
                                      <w:smallCaps w:val="false"/>
                                      <w:sz w:val="15"/>
                                    </w:rPr>
                                    <w:t>If the ending price is greater than or equal to the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5"/>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15"/>
                                    </w:rPr>
                                    <w:t>   </w:t>
                                  </w:r>
                                  <w:r>
                                    <w:rPr>
                                      <w:rFonts w:ascii="Georgia;Times;Serif" w:hAnsi="Georgia;Times;Serif"/>
                                      <w:b w:val="false"/>
                                      <w:i w:val="false"/>
                                      <w:caps w:val="false"/>
                                      <w:smallCaps w:val="false"/>
                                      <w:sz w:val="15"/>
                                    </w:rPr>
                                    <w:t>If the ending price is less than the threshold price:</w:t>
                                  </w:r>
                                </w:p>
                                <w:p>
                                  <w:pPr>
                                    <w:pStyle w:val="TableContents"/>
                                    <w:bidi w:val="0"/>
                                    <w:spacing w:before="60" w:after="40"/>
                                    <w:ind w:left="60" w:right="60" w:hanging="0"/>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($1,000 × stock return)</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Starting Price: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pricing date</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final calculation day</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0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081"/>
                        <w:gridCol w:w="9124"/>
                      </w:tblGrid>
                      <w:tr>
                        <w:trPr/>
                        <w:tc>
                          <w:tcPr>
                            <w:tcW w:w="10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Issuer:</w:t>
                            </w:r>
                          </w:p>
                        </w:tc>
                        <w:tc>
                          <w:tcPr>
                            <w:tcW w:w="912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Financial Company LLC</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Guarantor:</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&amp; C0.</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Underlying Stock:</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common stock of Walmart Inc. (Bloomberg ticker: WMT) (the “</w:t>
                            </w:r>
                            <w:r>
                              <w:rPr>
                                <w:rFonts w:ascii="Georgia;Times;Serif" w:hAnsi="Georgia;Times;Serif"/>
                                <w:b w:val="false"/>
                                <w:i w:val="false"/>
                                <w:caps w:val="false"/>
                                <w:smallCaps w:val="false"/>
                                <w:sz w:val="15"/>
                                <w:u w:val="single"/>
                              </w:rPr>
                              <w:t>Underlying Stock</w:t>
                            </w:r>
                            <w:r>
                              <w:rPr>
                                <w:rFonts w:ascii="Georgia;Times;Serif" w:hAnsi="Georgia;Times;Serif"/>
                                <w:b w:val="false"/>
                                <w:i w:val="false"/>
                                <w:caps w:val="false"/>
                                <w:smallCaps w:val="false"/>
                                <w:sz w:val="15"/>
                              </w:rPr>
                              <w:t>”)</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Pricing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October 6, 2026</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October 9, 2026</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Stated Maturity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October 11, 2029</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Principal Amount: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per security (100% of par)</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20" w:after="20"/>
                              <w:ind w:left="20" w:right="20" w:hanging="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On each contingent coupon payment date, you will receive a contingent coupon payment at a per annum rate equal to the contingent coupon rate if, </w:t>
                            </w:r>
                            <w:r>
                              <w:rPr>
                                <w:rFonts w:ascii="Georgia;Times;Serif" w:hAnsi="Georgia;Times;Serif"/>
                                <w:b/>
                                <w:i w:val="false"/>
                                <w:caps w:val="false"/>
                                <w:smallCaps w:val="false"/>
                                <w:sz w:val="15"/>
                              </w:rPr>
                              <w:t>and only if</w:t>
                            </w:r>
                            <w:r>
                              <w:rPr>
                                <w:rFonts w:ascii="Georgia;Times;Serif" w:hAnsi="Georgia;Times;Serif"/>
                                <w:b w:val="false"/>
                                <w:i w:val="false"/>
                                <w:caps w:val="false"/>
                                <w:smallCaps w:val="false"/>
                                <w:sz w:val="15"/>
                              </w:rPr>
                              <w:t xml:space="preserve">, the stock closing price of the Underlying Stock on the related calculation day is greater than or equal to the threshold price. In addition, if the stock closing price of the Underlying Stock on one or more calculation days is less than the threshold price and, on a subsequent calculation day, the stock closing price of the Underlying Stock is greater than or equal to the threshold price, on the contingent coupon payment date related to that subsequent calculation day, you will receive the contingent coupon payment due for that subsequent calculation day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all previously unpaid contingent coupon payments (without interest on amounts previously unpaid). Each “</w:t>
                            </w:r>
                            <w:r>
                              <w:rPr>
                                <w:rFonts w:ascii="Georgia;Times;Serif" w:hAnsi="Georgia;Times;Serif"/>
                                <w:b w:val="false"/>
                                <w:i w:val="false"/>
                                <w:caps w:val="false"/>
                                <w:smallCaps w:val="false"/>
                                <w:sz w:val="15"/>
                                <w:u w:val="single"/>
                              </w:rPr>
                              <w:t>contingent coupon payment</w:t>
                            </w:r>
                            <w:r>
                              <w:rPr>
                                <w:rFonts w:ascii="Georgia;Times;Serif" w:hAnsi="Georgia;Times;Serif"/>
                                <w:b w:val="false"/>
                                <w:i w:val="false"/>
                                <w:caps w:val="false"/>
                                <w:smallCaps w:val="false"/>
                                <w:sz w:val="15"/>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contingent coupon rate) / 4</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 Dates</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Quarterly, on the third business day following each calculation day, </w:t>
                            </w:r>
                            <w:r>
                              <w:rPr>
                                <w:rFonts w:ascii="Georgia;Times;Serif" w:hAnsi="Georgia;Times;Serif"/>
                                <w:b w:val="false"/>
                                <w:i/>
                                <w:caps w:val="false"/>
                                <w:smallCaps w:val="false"/>
                                <w:sz w:val="15"/>
                              </w:rPr>
                              <w:t xml:space="preserve">provided </w:t>
                            </w:r>
                            <w:r>
                              <w:rPr>
                                <w:rFonts w:ascii="Georgia;Times;Serif" w:hAnsi="Georgia;Times;Serif"/>
                                <w:b w:val="false"/>
                                <w:i w:val="false"/>
                                <w:caps w:val="false"/>
                                <w:smallCaps w:val="false"/>
                                <w:sz w:val="15"/>
                              </w:rPr>
                              <w:t>that the contingent coupon payment date with respect to the final calculation day will be the stated maturity date</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Rate:</w:t>
                            </w:r>
                          </w:p>
                        </w:tc>
                        <w:tc>
                          <w:tcPr>
                            <w:tcW w:w="9124"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At least 8.55% per annum (to be provided in the pricing supplement)</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Automatic Call: </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If the stock closing price of the Underlying Stock on any of the calculation days from January 2027 to July 2029, inclusive, is greater than or equal to the starting price,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 final contingent coupon payment and any previously unpaid contingent coupon payments.  </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Days</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Quarterly, on the 6</w:t>
                            </w:r>
                            <w:r>
                              <w:rPr>
                                <w:rFonts w:ascii="Georgia;Times;Serif" w:hAnsi="Georgia;Times;Serif"/>
                                <w:b w:val="false"/>
                                <w:i w:val="false"/>
                                <w:caps w:val="false"/>
                                <w:smallCaps w:val="false"/>
                                <w:position w:val="5"/>
                                <w:sz w:val="12"/>
                                <w:sz w:val="15"/>
                              </w:rPr>
                              <w:t>th</w:t>
                            </w:r>
                            <w:r>
                              <w:rPr>
                                <w:rFonts w:ascii="Georgia;Times;Serif" w:hAnsi="Georgia;Times;Serif"/>
                                <w:b w:val="false"/>
                                <w:i w:val="false"/>
                                <w:caps w:val="false"/>
                                <w:smallCaps w:val="false"/>
                                <w:sz w:val="15"/>
                              </w:rPr>
                              <w:t xml:space="preserve"> day of each January, April, July and October, commencing January 2027 and ending October 2029, </w:t>
                            </w:r>
                            <w:r>
                              <w:rPr>
                                <w:rFonts w:ascii="Georgia;Times;Serif" w:hAnsi="Georgia;Times;Serif"/>
                                <w:b w:val="false"/>
                                <w:i/>
                                <w:caps w:val="false"/>
                                <w:smallCaps w:val="false"/>
                                <w:sz w:val="15"/>
                              </w:rPr>
                              <w:t xml:space="preserve">provided </w:t>
                            </w:r>
                            <w:r>
                              <w:rPr>
                                <w:rFonts w:ascii="Georgia;Times;Serif" w:hAnsi="Georgia;Times;Serif"/>
                                <w:b w:val="false"/>
                                <w:i w:val="false"/>
                                <w:caps w:val="false"/>
                                <w:smallCaps w:val="false"/>
                                <w:sz w:val="15"/>
                              </w:rPr>
                              <w:t>that the October 2029 calculation day will be October 8, 2029.  We refer to October 8, 2029 as the “</w:t>
                            </w:r>
                            <w:r>
                              <w:rPr>
                                <w:rFonts w:ascii="Georgia;Times;Serif" w:hAnsi="Georgia;Times;Serif"/>
                                <w:b w:val="false"/>
                                <w:i w:val="false"/>
                                <w:caps w:val="false"/>
                                <w:smallCaps w:val="false"/>
                                <w:sz w:val="15"/>
                                <w:u w:val="single"/>
                              </w:rPr>
                              <w:t>final calculation day</w:t>
                            </w:r>
                            <w:r>
                              <w:rPr>
                                <w:rFonts w:ascii="Georgia;Times;Serif" w:hAnsi="Georgia;Times;Serif"/>
                                <w:b w:val="false"/>
                                <w:i w:val="false"/>
                                <w:caps w:val="false"/>
                                <w:smallCaps w:val="false"/>
                                <w:sz w:val="15"/>
                              </w:rPr>
                              <w:t>.”</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Settlement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 xml:space="preserve">: </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Three business days after the applicable calculation day</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Maturity Payment Amount (per Security):</w:t>
                            </w:r>
                          </w:p>
                        </w:tc>
                        <w:tc>
                          <w:tcPr>
                            <w:tcW w:w="9124"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5"/>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15"/>
                              </w:rPr>
                              <w:t>   </w:t>
                            </w:r>
                            <w:r>
                              <w:rPr>
                                <w:rFonts w:ascii="Georgia;Times;Serif" w:hAnsi="Georgia;Times;Serif"/>
                                <w:b w:val="false"/>
                                <w:i w:val="false"/>
                                <w:caps w:val="false"/>
                                <w:smallCaps w:val="false"/>
                                <w:sz w:val="15"/>
                              </w:rPr>
                              <w:t>If the ending price is greater than or equal to the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5"/>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15"/>
                              </w:rPr>
                              <w:t>   </w:t>
                            </w:r>
                            <w:r>
                              <w:rPr>
                                <w:rFonts w:ascii="Georgia;Times;Serif" w:hAnsi="Georgia;Times;Serif"/>
                                <w:b w:val="false"/>
                                <w:i w:val="false"/>
                                <w:caps w:val="false"/>
                                <w:smallCaps w:val="false"/>
                                <w:sz w:val="15"/>
                              </w:rPr>
                              <w:t>If the ending price is less than the threshold price:</w:t>
                            </w:r>
                          </w:p>
                          <w:p>
                            <w:pPr>
                              <w:pStyle w:val="TableContents"/>
                              <w:bidi w:val="0"/>
                              <w:spacing w:before="60" w:after="40"/>
                              <w:ind w:left="60" w:right="60" w:hanging="0"/>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($1,000 × stock return)</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Starting Price: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pricing date</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final calculation day</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9972040"/>
                <wp:effectExtent l="0" t="0" r="0" b="0"/>
                <wp:wrapSquare wrapText="left"/>
                <wp:docPr id="3"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3955" w:type="dxa"/>
                              <w:jc w:val="left"/>
                              <w:tblInd w:w="-10" w:type="dxa"/>
                              <w:tblLayout w:type="fixed"/>
                              <w:tblCellMar>
                                <w:top w:w="28" w:type="dxa"/>
                                <w:left w:w="108" w:type="dxa"/>
                                <w:bottom w:w="28" w:type="dxa"/>
                                <w:right w:w="108" w:type="dxa"/>
                              </w:tblCellMar>
                            </w:tblPr>
                            <w:tblGrid>
                              <w:gridCol w:w="935"/>
                              <w:gridCol w:w="3020"/>
                            </w:tblGrid>
                            <w:tr>
                              <w:trPr/>
                              <w:tc>
                                <w:tcPr>
                                  <w:tcW w:w="93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Stock Return:</w:t>
                                  </w:r>
                                </w:p>
                              </w:tc>
                              <w:tc>
                                <w:tcPr>
                                  <w:tcW w:w="30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 – starting price) / starting price</w:t>
                                  </w:r>
                                </w:p>
                              </w:tc>
                            </w:tr>
                          </w:tbl>
                          <w:tbl>
                            <w:tblPr>
                              <w:tblW w:w="10205" w:type="dxa"/>
                              <w:jc w:val="left"/>
                              <w:tblInd w:w="-10" w:type="dxa"/>
                              <w:tblLayout w:type="fixed"/>
                              <w:tblCellMar>
                                <w:top w:w="0" w:type="dxa"/>
                                <w:left w:w="108" w:type="dxa"/>
                                <w:bottom w:w="28" w:type="dxa"/>
                                <w:right w:w="108" w:type="dxa"/>
                              </w:tblCellMar>
                            </w:tblPr>
                            <w:tblGrid>
                              <w:gridCol w:w="1185"/>
                              <w:gridCol w:w="9020"/>
                            </w:tblGrid>
                            <w:tr>
                              <w:trPr/>
                              <w:tc>
                                <w:tcPr>
                                  <w:tcW w:w="11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Threshold Price:</w:t>
                                  </w:r>
                                </w:p>
                              </w:tc>
                              <w:tc>
                                <w:tcPr>
                                  <w:tcW w:w="90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80% of the starting price</w:t>
                                  </w:r>
                                </w:p>
                              </w:tc>
                            </w:tr>
                            <w:tr>
                              <w:trPr/>
                              <w:tc>
                                <w:tcPr>
                                  <w:tcW w:w="11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Agent:</w:t>
                                  </w:r>
                                </w:p>
                              </w:tc>
                              <w:tc>
                                <w:tcPr>
                                  <w:tcW w:w="90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 Morgan Securities LLC (“</w:t>
                                  </w:r>
                                  <w:r>
                                    <w:rPr>
                                      <w:rFonts w:ascii="Georgia;Times;Serif" w:hAnsi="Georgia;Times;Serif"/>
                                      <w:b w:val="false"/>
                                      <w:i w:val="false"/>
                                      <w:caps w:val="false"/>
                                      <w:smallCaps w:val="false"/>
                                      <w:sz w:val="15"/>
                                      <w:u w:val="single"/>
                                    </w:rPr>
                                    <w:t>JPMS</w:t>
                                  </w:r>
                                  <w:r>
                                    <w:rPr>
                                      <w:rFonts w:ascii="Georgia;Times;Serif" w:hAnsi="Georgia;Times;Serif"/>
                                      <w:b w:val="false"/>
                                      <w:i w:val="false"/>
                                      <w:caps w:val="false"/>
                                      <w:smallCaps w:val="false"/>
                                      <w:sz w:val="15"/>
                                    </w:rPr>
                                    <w:t>”)</w:t>
                                  </w:r>
                                </w:p>
                              </w:tc>
                            </w:tr>
                            <w:tr>
                              <w:trPr/>
                              <w:tc>
                                <w:tcPr>
                                  <w:tcW w:w="11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Denominations:</w:t>
                                  </w:r>
                                </w:p>
                              </w:tc>
                              <w:tc>
                                <w:tcPr>
                                  <w:tcW w:w="90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and any integral multiple of $1,000</w:t>
                                  </w:r>
                                </w:p>
                              </w:tc>
                            </w:tr>
                            <w:tr>
                              <w:trPr/>
                              <w:tc>
                                <w:tcPr>
                                  <w:tcW w:w="11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CUSIP:</w:t>
                                  </w:r>
                                </w:p>
                              </w:tc>
                              <w:tc>
                                <w:tcPr>
                                  <w:tcW w:w="90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46661PE94</w:t>
                                  </w:r>
                                </w:p>
                              </w:tc>
                            </w:tr>
                            <w:tr>
                              <w:trPr/>
                              <w:tc>
                                <w:tcPr>
                                  <w:tcW w:w="11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Fees and Commissions:</w:t>
                                  </w:r>
                                </w:p>
                              </w:tc>
                              <w:tc>
                                <w:tcPr>
                                  <w:tcW w:w="90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Up to 2.325% for Wells Fargo Securities, LLC (“</w:t>
                                  </w:r>
                                  <w:r>
                                    <w:rPr>
                                      <w:rFonts w:ascii="Georgia;Times;Serif" w:hAnsi="Georgia;Times;Serif"/>
                                      <w:b w:val="false"/>
                                      <w:i w:val="false"/>
                                      <w:caps w:val="false"/>
                                      <w:smallCaps w:val="false"/>
                                      <w:sz w:val="15"/>
                                      <w:u w:val="single"/>
                                    </w:rPr>
                                    <w:t>WFS</w:t>
                                  </w:r>
                                  <w:r>
                                    <w:rPr>
                                      <w:rFonts w:ascii="Georgia;Times;Serif" w:hAnsi="Georgia;Times;Serif"/>
                                      <w:b w:val="false"/>
                                      <w:i w:val="false"/>
                                      <w:caps w:val="false"/>
                                      <w:smallCaps w:val="false"/>
                                      <w:sz w:val="15"/>
                                    </w:rPr>
                                    <w:t>”); WFS has advised us that dealers, including Wells Fargo Advisors (“</w:t>
                                  </w:r>
                                  <w:r>
                                    <w:rPr>
                                      <w:rFonts w:ascii="Georgia;Times;Serif" w:hAnsi="Georgia;Times;Serif"/>
                                      <w:b w:val="false"/>
                                      <w:i w:val="false"/>
                                      <w:caps w:val="false"/>
                                      <w:smallCaps w:val="false"/>
                                      <w:sz w:val="15"/>
                                      <w:u w:val="single"/>
                                    </w:rPr>
                                    <w:t>WFA</w:t>
                                  </w:r>
                                  <w:r>
                                    <w:rPr>
                                      <w:rFonts w:ascii="Georgia;Times;Serif" w:hAnsi="Georgia;Times;Serif"/>
                                      <w:b w:val="false"/>
                                      <w:i w:val="false"/>
                                      <w:caps w:val="false"/>
                                      <w:smallCaps w:val="false"/>
                                      <w:sz w:val="15"/>
                                    </w:rPr>
                                    <w:t>”), may receive 1.75%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1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Tax Considerations:</w:t>
                                  </w:r>
                                </w:p>
                              </w:tc>
                              <w:tc>
                                <w:tcPr>
                                  <w:tcW w:w="90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See the preliminary pricing supplement.</w:t>
                                  </w:r>
                                </w:p>
                              </w:tc>
                            </w:tr>
                            <w:tr>
                              <w:trPr/>
                              <w:tc>
                                <w:tcPr>
                                  <w:tcW w:w="10205" w:type="dxa"/>
                                  <w:gridSpan w:val="2"/>
                                  <w:tcBorders>
                                    <w:left w:val="single" w:sz="8" w:space="0" w:color="000000"/>
                                    <w:bottom w:val="single" w:sz="8" w:space="0" w:color="000000"/>
                                    <w:right w:val="single" w:sz="8" w:space="0" w:color="000000"/>
                                  </w:tcBorders>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60" w:after="60"/>
                              <w:ind w:left="57" w:right="6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spacing w:before="60" w:after="283"/>
                              <w:jc w:val="center"/>
                              <w:rPr>
                                <w:caps w:val="false"/>
                                <w:smallCaps w:val="false"/>
                                <w:color w:val="8F8F8F"/>
                              </w:rPr>
                            </w:pPr>
                            <w:r>
                              <w:rPr>
                                <w:caps w:val="false"/>
                                <w:smallCaps w:val="false"/>
                                <w:color w:val="8F8F8F"/>
                              </w:rPr>
                              <w:drawing>
                                <wp:inline distT="0" distB="0" distL="0" distR="0">
                                  <wp:extent cx="3657600" cy="22764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657600" cy="2276475"/>
                                          </a:xfrm>
                                          <a:prstGeom prst="rect">
                                            <a:avLst/>
                                          </a:prstGeom>
                                        </pic:spPr>
                                      </pic:pic>
                                    </a:graphicData>
                                  </a:graphic>
                                </wp:inline>
                              </w:drawing>
                            </w:r>
                          </w:p>
                          <w:p>
                            <w:pPr>
                              <w:pStyle w:val="TextBody"/>
                              <w:bidi w:val="0"/>
                              <w:ind w:left="130"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If the securities are not automatically called prior to maturity and the ending price is less than the threshold price, you will lose more than 20%, and possibly all, of the principal amount of your securities at maturity.</w:t>
                            </w:r>
                          </w:p>
                          <w:p>
                            <w:pPr>
                              <w:pStyle w:val="TextBody"/>
                              <w:bidi w:val="0"/>
                              <w:ind w:left="130"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Any return on the securities will be limited to the sum of your contingent coupon payments, if any. You will not participate in any appreciation of the Underlying Stock, but you will have full downside exposure to the Underlying Stock on the final calculation day if the ending price is less than the threshold price.</w:t>
                            </w:r>
                          </w:p>
                          <w:p>
                            <w:pPr>
                              <w:pStyle w:val="TextBody"/>
                              <w:bidi w:val="0"/>
                              <w:ind w:left="130"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4"/>
                              </w:rPr>
                              <w:t>Any payment on the securities is subject to the credit risk of JPMorgan Financial, as issuer of the securities, and the credit risk of JPMorgan Chase &amp; Co., as guarantor of the securities.</w:t>
                            </w:r>
                          </w:p>
                          <w:p>
                            <w:pPr>
                              <w:pStyle w:val="TextBody"/>
                              <w:bidi w:val="0"/>
                              <w:ind w:left="130"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If the securities priced on the date of the accompanying preliminary pricing supplement, the estimated value of the securities would be approximately $960.80 per security. The estimated value of the securities, when the terms of the securities are set, will be provided in the pricing supplement and will not be less than $930.00 per security. See “The Estimated Value of the Securities” in the preliminary pricing supplement for additional information.</w:t>
                            </w:r>
                          </w:p>
                          <w:p>
                            <w:pPr>
                              <w:pStyle w:val="TextBody"/>
                              <w:bidi w:val="0"/>
                              <w:spacing w:before="0" w:after="283"/>
                              <w:ind w:left="130" w:right="0" w:hanging="0"/>
                              <w:jc w:val="left"/>
                              <w:rPr/>
                            </w:pPr>
                            <w:r>
                              <w:rPr>
                                <w:rFonts w:ascii="Georgia;Times;Serif" w:hAnsi="Georgia;Times;Serif"/>
                                <w:b w:val="false"/>
                                <w:i w:val="false"/>
                                <w:caps w:val="false"/>
                                <w:smallCaps w:val="false"/>
                                <w:sz w:val="14"/>
                              </w:rPr>
                              <w:t xml:space="preserve">Preliminary Pricing Supplement: </w:t>
                            </w:r>
                            <w:hyperlink r:id="rId4">
                              <w:r>
                                <w:rPr>
                                  <w:rStyle w:val="InternetLink"/>
                                  <w:rFonts w:ascii="Georgia;Times;Serif" w:hAnsi="Georgia;Times;Serif"/>
                                  <w:b w:val="false"/>
                                  <w:i w:val="false"/>
                                  <w:caps w:val="false"/>
                                  <w:smallCaps w:val="false"/>
                                  <w:sz w:val="14"/>
                                </w:rPr>
                                <w:t>http://www.sec.gov/Archives/edgar/data/19617/000121390026105849</w:t>
                                <w:br/>
                                <w:t>/ea0307381-01_424b2.htm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3955" w:type="dxa"/>
                        <w:jc w:val="left"/>
                        <w:tblInd w:w="-10" w:type="dxa"/>
                        <w:tblLayout w:type="fixed"/>
                        <w:tblCellMar>
                          <w:top w:w="28" w:type="dxa"/>
                          <w:left w:w="108" w:type="dxa"/>
                          <w:bottom w:w="28" w:type="dxa"/>
                          <w:right w:w="108" w:type="dxa"/>
                        </w:tblCellMar>
                      </w:tblPr>
                      <w:tblGrid>
                        <w:gridCol w:w="935"/>
                        <w:gridCol w:w="3020"/>
                      </w:tblGrid>
                      <w:tr>
                        <w:trPr/>
                        <w:tc>
                          <w:tcPr>
                            <w:tcW w:w="93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Stock Return:</w:t>
                            </w:r>
                          </w:p>
                        </w:tc>
                        <w:tc>
                          <w:tcPr>
                            <w:tcW w:w="30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 – starting price) / starting price</w:t>
                            </w:r>
                          </w:p>
                        </w:tc>
                      </w:tr>
                    </w:tbl>
                    <w:tbl>
                      <w:tblPr>
                        <w:tblW w:w="10205" w:type="dxa"/>
                        <w:jc w:val="left"/>
                        <w:tblInd w:w="-10" w:type="dxa"/>
                        <w:tblLayout w:type="fixed"/>
                        <w:tblCellMar>
                          <w:top w:w="0" w:type="dxa"/>
                          <w:left w:w="108" w:type="dxa"/>
                          <w:bottom w:w="28" w:type="dxa"/>
                          <w:right w:w="108" w:type="dxa"/>
                        </w:tblCellMar>
                      </w:tblPr>
                      <w:tblGrid>
                        <w:gridCol w:w="1185"/>
                        <w:gridCol w:w="9020"/>
                      </w:tblGrid>
                      <w:tr>
                        <w:trPr/>
                        <w:tc>
                          <w:tcPr>
                            <w:tcW w:w="11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Threshold Price:</w:t>
                            </w:r>
                          </w:p>
                        </w:tc>
                        <w:tc>
                          <w:tcPr>
                            <w:tcW w:w="90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80% of the starting price</w:t>
                            </w:r>
                          </w:p>
                        </w:tc>
                      </w:tr>
                      <w:tr>
                        <w:trPr/>
                        <w:tc>
                          <w:tcPr>
                            <w:tcW w:w="11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Agent:</w:t>
                            </w:r>
                          </w:p>
                        </w:tc>
                        <w:tc>
                          <w:tcPr>
                            <w:tcW w:w="90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 Morgan Securities LLC (“</w:t>
                            </w:r>
                            <w:r>
                              <w:rPr>
                                <w:rFonts w:ascii="Georgia;Times;Serif" w:hAnsi="Georgia;Times;Serif"/>
                                <w:b w:val="false"/>
                                <w:i w:val="false"/>
                                <w:caps w:val="false"/>
                                <w:smallCaps w:val="false"/>
                                <w:sz w:val="15"/>
                                <w:u w:val="single"/>
                              </w:rPr>
                              <w:t>JPMS</w:t>
                            </w:r>
                            <w:r>
                              <w:rPr>
                                <w:rFonts w:ascii="Georgia;Times;Serif" w:hAnsi="Georgia;Times;Serif"/>
                                <w:b w:val="false"/>
                                <w:i w:val="false"/>
                                <w:caps w:val="false"/>
                                <w:smallCaps w:val="false"/>
                                <w:sz w:val="15"/>
                              </w:rPr>
                              <w:t>”)</w:t>
                            </w:r>
                          </w:p>
                        </w:tc>
                      </w:tr>
                      <w:tr>
                        <w:trPr/>
                        <w:tc>
                          <w:tcPr>
                            <w:tcW w:w="11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Denominations:</w:t>
                            </w:r>
                          </w:p>
                        </w:tc>
                        <w:tc>
                          <w:tcPr>
                            <w:tcW w:w="90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and any integral multiple of $1,000</w:t>
                            </w:r>
                          </w:p>
                        </w:tc>
                      </w:tr>
                      <w:tr>
                        <w:trPr/>
                        <w:tc>
                          <w:tcPr>
                            <w:tcW w:w="11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CUSIP:</w:t>
                            </w:r>
                          </w:p>
                        </w:tc>
                        <w:tc>
                          <w:tcPr>
                            <w:tcW w:w="90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46661PE94</w:t>
                            </w:r>
                          </w:p>
                        </w:tc>
                      </w:tr>
                      <w:tr>
                        <w:trPr/>
                        <w:tc>
                          <w:tcPr>
                            <w:tcW w:w="11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Fees and Commissions:</w:t>
                            </w:r>
                          </w:p>
                        </w:tc>
                        <w:tc>
                          <w:tcPr>
                            <w:tcW w:w="90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Up to 2.325% for Wells Fargo Securities, LLC (“</w:t>
                            </w:r>
                            <w:r>
                              <w:rPr>
                                <w:rFonts w:ascii="Georgia;Times;Serif" w:hAnsi="Georgia;Times;Serif"/>
                                <w:b w:val="false"/>
                                <w:i w:val="false"/>
                                <w:caps w:val="false"/>
                                <w:smallCaps w:val="false"/>
                                <w:sz w:val="15"/>
                                <w:u w:val="single"/>
                              </w:rPr>
                              <w:t>WFS</w:t>
                            </w:r>
                            <w:r>
                              <w:rPr>
                                <w:rFonts w:ascii="Georgia;Times;Serif" w:hAnsi="Georgia;Times;Serif"/>
                                <w:b w:val="false"/>
                                <w:i w:val="false"/>
                                <w:caps w:val="false"/>
                                <w:smallCaps w:val="false"/>
                                <w:sz w:val="15"/>
                              </w:rPr>
                              <w:t>”); WFS has advised us that dealers, including Wells Fargo Advisors (“</w:t>
                            </w:r>
                            <w:r>
                              <w:rPr>
                                <w:rFonts w:ascii="Georgia;Times;Serif" w:hAnsi="Georgia;Times;Serif"/>
                                <w:b w:val="false"/>
                                <w:i w:val="false"/>
                                <w:caps w:val="false"/>
                                <w:smallCaps w:val="false"/>
                                <w:sz w:val="15"/>
                                <w:u w:val="single"/>
                              </w:rPr>
                              <w:t>WFA</w:t>
                            </w:r>
                            <w:r>
                              <w:rPr>
                                <w:rFonts w:ascii="Georgia;Times;Serif" w:hAnsi="Georgia;Times;Serif"/>
                                <w:b w:val="false"/>
                                <w:i w:val="false"/>
                                <w:caps w:val="false"/>
                                <w:smallCaps w:val="false"/>
                                <w:sz w:val="15"/>
                              </w:rPr>
                              <w:t>”), may receive 1.75%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1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Tax Considerations:</w:t>
                            </w:r>
                          </w:p>
                        </w:tc>
                        <w:tc>
                          <w:tcPr>
                            <w:tcW w:w="90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See the preliminary pricing supplement.</w:t>
                            </w:r>
                          </w:p>
                        </w:tc>
                      </w:tr>
                      <w:tr>
                        <w:trPr/>
                        <w:tc>
                          <w:tcPr>
                            <w:tcW w:w="10205" w:type="dxa"/>
                            <w:gridSpan w:val="2"/>
                            <w:tcBorders>
                              <w:left w:val="single" w:sz="8" w:space="0" w:color="000000"/>
                              <w:bottom w:val="single" w:sz="8" w:space="0" w:color="000000"/>
                              <w:right w:val="single" w:sz="8" w:space="0" w:color="000000"/>
                            </w:tcBorders>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60" w:after="60"/>
                        <w:ind w:left="57" w:right="6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spacing w:before="60" w:after="283"/>
                        <w:jc w:val="center"/>
                        <w:rPr>
                          <w:caps w:val="false"/>
                          <w:smallCaps w:val="false"/>
                          <w:color w:val="8F8F8F"/>
                        </w:rPr>
                      </w:pPr>
                      <w:r>
                        <w:rPr>
                          <w:caps w:val="false"/>
                          <w:smallCaps w:val="false"/>
                          <w:color w:val="8F8F8F"/>
                        </w:rPr>
                        <w:drawing>
                          <wp:inline distT="0" distB="0" distL="0" distR="0">
                            <wp:extent cx="3657600" cy="22764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657600" cy="2276475"/>
                                    </a:xfrm>
                                    <a:prstGeom prst="rect">
                                      <a:avLst/>
                                    </a:prstGeom>
                                  </pic:spPr>
                                </pic:pic>
                              </a:graphicData>
                            </a:graphic>
                          </wp:inline>
                        </w:drawing>
                      </w:r>
                    </w:p>
                    <w:p>
                      <w:pPr>
                        <w:pStyle w:val="TextBody"/>
                        <w:bidi w:val="0"/>
                        <w:ind w:left="130"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If the securities are not automatically called prior to maturity and the ending price is less than the threshold price, you will lose more than 20%, and possibly all, of the principal amount of your securities at maturity.</w:t>
                      </w:r>
                    </w:p>
                    <w:p>
                      <w:pPr>
                        <w:pStyle w:val="TextBody"/>
                        <w:bidi w:val="0"/>
                        <w:ind w:left="130"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Any return on the securities will be limited to the sum of your contingent coupon payments, if any. You will not participate in any appreciation of the Underlying Stock, but you will have full downside exposure to the Underlying Stock on the final calculation day if the ending price is less than the threshold price.</w:t>
                      </w:r>
                    </w:p>
                    <w:p>
                      <w:pPr>
                        <w:pStyle w:val="TextBody"/>
                        <w:bidi w:val="0"/>
                        <w:ind w:left="130"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4"/>
                        </w:rPr>
                        <w:t>Any payment on the securities is subject to the credit risk of JPMorgan Financial, as issuer of the securities, and the credit risk of JPMorgan Chase &amp; Co., as guarantor of the securities.</w:t>
                      </w:r>
                    </w:p>
                    <w:p>
                      <w:pPr>
                        <w:pStyle w:val="TextBody"/>
                        <w:bidi w:val="0"/>
                        <w:ind w:left="130"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If the securities priced on the date of the accompanying preliminary pricing supplement, the estimated value of the securities would be approximately $960.80 per security. The estimated value of the securities, when the terms of the securities are set, will be provided in the pricing supplement and will not be less than $930.00 per security. See “The Estimated Value of the Securities” in the preliminary pricing supplement for additional information.</w:t>
                      </w:r>
                    </w:p>
                    <w:p>
                      <w:pPr>
                        <w:pStyle w:val="TextBody"/>
                        <w:bidi w:val="0"/>
                        <w:spacing w:before="0" w:after="283"/>
                        <w:ind w:left="130" w:right="0" w:hanging="0"/>
                        <w:jc w:val="left"/>
                        <w:rPr/>
                      </w:pPr>
                      <w:r>
                        <w:rPr>
                          <w:rFonts w:ascii="Georgia;Times;Serif" w:hAnsi="Georgia;Times;Serif"/>
                          <w:b w:val="false"/>
                          <w:i w:val="false"/>
                          <w:caps w:val="false"/>
                          <w:smallCaps w:val="false"/>
                          <w:sz w:val="14"/>
                        </w:rPr>
                        <w:t xml:space="preserve">Preliminary Pricing Supplement: </w:t>
                      </w:r>
                      <w:hyperlink r:id="rId6">
                        <w:r>
                          <w:rPr>
                            <w:rStyle w:val="InternetLink"/>
                            <w:rFonts w:ascii="Georgia;Times;Serif" w:hAnsi="Georgia;Times;Serif"/>
                            <w:b w:val="false"/>
                            <w:i w:val="false"/>
                            <w:caps w:val="false"/>
                            <w:smallCaps w:val="false"/>
                            <w:sz w:val="14"/>
                          </w:rPr>
                          <w:t>http://www.sec.gov/Archives/edgar/data/19617/000121390026105849</w:t>
                          <w:br/>
                          <w:t>/ea0307381-01_424b2.htm</w:t>
                        </w:r>
                      </w:hyperlink>
                    </w:p>
                  </w:txbxContent>
                </v:textbox>
                <w10:wrap type="square" side="left"/>
              </v:rect>
            </w:pict>
          </mc:Fallback>
        </mc:AlternateContent>
      </w:r>
    </w:p>
    <w:p>
      <w:pPr>
        <w:pStyle w:val="TextBody"/>
        <w:bidi w:val="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80" w:right="8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and product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4412"/>
        <w:gridCol w:w="5793"/>
      </w:tblGrid>
      <w:tr>
        <w:trPr/>
        <w:tc>
          <w:tcPr>
            <w:tcW w:w="4412" w:type="dxa"/>
            <w:tcBorders/>
            <w:vAlign w:val="center"/>
          </w:tcPr>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Securities Are Not Automatically Called and the Ending Price Is Less Than the Threshold Price, You Will Lose More Than 20%, and Possibly All, of the Principal Amount of Your Securities at Maturity.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Do Not Guarantee the Payment of Interest and May Not Pay Any Interest at All.</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 xml:space="preserve">The Potential Return on the Securities Is Limited to the Sum of Any Contingent Coupon Payments </w:t>
            </w:r>
            <w:r>
              <w:rPr>
                <w:rFonts w:ascii="Georgia;Times;Serif" w:hAnsi="Georgia;Times;Serif"/>
                <w:b/>
                <w:i w:val="false"/>
                <w:caps w:val="false"/>
                <w:smallCaps w:val="false"/>
                <w:sz w:val="18"/>
              </w:rPr>
              <w:t>and You Will Not Participate in Any Appreciation of the Underlying Stock.</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Reinvestment Risk.</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Higher Contingent Coupon Rates Are Associated with Greater Risk.</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Benefit Provided by the Threshold Price May Terminate on the Final Calculation Day.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Dividend Payments or Voting Rights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tc>
        <w:tc>
          <w:tcPr>
            <w:tcW w:w="5793" w:type="dxa"/>
            <w:tcBorders/>
            <w:vAlign w:val="center"/>
          </w:tcPr>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Affiliation with the Underlying Stock Issuer.</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Anti-Dilution Protection Is Limited and May Be Discretionary.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 xml:space="preserve">Any Payment on the Securities Will Depend upon the Performance of the Underlying Stock and Therefore the Securities Are Subject to the Risks Associated with the Underlying Stock, Each as Discussed in the Accompanying Preliminary Pricing Supplement and Product Supplement. </w:t>
            </w:r>
          </w:p>
          <w:p>
            <w:pPr>
              <w:pStyle w:val="TableContents"/>
              <w:bidi w:val="0"/>
              <w:spacing w:before="0" w:after="40"/>
              <w:ind w:left="360" w:right="0" w:hanging="0"/>
              <w:jc w:val="left"/>
              <w:rPr>
                <w:caps w:val="false"/>
                <w:smallCaps w:val="false"/>
              </w:rPr>
            </w:pPr>
            <w:r>
              <w:rPr>
                <w:caps w:val="false"/>
                <w:smallCaps w:val="false"/>
              </w:rPr>
              <w:t> </w:t>
            </w:r>
          </w:p>
        </w:tc>
      </w:tr>
    </w:tbl>
    <w:p>
      <w:pPr>
        <w:pStyle w:val="TextBody"/>
        <w:bidi w:val="0"/>
        <w:spacing w:before="400" w:after="283"/>
        <w:ind w:left="0" w:right="0" w:hanging="0"/>
        <w:jc w:val="left"/>
        <w:rPr>
          <w:caps w:val="false"/>
          <w:smallCaps w:val="false"/>
          <w:color w:val="8F8F8F"/>
        </w:rPr>
      </w:pPr>
      <w:r>
        <w:rPr>
          <w:caps w:val="false"/>
          <w:smallCaps w:val="false"/>
          <w:color w:val="8F8F8F"/>
        </w:rPr>
        <w:t> </w:t>
      </w:r>
    </w:p>
    <w:p>
      <w:pPr>
        <w:pStyle w:val="TextBody"/>
        <w:bidi w:val="0"/>
        <w:spacing w:before="400" w:after="283"/>
        <w:ind w:left="0" w:right="0" w:hanging="0"/>
        <w:jc w:val="left"/>
        <w:rPr>
          <w:caps w:val="false"/>
          <w:smallCaps w:val="false"/>
          <w:color w:val="8F8F8F"/>
        </w:rPr>
      </w:pPr>
      <w:r>
        <w:rPr>
          <w:caps w:val="false"/>
          <w:smallCaps w:val="false"/>
          <w:color w:val="8F8F8F"/>
        </w:rPr>
        <w:t> </w:t>
      </w:r>
    </w:p>
    <w:p>
      <w:pPr>
        <w:pStyle w:val="TextBody"/>
        <w:bidi w:val="0"/>
        <w:spacing w:before="400" w:after="120"/>
        <w:ind w:left="0" w:right="0" w:hanging="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105849/ea0307381-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105849/ea0307381-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1659</Words>
  <Characters>8918</Characters>
  <CharactersWithSpaces>10606</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