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875-01_fwp.htm"/>
      <w:bookmarkStart w:id="1" w:name="ksea030787501_fwp"/>
      <w:bookmarkStart w:id="2" w:name="ea0307875-01_fwp.htm"/>
      <w:bookmarkStart w:id="3" w:name="ksea030787501_fwp"/>
      <w:bookmarkEnd w:id="2"/>
      <w:bookmarkEnd w:id="3"/>
    </w:p>
    <w:tbl>
      <w:tblPr>
        <w:tblW w:w="9964" w:type="dxa"/>
        <w:jc w:val="left"/>
        <w:tblInd w:w="0" w:type="dxa"/>
        <w:tblLayout w:type="fixed"/>
        <w:tblCellMar>
          <w:top w:w="0" w:type="dxa"/>
          <w:left w:w="0" w:type="dxa"/>
          <w:bottom w:w="0" w:type="dxa"/>
          <w:right w:w="0" w:type="dxa"/>
        </w:tblCellMar>
      </w:tblPr>
      <w:tblGrid>
        <w:gridCol w:w="7083"/>
        <w:gridCol w:w="2881"/>
      </w:tblGrid>
      <w:tr>
        <w:trPr/>
        <w:tc>
          <w:tcPr>
            <w:tcW w:w="7083" w:type="dxa"/>
            <w:vMerge w:val="restart"/>
            <w:tcBorders/>
            <w:vAlign w:val="center"/>
          </w:tcPr>
          <w:p>
            <w:pPr>
              <w:pStyle w:val="TableContents"/>
              <w:bidi w:val="0"/>
              <w:spacing w:before="0" w:after="0"/>
              <w:ind w:left="0" w:right="0" w:hanging="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0"/>
              <w:ind w:left="0" w:right="0" w:hanging="0"/>
              <w:jc w:val="left"/>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0"/>
              <w:ind w:left="0" w:right="0" w:hanging="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2881" w:type="dxa"/>
            <w:tcBorders/>
            <w:vAlign w:val="center"/>
          </w:tcPr>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w:t>
            </w:r>
          </w:p>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and 333-293684-01</w:t>
            </w:r>
          </w:p>
        </w:tc>
      </w:tr>
      <w:tr>
        <w:trPr/>
        <w:tc>
          <w:tcPr>
            <w:tcW w:w="7083" w:type="dxa"/>
            <w:vMerge w:val="continue"/>
            <w:tcBorders/>
            <w:vAlign w:val="center"/>
          </w:tcPr>
          <w:p>
            <w:pPr>
              <w:pStyle w:val="Normal"/>
              <w:bidi w:val="0"/>
              <w:jc w:val="left"/>
              <w:rPr/>
            </w:pPr>
            <w:r>
              <w:rPr/>
            </w:r>
          </w:p>
        </w:tc>
        <w:tc>
          <w:tcPr>
            <w:tcW w:w="2881"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5525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333375"/>
                          </a:xfrm>
                          <a:prstGeom prst="rect">
                            <a:avLst/>
                          </a:prstGeom>
                        </pic:spPr>
                      </pic:pic>
                    </a:graphicData>
                  </a:graphic>
                </wp:inline>
              </w:drawing>
            </w:r>
          </w:p>
        </w:tc>
      </w:tr>
      <w:tr>
        <w:trPr/>
        <w:tc>
          <w:tcPr>
            <w:tcW w:w="9964" w:type="dxa"/>
            <w:gridSpan w:val="2"/>
            <w:tcBorders/>
            <w:shd w:fill="8F8F8F" w:val="clear"/>
            <w:vAlign w:val="center"/>
          </w:tcPr>
          <w:p>
            <w:pPr>
              <w:pStyle w:val="TableContents"/>
              <w:bidi w:val="0"/>
              <w:spacing w:before="0" w:after="0"/>
              <w:ind w:left="0" w:right="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Upside Participation to a Cap and Fixed Percentage Buffered Downside</w:t>
            </w:r>
          </w:p>
          <w:p>
            <w:pPr>
              <w:pStyle w:val="TableContents"/>
              <w:bidi w:val="0"/>
              <w:spacing w:before="0" w:after="0"/>
              <w:ind w:left="0" w:right="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Apple Inc. due October 18, 2029</w:t>
            </w:r>
          </w:p>
          <w:p>
            <w:pPr>
              <w:pStyle w:val="TableContents"/>
              <w:bidi w:val="0"/>
              <w:spacing w:before="0" w:after="0"/>
              <w:ind w:left="0" w:right="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6, 2026 to Preliminary Pricing Supplement dated October 6, 2026</w:t>
            </w:r>
          </w:p>
        </w:tc>
      </w:tr>
    </w:tbl>
    <w:p>
      <w:pPr>
        <w:pStyle w:val="TextBody"/>
        <w:bidi w:val="0"/>
        <w:spacing w:before="0" w:after="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894905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894905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Apple Inc. (Bloomberg ticker: AAPL)</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Pricing Date</w:t>
                                  </w:r>
                                  <w:r>
                                    <w:rPr>
                                      <w:rFonts w:ascii="Georgia;Times;Serif" w:hAnsi="Georgia;Times;Serif"/>
                                      <w:b w:val="false"/>
                                      <w:i w:val="false"/>
                                      <w:caps w:val="false"/>
                                      <w:smallCaps w:val="false"/>
                                      <w:color w:val="000000"/>
                                      <w:position w:val="5"/>
                                      <w:sz w:val="13"/>
                                      <w:sz w:val="16"/>
                                    </w:rPr>
                                    <w:t>1</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Issue Date</w:t>
                                  </w:r>
                                  <w:r>
                                    <w:rPr>
                                      <w:rFonts w:ascii="Georgia;Times;Serif" w:hAnsi="Georgia;Times;Serif"/>
                                      <w:b w:val="false"/>
                                      <w:i w:val="false"/>
                                      <w:caps w:val="false"/>
                                      <w:smallCaps w:val="false"/>
                                      <w:color w:val="000000"/>
                                      <w:position w:val="5"/>
                                      <w:sz w:val="13"/>
                                      <w:sz w:val="16"/>
                                    </w:rPr>
                                    <w:t>1</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Calculation Day</w:t>
                                  </w:r>
                                  <w:r>
                                    <w:rPr>
                                      <w:rFonts w:ascii="Georgia;Times;Serif" w:hAnsi="Georgia;Times;Serif"/>
                                      <w:b w:val="false"/>
                                      <w:i w:val="false"/>
                                      <w:caps w:val="false"/>
                                      <w:smallCaps w:val="false"/>
                                      <w:color w:val="000000"/>
                                      <w:position w:val="5"/>
                                      <w:sz w:val="13"/>
                                      <w:sz w:val="16"/>
                                    </w:rPr>
                                    <w:t>1, 2</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2029</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Stated Maturity Date</w:t>
                                  </w:r>
                                  <w:r>
                                    <w:rPr>
                                      <w:rFonts w:ascii="Georgia;Times;Serif" w:hAnsi="Georgia;Times;Serif"/>
                                      <w:b w:val="false"/>
                                      <w:i w:val="false"/>
                                      <w:caps w:val="false"/>
                                      <w:smallCaps w:val="false"/>
                                      <w:color w:val="000000"/>
                                      <w:position w:val="5"/>
                                      <w:sz w:val="13"/>
                                      <w:sz w:val="16"/>
                                    </w:rPr>
                                    <w:t>1, 2</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18, 2029</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spacing w:before="0" w:after="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$1,000 × stock return × upside participation rate; and</w:t>
                                  </w:r>
                                </w:p>
                                <w:p>
                                  <w:pPr>
                                    <w:pStyle w:val="TableContents"/>
                                    <w:bidi w:val="0"/>
                                    <w:spacing w:before="0" w:after="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the maximum return;</w:t>
                                  </w:r>
                                </w:p>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buffer amount)]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Maximum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60.75% of the principal amount (at least $607.50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85%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46661PH91</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2.25%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0"/>
                                    <w:ind w:left="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Apple Inc. (Bloomberg ticker: AAPL)</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Pricing Date</w:t>
                            </w:r>
                            <w:r>
                              <w:rPr>
                                <w:rFonts w:ascii="Georgia;Times;Serif" w:hAnsi="Georgia;Times;Serif"/>
                                <w:b w:val="false"/>
                                <w:i w:val="false"/>
                                <w:caps w:val="false"/>
                                <w:smallCaps w:val="false"/>
                                <w:color w:val="000000"/>
                                <w:position w:val="5"/>
                                <w:sz w:val="13"/>
                                <w:sz w:val="16"/>
                              </w:rPr>
                              <w:t>1</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Issue Date</w:t>
                            </w:r>
                            <w:r>
                              <w:rPr>
                                <w:rFonts w:ascii="Georgia;Times;Serif" w:hAnsi="Georgia;Times;Serif"/>
                                <w:b w:val="false"/>
                                <w:i w:val="false"/>
                                <w:caps w:val="false"/>
                                <w:smallCaps w:val="false"/>
                                <w:color w:val="000000"/>
                                <w:position w:val="5"/>
                                <w:sz w:val="13"/>
                                <w:sz w:val="16"/>
                              </w:rPr>
                              <w:t>1</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Calculation Day</w:t>
                            </w:r>
                            <w:r>
                              <w:rPr>
                                <w:rFonts w:ascii="Georgia;Times;Serif" w:hAnsi="Georgia;Times;Serif"/>
                                <w:b w:val="false"/>
                                <w:i w:val="false"/>
                                <w:caps w:val="false"/>
                                <w:smallCaps w:val="false"/>
                                <w:color w:val="000000"/>
                                <w:position w:val="5"/>
                                <w:sz w:val="13"/>
                                <w:sz w:val="16"/>
                              </w:rPr>
                              <w:t>1, 2</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2029</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Stated Maturity Date</w:t>
                            </w:r>
                            <w:r>
                              <w:rPr>
                                <w:rFonts w:ascii="Georgia;Times;Serif" w:hAnsi="Georgia;Times;Serif"/>
                                <w:b w:val="false"/>
                                <w:i w:val="false"/>
                                <w:caps w:val="false"/>
                                <w:smallCaps w:val="false"/>
                                <w:color w:val="000000"/>
                                <w:position w:val="5"/>
                                <w:sz w:val="13"/>
                                <w:sz w:val="16"/>
                              </w:rPr>
                              <w:t>1, 2</w:t>
                            </w:r>
                            <w:r>
                              <w:rPr>
                                <w:rFonts w:ascii="Georgia;Times;Serif" w:hAnsi="Georgia;Times;Serif"/>
                                <w:b w:val="false"/>
                                <w:i w:val="false"/>
                                <w:caps w:val="false"/>
                                <w:smallCaps w:val="false"/>
                                <w:color w:val="000000"/>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18, 2029</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spacing w:before="0" w:after="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$1,000 × stock return × upside participation rate; and</w:t>
                            </w:r>
                          </w:p>
                          <w:p>
                            <w:pPr>
                              <w:pStyle w:val="TableContents"/>
                              <w:bidi w:val="0"/>
                              <w:spacing w:before="0" w:after="0"/>
                              <w:ind w:left="614" w:right="0" w:hanging="360"/>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(ii)</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the maximum return;</w:t>
                            </w:r>
                          </w:p>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spacing w:before="0" w:after="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buffer amount)]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Maximum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60.75% of the principal amount (at least $607.50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85%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46661PH91</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2.25%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6"/>
                              </w:rPr>
                            </w:pPr>
                            <w:r>
                              <w:rPr>
                                <w:rFonts w:ascii="Georgia;Times;Serif" w:hAnsi="Georgia;Times;Serif"/>
                                <w:b w:val="false"/>
                                <w:i w:val="false"/>
                                <w:caps w:val="false"/>
                                <w:smallCaps w:val="false"/>
                                <w:color w:val="000000"/>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0"/>
                              <w:ind w:left="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035550"/>
                <wp:effectExtent l="0" t="0" r="0" b="0"/>
                <wp:wrapSquare wrapText="left"/>
                <wp:docPr id="3" name="Frame2"/>
                <a:graphic xmlns:a="http://schemas.openxmlformats.org/drawingml/2006/main">
                  <a:graphicData uri="http://schemas.microsoft.com/office/word/2010/wordprocessingShape">
                    <wps:wsp>
                      <wps:cNvSpPr txBox="1"/>
                      <wps:spPr>
                        <a:xfrm>
                          <a:off x="0" y="0"/>
                          <a:ext cx="3175000" cy="5035550"/>
                        </a:xfrm>
                        <a:prstGeom prst="rect"/>
                        <a:solidFill>
                          <a:srgbClr val="FFFFFF"/>
                        </a:solidFill>
                      </wps:spPr>
                      <wps:txbx>
                        <w:txbxContent>
                          <w:p>
                            <w:pPr>
                              <w:pStyle w:val="TextBody"/>
                              <w:bidi w:val="0"/>
                              <w:spacing w:before="0" w:after="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0" w:after="0"/>
                              <w:ind w:left="90" w:right="0" w:hanging="0"/>
                              <w:jc w:val="left"/>
                              <w:rPr>
                                <w:caps w:val="false"/>
                                <w:smallCaps w:val="false"/>
                                <w:color w:val="8F8F8F"/>
                              </w:rPr>
                            </w:pPr>
                            <w:r>
                              <w:rPr>
                                <w:caps w:val="false"/>
                                <w:smallCaps w:val="false"/>
                                <w:color w:val="8F8F8F"/>
                              </w:rPr>
                              <w:drawing>
                                <wp:inline distT="0" distB="0" distL="0" distR="0">
                                  <wp:extent cx="3076575" cy="1885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076575" cy="1885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Underlying Stock in excess of the buffer amount, and you will lose some, and possibly up to 85%, of the principal amount of your securities at maturity.</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http://www.sec.gov/Archives/edgar/data/19617/000121390026107135/</w:t>
                                <w:br/>
                                <w:t>ea0307867-01_424b2.htm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6.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0" w:after="0"/>
                        <w:ind w:left="90" w:right="0" w:hanging="0"/>
                        <w:jc w:val="left"/>
                        <w:rPr>
                          <w:caps w:val="false"/>
                          <w:smallCaps w:val="false"/>
                          <w:color w:val="8F8F8F"/>
                        </w:rPr>
                      </w:pPr>
                      <w:r>
                        <w:rPr>
                          <w:caps w:val="false"/>
                          <w:smallCaps w:val="false"/>
                          <w:color w:val="8F8F8F"/>
                        </w:rPr>
                        <w:drawing>
                          <wp:inline distT="0" distB="0" distL="0" distR="0">
                            <wp:extent cx="3076575" cy="1885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076575" cy="1885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Underlying Stock in excess of the buffer amount, and you will lose some, and possibly up to 85%, of the principal amount of your securities at maturity.</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http://www.sec.gov/Archives/edgar/data/19617/000121390026107135/</w:t>
                          <w:br/>
                          <w:t>ea0307867-01_424b2.htm</w:t>
                        </w:r>
                      </w:hyperlink>
                    </w:p>
                  </w:txbxContent>
                </v:textbox>
                <w10:wrap type="square" side="left"/>
              </v:rect>
            </w:pict>
          </mc:Fallback>
        </mc:AlternateContent>
      </w:r>
    </w:p>
    <w:p>
      <w:pPr>
        <w:pStyle w:val="TextBody"/>
        <w:bidi w:val="0"/>
        <w:spacing w:before="0" w:after="0"/>
        <w:ind w:left="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0" w:after="0"/>
        <w:ind w:left="0"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0" w:after="0"/>
        <w:ind w:left="0" w:right="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631"/>
        <w:gridCol w:w="6574"/>
      </w:tblGrid>
      <w:tr>
        <w:trPr/>
        <w:tc>
          <w:tcPr>
            <w:tcW w:w="3631" w:type="dxa"/>
            <w:tcBorders/>
            <w:vAlign w:val="center"/>
          </w:tcPr>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Ending Price Is Less Than the Threshold Price, You Will Lose Up to 85% of the Principal Amount of Your Securities at Maturity.</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Return Will Be Limited to the Maximum Return and May Be Lower Than the Return on a Direct Investment in the Underlying Stock.</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Interest or Dividend Payments or Voting Rights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0"/>
              <w:jc w:val="left"/>
              <w:rPr>
                <w:caps w:val="false"/>
                <w:smallCaps w:val="false"/>
              </w:rPr>
            </w:pPr>
            <w:r>
              <w:rPr>
                <w:caps w:val="false"/>
                <w:smallCaps w:val="false"/>
              </w:rPr>
              <w:t> </w:t>
            </w:r>
          </w:p>
        </w:tc>
        <w:tc>
          <w:tcPr>
            <w:tcW w:w="6574" w:type="dxa"/>
            <w:tcBorders/>
            <w:vAlign w:val="center"/>
          </w:tcPr>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rPr>
              <w:t>No Affiliation with the Underlying Stock Issuer</w:t>
            </w:r>
          </w:p>
          <w:p>
            <w:pPr>
              <w:pStyle w:val="TableContents"/>
              <w:bidi w:val="0"/>
              <w:spacing w:before="0" w:after="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rPr>
              <w:t xml:space="preserve">The Maturity Payment Amount Will Depend upon the Performance of the Underlying Stock and Therefore the Securities Are Subject to the Risks Associated with the Underlying Stock, Each as Discussed in the Accompanying Preliminary Pricing Supplement and Product Supplement. </w:t>
            </w:r>
          </w:p>
        </w:tc>
      </w:tr>
    </w:tbl>
    <w:p>
      <w:pPr>
        <w:pStyle w:val="TextBody"/>
        <w:bidi w:val="0"/>
        <w:spacing w:before="0" w:after="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617/000121390026107135/ea0307867-01_424b2.htm" TargetMode="External"/><Relationship Id="rId5" Type="http://schemas.openxmlformats.org/officeDocument/2006/relationships/image" Target="media/image2.jpeg"/><Relationship Id="rId6" Type="http://schemas.openxmlformats.org/officeDocument/2006/relationships/hyperlink" Target="https://www.sec.gov/Archives/edgar/data/19617/000121390026107135/ea030786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1277</Words>
  <Characters>6878</Characters>
  <CharactersWithSpaces>8220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