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8761-01_fwp.htm"/>
      <w:bookmarkStart w:id="1" w:name="ksea0308761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 Russell 2000 ® Index and S&amp;P 500 ® Index Pricing Date: October 30, 2026 Final Review Date: October 30, 2031 Maturity Date: November 4, 2031 Review Dates: Quarterly (after an initial one - year non - call period) Call Value: With respect to each Index, 90.00% of its Initial Value Barrier Amount: With respect to each Index, 75.00% of its Initial Value CUSIP: 46661PRP4 Preliminary Pricing Supplement: http://sp.jpmorgan.com/document/cusip/46661PRP4/doctype/Product_Termsheet/document.pdf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25.00% of your principal amount at maturity and could lose all of your principal amount at maturity. Hypothetical Examples of Amounts Payable upon Automatic Call or at Maturity** J.P. Morgan Structured Investments | 1 800 576 3529 | jpm_structured_investments@jpmorgan.com 5y Review Notes linked to INDU/RTY/SPX North America Structured Investments Total Return at Final Review Date Total Return at Twelfth Review Date Total Return at Sixth Review Date Total Return at First Review Date Least Performing Index Return at Review Date 37.500% 28.125% 16.875% 7.500% 80.00% 37.500% 28.125% 16.875% 7.500% 40.00% 37.500% 28.125% 16.875% 7.500% 20.00% 37.500% 28.125% 16.875% 7.500% 10.00% 37.500% 28.125% 16.875% 7.500% 0.00% 37.500% 28.125% 16.875% 7.500% - 5.00% 37.500% 28.125% 16.875% 7.500% - 10.00% 0.000% N/A N/A N/A - 20.00% 0.000% N/A N/A N/A - 25.00% - 25.010% N/A N/A N/A - 25.01% - 40.000% N/A N/A N/A - 40.00% - 50.000% N/A N/A N/A - 50.00% - 80.000% N/A N/A N/A - 80.00% - 100.000% N/A N/A N/A - 100.00% * In each case, to be determined on the Pricing Date, but not less than the minimum Call Premium, as applicable. ** Not all Review Dates reflected. Reflects a Call Premium of 7.50% per annum and the applicable Call Values listed in the table to the left. The Call Premium will be determined on the Pricing Date and will not be less than 7.50%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 set forth in the preliminary pricing supplement. Call Premium* Review Date Call Premium* Review Date At least 24.375% Tenth At least 7.500 % First At least 26.250% Eleventh At least 9.375 % Second At least 28.125% Twelfth At least 11.250% Third At least 30.000% Thirteenth At least 13.125% Fourth At least 31.875% Fourteenth At least 15.000% Fifth At least 33.750% Fifteenth At least 16.875% Sixth At least 35.625% Sixteenth At least 18.750% Seventh At least 37.500% Final At least 20.625% Eighth At least 22.500% Ninth</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Least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and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Review Notes linked to INDU/RTY/SPX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1698</Words>
  <Characters>8391</Characters>
  <CharactersWithSpaces>10090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