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25" w:lineRule="auto"/>
        <w:rPr>
          <w:sz w:val="20"/>
          <w:szCs w:val="20"/>
          <w:color w:val="auto"/>
        </w:rPr>
      </w:pPr>
      <w:r>
        <w:rPr>
          <w:rFonts w:ascii="Arial" w:cs="Arial" w:eastAsia="Arial" w:hAnsi="Arial"/>
          <w:sz w:val="14"/>
          <w:szCs w:val="14"/>
          <w:color w:val="808080"/>
        </w:rPr>
        <w:t>Dated October 26, 2026</w:t>
      </w:r>
    </w:p>
    <w:p>
      <w:pPr>
        <w:spacing w:after="0"/>
        <w:rPr>
          <w:sz w:val="20"/>
          <w:szCs w:val="20"/>
          <w:color w:val="auto"/>
        </w:rPr>
      </w:pPr>
      <w:r>
        <w:rPr>
          <w:rFonts w:ascii="Arial" w:cs="Arial" w:eastAsia="Arial" w:hAnsi="Arial"/>
          <w:sz w:val="28"/>
          <w:szCs w:val="28"/>
          <w:color w:val="296DC1"/>
        </w:rPr>
        <w:t>1-Year SPX Bear Market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 w:lineRule="exact"/>
        <w:rPr>
          <w:sz w:val="24"/>
          <w:szCs w:val="24"/>
          <w:color w:val="auto"/>
        </w:rPr>
      </w:pPr>
    </w:p>
    <w:p>
      <w:pPr>
        <w:ind w:left="80" w:right="140"/>
        <w:spacing w:after="0" w:line="259" w:lineRule="auto"/>
        <w:rPr>
          <w:sz w:val="20"/>
          <w:szCs w:val="20"/>
          <w:color w:val="auto"/>
        </w:rPr>
      </w:pPr>
      <w:r>
        <w:rPr>
          <w:rFonts w:ascii="Arial" w:cs="Arial" w:eastAsia="Arial" w:hAnsi="Arial"/>
          <w:sz w:val="16"/>
          <w:szCs w:val="16"/>
          <w:b w:val="1"/>
          <w:bCs w:val="1"/>
          <w:i w:val="1"/>
          <w:iCs w:val="1"/>
          <w:color w:val="auto"/>
        </w:rPr>
        <w:t>This document provides a summary of the terms of the Bear Market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96455" cy="177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780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p>
      <w:pPr>
        <w:spacing w:after="0" w:line="19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Issuer:</w:t>
            </w:r>
          </w:p>
        </w:tc>
        <w:tc>
          <w:tcPr>
            <w:tcW w:w="4440" w:type="dxa"/>
            <w:vAlign w:val="bottom"/>
            <w:gridSpan w:val="3"/>
          </w:tcPr>
          <w:p>
            <w:pPr>
              <w:spacing w:after="0"/>
              <w:rPr>
                <w:sz w:val="20"/>
                <w:szCs w:val="20"/>
                <w:color w:val="auto"/>
              </w:rPr>
            </w:pPr>
            <w:r>
              <w:rPr>
                <w:rFonts w:ascii="Arial" w:cs="Arial" w:eastAsia="Arial" w:hAnsi="Arial"/>
                <w:sz w:val="14"/>
                <w:szCs w:val="14"/>
                <w:color w:val="auto"/>
              </w:rPr>
              <w:t>JPMorgan Chase Financial Company LLC (“JPMorgan Financial”)</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Guarantor:</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JPMorgan Chase &amp; Co.</w:t>
            </w:r>
          </w:p>
        </w:tc>
        <w:tc>
          <w:tcPr>
            <w:tcW w:w="0" w:type="dxa"/>
            <w:vAlign w:val="bottom"/>
          </w:tcPr>
          <w:p>
            <w:pPr>
              <w:spacing w:after="0"/>
              <w:rPr>
                <w:sz w:val="1"/>
                <w:szCs w:val="1"/>
                <w:color w:val="auto"/>
              </w:rPr>
            </w:pPr>
          </w:p>
        </w:tc>
      </w:tr>
      <w:tr>
        <w:trPr>
          <w:trHeight w:val="160"/>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Underlying</w:t>
            </w:r>
          </w:p>
        </w:tc>
        <w:tc>
          <w:tcPr>
            <w:tcW w:w="4440" w:type="dxa"/>
            <w:vAlign w:val="bottom"/>
            <w:gridSpan w:val="3"/>
          </w:tcPr>
          <w:p>
            <w:pPr>
              <w:spacing w:after="0" w:line="160" w:lineRule="exact"/>
              <w:rPr>
                <w:sz w:val="20"/>
                <w:szCs w:val="20"/>
                <w:color w:val="auto"/>
              </w:rPr>
            </w:pPr>
            <w:r>
              <w:rPr>
                <w:rFonts w:ascii="Arial" w:cs="Arial" w:eastAsia="Arial" w:hAnsi="Arial"/>
                <w:sz w:val="12"/>
                <w:szCs w:val="12"/>
                <w:color w:val="auto"/>
              </w:rPr>
              <w:t>S&amp;P 500</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Index (Bloomberg ticker: SPX Index)</w:t>
            </w:r>
          </w:p>
        </w:tc>
        <w:tc>
          <w:tcPr>
            <w:tcW w:w="0" w:type="dxa"/>
            <w:vAlign w:val="bottom"/>
          </w:tcPr>
          <w:p>
            <w:pPr>
              <w:spacing w:after="0"/>
              <w:rPr>
                <w:sz w:val="1"/>
                <w:szCs w:val="1"/>
                <w:color w:val="auto"/>
              </w:rPr>
            </w:pPr>
          </w:p>
        </w:tc>
      </w:tr>
      <w:tr>
        <w:trPr>
          <w:trHeight w:val="160"/>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index:</w:t>
            </w: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 at</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 xml:space="preserve">If the final index value is </w:t>
            </w:r>
            <w:r>
              <w:rPr>
                <w:rFonts w:ascii="Arial" w:cs="Arial" w:eastAsia="Arial" w:hAnsi="Arial"/>
                <w:sz w:val="14"/>
                <w:szCs w:val="14"/>
                <w:i w:val="1"/>
                <w:iCs w:val="1"/>
                <w:color w:val="auto"/>
              </w:rPr>
              <w:t>less than</w:t>
            </w:r>
            <w:r>
              <w:rPr>
                <w:rFonts w:ascii="Arial" w:cs="Arial" w:eastAsia="Arial" w:hAnsi="Arial"/>
                <w:sz w:val="14"/>
                <w:szCs w:val="14"/>
                <w:color w:val="auto"/>
              </w:rPr>
              <w:t xml:space="preserve"> the initial index value, for each</w:t>
            </w:r>
          </w:p>
        </w:tc>
        <w:tc>
          <w:tcPr>
            <w:tcW w:w="0" w:type="dxa"/>
            <w:vAlign w:val="bottom"/>
          </w:tcPr>
          <w:p>
            <w:pPr>
              <w:spacing w:after="0"/>
              <w:rPr>
                <w:sz w:val="1"/>
                <w:szCs w:val="1"/>
                <w:color w:val="auto"/>
              </w:rPr>
            </w:pPr>
          </w:p>
        </w:tc>
      </w:tr>
      <w:tr>
        <w:trPr>
          <w:trHeight w:val="204"/>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maturity:</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stated principal amount Bear Market PLUS,</w:t>
            </w:r>
          </w:p>
        </w:tc>
        <w:tc>
          <w:tcPr>
            <w:tcW w:w="0" w:type="dxa"/>
            <w:vAlign w:val="bottom"/>
          </w:tcPr>
          <w:p>
            <w:pPr>
              <w:spacing w:after="0"/>
              <w:rPr>
                <w:sz w:val="1"/>
                <w:szCs w:val="1"/>
                <w:color w:val="auto"/>
              </w:rPr>
            </w:pPr>
          </w:p>
        </w:tc>
      </w:tr>
      <w:tr>
        <w:trPr>
          <w:trHeight w:val="189"/>
        </w:trPr>
        <w:tc>
          <w:tcPr>
            <w:tcW w:w="1140" w:type="dxa"/>
            <w:vAlign w:val="bottom"/>
            <w:shd w:val="clear" w:color="auto" w:fill="DCEBF4"/>
          </w:tcPr>
          <w:p>
            <w:pPr>
              <w:spacing w:after="0"/>
              <w:rPr>
                <w:sz w:val="16"/>
                <w:szCs w:val="16"/>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 enhanced downside payment</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spacing w:after="0"/>
              <w:rPr>
                <w:sz w:val="13"/>
                <w:szCs w:val="13"/>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In no event will the payment at maturity exceed the maximum</w:t>
            </w:r>
          </w:p>
        </w:tc>
        <w:tc>
          <w:tcPr>
            <w:tcW w:w="0" w:type="dxa"/>
            <w:vAlign w:val="bottom"/>
          </w:tcPr>
          <w:p>
            <w:pPr>
              <w:spacing w:after="0"/>
              <w:rPr>
                <w:sz w:val="1"/>
                <w:szCs w:val="1"/>
                <w:color w:val="auto"/>
              </w:rPr>
            </w:pPr>
          </w:p>
        </w:tc>
      </w:tr>
      <w:tr>
        <w:trPr>
          <w:trHeight w:val="185"/>
        </w:trPr>
        <w:tc>
          <w:tcPr>
            <w:tcW w:w="1140" w:type="dxa"/>
            <w:vAlign w:val="bottom"/>
            <w:shd w:val="clear" w:color="auto" w:fill="DCEBF4"/>
          </w:tcPr>
          <w:p>
            <w:pPr>
              <w:spacing w:after="0"/>
              <w:rPr>
                <w:sz w:val="16"/>
                <w:szCs w:val="16"/>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payment at maturity.</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spacing w:after="0"/>
              <w:rPr>
                <w:sz w:val="13"/>
                <w:szCs w:val="13"/>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 xml:space="preserve">If the final index value is </w:t>
            </w:r>
            <w:r>
              <w:rPr>
                <w:rFonts w:ascii="Arial" w:cs="Arial" w:eastAsia="Arial" w:hAnsi="Arial"/>
                <w:sz w:val="14"/>
                <w:szCs w:val="14"/>
                <w:i w:val="1"/>
                <w:iCs w:val="1"/>
                <w:color w:val="auto"/>
              </w:rPr>
              <w:t>greater than or equal to</w:t>
            </w:r>
            <w:r>
              <w:rPr>
                <w:rFonts w:ascii="Arial" w:cs="Arial" w:eastAsia="Arial" w:hAnsi="Arial"/>
                <w:sz w:val="14"/>
                <w:szCs w:val="14"/>
                <w:color w:val="auto"/>
              </w:rPr>
              <w:t xml:space="preserve"> the initial index</w:t>
            </w:r>
          </w:p>
        </w:tc>
        <w:tc>
          <w:tcPr>
            <w:tcW w:w="0" w:type="dxa"/>
            <w:vAlign w:val="bottom"/>
          </w:tcPr>
          <w:p>
            <w:pPr>
              <w:spacing w:after="0"/>
              <w:rPr>
                <w:sz w:val="1"/>
                <w:szCs w:val="1"/>
                <w:color w:val="auto"/>
              </w:rPr>
            </w:pPr>
          </w:p>
        </w:tc>
      </w:tr>
      <w:tr>
        <w:trPr>
          <w:trHeight w:val="187"/>
        </w:trPr>
        <w:tc>
          <w:tcPr>
            <w:tcW w:w="1140" w:type="dxa"/>
            <w:vAlign w:val="bottom"/>
            <w:shd w:val="clear" w:color="auto" w:fill="DCEBF4"/>
          </w:tcPr>
          <w:p>
            <w:pPr>
              <w:spacing w:after="0"/>
              <w:rPr>
                <w:sz w:val="16"/>
                <w:szCs w:val="16"/>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value, for each $1,000 stated principal amount Bear Market PLUS,</w:t>
            </w:r>
          </w:p>
        </w:tc>
        <w:tc>
          <w:tcPr>
            <w:tcW w:w="0" w:type="dxa"/>
            <w:vAlign w:val="bottom"/>
          </w:tcPr>
          <w:p>
            <w:pPr>
              <w:spacing w:after="0"/>
              <w:rPr>
                <w:sz w:val="1"/>
                <w:szCs w:val="1"/>
                <w:color w:val="auto"/>
              </w:rPr>
            </w:pPr>
          </w:p>
        </w:tc>
      </w:tr>
      <w:tr>
        <w:trPr>
          <w:trHeight w:val="189"/>
        </w:trPr>
        <w:tc>
          <w:tcPr>
            <w:tcW w:w="1140" w:type="dxa"/>
            <w:vAlign w:val="bottom"/>
            <w:shd w:val="clear" w:color="auto" w:fill="DCEBF4"/>
          </w:tcPr>
          <w:p>
            <w:pPr>
              <w:spacing w:after="0"/>
              <w:rPr>
                <w:sz w:val="16"/>
                <w:szCs w:val="16"/>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 upside reduction amount</w:t>
            </w:r>
          </w:p>
        </w:tc>
        <w:tc>
          <w:tcPr>
            <w:tcW w:w="0" w:type="dxa"/>
            <w:vAlign w:val="bottom"/>
          </w:tcPr>
          <w:p>
            <w:pPr>
              <w:spacing w:after="0"/>
              <w:rPr>
                <w:sz w:val="1"/>
                <w:szCs w:val="1"/>
                <w:color w:val="auto"/>
              </w:rPr>
            </w:pPr>
          </w:p>
        </w:tc>
      </w:tr>
      <w:tr>
        <w:trPr>
          <w:trHeight w:val="187"/>
        </w:trPr>
        <w:tc>
          <w:tcPr>
            <w:tcW w:w="1140" w:type="dxa"/>
            <w:vAlign w:val="bottom"/>
            <w:shd w:val="clear" w:color="auto" w:fill="DCEBF4"/>
          </w:tcPr>
          <w:p>
            <w:pPr>
              <w:spacing w:after="0"/>
              <w:rPr>
                <w:sz w:val="16"/>
                <w:szCs w:val="16"/>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In no event will the payment at maturity be less than $0.</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spacing w:after="0"/>
              <w:rPr>
                <w:sz w:val="13"/>
                <w:szCs w:val="13"/>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This amount will be less than or equal to the stated principal amount</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spacing w:after="0"/>
              <w:rPr>
                <w:sz w:val="13"/>
                <w:szCs w:val="13"/>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of $1,000 per Bear Market PLUS. You could lose up to your entire</w:t>
            </w:r>
          </w:p>
        </w:tc>
        <w:tc>
          <w:tcPr>
            <w:tcW w:w="0" w:type="dxa"/>
            <w:vAlign w:val="bottom"/>
          </w:tcPr>
          <w:p>
            <w:pPr>
              <w:spacing w:after="0"/>
              <w:rPr>
                <w:sz w:val="1"/>
                <w:szCs w:val="1"/>
                <w:color w:val="auto"/>
              </w:rPr>
            </w:pPr>
          </w:p>
        </w:tc>
      </w:tr>
      <w:tr>
        <w:trPr>
          <w:trHeight w:val="167"/>
        </w:trPr>
        <w:tc>
          <w:tcPr>
            <w:tcW w:w="1140" w:type="dxa"/>
            <w:vAlign w:val="bottom"/>
            <w:shd w:val="clear" w:color="auto" w:fill="DCEBF4"/>
          </w:tcPr>
          <w:p>
            <w:pPr>
              <w:spacing w:after="0"/>
              <w:rPr>
                <w:sz w:val="14"/>
                <w:szCs w:val="14"/>
                <w:color w:val="auto"/>
              </w:rPr>
            </w:pP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i w:val="1"/>
                <w:iCs w:val="1"/>
                <w:color w:val="auto"/>
              </w:rPr>
              <w:t>principal amount at maturity.</w:t>
            </w: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Enhanced</w:t>
            </w:r>
          </w:p>
        </w:tc>
        <w:tc>
          <w:tcPr>
            <w:tcW w:w="4440" w:type="dxa"/>
            <w:vAlign w:val="bottom"/>
            <w:gridSpan w:val="3"/>
          </w:tcPr>
          <w:p>
            <w:pPr>
              <w:spacing w:after="0" w:line="151" w:lineRule="exact"/>
              <w:rPr>
                <w:sz w:val="20"/>
                <w:szCs w:val="20"/>
                <w:color w:val="auto"/>
              </w:rPr>
            </w:pPr>
            <w:r>
              <w:rPr>
                <w:rFonts w:ascii="Arial" w:cs="Arial" w:eastAsia="Arial" w:hAnsi="Arial"/>
                <w:sz w:val="14"/>
                <w:szCs w:val="14"/>
                <w:color w:val="auto"/>
              </w:rPr>
              <w:t>$1,000 × leverage factor × index percent decrease</w:t>
            </w:r>
          </w:p>
        </w:tc>
        <w:tc>
          <w:tcPr>
            <w:tcW w:w="0" w:type="dxa"/>
            <w:vAlign w:val="bottom"/>
          </w:tcPr>
          <w:p>
            <w:pPr>
              <w:spacing w:after="0"/>
              <w:rPr>
                <w:sz w:val="1"/>
                <w:szCs w:val="1"/>
                <w:color w:val="auto"/>
              </w:rPr>
            </w:pPr>
          </w:p>
        </w:tc>
      </w:tr>
      <w:tr>
        <w:trPr>
          <w:trHeight w:val="160"/>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downside</w:t>
            </w: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payment:</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Upside</w:t>
            </w:r>
          </w:p>
        </w:tc>
        <w:tc>
          <w:tcPr>
            <w:tcW w:w="444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$1,000 × index percent increase</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reduction</w:t>
            </w:r>
          </w:p>
        </w:tc>
        <w:tc>
          <w:tcPr>
            <w:tcW w:w="1680" w:type="dxa"/>
            <w:vAlign w:val="bottom"/>
            <w:shd w:val="clear" w:color="auto" w:fill="DCEBF4"/>
          </w:tcPr>
          <w:p>
            <w:pPr>
              <w:spacing w:after="0"/>
              <w:rPr>
                <w:sz w:val="13"/>
                <w:szCs w:val="13"/>
                <w:color w:val="auto"/>
              </w:rPr>
            </w:pPr>
          </w:p>
        </w:tc>
        <w:tc>
          <w:tcPr>
            <w:tcW w:w="274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amount:</w:t>
            </w:r>
          </w:p>
        </w:tc>
        <w:tc>
          <w:tcPr>
            <w:tcW w:w="1680" w:type="dxa"/>
            <w:vAlign w:val="bottom"/>
            <w:shd w:val="clear" w:color="auto" w:fill="DCEBF4"/>
          </w:tcPr>
          <w:p>
            <w:pPr>
              <w:spacing w:after="0"/>
              <w:rPr>
                <w:sz w:val="14"/>
                <w:szCs w:val="14"/>
                <w:color w:val="auto"/>
              </w:rPr>
            </w:pPr>
          </w:p>
        </w:tc>
        <w:tc>
          <w:tcPr>
            <w:tcW w:w="274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Index</w:t>
            </w: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percent</w:t>
            </w:r>
          </w:p>
        </w:tc>
        <w:tc>
          <w:tcPr>
            <w:tcW w:w="4440" w:type="dxa"/>
            <w:vAlign w:val="bottom"/>
            <w:gridSpan w:val="3"/>
          </w:tcPr>
          <w:p>
            <w:pPr>
              <w:spacing w:after="0"/>
              <w:rPr>
                <w:sz w:val="20"/>
                <w:szCs w:val="20"/>
                <w:color w:val="auto"/>
              </w:rPr>
            </w:pPr>
            <w:r>
              <w:rPr>
                <w:rFonts w:ascii="Arial" w:cs="Arial" w:eastAsia="Arial" w:hAnsi="Arial"/>
                <w:sz w:val="14"/>
                <w:szCs w:val="14"/>
                <w:color w:val="auto"/>
              </w:rPr>
              <w:t>(initial index value – final index value) / initial index value</w:t>
            </w: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decrease:</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Index</w:t>
            </w:r>
          </w:p>
        </w:tc>
        <w:tc>
          <w:tcPr>
            <w:tcW w:w="1680" w:type="dxa"/>
            <w:vAlign w:val="bottom"/>
            <w:shd w:val="clear" w:color="auto" w:fill="DCEBF4"/>
          </w:tcPr>
          <w:p>
            <w:pPr>
              <w:spacing w:after="0"/>
              <w:rPr>
                <w:sz w:val="13"/>
                <w:szCs w:val="13"/>
                <w:color w:val="auto"/>
              </w:rPr>
            </w:pPr>
          </w:p>
        </w:tc>
        <w:tc>
          <w:tcPr>
            <w:tcW w:w="274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percent</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(final index value – initial index value) / initial index value</w:t>
            </w:r>
          </w:p>
        </w:tc>
        <w:tc>
          <w:tcPr>
            <w:tcW w:w="0" w:type="dxa"/>
            <w:vAlign w:val="bottom"/>
          </w:tcPr>
          <w:p>
            <w:pPr>
              <w:spacing w:after="0"/>
              <w:rPr>
                <w:sz w:val="1"/>
                <w:szCs w:val="1"/>
                <w:color w:val="auto"/>
              </w:rPr>
            </w:pPr>
          </w:p>
        </w:tc>
      </w:tr>
      <w:tr>
        <w:trPr>
          <w:trHeight w:val="169"/>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increase:</w:t>
            </w:r>
          </w:p>
        </w:tc>
        <w:tc>
          <w:tcPr>
            <w:tcW w:w="1680" w:type="dxa"/>
            <w:vAlign w:val="bottom"/>
            <w:shd w:val="clear" w:color="auto" w:fill="DCEBF4"/>
          </w:tcPr>
          <w:p>
            <w:pPr>
              <w:spacing w:after="0"/>
              <w:rPr>
                <w:sz w:val="14"/>
                <w:szCs w:val="14"/>
                <w:color w:val="auto"/>
              </w:rPr>
            </w:pPr>
          </w:p>
        </w:tc>
        <w:tc>
          <w:tcPr>
            <w:tcW w:w="274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Initial index</w:t>
            </w:r>
          </w:p>
        </w:tc>
        <w:tc>
          <w:tcPr>
            <w:tcW w:w="4440" w:type="dxa"/>
            <w:vAlign w:val="bottom"/>
            <w:gridSpan w:val="3"/>
          </w:tcPr>
          <w:p>
            <w:pPr>
              <w:spacing w:after="0" w:line="151" w:lineRule="exact"/>
              <w:rPr>
                <w:sz w:val="20"/>
                <w:szCs w:val="20"/>
                <w:color w:val="auto"/>
              </w:rPr>
            </w:pPr>
            <w:r>
              <w:rPr>
                <w:rFonts w:ascii="Arial" w:cs="Arial" w:eastAsia="Arial" w:hAnsi="Arial"/>
                <w:sz w:val="14"/>
                <w:szCs w:val="14"/>
                <w:color w:val="auto"/>
              </w:rPr>
              <w:t>The closing level of the underlying index on the pricing date</w:t>
            </w: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value:</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Final index</w:t>
            </w:r>
          </w:p>
        </w:tc>
        <w:tc>
          <w:tcPr>
            <w:tcW w:w="444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The closing level of the underlying index on the valuation date</w:t>
            </w:r>
          </w:p>
        </w:tc>
        <w:tc>
          <w:tcPr>
            <w:tcW w:w="0" w:type="dxa"/>
            <w:vAlign w:val="bottom"/>
          </w:tcPr>
          <w:p>
            <w:pPr>
              <w:spacing w:after="0"/>
              <w:rPr>
                <w:sz w:val="1"/>
                <w:szCs w:val="1"/>
                <w:color w:val="auto"/>
              </w:rPr>
            </w:pPr>
          </w:p>
        </w:tc>
      </w:tr>
      <w:tr>
        <w:trPr>
          <w:trHeight w:val="169"/>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value:</w:t>
            </w:r>
          </w:p>
        </w:tc>
        <w:tc>
          <w:tcPr>
            <w:tcW w:w="1680" w:type="dxa"/>
            <w:vAlign w:val="bottom"/>
            <w:shd w:val="clear" w:color="auto" w:fill="DCEBF4"/>
          </w:tcPr>
          <w:p>
            <w:pPr>
              <w:spacing w:after="0"/>
              <w:rPr>
                <w:sz w:val="14"/>
                <w:szCs w:val="14"/>
                <w:color w:val="auto"/>
              </w:rPr>
            </w:pPr>
          </w:p>
        </w:tc>
        <w:tc>
          <w:tcPr>
            <w:tcW w:w="274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Leverage</w:t>
            </w:r>
          </w:p>
        </w:tc>
        <w:tc>
          <w:tcPr>
            <w:tcW w:w="1680" w:type="dxa"/>
            <w:vAlign w:val="bottom"/>
          </w:tcPr>
          <w:p>
            <w:pPr>
              <w:spacing w:after="0" w:line="151" w:lineRule="exact"/>
              <w:rPr>
                <w:sz w:val="20"/>
                <w:szCs w:val="20"/>
                <w:color w:val="auto"/>
              </w:rPr>
            </w:pPr>
            <w:r>
              <w:rPr>
                <w:rFonts w:ascii="Arial" w:cs="Arial" w:eastAsia="Arial" w:hAnsi="Arial"/>
                <w:sz w:val="14"/>
                <w:szCs w:val="14"/>
                <w:color w:val="auto"/>
              </w:rPr>
              <w:t>400%</w:t>
            </w: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Maximum</w:t>
            </w:r>
          </w:p>
        </w:tc>
        <w:tc>
          <w:tcPr>
            <w:tcW w:w="444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At least $1,540.00 (at least 154.00% of the stated principal amount)</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 at</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per Bear Market PLUS</w:t>
            </w:r>
          </w:p>
        </w:tc>
        <w:tc>
          <w:tcPr>
            <w:tcW w:w="0" w:type="dxa"/>
            <w:vAlign w:val="bottom"/>
          </w:tcPr>
          <w:p>
            <w:pPr>
              <w:spacing w:after="0"/>
              <w:rPr>
                <w:sz w:val="1"/>
                <w:szCs w:val="1"/>
                <w:color w:val="auto"/>
              </w:rPr>
            </w:pPr>
          </w:p>
        </w:tc>
      </w:tr>
      <w:tr>
        <w:trPr>
          <w:trHeight w:val="169"/>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maturity:</w:t>
            </w:r>
          </w:p>
        </w:tc>
        <w:tc>
          <w:tcPr>
            <w:tcW w:w="1680" w:type="dxa"/>
            <w:vAlign w:val="bottom"/>
            <w:shd w:val="clear" w:color="auto" w:fill="DCEBF4"/>
          </w:tcPr>
          <w:p>
            <w:pPr>
              <w:spacing w:after="0"/>
              <w:rPr>
                <w:sz w:val="14"/>
                <w:szCs w:val="14"/>
                <w:color w:val="auto"/>
              </w:rPr>
            </w:pPr>
          </w:p>
        </w:tc>
        <w:tc>
          <w:tcPr>
            <w:tcW w:w="274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Stated</w:t>
            </w:r>
          </w:p>
        </w:tc>
        <w:tc>
          <w:tcPr>
            <w:tcW w:w="4440" w:type="dxa"/>
            <w:vAlign w:val="bottom"/>
            <w:gridSpan w:val="3"/>
          </w:tcPr>
          <w:p>
            <w:pPr>
              <w:spacing w:after="0" w:line="151" w:lineRule="exact"/>
              <w:rPr>
                <w:sz w:val="20"/>
                <w:szCs w:val="20"/>
                <w:color w:val="auto"/>
              </w:rPr>
            </w:pPr>
            <w:r>
              <w:rPr>
                <w:rFonts w:ascii="Arial" w:cs="Arial" w:eastAsia="Arial" w:hAnsi="Arial"/>
                <w:sz w:val="14"/>
                <w:szCs w:val="14"/>
                <w:color w:val="auto"/>
              </w:rPr>
              <w:t>$1,000 per Bear Market PLUS</w:t>
            </w:r>
          </w:p>
        </w:tc>
        <w:tc>
          <w:tcPr>
            <w:tcW w:w="0" w:type="dxa"/>
            <w:vAlign w:val="bottom"/>
          </w:tcPr>
          <w:p>
            <w:pPr>
              <w:spacing w:after="0"/>
              <w:rPr>
                <w:sz w:val="1"/>
                <w:szCs w:val="1"/>
                <w:color w:val="auto"/>
              </w:rPr>
            </w:pPr>
          </w:p>
        </w:tc>
      </w:tr>
      <w:tr>
        <w:trPr>
          <w:trHeight w:val="160"/>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principal</w:t>
            </w: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amount:</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Issue price:</w:t>
            </w:r>
          </w:p>
        </w:tc>
        <w:tc>
          <w:tcPr>
            <w:tcW w:w="44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per Bear Market PLUS</w:t>
            </w: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Pricing</w:t>
            </w:r>
          </w:p>
        </w:tc>
        <w:tc>
          <w:tcPr>
            <w:tcW w:w="4440" w:type="dxa"/>
            <w:vAlign w:val="bottom"/>
            <w:gridSpan w:val="3"/>
          </w:tcPr>
          <w:p>
            <w:pPr>
              <w:spacing w:after="0" w:line="151" w:lineRule="exact"/>
              <w:rPr>
                <w:sz w:val="20"/>
                <w:szCs w:val="20"/>
                <w:color w:val="auto"/>
              </w:rPr>
            </w:pPr>
            <w:r>
              <w:rPr>
                <w:rFonts w:ascii="Arial" w:cs="Arial" w:eastAsia="Arial" w:hAnsi="Arial"/>
                <w:sz w:val="14"/>
                <w:szCs w:val="14"/>
                <w:color w:val="auto"/>
              </w:rPr>
              <w:t>Expected to be October 27, 2026</w:t>
            </w:r>
          </w:p>
        </w:tc>
        <w:tc>
          <w:tcPr>
            <w:tcW w:w="0" w:type="dxa"/>
            <w:vAlign w:val="bottom"/>
          </w:tcPr>
          <w:p>
            <w:pPr>
              <w:spacing w:after="0"/>
              <w:rPr>
                <w:sz w:val="1"/>
                <w:szCs w:val="1"/>
                <w:color w:val="auto"/>
              </w:rPr>
            </w:pPr>
          </w:p>
        </w:tc>
      </w:tr>
      <w:tr>
        <w:trPr>
          <w:trHeight w:val="169"/>
        </w:trPr>
        <w:tc>
          <w:tcPr>
            <w:tcW w:w="1140" w:type="dxa"/>
            <w:vAlign w:val="bottom"/>
          </w:tcPr>
          <w:p>
            <w:pPr>
              <w:ind w:left="100"/>
              <w:spacing w:after="0"/>
              <w:rPr>
                <w:sz w:val="20"/>
                <w:szCs w:val="20"/>
                <w:color w:val="auto"/>
              </w:rPr>
            </w:pPr>
            <w:r>
              <w:rPr>
                <w:rFonts w:ascii="Arial" w:cs="Arial" w:eastAsia="Arial" w:hAnsi="Arial"/>
                <w:sz w:val="14"/>
                <w:szCs w:val="14"/>
                <w:b w:val="1"/>
                <w:bCs w:val="1"/>
                <w:color w:val="296DC1"/>
              </w:rPr>
              <w:t>date:</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Original</w:t>
            </w:r>
          </w:p>
        </w:tc>
        <w:tc>
          <w:tcPr>
            <w:tcW w:w="444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3 business days after the pricing date</w:t>
            </w: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issue date</w:t>
            </w:r>
          </w:p>
        </w:tc>
        <w:tc>
          <w:tcPr>
            <w:tcW w:w="1680" w:type="dxa"/>
            <w:vAlign w:val="bottom"/>
            <w:shd w:val="clear" w:color="auto" w:fill="DCEBF4"/>
          </w:tcPr>
          <w:p>
            <w:pPr>
              <w:spacing w:after="0"/>
              <w:rPr>
                <w:sz w:val="13"/>
                <w:szCs w:val="13"/>
                <w:color w:val="auto"/>
              </w:rPr>
            </w:pPr>
          </w:p>
        </w:tc>
        <w:tc>
          <w:tcPr>
            <w:tcW w:w="274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(settlement</w:t>
            </w:r>
          </w:p>
        </w:tc>
        <w:tc>
          <w:tcPr>
            <w:tcW w:w="1680" w:type="dxa"/>
            <w:vAlign w:val="bottom"/>
            <w:shd w:val="clear" w:color="auto" w:fill="DCEBF4"/>
          </w:tcPr>
          <w:p>
            <w:pPr>
              <w:spacing w:after="0"/>
              <w:rPr>
                <w:sz w:val="13"/>
                <w:szCs w:val="13"/>
                <w:color w:val="auto"/>
              </w:rPr>
            </w:pPr>
          </w:p>
        </w:tc>
        <w:tc>
          <w:tcPr>
            <w:tcW w:w="274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1680" w:type="dxa"/>
            <w:vAlign w:val="bottom"/>
            <w:shd w:val="clear" w:color="auto" w:fill="DCEBF4"/>
          </w:tcPr>
          <w:p>
            <w:pPr>
              <w:spacing w:after="0"/>
              <w:rPr>
                <w:sz w:val="14"/>
                <w:szCs w:val="14"/>
                <w:color w:val="auto"/>
              </w:rPr>
            </w:pPr>
          </w:p>
        </w:tc>
        <w:tc>
          <w:tcPr>
            <w:tcW w:w="274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00"/>
              <w:spacing w:after="0" w:line="148" w:lineRule="exact"/>
              <w:rPr>
                <w:sz w:val="20"/>
                <w:szCs w:val="20"/>
                <w:color w:val="auto"/>
              </w:rPr>
            </w:pPr>
            <w:r>
              <w:rPr>
                <w:rFonts w:ascii="Arial" w:cs="Arial" w:eastAsia="Arial" w:hAnsi="Arial"/>
                <w:sz w:val="14"/>
                <w:szCs w:val="14"/>
                <w:b w:val="1"/>
                <w:bCs w:val="1"/>
                <w:color w:val="296DC1"/>
              </w:rPr>
              <w:t>Valuation</w:t>
            </w:r>
          </w:p>
        </w:tc>
        <w:tc>
          <w:tcPr>
            <w:tcW w:w="4440" w:type="dxa"/>
            <w:vAlign w:val="bottom"/>
            <w:gridSpan w:val="3"/>
          </w:tcPr>
          <w:p>
            <w:pPr>
              <w:spacing w:after="0" w:line="148" w:lineRule="exact"/>
              <w:rPr>
                <w:sz w:val="20"/>
                <w:szCs w:val="20"/>
                <w:color w:val="auto"/>
              </w:rPr>
            </w:pPr>
            <w:r>
              <w:rPr>
                <w:rFonts w:ascii="Arial" w:cs="Arial" w:eastAsia="Arial" w:hAnsi="Arial"/>
                <w:sz w:val="14"/>
                <w:szCs w:val="14"/>
                <w:color w:val="auto"/>
              </w:rPr>
              <w:t>November 3, 2027</w:t>
            </w:r>
          </w:p>
        </w:tc>
        <w:tc>
          <w:tcPr>
            <w:tcW w:w="0" w:type="dxa"/>
            <w:vAlign w:val="bottom"/>
          </w:tcPr>
          <w:p>
            <w:pPr>
              <w:spacing w:after="0"/>
              <w:rPr>
                <w:sz w:val="1"/>
                <w:szCs w:val="1"/>
                <w:color w:val="auto"/>
              </w:rPr>
            </w:pPr>
          </w:p>
        </w:tc>
      </w:tr>
      <w:tr>
        <w:trPr>
          <w:trHeight w:val="199"/>
        </w:trPr>
        <w:tc>
          <w:tcPr>
            <w:tcW w:w="1140" w:type="dxa"/>
            <w:vAlign w:val="bottom"/>
          </w:tcPr>
          <w:p>
            <w:pPr>
              <w:ind w:left="100"/>
              <w:spacing w:after="0" w:line="199" w:lineRule="exact"/>
              <w:rPr>
                <w:sz w:val="20"/>
                <w:szCs w:val="20"/>
                <w:color w:val="auto"/>
              </w:rPr>
            </w:pPr>
            <w:r>
              <w:rPr>
                <w:rFonts w:ascii="Arial" w:cs="Arial" w:eastAsia="Arial" w:hAnsi="Arial"/>
                <w:sz w:val="14"/>
                <w:szCs w:val="14"/>
                <w:b w:val="1"/>
                <w:bCs w:val="1"/>
                <w:color w:val="296DC1"/>
              </w:rPr>
              <w:t>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16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DCEBF4"/>
          </w:tcPr>
          <w:p>
            <w:pPr>
              <w:ind w:left="100"/>
              <w:spacing w:after="0" w:line="148" w:lineRule="exact"/>
              <w:rPr>
                <w:sz w:val="20"/>
                <w:szCs w:val="20"/>
                <w:color w:val="auto"/>
              </w:rPr>
            </w:pPr>
            <w:r>
              <w:rPr>
                <w:rFonts w:ascii="Arial" w:cs="Arial" w:eastAsia="Arial" w:hAnsi="Arial"/>
                <w:sz w:val="14"/>
                <w:szCs w:val="14"/>
                <w:b w:val="1"/>
                <w:bCs w:val="1"/>
                <w:color w:val="296DC1"/>
              </w:rPr>
              <w:t>Maturity</w:t>
            </w:r>
          </w:p>
        </w:tc>
        <w:tc>
          <w:tcPr>
            <w:tcW w:w="4440" w:type="dxa"/>
            <w:vAlign w:val="bottom"/>
            <w:gridSpan w:val="3"/>
            <w:shd w:val="clear" w:color="auto" w:fill="DCEBF4"/>
          </w:tcPr>
          <w:p>
            <w:pPr>
              <w:spacing w:after="0" w:line="148" w:lineRule="exact"/>
              <w:rPr>
                <w:sz w:val="20"/>
                <w:szCs w:val="20"/>
                <w:color w:val="auto"/>
              </w:rPr>
            </w:pPr>
            <w:r>
              <w:rPr>
                <w:rFonts w:ascii="Arial" w:cs="Arial" w:eastAsia="Arial" w:hAnsi="Arial"/>
                <w:sz w:val="14"/>
                <w:szCs w:val="14"/>
                <w:color w:val="auto"/>
              </w:rPr>
              <w:t>November 8, 2027</w:t>
            </w:r>
          </w:p>
        </w:tc>
        <w:tc>
          <w:tcPr>
            <w:tcW w:w="0" w:type="dxa"/>
            <w:vAlign w:val="bottom"/>
          </w:tcPr>
          <w:p>
            <w:pPr>
              <w:spacing w:after="0"/>
              <w:rPr>
                <w:sz w:val="1"/>
                <w:szCs w:val="1"/>
                <w:color w:val="auto"/>
              </w:rPr>
            </w:pPr>
          </w:p>
        </w:tc>
      </w:tr>
      <w:tr>
        <w:trPr>
          <w:trHeight w:val="199"/>
        </w:trPr>
        <w:tc>
          <w:tcPr>
            <w:tcW w:w="1140" w:type="dxa"/>
            <w:vAlign w:val="bottom"/>
            <w:shd w:val="clear" w:color="auto" w:fill="DCEBF4"/>
          </w:tcPr>
          <w:p>
            <w:pPr>
              <w:ind w:left="100"/>
              <w:spacing w:after="0" w:line="199" w:lineRule="exact"/>
              <w:rPr>
                <w:sz w:val="20"/>
                <w:szCs w:val="20"/>
                <w:color w:val="auto"/>
              </w:rPr>
            </w:pPr>
            <w:r>
              <w:rPr>
                <w:rFonts w:ascii="Arial" w:cs="Arial" w:eastAsia="Arial" w:hAnsi="Arial"/>
                <w:sz w:val="14"/>
                <w:szCs w:val="14"/>
                <w:b w:val="1"/>
                <w:bCs w:val="1"/>
                <w:color w:val="296DC1"/>
              </w:rPr>
              <w:t>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1680" w:type="dxa"/>
            <w:vAlign w:val="bottom"/>
            <w:shd w:val="clear" w:color="auto" w:fill="DCEBF4"/>
          </w:tcPr>
          <w:p>
            <w:pPr>
              <w:spacing w:after="0"/>
              <w:rPr>
                <w:sz w:val="17"/>
                <w:szCs w:val="17"/>
                <w:color w:val="auto"/>
              </w:rPr>
            </w:pPr>
          </w:p>
        </w:tc>
        <w:tc>
          <w:tcPr>
            <w:tcW w:w="2740" w:type="dxa"/>
            <w:vAlign w:val="bottom"/>
            <w:shd w:val="clear" w:color="auto" w:fill="DCEBF4"/>
          </w:tcPr>
          <w:p>
            <w:pPr>
              <w:spacing w:after="0"/>
              <w:rPr>
                <w:sz w:val="17"/>
                <w:szCs w:val="17"/>
                <w:color w:val="auto"/>
              </w:rPr>
            </w:pPr>
          </w:p>
        </w:tc>
        <w:tc>
          <w:tcPr>
            <w:tcW w:w="2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4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CUSIP /</w:t>
            </w:r>
          </w:p>
        </w:tc>
        <w:tc>
          <w:tcPr>
            <w:tcW w:w="4440" w:type="dxa"/>
            <w:vAlign w:val="bottom"/>
            <w:gridSpan w:val="3"/>
            <w:vMerge w:val="restart"/>
          </w:tcPr>
          <w:p>
            <w:pPr>
              <w:spacing w:after="0"/>
              <w:rPr>
                <w:sz w:val="20"/>
                <w:szCs w:val="20"/>
                <w:color w:val="auto"/>
              </w:rPr>
            </w:pPr>
            <w:r>
              <w:rPr>
                <w:rFonts w:ascii="Arial" w:cs="Arial" w:eastAsia="Arial" w:hAnsi="Arial"/>
                <w:sz w:val="14"/>
                <w:szCs w:val="14"/>
                <w:color w:val="auto"/>
              </w:rPr>
              <w:t>46661QRN7 / US46661QRN78</w:t>
            </w:r>
          </w:p>
        </w:tc>
        <w:tc>
          <w:tcPr>
            <w:tcW w:w="0" w:type="dxa"/>
            <w:vAlign w:val="bottom"/>
          </w:tcPr>
          <w:p>
            <w:pPr>
              <w:spacing w:after="0"/>
              <w:rPr>
                <w:sz w:val="1"/>
                <w:szCs w:val="1"/>
                <w:color w:val="auto"/>
              </w:rPr>
            </w:pPr>
          </w:p>
        </w:tc>
      </w:tr>
      <w:tr>
        <w:trPr>
          <w:trHeight w:val="109"/>
        </w:trPr>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296DC1"/>
              </w:rPr>
              <w:t>ISIN:</w:t>
            </w:r>
          </w:p>
        </w:tc>
        <w:tc>
          <w:tcPr>
            <w:tcW w:w="44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14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100"/>
              <w:spacing w:after="0" w:line="156" w:lineRule="exact"/>
              <w:rPr>
                <w:sz w:val="20"/>
                <w:szCs w:val="20"/>
                <w:color w:val="auto"/>
              </w:rPr>
            </w:pPr>
            <w:r>
              <w:rPr>
                <w:rFonts w:ascii="Arial" w:cs="Arial" w:eastAsia="Arial" w:hAnsi="Arial"/>
                <w:sz w:val="14"/>
                <w:szCs w:val="14"/>
                <w:b w:val="1"/>
                <w:bCs w:val="1"/>
                <w:color w:val="296DC1"/>
              </w:rPr>
              <w:t>Preliminary</w:t>
            </w:r>
          </w:p>
        </w:tc>
        <w:tc>
          <w:tcPr>
            <w:tcW w:w="4440" w:type="dxa"/>
            <w:vAlign w:val="bottom"/>
            <w:gridSpan w:val="3"/>
          </w:tcPr>
          <w:p>
            <w:pPr>
              <w:spacing w:after="0" w:line="156" w:lineRule="exact"/>
              <w:rPr>
                <w:rFonts w:ascii="Arial" w:cs="Arial" w:eastAsia="Arial" w:hAnsi="Arial"/>
                <w:sz w:val="14"/>
                <w:szCs w:val="14"/>
                <w:color w:val="0000EE"/>
              </w:rPr>
            </w:pPr>
            <w:hyperlink r:id="rId10">
              <w:r>
                <w:rPr>
                  <w:rFonts w:ascii="Arial" w:cs="Arial" w:eastAsia="Arial" w:hAnsi="Arial"/>
                  <w:sz w:val="14"/>
                  <w:szCs w:val="14"/>
                  <w:color w:val="0000EE"/>
                </w:rPr>
                <w:t>http://www.sec.gov/Archives/edgar/data/19617/000121390026112352/</w:t>
              </w:r>
            </w:hyperlink>
          </w:p>
        </w:tc>
        <w:tc>
          <w:tcPr>
            <w:tcW w:w="0" w:type="dxa"/>
            <w:vAlign w:val="bottom"/>
          </w:tcPr>
          <w:p>
            <w:pPr>
              <w:spacing w:after="0"/>
              <w:rPr>
                <w:sz w:val="1"/>
                <w:szCs w:val="1"/>
                <w:color w:val="auto"/>
              </w:rPr>
            </w:pPr>
          </w:p>
        </w:tc>
      </w:tr>
      <w:tr>
        <w:trPr>
          <w:trHeight w:val="140"/>
        </w:trPr>
        <w:tc>
          <w:tcPr>
            <w:tcW w:w="1140" w:type="dxa"/>
            <w:vAlign w:val="bottom"/>
          </w:tcPr>
          <w:p>
            <w:pPr>
              <w:ind w:left="100"/>
              <w:spacing w:after="0" w:line="140" w:lineRule="exact"/>
              <w:rPr>
                <w:sz w:val="20"/>
                <w:szCs w:val="20"/>
                <w:color w:val="auto"/>
              </w:rPr>
            </w:pPr>
            <w:r>
              <w:rPr>
                <w:rFonts w:ascii="Arial" w:cs="Arial" w:eastAsia="Arial" w:hAnsi="Arial"/>
                <w:sz w:val="14"/>
                <w:szCs w:val="14"/>
                <w:b w:val="1"/>
                <w:bCs w:val="1"/>
                <w:color w:val="296DC1"/>
              </w:rPr>
              <w:t>pricing</w:t>
            </w:r>
          </w:p>
        </w:tc>
        <w:tc>
          <w:tcPr>
            <w:tcW w:w="4420" w:type="dxa"/>
            <w:vAlign w:val="bottom"/>
            <w:tcBorders>
              <w:top w:val="single" w:sz="8" w:color="0000EE"/>
            </w:tcBorders>
            <w:gridSpan w:val="2"/>
          </w:tcPr>
          <w:p>
            <w:pPr>
              <w:spacing w:after="0" w:line="140" w:lineRule="exact"/>
              <w:rPr>
                <w:rFonts w:ascii="Arial" w:cs="Arial" w:eastAsia="Arial" w:hAnsi="Arial"/>
                <w:sz w:val="14"/>
                <w:szCs w:val="14"/>
                <w:color w:val="0000EE"/>
              </w:rPr>
            </w:pPr>
            <w:hyperlink r:id="rId10">
              <w:r>
                <w:rPr>
                  <w:rFonts w:ascii="Arial" w:cs="Arial" w:eastAsia="Arial" w:hAnsi="Arial"/>
                  <w:sz w:val="14"/>
                  <w:szCs w:val="14"/>
                  <w:color w:val="0000EE"/>
                </w:rPr>
                <w:t>ea0309641-01_424b2.htm</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supplement:</w:t>
            </w:r>
          </w:p>
        </w:tc>
        <w:tc>
          <w:tcPr>
            <w:tcW w:w="1680" w:type="dxa"/>
            <w:vAlign w:val="bottom"/>
            <w:tcBorders>
              <w:top w:val="single" w:sz="8" w:color="0000EE"/>
            </w:tcBorders>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3533140" cy="30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533140" cy="304800"/>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spacing w:after="0" w:line="1" w:lineRule="exact"/>
        <w:rPr>
          <w:sz w:val="20"/>
          <w:szCs w:val="20"/>
          <w:color w:val="auto"/>
        </w:rPr>
      </w:pPr>
    </w:p>
    <w:p>
      <w:pPr>
        <w:ind w:right="300"/>
        <w:spacing w:after="0" w:line="238" w:lineRule="auto"/>
        <w:rPr>
          <w:sz w:val="20"/>
          <w:szCs w:val="20"/>
          <w:color w:val="auto"/>
        </w:rPr>
      </w:pPr>
      <w:r>
        <w:rPr>
          <w:rFonts w:ascii="Arial" w:cs="Arial" w:eastAsia="Arial" w:hAnsi="Arial"/>
          <w:sz w:val="14"/>
          <w:szCs w:val="14"/>
          <w:color w:val="auto"/>
        </w:rPr>
        <w:t>The estimated value of the Bear Market PLUS on the pricing date will be provided in the pricing supplement and will not be less than $950.00 per $1,000 stated principal amount Bear Market PLUS. For information about the estimated value of the Bear Market PLUS, which likely will be lower than the price you paid for the Bear Market PLUS, please see the hyperlink above.</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4"/>
          <w:szCs w:val="14"/>
          <w:color w:val="auto"/>
        </w:rPr>
        <w:t>Any payment on the Bear Market PLUS is subject to the credit risk of JPMorgan Financial, as issuer of the Bear Market PLUS, and the credit risk of JPMorgan Chase &amp; Co., as guarantor of the Bear Market PLUS.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296DC1"/>
        </w:rPr>
        <w:t xml:space="preserve">Bear </w:t>
      </w:r>
      <w:r>
        <w:rPr>
          <w:rFonts w:ascii="Arial" w:cs="Arial" w:eastAsia="Arial" w:hAnsi="Arial"/>
          <w:sz w:val="14"/>
          <w:szCs w:val="14"/>
          <w:b w:val="1"/>
          <w:bCs w:val="1"/>
          <w:color w:val="296DC1"/>
        </w:rPr>
        <w:t>Market PLUS Payoff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79375</wp:posOffset>
            </wp:positionV>
            <wp:extent cx="3482340" cy="2194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823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right="100"/>
        <w:spacing w:after="0" w:line="280" w:lineRule="auto"/>
        <w:rPr>
          <w:sz w:val="20"/>
          <w:szCs w:val="20"/>
          <w:color w:val="auto"/>
        </w:rPr>
      </w:pPr>
      <w:r>
        <w:rPr>
          <w:rFonts w:ascii="Arial" w:cs="Arial" w:eastAsia="Arial" w:hAnsi="Arial"/>
          <w:sz w:val="14"/>
          <w:szCs w:val="14"/>
          <w:color w:val="auto"/>
        </w:rPr>
        <w:t>*The actual maximum payment at maturity will be provided in the pricing supplement and will not be less than $1,540.00 per Bear Market PLUS.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vMerge w:val="restart"/>
            <w:shd w:val="clear" w:color="auto" w:fill="296DC1"/>
          </w:tcPr>
          <w:p>
            <w:pPr>
              <w:ind w:left="420"/>
              <w:spacing w:after="0"/>
              <w:rPr>
                <w:sz w:val="20"/>
                <w:szCs w:val="20"/>
                <w:color w:val="auto"/>
              </w:rPr>
            </w:pPr>
            <w:r>
              <w:rPr>
                <w:rFonts w:ascii="Arial" w:cs="Arial" w:eastAsia="Arial" w:hAnsi="Arial"/>
                <w:sz w:val="16"/>
                <w:szCs w:val="16"/>
                <w:b w:val="1"/>
                <w:bCs w:val="1"/>
                <w:color w:val="FFFFFF"/>
              </w:rPr>
              <w:t>Change in Underlying Index</w:t>
            </w:r>
          </w:p>
        </w:tc>
        <w:tc>
          <w:tcPr>
            <w:tcW w:w="2600" w:type="dxa"/>
            <w:vAlign w:val="bottom"/>
            <w:shd w:val="clear" w:color="auto" w:fill="296DC1"/>
          </w:tcPr>
          <w:p>
            <w:pPr>
              <w:jc w:val="center"/>
              <w:ind w:left="48"/>
              <w:spacing w:after="0"/>
              <w:rPr>
                <w:sz w:val="20"/>
                <w:szCs w:val="20"/>
                <w:color w:val="auto"/>
              </w:rPr>
            </w:pPr>
            <w:r>
              <w:rPr>
                <w:rFonts w:ascii="Arial" w:cs="Arial" w:eastAsia="Arial" w:hAnsi="Arial"/>
                <w:sz w:val="16"/>
                <w:szCs w:val="16"/>
                <w:b w:val="1"/>
                <w:bCs w:val="1"/>
                <w:color w:val="FFFFFF"/>
                <w:w w:val="99"/>
              </w:rPr>
              <w:t>Return on the Bear Market</w:t>
            </w:r>
          </w:p>
        </w:tc>
        <w:tc>
          <w:tcPr>
            <w:tcW w:w="0" w:type="dxa"/>
            <w:vAlign w:val="bottom"/>
          </w:tcPr>
          <w:p>
            <w:pPr>
              <w:spacing w:after="0"/>
              <w:rPr>
                <w:sz w:val="1"/>
                <w:szCs w:val="1"/>
                <w:color w:val="auto"/>
              </w:rPr>
            </w:pPr>
          </w:p>
        </w:tc>
      </w:tr>
      <w:tr>
        <w:trPr>
          <w:trHeight w:val="128"/>
        </w:trPr>
        <w:tc>
          <w:tcPr>
            <w:tcW w:w="2880" w:type="dxa"/>
            <w:vAlign w:val="bottom"/>
            <w:vMerge w:val="continue"/>
            <w:shd w:val="clear" w:color="auto" w:fill="296DC1"/>
          </w:tcPr>
          <w:p>
            <w:pPr>
              <w:spacing w:after="0"/>
              <w:rPr>
                <w:sz w:val="11"/>
                <w:szCs w:val="11"/>
                <w:color w:val="auto"/>
              </w:rPr>
            </w:pPr>
          </w:p>
        </w:tc>
        <w:tc>
          <w:tcPr>
            <w:tcW w:w="2600" w:type="dxa"/>
            <w:vAlign w:val="bottom"/>
            <w:vMerge w:val="restart"/>
            <w:shd w:val="clear" w:color="auto" w:fill="296DC1"/>
          </w:tcPr>
          <w:p>
            <w:pPr>
              <w:jc w:val="center"/>
              <w:ind w:left="28"/>
              <w:spacing w:after="0"/>
              <w:rPr>
                <w:sz w:val="20"/>
                <w:szCs w:val="20"/>
                <w:color w:val="auto"/>
              </w:rPr>
            </w:pPr>
            <w:r>
              <w:rPr>
                <w:rFonts w:ascii="Arial" w:cs="Arial" w:eastAsia="Arial" w:hAnsi="Arial"/>
                <w:sz w:val="16"/>
                <w:szCs w:val="16"/>
                <w:b w:val="1"/>
                <w:bCs w:val="1"/>
                <w:color w:val="FFFFFF"/>
              </w:rPr>
              <w:t>PLUS*</w:t>
            </w:r>
          </w:p>
        </w:tc>
        <w:tc>
          <w:tcPr>
            <w:tcW w:w="0" w:type="dxa"/>
            <w:vAlign w:val="bottom"/>
          </w:tcPr>
          <w:p>
            <w:pPr>
              <w:spacing w:after="0"/>
              <w:rPr>
                <w:sz w:val="1"/>
                <w:szCs w:val="1"/>
                <w:color w:val="auto"/>
              </w:rPr>
            </w:pPr>
          </w:p>
        </w:tc>
      </w:tr>
      <w:tr>
        <w:trPr>
          <w:trHeight w:val="107"/>
        </w:trPr>
        <w:tc>
          <w:tcPr>
            <w:tcW w:w="2880" w:type="dxa"/>
            <w:vAlign w:val="bottom"/>
            <w:tcBorders>
              <w:bottom w:val="single" w:sz="8" w:color="296DC1"/>
            </w:tcBorders>
            <w:shd w:val="clear" w:color="auto" w:fill="296DC1"/>
          </w:tcPr>
          <w:p>
            <w:pPr>
              <w:spacing w:after="0"/>
              <w:rPr>
                <w:sz w:val="9"/>
                <w:szCs w:val="9"/>
                <w:color w:val="auto"/>
              </w:rPr>
            </w:pPr>
          </w:p>
        </w:tc>
        <w:tc>
          <w:tcPr>
            <w:tcW w:w="2600" w:type="dxa"/>
            <w:vAlign w:val="bottom"/>
            <w:tcBorders>
              <w:bottom w:val="single" w:sz="8" w:color="296DC1"/>
            </w:tcBorders>
            <w:vMerge w:val="continue"/>
            <w:shd w:val="clear" w:color="auto" w:fill="296DC1"/>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rPr>
              <w:t>50.00%</w:t>
            </w:r>
          </w:p>
        </w:tc>
        <w:tc>
          <w:tcPr>
            <w:tcW w:w="2600" w:type="dxa"/>
            <w:vAlign w:val="bottom"/>
          </w:tcPr>
          <w:p>
            <w:pPr>
              <w:jc w:val="center"/>
              <w:ind w:lef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40.00%</w:t>
            </w:r>
          </w:p>
        </w:tc>
        <w:tc>
          <w:tcPr>
            <w:tcW w:w="260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rPr>
              <w:t>30.00%</w:t>
            </w:r>
          </w:p>
        </w:tc>
        <w:tc>
          <w:tcPr>
            <w:tcW w:w="2600" w:type="dxa"/>
            <w:vAlign w:val="bottom"/>
          </w:tcPr>
          <w:p>
            <w:pPr>
              <w:jc w:val="center"/>
              <w:ind w:left="2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20.00%</w:t>
            </w:r>
          </w:p>
        </w:tc>
        <w:tc>
          <w:tcPr>
            <w:tcW w:w="260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rPr>
              <w:t>10.00%</w:t>
            </w:r>
          </w:p>
        </w:tc>
        <w:tc>
          <w:tcPr>
            <w:tcW w:w="2600" w:type="dxa"/>
            <w:vAlign w:val="bottom"/>
          </w:tcPr>
          <w:p>
            <w:pPr>
              <w:jc w:val="center"/>
              <w:ind w:left="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5.00%</w:t>
            </w:r>
          </w:p>
        </w:tc>
        <w:tc>
          <w:tcPr>
            <w:tcW w:w="260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rPr>
              <w:t>1.00%</w:t>
            </w:r>
          </w:p>
        </w:tc>
        <w:tc>
          <w:tcPr>
            <w:tcW w:w="260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0.00%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w w:val="99"/>
              </w:rPr>
              <w:t>-1.00%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w w:val="99"/>
              </w:rPr>
              <w:t>-5.00%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w w:val="99"/>
              </w:rPr>
              <w:t>-10.00%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w w:val="99"/>
              </w:rPr>
              <w:t>-13.50%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w w:val="99"/>
              </w:rPr>
              <w:t>-20.00%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w w:val="99"/>
              </w:rPr>
              <w:t>-30.00%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w w:val="99"/>
              </w:rPr>
              <w:t>-40.00%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w w:val="99"/>
              </w:rPr>
              <w:t>-50.00%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tcPr>
          <w:p>
            <w:pPr>
              <w:jc w:val="center"/>
              <w:ind w:left="8"/>
              <w:spacing w:after="0"/>
              <w:rPr>
                <w:sz w:val="20"/>
                <w:szCs w:val="20"/>
                <w:color w:val="auto"/>
              </w:rPr>
            </w:pPr>
            <w:r>
              <w:rPr>
                <w:rFonts w:ascii="Arial" w:cs="Arial" w:eastAsia="Arial" w:hAnsi="Arial"/>
                <w:sz w:val="14"/>
                <w:szCs w:val="14"/>
                <w:color w:val="auto"/>
                <w:w w:val="99"/>
              </w:rPr>
              <w:t>-60.00%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60"/>
        </w:trPr>
        <w:tc>
          <w:tcPr>
            <w:tcW w:w="288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w w:val="99"/>
              </w:rPr>
              <w:t>-80.00%</w:t>
            </w:r>
          </w:p>
        </w:tc>
        <w:tc>
          <w:tcPr>
            <w:tcW w:w="260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89"/>
        </w:trPr>
        <w:tc>
          <w:tcPr>
            <w:tcW w:w="2880" w:type="dxa"/>
            <w:vAlign w:val="bottom"/>
          </w:tcPr>
          <w:p>
            <w:pPr>
              <w:jc w:val="center"/>
              <w:ind w:left="8"/>
              <w:spacing w:after="0"/>
              <w:rPr>
                <w:sz w:val="20"/>
                <w:szCs w:val="20"/>
                <w:color w:val="auto"/>
              </w:rPr>
            </w:pPr>
            <w:r>
              <w:rPr>
                <w:rFonts w:ascii="Arial" w:cs="Arial" w:eastAsia="Arial" w:hAnsi="Arial"/>
                <w:sz w:val="14"/>
                <w:szCs w:val="14"/>
                <w:color w:val="auto"/>
              </w:rPr>
              <w:t>-100.00%</w:t>
            </w:r>
          </w:p>
        </w:tc>
        <w:tc>
          <w:tcPr>
            <w:tcW w:w="2600" w:type="dxa"/>
            <w:vAlign w:val="bottom"/>
          </w:tcPr>
          <w:p>
            <w:pPr>
              <w:jc w:val="center"/>
              <w:ind w:left="4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2"/>
          <w:szCs w:val="12"/>
          <w:i w:val="1"/>
          <w:iCs w:val="1"/>
          <w:color w:val="auto"/>
        </w:rPr>
        <w:t>Assumes a maximum payment at maturity of 154.00% of the stated principal</w:t>
      </w:r>
      <w:r>
        <w:rPr>
          <w:rFonts w:ascii="Arial" w:cs="Arial" w:eastAsia="Arial" w:hAnsi="Arial"/>
          <w:sz w:val="14"/>
          <w:szCs w:val="14"/>
          <w:i w:val="1"/>
          <w:iCs w:val="1"/>
          <w:color w:val="auto"/>
        </w:rPr>
        <w:t xml:space="preserve"> amount</w:t>
      </w:r>
    </w:p>
    <w:p>
      <w:pPr>
        <w:sectPr>
          <w:pgSz w:w="11900" w:h="16838" w:orient="portrait"/>
          <w:cols w:equalWidth="0" w:num="2">
            <w:col w:w="5580" w:space="160"/>
            <w:col w:w="5500"/>
          </w:cols>
          <w:pgMar w:left="320" w:top="21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23" w:lineRule="exact"/>
        <w:rPr>
          <w:sz w:val="20"/>
          <w:szCs w:val="20"/>
          <w:color w:val="auto"/>
        </w:rPr>
      </w:pPr>
    </w:p>
    <w:p>
      <w:pPr>
        <w:spacing w:after="0"/>
        <w:rPr>
          <w:sz w:val="20"/>
          <w:szCs w:val="20"/>
          <w:color w:val="auto"/>
        </w:rPr>
      </w:pPr>
      <w:r>
        <w:rPr>
          <w:rFonts w:ascii="Arial" w:cs="Arial" w:eastAsia="Arial" w:hAnsi="Arial"/>
          <w:sz w:val="28"/>
          <w:szCs w:val="28"/>
          <w:color w:val="296DC1"/>
        </w:rPr>
        <w:t>1-Year SPX Bear Market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296DC1"/>
        </w:rPr>
        <w:t>Underlying Index</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index, including historical performance information, see the accompanying preliminary pricing supplement.</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68"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for additional information.</w:t>
      </w:r>
    </w:p>
    <w:p>
      <w:pPr>
        <w:spacing w:after="0" w:line="227" w:lineRule="auto"/>
        <w:rPr>
          <w:sz w:val="20"/>
          <w:szCs w:val="20"/>
          <w:color w:val="auto"/>
        </w:rPr>
      </w:pPr>
      <w:r>
        <w:rPr>
          <w:rFonts w:ascii="Arial" w:cs="Arial" w:eastAsia="Arial" w:hAnsi="Arial"/>
          <w:sz w:val="18"/>
          <w:szCs w:val="18"/>
          <w:color w:val="296DC1"/>
        </w:rPr>
        <w:t>Risks Relating to the Bear Market PLUS Generally</w:t>
      </w:r>
    </w:p>
    <w:p>
      <w:pPr>
        <w:ind w:left="320" w:hanging="313"/>
        <w:spacing w:after="0" w:line="182" w:lineRule="auto"/>
        <w:tabs>
          <w:tab w:leader="none" w:pos="320" w:val="left"/>
        </w:tabs>
        <w:numPr>
          <w:ilvl w:val="0"/>
          <w:numId w:val="1"/>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Bear Market PLUS do not pay interest or guarantee the return of any principal and your investment in the Bear Market PLUS may result in a loss.</w:t>
      </w:r>
    </w:p>
    <w:p>
      <w:pPr>
        <w:spacing w:after="0" w:line="32" w:lineRule="exact"/>
        <w:rPr>
          <w:rFonts w:ascii="Wingdings" w:cs="Wingdings" w:eastAsia="Wingdings" w:hAnsi="Wingdings"/>
          <w:sz w:val="24"/>
          <w:szCs w:val="24"/>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Bear Market PLUS provide bearish exposure to the underlying index.</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appreciation potential of the Bear Market PLUS is limited by the maximum payment at maturity.</w:t>
      </w:r>
    </w:p>
    <w:p>
      <w:pPr>
        <w:spacing w:after="0" w:line="32" w:lineRule="exact"/>
        <w:rPr>
          <w:rFonts w:ascii="Wingdings" w:cs="Wingdings" w:eastAsia="Wingdings" w:hAnsi="Wingdings"/>
          <w:sz w:val="23"/>
          <w:szCs w:val="23"/>
          <w:b w:val="1"/>
          <w:bCs w:val="1"/>
          <w:color w:val="A3C4EB"/>
          <w:vertAlign w:val="subscript"/>
        </w:rPr>
      </w:pPr>
    </w:p>
    <w:p>
      <w:pPr>
        <w:ind w:left="320" w:right="80" w:hanging="313"/>
        <w:spacing w:after="0" w:line="185" w:lineRule="auto"/>
        <w:tabs>
          <w:tab w:leader="none" w:pos="320" w:val="left"/>
        </w:tabs>
        <w:numPr>
          <w:ilvl w:val="0"/>
          <w:numId w:val="1"/>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Bear Market PLUS are subject to the credit risks of JPMorgan Financial and JPMorgan Chase &amp; Co., and any actual or anticipated changes to our or JPMorgan Chase &amp; Co.’s credit ratings or credit spreads may adversely affect the market value of the Bear Market PLUS.</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trading may be limited.</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final terms and estimated valuation of the Bear Market PLUS will be provided in the pricing supplement.</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tax consequences of an investment in the Bear Market PLUS are uncertain.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20" w:right="200" w:hanging="313"/>
        <w:spacing w:after="0" w:line="180" w:lineRule="auto"/>
        <w:tabs>
          <w:tab w:leader="none" w:pos="320" w:val="left"/>
        </w:tabs>
        <w:numPr>
          <w:ilvl w:val="0"/>
          <w:numId w:val="2"/>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Bear Market PLUS and other affiliates of the issuer may be different from those of investors.</w:t>
      </w:r>
    </w:p>
    <w:p>
      <w:pPr>
        <w:spacing w:after="0" w:line="1" w:lineRule="exact"/>
        <w:rPr>
          <w:rFonts w:ascii="Wingdings" w:cs="Wingdings" w:eastAsia="Wingdings" w:hAnsi="Wingdings"/>
          <w:sz w:val="31"/>
          <w:szCs w:val="31"/>
          <w:b w:val="1"/>
          <w:bCs w:val="1"/>
          <w:color w:val="A3C4EB"/>
          <w:vertAlign w:val="subscript"/>
        </w:rPr>
      </w:pPr>
    </w:p>
    <w:p>
      <w:pPr>
        <w:ind w:left="320" w:hanging="313"/>
        <w:spacing w:after="0" w:line="183" w:lineRule="auto"/>
        <w:tabs>
          <w:tab w:leader="none" w:pos="320" w:val="left"/>
        </w:tabs>
        <w:numPr>
          <w:ilvl w:val="0"/>
          <w:numId w:val="2"/>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Bear Market PLUS.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Bear Market PLUS</w:t>
      </w:r>
    </w:p>
    <w:p>
      <w:pPr>
        <w:ind w:left="320" w:hanging="313"/>
        <w:spacing w:after="0" w:line="186" w:lineRule="auto"/>
        <w:tabs>
          <w:tab w:leader="none" w:pos="32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Bear Market PLUS will be lower than the original issue price (price to public) of the Bear Market PLUS.</w:t>
      </w:r>
    </w:p>
    <w:p>
      <w:pPr>
        <w:spacing w:after="0" w:line="28" w:lineRule="exact"/>
        <w:rPr>
          <w:rFonts w:ascii="Wingdings" w:cs="Wingdings" w:eastAsia="Wingdings" w:hAnsi="Wingdings"/>
          <w:sz w:val="24"/>
          <w:szCs w:val="24"/>
          <w:b w:val="1"/>
          <w:bCs w:val="1"/>
          <w:color w:val="A3C4EB"/>
          <w:vertAlign w:val="subscript"/>
        </w:rPr>
      </w:pPr>
    </w:p>
    <w:p>
      <w:pPr>
        <w:ind w:left="320" w:hanging="313"/>
        <w:spacing w:after="0" w:line="183"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Bear Market PLUS does not represent future values of the Bear Market PLUS and may differ from others’ estimates.</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Bear Market PLUS is derived by reference to an internal funding rate.</w:t>
      </w:r>
    </w:p>
    <w:p>
      <w:pPr>
        <w:spacing w:after="0" w:line="32" w:lineRule="exact"/>
        <w:rPr>
          <w:rFonts w:ascii="Wingdings" w:cs="Wingdings" w:eastAsia="Wingdings" w:hAnsi="Wingdings"/>
          <w:sz w:val="23"/>
          <w:szCs w:val="23"/>
          <w:b w:val="1"/>
          <w:bCs w:val="1"/>
          <w:color w:val="A3C4EB"/>
          <w:vertAlign w:val="subscript"/>
        </w:rPr>
      </w:pPr>
    </w:p>
    <w:p>
      <w:pPr>
        <w:ind w:left="320" w:right="220" w:hanging="313"/>
        <w:spacing w:after="0" w:line="185" w:lineRule="auto"/>
        <w:tabs>
          <w:tab w:leader="none" w:pos="32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Bear Market PLUS as published by J.P. Morgan Securities LLC (and which may be reflected on customer account statements) may be higher than the then-current estimated value of the Bear Market PLUS for a limited time period.</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7"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market prices of the Bear Market PLUS will likely be lower than the original issue price of the Bear Market PLUS.</w:t>
      </w:r>
    </w:p>
    <w:p>
      <w:pPr>
        <w:spacing w:after="0" w:line="19" w:lineRule="exact"/>
        <w:rPr>
          <w:rFonts w:ascii="Wingdings" w:cs="Wingdings" w:eastAsia="Wingdings" w:hAnsi="Wingdings"/>
          <w:sz w:val="23"/>
          <w:szCs w:val="23"/>
          <w:b w:val="1"/>
          <w:bCs w:val="1"/>
          <w:color w:val="A3C4EB"/>
          <w:vertAlign w:val="subscript"/>
        </w:rPr>
      </w:pPr>
    </w:p>
    <w:p>
      <w:pPr>
        <w:ind w:left="320" w:hanging="313"/>
        <w:spacing w:after="0" w:line="186" w:lineRule="auto"/>
        <w:tabs>
          <w:tab w:leader="none" w:pos="32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3"/>
          <w:szCs w:val="13"/>
          <w:color w:val="auto"/>
        </w:rPr>
        <w:t xml:space="preserve">Secondary market prices of the </w:t>
      </w:r>
      <w:r>
        <w:rPr>
          <w:rFonts w:ascii="Arial" w:cs="Arial" w:eastAsia="Arial" w:hAnsi="Arial"/>
          <w:sz w:val="12"/>
          <w:szCs w:val="12"/>
          <w:color w:val="auto"/>
        </w:rPr>
        <w:t>Bear Market PLUS</w:t>
      </w:r>
      <w:r>
        <w:rPr>
          <w:rFonts w:ascii="Arial" w:cs="Arial" w:eastAsia="Arial" w:hAnsi="Arial"/>
          <w:sz w:val="13"/>
          <w:szCs w:val="13"/>
          <w:color w:val="auto"/>
        </w:rPr>
        <w:t xml:space="preserve"> will be impacted by many economic and market factors.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Index</w:t>
      </w:r>
    </w:p>
    <w:p>
      <w:pPr>
        <w:ind w:left="320" w:hanging="313"/>
        <w:spacing w:after="0" w:line="181" w:lineRule="auto"/>
        <w:tabs>
          <w:tab w:leader="none" w:pos="32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underlying index.</w:t>
      </w:r>
    </w:p>
    <w:p>
      <w:pPr>
        <w:spacing w:after="0" w:line="32" w:lineRule="exact"/>
        <w:rPr>
          <w:rFonts w:ascii="Wingdings" w:cs="Wingdings" w:eastAsia="Wingdings" w:hAnsi="Wingdings"/>
          <w:sz w:val="24"/>
          <w:szCs w:val="24"/>
          <w:b w:val="1"/>
          <w:bCs w:val="1"/>
          <w:color w:val="A3C4EB"/>
          <w:vertAlign w:val="subscript"/>
        </w:rPr>
      </w:pPr>
    </w:p>
    <w:p>
      <w:pPr>
        <w:ind w:left="320" w:hanging="313"/>
        <w:spacing w:after="0" w:line="183" w:lineRule="auto"/>
        <w:tabs>
          <w:tab w:leader="none" w:pos="320" w:val="left"/>
        </w:tabs>
        <w:numPr>
          <w:ilvl w:val="0"/>
          <w:numId w:val="4"/>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Investing in the Bear Market PLUS is not equivalent to investing in or taking a short position in the underlying index.</w:t>
      </w:r>
    </w:p>
    <w:p>
      <w:pPr>
        <w:spacing w:after="0" w:line="32"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4"/>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Adjustments to the underlying index could adversely affect the value of the Bear Market PLUS.</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68"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You should review carefully the discussion in the accompanying preliminary pricing supplement under “Additional Information about the Bear Market PLUS — Tax considerations” concerning the U.S. federal income tax consequences of an investment in the Bear Market PLUS,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-847090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4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png"/><Relationship Id="rId10" Type="http://schemas.openxmlformats.org/officeDocument/2006/relationships/hyperlink" Target="http://www.sec.gov/Archives/edgar/data/19617/000121390026112352/ea0309641-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2026-10-26T12:26:54Z</dcterms:created>
  <dcterms:modified xsi:type="dcterms:W3CDTF">2026-10-26T12:26:54Z</dcterms:modified>
</cp:coreProperties>
</file>