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297343-01_fwp.htm"/>
      <w:bookmarkStart w:id="1" w:name="ksea029734301_fwp"/>
      <w:bookmarkStart w:id="2" w:name="ea0297343-01_fwp.htm"/>
      <w:bookmarkStart w:id="3" w:name="ksea029734301_fwp"/>
      <w:bookmarkEnd w:id="2"/>
      <w:bookmarkEnd w:id="3"/>
    </w:p>
    <w:tbl>
      <w:tblPr>
        <w:tblW w:w="10205" w:type="dxa"/>
        <w:jc w:val="left"/>
        <w:tblInd w:w="0" w:type="dxa"/>
        <w:tblLayout w:type="fixed"/>
        <w:tblCellMar>
          <w:top w:w="0" w:type="dxa"/>
          <w:left w:w="0" w:type="dxa"/>
          <w:bottom w:w="0" w:type="dxa"/>
          <w:right w:w="0" w:type="dxa"/>
        </w:tblCellMar>
      </w:tblPr>
      <w:tblGrid>
        <w:gridCol w:w="6148"/>
        <w:gridCol w:w="4057"/>
      </w:tblGrid>
      <w:tr>
        <w:trPr/>
        <w:tc>
          <w:tcPr>
            <w:tcW w:w="6148" w:type="dxa"/>
            <w:vMerge w:val="restart"/>
            <w:tcBorders/>
            <w:vAlign w:val="center"/>
          </w:tcPr>
          <w:p>
            <w:pPr>
              <w:pStyle w:val="TableContents"/>
              <w:bidi w:val="0"/>
              <w:spacing w:before="0" w:after="6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spacing w:before="0" w:after="6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4057"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 333-293684-01</w:t>
            </w:r>
          </w:p>
        </w:tc>
      </w:tr>
      <w:tr>
        <w:trPr/>
        <w:tc>
          <w:tcPr>
            <w:tcW w:w="6148" w:type="dxa"/>
            <w:vMerge w:val="continue"/>
            <w:tcBorders/>
            <w:vAlign w:val="center"/>
          </w:tcPr>
          <w:p>
            <w:pPr>
              <w:pStyle w:val="Normal"/>
              <w:bidi w:val="0"/>
              <w:jc w:val="left"/>
              <w:rPr/>
            </w:pPr>
            <w:r>
              <w:rPr/>
            </w:r>
          </w:p>
        </w:tc>
        <w:tc>
          <w:tcPr>
            <w:tcW w:w="4057"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1743075"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333375"/>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120" w:after="60"/>
              <w:ind w:left="120" w:right="1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 — Leveraged Upside Participation and Contingent Downside</w:t>
            </w:r>
          </w:p>
          <w:p>
            <w:pPr>
              <w:pStyle w:val="TableContents"/>
              <w:bidi w:val="0"/>
              <w:spacing w:before="0" w:after="6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Lowest Performing of the EURO STOXX 50</w:t>
            </w:r>
            <w:r>
              <w:rPr>
                <w:rFonts w:ascii="Verdana;Helvetica;Sans-Serif" w:hAnsi="Verdana;Helvetica;Sans-Serif"/>
                <w:b w:val="false"/>
                <w:i w:val="false"/>
                <w:caps w:val="false"/>
                <w:smallCaps w:val="false"/>
                <w:color w:val="FFFFFF"/>
                <w:position w:val="7"/>
                <w:sz w:val="16"/>
                <w:sz w:val="20"/>
              </w:rPr>
              <w:t>®</w:t>
            </w:r>
            <w:r>
              <w:rPr>
                <w:rFonts w:ascii="Verdana;Helvetica;Sans-Serif" w:hAnsi="Verdana;Helvetica;Sans-Serif"/>
                <w:b w:val="false"/>
                <w:i w:val="false"/>
                <w:caps w:val="false"/>
                <w:smallCaps w:val="false"/>
                <w:color w:val="FFFFFF"/>
                <w:sz w:val="20"/>
              </w:rPr>
              <w:t xml:space="preserve"> Index, the STOXX</w:t>
            </w:r>
            <w:r>
              <w:rPr>
                <w:rFonts w:ascii="Verdana;Helvetica;Sans-Serif" w:hAnsi="Verdana;Helvetica;Sans-Serif"/>
                <w:b w:val="false"/>
                <w:i w:val="false"/>
                <w:caps w:val="false"/>
                <w:smallCaps w:val="false"/>
                <w:color w:val="FFFFFF"/>
                <w:position w:val="7"/>
                <w:sz w:val="16"/>
                <w:sz w:val="20"/>
              </w:rPr>
              <w:t>®</w:t>
            </w:r>
            <w:r>
              <w:rPr>
                <w:rFonts w:ascii="Verdana;Helvetica;Sans-Serif" w:hAnsi="Verdana;Helvetica;Sans-Serif"/>
                <w:b w:val="false"/>
                <w:i w:val="false"/>
                <w:caps w:val="false"/>
                <w:smallCaps w:val="false"/>
                <w:color w:val="FFFFFF"/>
                <w:sz w:val="20"/>
              </w:rPr>
              <w:t xml:space="preserve"> Europe 600 Index and the iShares</w:t>
            </w:r>
            <w:r>
              <w:rPr>
                <w:rFonts w:ascii="Verdana;Helvetica;Sans-Serif" w:hAnsi="Verdana;Helvetica;Sans-Serif"/>
                <w:b w:val="false"/>
                <w:i w:val="false"/>
                <w:caps w:val="false"/>
                <w:smallCaps w:val="false"/>
                <w:color w:val="FFFFFF"/>
                <w:position w:val="7"/>
                <w:sz w:val="16"/>
                <w:sz w:val="20"/>
              </w:rPr>
              <w:t>®</w:t>
            </w:r>
            <w:r>
              <w:rPr>
                <w:rFonts w:ascii="Verdana;Helvetica;Sans-Serif" w:hAnsi="Verdana;Helvetica;Sans-Serif"/>
                <w:b w:val="false"/>
                <w:i w:val="false"/>
                <w:caps w:val="false"/>
                <w:smallCaps w:val="false"/>
                <w:color w:val="FFFFFF"/>
                <w:sz w:val="20"/>
              </w:rPr>
              <w:t xml:space="preserve"> MSCI EAFE ETF due July 22, 2032</w:t>
            </w:r>
          </w:p>
          <w:p>
            <w:pPr>
              <w:pStyle w:val="TableContents"/>
              <w:bidi w:val="0"/>
              <w:spacing w:before="0" w:after="12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July 7, 2026 to Preliminary Pricing Supplement dated July 7, 2026</w:t>
            </w:r>
          </w:p>
        </w:tc>
      </w:tr>
    </w:tbl>
    <w:p>
      <w:pPr>
        <w:pStyle w:val="TextBody"/>
        <w:bidi w:val="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852025"/>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852025"/>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90"/>
                              <w:gridCol w:w="8615"/>
                            </w:tblGrid>
                            <w:tr>
                              <w:trPr/>
                              <w:tc>
                                <w:tcPr>
                                  <w:tcW w:w="15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C0.</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Underlyings:</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EURO STOXX 50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SX5E) and the STOXX</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Europe 600 Index (Bloomberg ticker: SXXP) (each referred to as an “</w:t>
                                  </w:r>
                                  <w:r>
                                    <w:rPr>
                                      <w:rFonts w:ascii="Georgia;Times;Serif" w:hAnsi="Georgia;Times;Serif"/>
                                      <w:b w:val="false"/>
                                      <w:i w:val="false"/>
                                      <w:caps w:val="false"/>
                                      <w:smallCaps w:val="false"/>
                                      <w:sz w:val="16"/>
                                      <w:u w:val="single"/>
                                    </w:rPr>
                                    <w:t>Index</w:t>
                                  </w:r>
                                  <w:r>
                                    <w:rPr>
                                      <w:rFonts w:ascii="Georgia;Times;Serif" w:hAnsi="Georgia;Times;Serif"/>
                                      <w:b w:val="false"/>
                                      <w:i w:val="false"/>
                                      <w:caps w:val="false"/>
                                      <w:smallCaps w:val="false"/>
                                      <w:sz w:val="16"/>
                                    </w:rPr>
                                    <w:t>,” and collectively as the “</w:t>
                                  </w:r>
                                  <w:r>
                                    <w:rPr>
                                      <w:rFonts w:ascii="Georgia;Times;Serif" w:hAnsi="Georgia;Times;Serif"/>
                                      <w:b w:val="false"/>
                                      <w:i w:val="false"/>
                                      <w:caps w:val="false"/>
                                      <w:smallCaps w:val="false"/>
                                      <w:sz w:val="16"/>
                                      <w:u w:val="single"/>
                                    </w:rPr>
                                    <w:t>Indices</w:t>
                                  </w:r>
                                  <w:r>
                                    <w:rPr>
                                      <w:rFonts w:ascii="Georgia;Times;Serif" w:hAnsi="Georgia;Times;Serif"/>
                                      <w:b w:val="false"/>
                                      <w:i w:val="false"/>
                                      <w:caps w:val="false"/>
                                      <w:smallCaps w:val="false"/>
                                      <w:sz w:val="16"/>
                                    </w:rPr>
                                    <w:t>”) and the iShares</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MSCI EAFE ETF (Bloomberg ticker: EFA) (referred to as the “</w:t>
                                  </w:r>
                                  <w:r>
                                    <w:rPr>
                                      <w:rFonts w:ascii="Georgia;Times;Serif" w:hAnsi="Georgia;Times;Serif"/>
                                      <w:b w:val="false"/>
                                      <w:i w:val="false"/>
                                      <w:caps w:val="false"/>
                                      <w:smallCaps w:val="false"/>
                                      <w:sz w:val="16"/>
                                      <w:u w:val="single"/>
                                    </w:rPr>
                                    <w:t>Fund</w:t>
                                  </w:r>
                                  <w:r>
                                    <w:rPr>
                                      <w:rFonts w:ascii="Georgia;Times;Serif" w:hAnsi="Georgia;Times;Serif"/>
                                      <w:b w:val="false"/>
                                      <w:i w:val="false"/>
                                      <w:caps w:val="false"/>
                                      <w:smallCaps w:val="false"/>
                                      <w:sz w:val="16"/>
                                    </w:rPr>
                                    <w:t>,” and collectively with the Indices, as the “</w:t>
                                  </w:r>
                                  <w:r>
                                    <w:rPr>
                                      <w:rFonts w:ascii="Georgia;Times;Serif" w:hAnsi="Georgia;Times;Serif"/>
                                      <w:b w:val="false"/>
                                      <w:i w:val="false"/>
                                      <w:caps w:val="false"/>
                                      <w:smallCaps w:val="false"/>
                                      <w:sz w:val="16"/>
                                      <w:u w:val="single"/>
                                    </w:rPr>
                                    <w:t>Underlyings</w:t>
                                  </w:r>
                                  <w:r>
                                    <w:rPr>
                                      <w:rFonts w:ascii="Georgia;Times;Serif" w:hAnsi="Georgia;Times;Serif"/>
                                      <w:b w:val="false"/>
                                      <w:i w:val="false"/>
                                      <w:caps w:val="false"/>
                                      <w:smallCaps w:val="false"/>
                                      <w:sz w:val="16"/>
                                    </w:rPr>
                                    <w:t>”)</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July 17, 2026</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July 22, 2026</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July 19, 2032</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July 22, 2032</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40"/>
                                    <w:ind w:left="130" w:right="0" w:hanging="14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If the ending value of the lowest performing Underlying is greater than its starting value:</w:t>
                                  </w:r>
                                </w:p>
                                <w:p>
                                  <w:pPr>
                                    <w:pStyle w:val="TableContents"/>
                                    <w:bidi w:val="0"/>
                                    <w:ind w:left="346" w:right="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underlying return of the lowest performing Underlying × upside participation rate);</w:t>
                                  </w:r>
                                </w:p>
                                <w:p>
                                  <w:pPr>
                                    <w:pStyle w:val="TableContents"/>
                                    <w:bidi w:val="0"/>
                                    <w:ind w:left="130" w:right="0" w:hanging="14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If the ending value of the lowest performing Underlying is less than or equal to its starting value, but greater than or equal to its threshold value: $1,000; or</w:t>
                                  </w:r>
                                </w:p>
                                <w:p>
                                  <w:pPr>
                                    <w:pStyle w:val="TableContents"/>
                                    <w:bidi w:val="0"/>
                                    <w:ind w:left="130" w:right="0" w:hanging="14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value of the lowest performing Underlying is less than its threshold value: </w:t>
                                  </w:r>
                                </w:p>
                                <w:p>
                                  <w:pPr>
                                    <w:pStyle w:val="TableContents"/>
                                    <w:bidi w:val="0"/>
                                    <w:spacing w:before="0" w:after="283"/>
                                    <w:ind w:left="346" w:right="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underlying return of the lowest performing Underlying)</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Underlying with the lowest underlying return</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Upside Participation Rate:</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252.00% (to be provided in the pricing supplement)</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Value:</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its closing value on the pricing date</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Value:</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its closing value on the calculation day</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Value:</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For each Underlying, 70% of its starting value </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Return:</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(ending value – starting value) / starting value</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46661CPD2</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4.37 %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3.50% of WFS’s fee, and WFA may also receive a distribution expense fee of 0.12%.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7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90"/>
                        <w:gridCol w:w="8615"/>
                      </w:tblGrid>
                      <w:tr>
                        <w:trPr/>
                        <w:tc>
                          <w:tcPr>
                            <w:tcW w:w="15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C0.</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Underlyings:</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EURO STOXX 50</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Index (Bloomberg ticker: SX5E) and the STOXX</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Europe 600 Index (Bloomberg ticker: SXXP) (each referred to as an “</w:t>
                            </w:r>
                            <w:r>
                              <w:rPr>
                                <w:rFonts w:ascii="Georgia;Times;Serif" w:hAnsi="Georgia;Times;Serif"/>
                                <w:b w:val="false"/>
                                <w:i w:val="false"/>
                                <w:caps w:val="false"/>
                                <w:smallCaps w:val="false"/>
                                <w:sz w:val="16"/>
                                <w:u w:val="single"/>
                              </w:rPr>
                              <w:t>Index</w:t>
                            </w:r>
                            <w:r>
                              <w:rPr>
                                <w:rFonts w:ascii="Georgia;Times;Serif" w:hAnsi="Georgia;Times;Serif"/>
                                <w:b w:val="false"/>
                                <w:i w:val="false"/>
                                <w:caps w:val="false"/>
                                <w:smallCaps w:val="false"/>
                                <w:sz w:val="16"/>
                              </w:rPr>
                              <w:t>,” and collectively as the “</w:t>
                            </w:r>
                            <w:r>
                              <w:rPr>
                                <w:rFonts w:ascii="Georgia;Times;Serif" w:hAnsi="Georgia;Times;Serif"/>
                                <w:b w:val="false"/>
                                <w:i w:val="false"/>
                                <w:caps w:val="false"/>
                                <w:smallCaps w:val="false"/>
                                <w:sz w:val="16"/>
                                <w:u w:val="single"/>
                              </w:rPr>
                              <w:t>Indices</w:t>
                            </w:r>
                            <w:r>
                              <w:rPr>
                                <w:rFonts w:ascii="Georgia;Times;Serif" w:hAnsi="Georgia;Times;Serif"/>
                                <w:b w:val="false"/>
                                <w:i w:val="false"/>
                                <w:caps w:val="false"/>
                                <w:smallCaps w:val="false"/>
                                <w:sz w:val="16"/>
                              </w:rPr>
                              <w:t>”) and the iShares</w:t>
                            </w:r>
                            <w:r>
                              <w:rPr>
                                <w:rFonts w:ascii="Georgia;Times;Serif" w:hAnsi="Georgia;Times;Serif"/>
                                <w:b w:val="false"/>
                                <w:i w:val="false"/>
                                <w:caps w:val="false"/>
                                <w:smallCaps w:val="false"/>
                                <w:position w:val="5"/>
                                <w:sz w:val="13"/>
                                <w:sz w:val="16"/>
                              </w:rPr>
                              <w:t>®</w:t>
                            </w:r>
                            <w:r>
                              <w:rPr>
                                <w:rFonts w:ascii="Georgia;Times;Serif" w:hAnsi="Georgia;Times;Serif"/>
                                <w:b w:val="false"/>
                                <w:i w:val="false"/>
                                <w:caps w:val="false"/>
                                <w:smallCaps w:val="false"/>
                                <w:sz w:val="16"/>
                              </w:rPr>
                              <w:t xml:space="preserve"> MSCI EAFE ETF (Bloomberg ticker: EFA) (referred to as the “</w:t>
                            </w:r>
                            <w:r>
                              <w:rPr>
                                <w:rFonts w:ascii="Georgia;Times;Serif" w:hAnsi="Georgia;Times;Serif"/>
                                <w:b w:val="false"/>
                                <w:i w:val="false"/>
                                <w:caps w:val="false"/>
                                <w:smallCaps w:val="false"/>
                                <w:sz w:val="16"/>
                                <w:u w:val="single"/>
                              </w:rPr>
                              <w:t>Fund</w:t>
                            </w:r>
                            <w:r>
                              <w:rPr>
                                <w:rFonts w:ascii="Georgia;Times;Serif" w:hAnsi="Georgia;Times;Serif"/>
                                <w:b w:val="false"/>
                                <w:i w:val="false"/>
                                <w:caps w:val="false"/>
                                <w:smallCaps w:val="false"/>
                                <w:sz w:val="16"/>
                              </w:rPr>
                              <w:t>,” and collectively with the Indices, as the “</w:t>
                            </w:r>
                            <w:r>
                              <w:rPr>
                                <w:rFonts w:ascii="Georgia;Times;Serif" w:hAnsi="Georgia;Times;Serif"/>
                                <w:b w:val="false"/>
                                <w:i w:val="false"/>
                                <w:caps w:val="false"/>
                                <w:smallCaps w:val="false"/>
                                <w:sz w:val="16"/>
                                <w:u w:val="single"/>
                              </w:rPr>
                              <w:t>Underlyings</w:t>
                            </w:r>
                            <w:r>
                              <w:rPr>
                                <w:rFonts w:ascii="Georgia;Times;Serif" w:hAnsi="Georgia;Times;Serif"/>
                                <w:b w:val="false"/>
                                <w:i w:val="false"/>
                                <w:caps w:val="false"/>
                                <w:smallCaps w:val="false"/>
                                <w:sz w:val="16"/>
                              </w:rPr>
                              <w:t>”)</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July 17, 2026</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July 22, 2026</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July 19, 2032</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July 22, 2032</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40"/>
                              <w:ind w:left="130" w:right="0" w:hanging="14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If the ending value of the lowest performing Underlying is greater than its starting value:</w:t>
                            </w:r>
                          </w:p>
                          <w:p>
                            <w:pPr>
                              <w:pStyle w:val="TableContents"/>
                              <w:bidi w:val="0"/>
                              <w:ind w:left="346" w:right="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underlying return of the lowest performing Underlying × upside participation rate);</w:t>
                            </w:r>
                          </w:p>
                          <w:p>
                            <w:pPr>
                              <w:pStyle w:val="TableContents"/>
                              <w:bidi w:val="0"/>
                              <w:ind w:left="130" w:right="0" w:hanging="14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If the ending value of the lowest performing Underlying is less than or equal to its starting value, but greater than or equal to its threshold value: $1,000; or</w:t>
                            </w:r>
                          </w:p>
                          <w:p>
                            <w:pPr>
                              <w:pStyle w:val="TableContents"/>
                              <w:bidi w:val="0"/>
                              <w:ind w:left="130" w:right="0" w:hanging="14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value of the lowest performing Underlying is less than its threshold value: </w:t>
                            </w:r>
                          </w:p>
                          <w:p>
                            <w:pPr>
                              <w:pStyle w:val="TableContents"/>
                              <w:bidi w:val="0"/>
                              <w:spacing w:before="0" w:after="283"/>
                              <w:ind w:left="346" w:right="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underlying return of the lowest performing Underlying)</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Underlying with the lowest underlying return</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Upside Participation Rate:</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252.00% (to be provided in the pricing supplement)</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Value:</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its closing value on the pricing date</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Value:</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its closing value on the calculation day</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Value:</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For each Underlying, 70% of its starting value </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Return:</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(ending value – starting value) / starting value</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46661CPD2</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4.37 %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3.50% of WFS’s fee, and WFA may also receive a distribution expense fee of 0.12%.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5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6532880"/>
                <wp:effectExtent l="0" t="0" r="0" b="0"/>
                <wp:wrapSquare wrapText="left"/>
                <wp:docPr id="3" name="Frame2"/>
                <a:graphic xmlns:a="http://schemas.openxmlformats.org/drawingml/2006/main">
                  <a:graphicData uri="http://schemas.microsoft.com/office/word/2010/wordprocessingShape">
                    <wps:wsp>
                      <wps:cNvSpPr txBox="1"/>
                      <wps:spPr>
                        <a:xfrm>
                          <a:off x="0" y="0"/>
                          <a:ext cx="3175000" cy="653288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jc w:val="center"/>
                              <w:rPr>
                                <w:caps w:val="false"/>
                                <w:smallCaps w:val="false"/>
                              </w:rPr>
                            </w:pPr>
                            <w:r>
                              <w:rPr>
                                <w:caps w:val="false"/>
                                <w:smallCaps w:val="false"/>
                              </w:rPr>
                              <w:drawing>
                                <wp:inline distT="0" distB="0" distL="0" distR="0">
                                  <wp:extent cx="3219450" cy="19621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219450" cy="1962150"/>
                                          </a:xfrm>
                                          <a:prstGeom prst="rect">
                                            <a:avLst/>
                                          </a:prstGeom>
                                        </pic:spPr>
                                      </pic:pic>
                                    </a:graphicData>
                                  </a:graphic>
                                </wp:inline>
                              </w:drawing>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an upside participation rate equal to the minimum upside participation rate</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value of the lowest performing Underlying is less than its threshold value, you will have full downside exposure to the decrease in the value of that Underlying from its starting value and you will lose more than 30%, and possibly all, of the principal amount of your securities at maturity.</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$934.80 per security. The estimated value of the securities, when the terms of the securities are set, will be provided in the pricing supplement and will not be less than $900.00 per security. See “The Estimated Value of the Securities” in the preliminary pricing supplement for additional information.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pPr>
                            <w:r>
                              <w:rPr>
                                <w:rFonts w:ascii="Georgia;Times;Serif" w:hAnsi="Georgia;Times;Serif"/>
                                <w:b w:val="false"/>
                                <w:i w:val="false"/>
                                <w:caps w:val="false"/>
                                <w:smallCaps w:val="false"/>
                                <w:sz w:val="16"/>
                              </w:rPr>
                              <w:t>Preliminary Pricing Supplement:</w:t>
                              <w:br/>
                            </w:r>
                            <w:hyperlink r:id="rId4">
                              <w:r>
                                <w:rPr>
                                  <w:rStyle w:val="InternetLink"/>
                                  <w:rFonts w:ascii="Georgia;Times;Serif" w:hAnsi="Georgia;Times;Serif"/>
                                  <w:b w:val="false"/>
                                  <w:i w:val="false"/>
                                  <w:caps w:val="false"/>
                                  <w:smallCaps w:val="false"/>
                                  <w:sz w:val="16"/>
                                </w:rPr>
                                <w:t>http://www.sec.gov/Archives/edgar/data/19617/000121390026076047/</w:t>
                                <w:br/>
                                <w:t>ea0297299-01_424b2.htm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14.4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jc w:val="center"/>
                        <w:rPr>
                          <w:caps w:val="false"/>
                          <w:smallCaps w:val="false"/>
                        </w:rPr>
                      </w:pPr>
                      <w:r>
                        <w:rPr>
                          <w:caps w:val="false"/>
                          <w:smallCaps w:val="false"/>
                        </w:rPr>
                        <w:drawing>
                          <wp:inline distT="0" distB="0" distL="0" distR="0">
                            <wp:extent cx="3219450" cy="19621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219450" cy="1962150"/>
                                    </a:xfrm>
                                    <a:prstGeom prst="rect">
                                      <a:avLst/>
                                    </a:prstGeom>
                                  </pic:spPr>
                                </pic:pic>
                              </a:graphicData>
                            </a:graphic>
                          </wp:inline>
                        </w:drawing>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an upside participation rate equal to the minimum upside participation rate</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value of the lowest performing Underlying is less than its threshold value, you will have full downside exposure to the decrease in the value of that Underlying from its starting value and you will lose more than 30%, and possibly all, of the principal amount of your securities at maturity.</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$934.80 per security. The estimated value of the securities, when the terms of the securities are set, will be provided in the pricing supplement and will not be less than $900.00 per security. See “The Estimated Value of the Securities” in the preliminary pricing supplement for additional information.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pPr>
                      <w:r>
                        <w:rPr>
                          <w:rFonts w:ascii="Georgia;Times;Serif" w:hAnsi="Georgia;Times;Serif"/>
                          <w:b w:val="false"/>
                          <w:i w:val="false"/>
                          <w:caps w:val="false"/>
                          <w:smallCaps w:val="false"/>
                          <w:sz w:val="16"/>
                        </w:rPr>
                        <w:t>Preliminary Pricing Supplement:</w:t>
                        <w:br/>
                      </w:r>
                      <w:hyperlink r:id="rId6">
                        <w:r>
                          <w:rPr>
                            <w:rStyle w:val="InternetLink"/>
                            <w:rFonts w:ascii="Georgia;Times;Serif" w:hAnsi="Georgia;Times;Serif"/>
                            <w:b w:val="false"/>
                            <w:i w:val="false"/>
                            <w:caps w:val="false"/>
                            <w:smallCaps w:val="false"/>
                            <w:sz w:val="16"/>
                          </w:rPr>
                          <w:t>http://www.sec.gov/Archives/edgar/data/19617/000121390026076047/</w:t>
                          <w:br/>
                          <w:t>ea0297299-01_424b2.htm</w:t>
                        </w:r>
                      </w:hyperlink>
                    </w:p>
                  </w:txbxContent>
                </v:textbox>
                <w10:wrap type="square" side="left"/>
              </v:rect>
            </w:pict>
          </mc:Fallback>
        </mc:AlternateContent>
      </w:r>
    </w:p>
    <w:p>
      <w:pPr>
        <w:pStyle w:val="TextBody"/>
        <w:bidi w:val="0"/>
        <w:spacing w:before="60" w:after="60"/>
        <w:ind w:left="60" w:right="6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product supplement and underlying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4577"/>
        <w:gridCol w:w="5628"/>
      </w:tblGrid>
      <w:tr>
        <w:trPr/>
        <w:tc>
          <w:tcPr>
            <w:tcW w:w="4577"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Ending Value of the Lowest Performing Underlying Is Less Than Its Threshold Value, You Will Lose More Than 30%, and Possibly All, of the Principal Amount of Your Securities at Maturity.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Are Exposed to the Risk of Decline in the Value of Each Underlying.</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Maturity Payment Amount Will Be Determined by the Lowest Performing Underlying.</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Risks Resulting from the Relationship Among the Underlyings.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Value May Terminate on the Calculation Day.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Interest or Dividend Payments or Voting Rights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120" w:after="40"/>
              <w:ind w:left="360" w:right="120" w:hanging="0"/>
              <w:jc w:val="left"/>
              <w:rPr>
                <w:caps w:val="false"/>
                <w:smallCaps w:val="false"/>
              </w:rPr>
            </w:pPr>
            <w:r>
              <w:rPr>
                <w:caps w:val="false"/>
                <w:smallCaps w:val="false"/>
              </w:rPr>
              <w:t> </w:t>
            </w:r>
          </w:p>
        </w:tc>
        <w:tc>
          <w:tcPr>
            <w:tcW w:w="5628"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shd w:fill="FFFFFF" w:val="clear"/>
              </w:rPr>
              <w:t>      </w:t>
            </w:r>
            <w:r>
              <w:rPr>
                <w:rFonts w:ascii="Georgia;Times;Serif" w:hAnsi="Georgia;Times;Serif"/>
                <w:b/>
                <w:i w:val="false"/>
                <w:caps w:val="false"/>
                <w:smallCaps w:val="false"/>
                <w:sz w:val="18"/>
                <w:shd w:fill="FFFFFF" w:val="clear"/>
              </w:rPr>
              <w:t xml:space="preserve">The </w:t>
            </w:r>
            <w:r>
              <w:rPr>
                <w:rFonts w:ascii="Georgia;Times;Serif" w:hAnsi="Georgia;Times;Serif"/>
                <w:b/>
                <w:i w:val="false"/>
                <w:caps w:val="false"/>
                <w:smallCaps w:val="false"/>
                <w:sz w:val="18"/>
              </w:rPr>
              <w:t xml:space="preserve">Securities </w:t>
            </w:r>
            <w:r>
              <w:rPr>
                <w:rFonts w:ascii="Georgia;Times;Serif" w:hAnsi="Georgia;Times;Serif"/>
                <w:b/>
                <w:i w:val="false"/>
                <w:caps w:val="false"/>
                <w:smallCaps w:val="false"/>
                <w:sz w:val="18"/>
                <w:shd w:fill="FFFFFF" w:val="clear"/>
              </w:rPr>
              <w:t>Are Subject to Non-U.S. Securities Risk.</w:t>
            </w:r>
          </w:p>
          <w:p>
            <w:pPr>
              <w:pStyle w:val="TableContents"/>
              <w:bidi w:val="0"/>
              <w:spacing w:before="0" w:after="4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shd w:fill="FFFFFF" w:val="clear"/>
              </w:rPr>
              <w:t>      </w:t>
            </w:r>
            <w:r>
              <w:rPr>
                <w:rFonts w:ascii="Georgia;Times;Serif" w:hAnsi="Georgia;Times;Serif"/>
                <w:b/>
                <w:i w:val="false"/>
                <w:caps w:val="false"/>
                <w:smallCaps w:val="false"/>
                <w:sz w:val="18"/>
                <w:shd w:fill="FFFFFF" w:val="clear"/>
              </w:rPr>
              <w:t>No Direct Exposure to Fluctuations in Foreign Exchange Rates with Respect to the EURO STOXX 50</w:t>
            </w:r>
            <w:r>
              <w:rPr>
                <w:rFonts w:ascii="Georgia;Times;Serif" w:hAnsi="Georgia;Times;Serif"/>
                <w:b/>
                <w:i w:val="false"/>
                <w:caps w:val="false"/>
                <w:smallCaps w:val="false"/>
                <w:position w:val="6"/>
                <w:sz w:val="14"/>
                <w:sz w:val="18"/>
                <w:shd w:fill="FFFFFF" w:val="clear"/>
              </w:rPr>
              <w:t>®</w:t>
            </w:r>
            <w:r>
              <w:rPr>
                <w:rFonts w:ascii="Georgia;Times;Serif" w:hAnsi="Georgia;Times;Serif"/>
                <w:b/>
                <w:i w:val="false"/>
                <w:caps w:val="false"/>
                <w:smallCaps w:val="false"/>
                <w:sz w:val="18"/>
                <w:shd w:fill="FFFFFF" w:val="clear"/>
              </w:rPr>
              <w:t xml:space="preserve"> Index.</w:t>
            </w:r>
          </w:p>
          <w:p>
            <w:pPr>
              <w:pStyle w:val="TableContents"/>
              <w:bidi w:val="0"/>
              <w:spacing w:before="0" w:after="4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The Securities Are Subject to Currency Exchange Risk with Respect to the STOXX</w:t>
            </w:r>
            <w:r>
              <w:rPr>
                <w:rFonts w:ascii="Georgia;Times;Serif" w:hAnsi="Georgia;Times;Serif"/>
                <w:b/>
                <w:i w:val="false"/>
                <w:caps w:val="false"/>
                <w:smallCaps w:val="false"/>
                <w:position w:val="6"/>
                <w:sz w:val="14"/>
                <w:sz w:val="18"/>
              </w:rPr>
              <w:t>®</w:t>
            </w:r>
            <w:r>
              <w:rPr>
                <w:rFonts w:ascii="Georgia;Times;Serif" w:hAnsi="Georgia;Times;Serif"/>
                <w:b/>
                <w:i w:val="false"/>
                <w:caps w:val="false"/>
                <w:smallCaps w:val="false"/>
                <w:sz w:val="18"/>
              </w:rPr>
              <w:t xml:space="preserve"> Europe 600 Index and the Fund.</w:t>
            </w:r>
          </w:p>
          <w:p>
            <w:pPr>
              <w:pStyle w:val="TableContents"/>
              <w:bidi w:val="0"/>
              <w:spacing w:before="0" w:after="4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There Are Risks Associated with the Fund.</w:t>
            </w:r>
          </w:p>
          <w:p>
            <w:pPr>
              <w:pStyle w:val="TableContents"/>
              <w:bidi w:val="0"/>
              <w:spacing w:before="0" w:after="4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The Performance and Market Value of the Fund, Particularly During Periods of Market Volatility, May Not Correlate with the Performance of the Fund’s Fund Underlying Index As Well As the Net Asset Value Per Share.</w:t>
            </w:r>
          </w:p>
          <w:p>
            <w:pPr>
              <w:pStyle w:val="TableContents"/>
              <w:bidi w:val="0"/>
              <w:spacing w:before="0" w:after="4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The Anti-Dilution Protection for the Fund Is Limited and May Be Discretionary.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The Maturity Payment Amount </w:t>
            </w:r>
            <w:r>
              <w:rPr>
                <w:rFonts w:ascii="Georgia;Times;Serif" w:hAnsi="Georgia;Times;Serif"/>
                <w:b/>
                <w:i w:val="false"/>
                <w:caps w:val="false"/>
                <w:smallCaps w:val="false"/>
                <w:sz w:val="18"/>
                <w:shd w:fill="FFFFFF" w:val="clear"/>
              </w:rPr>
              <w:t>Will Depend upon the Performance of Each Underlying and Therefore the Securities Are Subject to the Risks Associated with Each Underlying, Each as Discussed in the Accompanying Preliminary Pricing Supplement and Product Supplement.</w:t>
            </w:r>
          </w:p>
          <w:p>
            <w:pPr>
              <w:pStyle w:val="TableContents"/>
              <w:bidi w:val="0"/>
              <w:spacing w:before="120" w:after="40"/>
              <w:ind w:left="450" w:right="12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076047/ea0297299-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076047/ea0297299-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1469</Words>
  <Characters>7958</Characters>
  <CharactersWithSpaces>9478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