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180340</wp:posOffset>
            </wp:positionV>
            <wp:extent cx="2785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193675</wp:posOffset>
            </wp:positionV>
            <wp:extent cx="2785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July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225425</wp:posOffset>
            </wp:positionV>
            <wp:extent cx="2785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5"/>
          <w:szCs w:val="35"/>
          <w:b w:val="1"/>
          <w:bCs w:val="1"/>
          <w:color w:val="auto"/>
        </w:rPr>
        <w:t>JPMorgan Chase &amp; Co.</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185420</wp:posOffset>
            </wp:positionV>
            <wp:extent cx="2785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2680" w:type="dxa"/>
        <w:tblCellMar>
          <w:top w:w="0" w:type="dxa"/>
          <w:left w:w="0" w:type="dxa"/>
          <w:bottom w:w="0" w:type="dxa"/>
          <w:right w:w="0" w:type="dxa"/>
        </w:tblCellMar>
      </w:tblPr>
      <w:tr>
        <w:trPr>
          <w:trHeight w:val="170"/>
        </w:trPr>
        <w:tc>
          <w:tcPr>
            <w:tcW w:w="2440" w:type="dxa"/>
            <w:vAlign w:val="bottom"/>
          </w:tcPr>
          <w:p>
            <w:pPr>
              <w:jc w:val="center"/>
              <w:ind w:right="78"/>
              <w:spacing w:after="0"/>
              <w:rPr>
                <w:sz w:val="20"/>
                <w:szCs w:val="20"/>
                <w:color w:val="auto"/>
              </w:rPr>
            </w:pPr>
            <w:r>
              <w:rPr>
                <w:rFonts w:ascii="Arial" w:cs="Arial" w:eastAsia="Arial" w:hAnsi="Arial"/>
                <w:sz w:val="12"/>
                <w:szCs w:val="12"/>
                <w:b w:val="1"/>
                <w:bCs w:val="1"/>
                <w:color w:val="auto"/>
              </w:rPr>
              <w:t>Delaware</w:t>
            </w:r>
          </w:p>
        </w:tc>
        <w:tc>
          <w:tcPr>
            <w:tcW w:w="1560" w:type="dxa"/>
            <w:vAlign w:val="bottom"/>
          </w:tcPr>
          <w:p>
            <w:pPr>
              <w:jc w:val="center"/>
              <w:ind w:right="198"/>
              <w:spacing w:after="0"/>
              <w:rPr>
                <w:sz w:val="20"/>
                <w:szCs w:val="20"/>
                <w:color w:val="auto"/>
              </w:rPr>
            </w:pPr>
            <w:r>
              <w:rPr>
                <w:rFonts w:ascii="Arial" w:cs="Arial" w:eastAsia="Arial" w:hAnsi="Arial"/>
                <w:sz w:val="12"/>
                <w:szCs w:val="12"/>
                <w:b w:val="1"/>
                <w:bCs w:val="1"/>
                <w:color w:val="auto"/>
              </w:rPr>
              <w:t>1-5805</w:t>
            </w:r>
          </w:p>
        </w:tc>
        <w:tc>
          <w:tcPr>
            <w:tcW w:w="1400" w:type="dxa"/>
            <w:vAlign w:val="bottom"/>
          </w:tcPr>
          <w:p>
            <w:pPr>
              <w:jc w:val="right"/>
              <w:ind w:right="118"/>
              <w:spacing w:after="0"/>
              <w:rPr>
                <w:sz w:val="20"/>
                <w:szCs w:val="20"/>
                <w:color w:val="auto"/>
              </w:rPr>
            </w:pPr>
            <w:r>
              <w:rPr>
                <w:rFonts w:ascii="Arial" w:cs="Arial" w:eastAsia="Arial" w:hAnsi="Arial"/>
                <w:sz w:val="12"/>
                <w:szCs w:val="12"/>
                <w:b w:val="1"/>
                <w:bCs w:val="1"/>
                <w:color w:val="auto"/>
              </w:rPr>
              <w:t>13-2624428</w:t>
            </w:r>
          </w:p>
        </w:tc>
      </w:tr>
      <w:tr>
        <w:trPr>
          <w:trHeight w:val="126"/>
        </w:trPr>
        <w:tc>
          <w:tcPr>
            <w:tcW w:w="2440" w:type="dxa"/>
            <w:vAlign w:val="bottom"/>
          </w:tcPr>
          <w:p>
            <w:pPr>
              <w:jc w:val="center"/>
              <w:ind w:right="78"/>
              <w:spacing w:after="0" w:line="126" w:lineRule="exact"/>
              <w:rPr>
                <w:sz w:val="20"/>
                <w:szCs w:val="20"/>
                <w:color w:val="auto"/>
              </w:rPr>
            </w:pPr>
            <w:r>
              <w:rPr>
                <w:rFonts w:ascii="Arial" w:cs="Arial" w:eastAsia="Arial" w:hAnsi="Arial"/>
                <w:sz w:val="12"/>
                <w:szCs w:val="12"/>
                <w:b w:val="1"/>
                <w:bCs w:val="1"/>
                <w:color w:val="auto"/>
              </w:rPr>
              <w:t>(State or other jurisdiction of</w:t>
            </w:r>
          </w:p>
        </w:tc>
        <w:tc>
          <w:tcPr>
            <w:tcW w:w="1560" w:type="dxa"/>
            <w:vAlign w:val="bottom"/>
          </w:tcPr>
          <w:p>
            <w:pPr>
              <w:jc w:val="center"/>
              <w:ind w:right="178"/>
              <w:spacing w:after="0" w:line="126" w:lineRule="exact"/>
              <w:rPr>
                <w:sz w:val="20"/>
                <w:szCs w:val="20"/>
                <w:color w:val="auto"/>
              </w:rPr>
            </w:pPr>
            <w:r>
              <w:rPr>
                <w:rFonts w:ascii="Arial" w:cs="Arial" w:eastAsia="Arial" w:hAnsi="Arial"/>
                <w:sz w:val="12"/>
                <w:szCs w:val="12"/>
                <w:b w:val="1"/>
                <w:bCs w:val="1"/>
                <w:color w:val="auto"/>
              </w:rPr>
              <w:t>(Commission File</w:t>
            </w:r>
          </w:p>
        </w:tc>
        <w:tc>
          <w:tcPr>
            <w:tcW w:w="1400" w:type="dxa"/>
            <w:vAlign w:val="bottom"/>
          </w:tcPr>
          <w:p>
            <w:pPr>
              <w:jc w:val="center"/>
              <w:ind w:left="318"/>
              <w:spacing w:after="0" w:line="126" w:lineRule="exact"/>
              <w:rPr>
                <w:sz w:val="20"/>
                <w:szCs w:val="20"/>
                <w:color w:val="auto"/>
              </w:rPr>
            </w:pPr>
            <w:r>
              <w:rPr>
                <w:rFonts w:ascii="Arial" w:cs="Arial" w:eastAsia="Arial" w:hAnsi="Arial"/>
                <w:sz w:val="12"/>
                <w:szCs w:val="12"/>
                <w:b w:val="1"/>
                <w:bCs w:val="1"/>
                <w:color w:val="auto"/>
              </w:rPr>
              <w:t>(I.R.S. employer</w:t>
            </w:r>
          </w:p>
        </w:tc>
      </w:tr>
      <w:tr>
        <w:trPr>
          <w:trHeight w:val="170"/>
        </w:trPr>
        <w:tc>
          <w:tcPr>
            <w:tcW w:w="2440" w:type="dxa"/>
            <w:vAlign w:val="bottom"/>
          </w:tcPr>
          <w:p>
            <w:pPr>
              <w:jc w:val="center"/>
              <w:ind w:right="78"/>
              <w:spacing w:after="0"/>
              <w:rPr>
                <w:sz w:val="20"/>
                <w:szCs w:val="20"/>
                <w:color w:val="auto"/>
              </w:rPr>
            </w:pPr>
            <w:r>
              <w:rPr>
                <w:rFonts w:ascii="Arial" w:cs="Arial" w:eastAsia="Arial" w:hAnsi="Arial"/>
                <w:sz w:val="12"/>
                <w:szCs w:val="12"/>
                <w:b w:val="1"/>
                <w:bCs w:val="1"/>
                <w:color w:val="auto"/>
              </w:rPr>
              <w:t>incorporation or organization)</w:t>
            </w:r>
          </w:p>
        </w:tc>
        <w:tc>
          <w:tcPr>
            <w:tcW w:w="1560" w:type="dxa"/>
            <w:vAlign w:val="bottom"/>
          </w:tcPr>
          <w:p>
            <w:pPr>
              <w:jc w:val="center"/>
              <w:ind w:right="178"/>
              <w:spacing w:after="0"/>
              <w:rPr>
                <w:sz w:val="20"/>
                <w:szCs w:val="20"/>
                <w:color w:val="auto"/>
              </w:rPr>
            </w:pPr>
            <w:r>
              <w:rPr>
                <w:rFonts w:ascii="Arial" w:cs="Arial" w:eastAsia="Arial" w:hAnsi="Arial"/>
                <w:sz w:val="12"/>
                <w:szCs w:val="12"/>
                <w:b w:val="1"/>
                <w:bCs w:val="1"/>
                <w:color w:val="auto"/>
              </w:rPr>
              <w:t>Number)</w:t>
            </w:r>
          </w:p>
        </w:tc>
        <w:tc>
          <w:tcPr>
            <w:tcW w:w="1400" w:type="dxa"/>
            <w:vAlign w:val="bottom"/>
          </w:tcPr>
          <w:p>
            <w:pPr>
              <w:jc w:val="center"/>
              <w:ind w:left="318"/>
              <w:spacing w:after="0"/>
              <w:rPr>
                <w:sz w:val="20"/>
                <w:szCs w:val="20"/>
                <w:color w:val="auto"/>
              </w:rPr>
            </w:pPr>
            <w:r>
              <w:rPr>
                <w:rFonts w:ascii="Arial" w:cs="Arial" w:eastAsia="Arial" w:hAnsi="Arial"/>
                <w:sz w:val="12"/>
                <w:szCs w:val="12"/>
                <w:b w:val="1"/>
                <w:bCs w:val="1"/>
                <w:color w:val="auto"/>
              </w:rPr>
              <w:t>identification no.)</w:t>
            </w:r>
          </w:p>
        </w:tc>
      </w:tr>
      <w:tr>
        <w:trPr>
          <w:trHeight w:val="300"/>
        </w:trPr>
        <w:tc>
          <w:tcPr>
            <w:tcW w:w="2440" w:type="dxa"/>
            <w:vAlign w:val="bottom"/>
          </w:tcPr>
          <w:p>
            <w:pPr>
              <w:jc w:val="center"/>
              <w:ind w:right="78"/>
              <w:spacing w:after="0"/>
              <w:rPr>
                <w:sz w:val="20"/>
                <w:szCs w:val="20"/>
                <w:color w:val="auto"/>
              </w:rPr>
            </w:pPr>
            <w:r>
              <w:rPr>
                <w:rFonts w:ascii="Arial" w:cs="Arial" w:eastAsia="Arial" w:hAnsi="Arial"/>
                <w:sz w:val="12"/>
                <w:szCs w:val="12"/>
                <w:b w:val="1"/>
                <w:bCs w:val="1"/>
                <w:color w:val="auto"/>
              </w:rPr>
              <w:t>383 Madison Avenue,</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2"/>
        </w:trPr>
        <w:tc>
          <w:tcPr>
            <w:tcW w:w="2440" w:type="dxa"/>
            <w:vAlign w:val="bottom"/>
          </w:tcPr>
          <w:p>
            <w:pPr>
              <w:ind w:left="520"/>
              <w:spacing w:after="0"/>
              <w:rPr>
                <w:sz w:val="20"/>
                <w:szCs w:val="20"/>
                <w:color w:val="auto"/>
              </w:rPr>
            </w:pPr>
            <w:r>
              <w:rPr>
                <w:rFonts w:ascii="Arial" w:cs="Arial" w:eastAsia="Arial" w:hAnsi="Arial"/>
                <w:sz w:val="12"/>
                <w:szCs w:val="12"/>
                <w:b w:val="1"/>
                <w:bCs w:val="1"/>
                <w:color w:val="auto"/>
              </w:rPr>
              <w:t>New York, New York</w:t>
            </w:r>
          </w:p>
        </w:tc>
        <w:tc>
          <w:tcPr>
            <w:tcW w:w="1560" w:type="dxa"/>
            <w:vAlign w:val="bottom"/>
          </w:tcPr>
          <w:p>
            <w:pPr>
              <w:spacing w:after="0"/>
              <w:rPr>
                <w:sz w:val="14"/>
                <w:szCs w:val="14"/>
                <w:color w:val="auto"/>
              </w:rPr>
            </w:pPr>
          </w:p>
        </w:tc>
        <w:tc>
          <w:tcPr>
            <w:tcW w:w="1400" w:type="dxa"/>
            <w:vAlign w:val="bottom"/>
          </w:tcPr>
          <w:p>
            <w:pPr>
              <w:jc w:val="right"/>
              <w:ind w:right="278"/>
              <w:spacing w:after="0"/>
              <w:rPr>
                <w:sz w:val="20"/>
                <w:szCs w:val="20"/>
                <w:color w:val="auto"/>
              </w:rPr>
            </w:pPr>
            <w:r>
              <w:rPr>
                <w:rFonts w:ascii="Arial" w:cs="Arial" w:eastAsia="Arial" w:hAnsi="Arial"/>
                <w:sz w:val="12"/>
                <w:szCs w:val="12"/>
                <w:b w:val="1"/>
                <w:bCs w:val="1"/>
                <w:color w:val="auto"/>
              </w:rPr>
              <w:t>10179</w:t>
            </w:r>
          </w:p>
        </w:tc>
      </w:tr>
      <w:tr>
        <w:trPr>
          <w:trHeight w:val="212"/>
        </w:trPr>
        <w:tc>
          <w:tcPr>
            <w:tcW w:w="2440" w:type="dxa"/>
            <w:vAlign w:val="bottom"/>
          </w:tcPr>
          <w:p>
            <w:pPr>
              <w:jc w:val="center"/>
              <w:ind w:right="78"/>
              <w:spacing w:after="0"/>
              <w:rPr>
                <w:sz w:val="20"/>
                <w:szCs w:val="20"/>
                <w:color w:val="auto"/>
              </w:rPr>
            </w:pPr>
            <w:r>
              <w:rPr>
                <w:rFonts w:ascii="Arial" w:cs="Arial" w:eastAsia="Arial" w:hAnsi="Arial"/>
                <w:sz w:val="12"/>
                <w:szCs w:val="12"/>
                <w:b w:val="1"/>
                <w:bCs w:val="1"/>
                <w:color w:val="auto"/>
              </w:rPr>
              <w:t>(Address of principal executive offices)</w:t>
            </w:r>
          </w:p>
        </w:tc>
        <w:tc>
          <w:tcPr>
            <w:tcW w:w="1560" w:type="dxa"/>
            <w:vAlign w:val="bottom"/>
          </w:tcPr>
          <w:p>
            <w:pPr>
              <w:spacing w:after="0"/>
              <w:rPr>
                <w:sz w:val="18"/>
                <w:szCs w:val="18"/>
                <w:color w:val="auto"/>
              </w:rPr>
            </w:pPr>
          </w:p>
        </w:tc>
        <w:tc>
          <w:tcPr>
            <w:tcW w:w="1400" w:type="dxa"/>
            <w:vAlign w:val="bottom"/>
          </w:tcPr>
          <w:p>
            <w:pPr>
              <w:jc w:val="center"/>
              <w:ind w:left="318"/>
              <w:spacing w:after="0"/>
              <w:rPr>
                <w:sz w:val="20"/>
                <w:szCs w:val="20"/>
                <w:color w:val="auto"/>
              </w:rPr>
            </w:pPr>
            <w:r>
              <w:rPr>
                <w:rFonts w:ascii="Arial" w:cs="Arial" w:eastAsia="Arial" w:hAnsi="Arial"/>
                <w:sz w:val="12"/>
                <w:szCs w:val="12"/>
                <w:b w:val="1"/>
                <w:bCs w:val="1"/>
                <w:color w:val="auto"/>
              </w:rPr>
              <w:t>(Zip Code)</w:t>
            </w:r>
          </w:p>
        </w:tc>
      </w:tr>
    </w:tbl>
    <w:p>
      <w:pPr>
        <w:spacing w:after="0" w:line="77"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0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20" w:hanging="39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Written communications pursuant to Rule 425 under the Securities Act (17 CFR 230.425)</w:t>
      </w:r>
    </w:p>
    <w:p>
      <w:pPr>
        <w:spacing w:after="0" w:line="153" w:lineRule="exact"/>
        <w:rPr>
          <w:rFonts w:ascii="MS PGothic" w:cs="MS PGothic" w:eastAsia="MS PGothic" w:hAnsi="MS PGothic"/>
          <w:sz w:val="12"/>
          <w:szCs w:val="12"/>
          <w:color w:val="auto"/>
        </w:rPr>
      </w:pPr>
    </w:p>
    <w:p>
      <w:pPr>
        <w:ind w:left="420" w:hanging="39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Soliciting material pursuant to Rule 14a-12 under the Exchange Act (17 CFR 240.14a-12)</w:t>
      </w:r>
    </w:p>
    <w:p>
      <w:pPr>
        <w:spacing w:after="0" w:line="140" w:lineRule="exact"/>
        <w:rPr>
          <w:rFonts w:ascii="MS PGothic" w:cs="MS PGothic" w:eastAsia="MS PGothic" w:hAnsi="MS PGothic"/>
          <w:sz w:val="12"/>
          <w:szCs w:val="12"/>
          <w:color w:val="auto"/>
        </w:rPr>
      </w:pPr>
    </w:p>
    <w:p>
      <w:pPr>
        <w:ind w:left="420" w:hanging="39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Pre-commencement communications pursuant to Rule 14d-2(b) under the Exchange Act (17 CFR 240.14d-2(b))</w:t>
      </w:r>
    </w:p>
    <w:p>
      <w:pPr>
        <w:spacing w:after="0" w:line="153" w:lineRule="exact"/>
        <w:rPr>
          <w:rFonts w:ascii="MS PGothic" w:cs="MS PGothic" w:eastAsia="MS PGothic" w:hAnsi="MS PGothic"/>
          <w:sz w:val="12"/>
          <w:szCs w:val="12"/>
          <w:color w:val="auto"/>
        </w:rPr>
      </w:pPr>
    </w:p>
    <w:p>
      <w:pPr>
        <w:ind w:left="420" w:hanging="39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Pre-commencement communications pursuant to Rule 13e-4(c) under the Exchange Act (17 CFR 240.13e-4(c))</w:t>
      </w:r>
    </w:p>
    <w:p>
      <w:pPr>
        <w:spacing w:after="0" w:line="12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1" w:lineRule="exact"/>
        <w:rPr>
          <w:sz w:val="24"/>
          <w:szCs w:val="24"/>
          <w:color w:val="auto"/>
        </w:rPr>
      </w:pPr>
    </w:p>
    <w:tbl>
      <w:tblPr>
        <w:tblLayout w:type="fixed"/>
        <w:tblInd w:w="60" w:type="dxa"/>
        <w:tblCellMar>
          <w:top w:w="0" w:type="dxa"/>
          <w:left w:w="0" w:type="dxa"/>
          <w:bottom w:w="0" w:type="dxa"/>
          <w:right w:w="0" w:type="dxa"/>
        </w:tblCellMar>
      </w:tblPr>
      <w:tr>
        <w:trPr>
          <w:trHeight w:val="138"/>
        </w:trPr>
        <w:tc>
          <w:tcPr>
            <w:tcW w:w="1060" w:type="dxa"/>
            <w:vAlign w:val="bottom"/>
          </w:tcPr>
          <w:p>
            <w:pPr>
              <w:spacing w:after="0"/>
              <w:rPr>
                <w:sz w:val="20"/>
                <w:szCs w:val="20"/>
                <w:color w:val="auto"/>
              </w:rPr>
            </w:pPr>
            <w:r>
              <w:rPr>
                <w:rFonts w:ascii="Arial" w:cs="Arial" w:eastAsia="Arial" w:hAnsi="Arial"/>
                <w:sz w:val="12"/>
                <w:szCs w:val="12"/>
                <w:b w:val="1"/>
                <w:bCs w:val="1"/>
                <w:color w:val="auto"/>
              </w:rPr>
              <w:t>Title of each class</w:t>
            </w: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Trading Symbol(s)</w:t>
            </w:r>
          </w:p>
        </w:tc>
        <w:tc>
          <w:tcPr>
            <w:tcW w:w="3020" w:type="dxa"/>
            <w:vAlign w:val="bottom"/>
            <w:gridSpan w:val="2"/>
          </w:tcPr>
          <w:p>
            <w:pPr>
              <w:ind w:left="420"/>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20"/>
        </w:trPr>
        <w:tc>
          <w:tcPr>
            <w:tcW w:w="10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85"/>
        </w:trPr>
        <w:tc>
          <w:tcPr>
            <w:tcW w:w="1060" w:type="dxa"/>
            <w:vAlign w:val="bottom"/>
          </w:tcPr>
          <w:p>
            <w:pPr>
              <w:spacing w:after="0"/>
              <w:rPr>
                <w:sz w:val="20"/>
                <w:szCs w:val="20"/>
                <w:color w:val="auto"/>
              </w:rPr>
            </w:pPr>
            <w:r>
              <w:rPr>
                <w:rFonts w:ascii="Arial" w:cs="Arial" w:eastAsia="Arial" w:hAnsi="Arial"/>
                <w:sz w:val="12"/>
                <w:szCs w:val="12"/>
                <w:b w:val="1"/>
                <w:bCs w:val="1"/>
                <w:color w:val="auto"/>
              </w:rPr>
              <w:t>Common stock</w:t>
            </w: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JPM</w:t>
            </w:r>
          </w:p>
        </w:tc>
        <w:tc>
          <w:tcPr>
            <w:tcW w:w="420" w:type="dxa"/>
            <w:vAlign w:val="bottom"/>
          </w:tcPr>
          <w:p>
            <w:pPr>
              <w:spacing w:after="0"/>
              <w:rPr>
                <w:sz w:val="16"/>
                <w:szCs w:val="16"/>
                <w:color w:val="auto"/>
              </w:rPr>
            </w:pPr>
          </w:p>
        </w:tc>
        <w:tc>
          <w:tcPr>
            <w:tcW w:w="3020" w:type="dxa"/>
            <w:vAlign w:val="bottom"/>
            <w:gridSpan w:val="2"/>
          </w:tcPr>
          <w:p>
            <w:pPr>
              <w:ind w:left="420"/>
              <w:spacing w:after="0"/>
              <w:rPr>
                <w:sz w:val="20"/>
                <w:szCs w:val="20"/>
                <w:color w:val="auto"/>
              </w:rPr>
            </w:pPr>
            <w:r>
              <w:rPr>
                <w:rFonts w:ascii="Arial" w:cs="Arial" w:eastAsia="Arial" w:hAnsi="Arial"/>
                <w:sz w:val="12"/>
                <w:szCs w:val="12"/>
                <w:b w:val="1"/>
                <w:bCs w:val="1"/>
                <w:color w:val="auto"/>
              </w:rPr>
              <w:t>The New York Stock Exchange</w:t>
            </w: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5.75%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D</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DD</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6.00%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C</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EE</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4.75%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J</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GG</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4.55%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K</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JJ</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4.625%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L</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LL</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4.20%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M</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MM</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Guarantee of Callable Fixed Rate Notes due June 10, 2032 of JPMorgan Chase Financial Company</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JPM/32</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LLC</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Guarantee of Alerian MLP Index ETNs due January 28, 2044 of JPMorgan Chase Financial Company</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AMJB</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NYSE Arca, Inc.</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LLC</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74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Guarantee of Inverse VIX Short-Term Futures ETNs due March 22, 2045 of JPMorgan Chase Financial VYLD</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NYSE Arca, Inc.</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Company LLC</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bl>
    <w:p>
      <w:pPr>
        <w:spacing w:after="0" w:line="143" w:lineRule="exact"/>
        <w:rPr>
          <w:sz w:val="24"/>
          <w:szCs w:val="24"/>
          <w:color w:val="auto"/>
        </w:rPr>
      </w:pPr>
    </w:p>
    <w:p>
      <w:pPr>
        <w:spacing w:after="0" w:line="266"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0" w:lineRule="exact"/>
        <w:rPr>
          <w:sz w:val="24"/>
          <w:szCs w:val="24"/>
          <w:color w:val="auto"/>
        </w:rPr>
      </w:pPr>
    </w:p>
    <w:p>
      <w:pPr>
        <w:ind w:right="34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519430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98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60"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On July 15, 2025, JPMorgan Chase &amp; Co. (“JPMorganChase” or the “Firm”) reported 2025 second quarter net income of $15.0 billion, or $5.24 per share, compared with net income of $18.1 billion, or $6.12 per share, in the second quarter of 2024. A copy of the 2025 second quarter earnings release is attached hereto as Exhibit 99.1, and a copy of the earnings release financial supplement is attached hereto as Exhibit 99.2.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Each of the Exhibits provided with this Form 8-K shall be deemed to be “filed” for purposes of the Securities Exchange Act of 1934.</w:t>
      </w:r>
    </w:p>
    <w:p>
      <w:pPr>
        <w:spacing w:after="0" w:line="217"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i w:val="1"/>
          <w:iCs w:val="1"/>
          <w:color w:val="auto"/>
        </w:rPr>
        <w:t>This Current Report on Form 8-K (including the Exhibits hereto) contains forward-looking statements within the meaning of the Private Securities Litigation Reform Act of 1995. These statements are based on the current beliefs and expectations of JPMorganChase’s management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2024 and Quarterly Report on Form 10-Q for the quarter ended March 31, 2025, which have been filed with the Securities and Exchange Commission and are available on JPMorganChase’s website (</w:t>
      </w:r>
      <w:r>
        <w:rPr>
          <w:rFonts w:ascii="Arial" w:cs="Arial" w:eastAsia="Arial" w:hAnsi="Arial"/>
          <w:sz w:val="18"/>
          <w:szCs w:val="18"/>
          <w:i w:val="1"/>
          <w:iCs w:val="1"/>
          <w:u w:val="single" w:color="auto"/>
          <w:color w:val="auto"/>
        </w:rPr>
        <w:t>https://jpmorganchaseco.gcs-web.com/ir/sec-other-filings/overview</w:t>
      </w:r>
      <w:r>
        <w:rPr>
          <w:rFonts w:ascii="Arial" w:cs="Arial" w:eastAsia="Arial" w:hAnsi="Arial"/>
          <w:sz w:val="18"/>
          <w:szCs w:val="18"/>
          <w:i w:val="1"/>
          <w:iCs w:val="1"/>
          <w:color w:val="auto"/>
        </w:rPr>
        <w:t>) and on the Securities and Exchange Commission’s website (www.sec.gov). JPMorganChase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6" w:lineRule="exact"/>
        <w:rPr>
          <w:sz w:val="20"/>
          <w:szCs w:val="20"/>
          <w:color w:val="auto"/>
        </w:rPr>
      </w:pPr>
    </w:p>
    <w:p>
      <w:pPr>
        <w:ind w:left="420" w:hanging="414"/>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16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440" w:type="dxa"/>
            <w:vAlign w:val="bottom"/>
            <w:gridSpan w:val="3"/>
          </w:tcPr>
          <w:p>
            <w:pPr>
              <w:ind w:left="3300"/>
              <w:spacing w:after="0"/>
              <w:rPr>
                <w:sz w:val="20"/>
                <w:szCs w:val="20"/>
                <w:color w:val="auto"/>
              </w:rPr>
            </w:pPr>
            <w:r>
              <w:rPr>
                <w:rFonts w:ascii="Arial" w:cs="Arial" w:eastAsia="Arial" w:hAnsi="Arial"/>
                <w:sz w:val="18"/>
                <w:szCs w:val="18"/>
                <w:b w:val="1"/>
                <w:bCs w:val="1"/>
                <w:color w:val="auto"/>
              </w:rPr>
              <w:t>Description of Exhibit</w:t>
            </w:r>
          </w:p>
        </w:tc>
      </w:tr>
      <w:tr>
        <w:trPr>
          <w:trHeight w:val="404"/>
        </w:trPr>
        <w:tc>
          <w:tcPr>
            <w:tcW w:w="1480" w:type="dxa"/>
            <w:vAlign w:val="bottom"/>
            <w:tcBorders>
              <w:top w:val="single" w:sz="8" w:color="auto"/>
            </w:tcBorders>
          </w:tcPr>
          <w:p>
            <w:pPr>
              <w:jc w:val="right"/>
              <w:ind w:right="1032"/>
              <w:spacing w:after="0"/>
              <w:rPr>
                <w:sz w:val="20"/>
                <w:szCs w:val="20"/>
                <w:color w:val="auto"/>
              </w:rPr>
            </w:pPr>
            <w:r>
              <w:rPr>
                <w:rFonts w:ascii="Arial" w:cs="Arial" w:eastAsia="Arial" w:hAnsi="Arial"/>
                <w:sz w:val="18"/>
                <w:szCs w:val="18"/>
                <w:color w:val="auto"/>
                <w:w w:val="96"/>
              </w:rPr>
              <w:t>99.1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78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97"/>
              </w:rPr>
              <w:t>JPMorgan Chase &amp; Co. Earnings Release - Second Quarter 2025 Results</w:t>
            </w:r>
          </w:p>
        </w:tc>
        <w:tc>
          <w:tcPr>
            <w:tcW w:w="2660" w:type="dxa"/>
            <w:vAlign w:val="bottom"/>
            <w:tcBorders>
              <w:top w:val="single" w:sz="8" w:color="auto"/>
            </w:tcBorders>
            <w:gridSpan w:val="2"/>
          </w:tcPr>
          <w:p>
            <w:pPr>
              <w:spacing w:after="0"/>
              <w:rPr>
                <w:sz w:val="24"/>
                <w:szCs w:val="24"/>
                <w:color w:val="auto"/>
              </w:rPr>
            </w:pPr>
          </w:p>
        </w:tc>
      </w:tr>
      <w:tr>
        <w:trPr>
          <w:trHeight w:val="205"/>
        </w:trPr>
        <w:tc>
          <w:tcPr>
            <w:tcW w:w="1480" w:type="dxa"/>
            <w:vAlign w:val="bottom"/>
          </w:tcPr>
          <w:p>
            <w:pPr>
              <w:jc w:val="right"/>
              <w:ind w:right="1032"/>
              <w:spacing w:after="0" w:line="205" w:lineRule="exact"/>
              <w:rPr>
                <w:sz w:val="20"/>
                <w:szCs w:val="20"/>
                <w:color w:val="auto"/>
              </w:rPr>
            </w:pPr>
            <w:r>
              <w:rPr>
                <w:rFonts w:ascii="Arial" w:cs="Arial" w:eastAsia="Arial" w:hAnsi="Arial"/>
                <w:sz w:val="18"/>
                <w:szCs w:val="18"/>
                <w:color w:val="auto"/>
                <w:w w:val="96"/>
              </w:rPr>
              <w:t>99.2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gridSpan w:val="3"/>
          </w:tcPr>
          <w:p>
            <w:pPr>
              <w:spacing w:after="0" w:line="205" w:lineRule="exact"/>
              <w:rPr>
                <w:sz w:val="20"/>
                <w:szCs w:val="20"/>
                <w:color w:val="auto"/>
              </w:rPr>
            </w:pPr>
            <w:r>
              <w:rPr>
                <w:rFonts w:ascii="Arial" w:cs="Arial" w:eastAsia="Arial" w:hAnsi="Arial"/>
                <w:sz w:val="18"/>
                <w:szCs w:val="18"/>
                <w:color w:val="0000FF"/>
              </w:rPr>
              <w:t>JPMorgan Chase &amp; Co. Earnings Release Financial Supplement - Second Quarter 2025</w:t>
            </w:r>
          </w:p>
        </w:tc>
      </w:tr>
      <w:tr>
        <w:trPr>
          <w:trHeight w:val="20"/>
        </w:trPr>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3" w:lineRule="exact"/>
        <w:rPr>
          <w:sz w:val="20"/>
          <w:szCs w:val="20"/>
          <w:color w:val="auto"/>
        </w:rPr>
      </w:pPr>
    </w:p>
    <w:p>
      <w:pPr>
        <w:ind w:left="2240" w:right="1040" w:hanging="1647"/>
        <w:spacing w:after="0" w:line="234" w:lineRule="auto"/>
        <w:tabs>
          <w:tab w:leader="none" w:pos="2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7" w:lineRule="exact"/>
        <w:rPr>
          <w:sz w:val="20"/>
          <w:szCs w:val="20"/>
          <w:color w:val="auto"/>
        </w:rPr>
      </w:pPr>
    </w:p>
    <w:p>
      <w:pPr>
        <w:ind w:left="2240" w:hanging="1647"/>
        <w:spacing w:after="0"/>
        <w:tabs>
          <w:tab w:leader="none" w:pos="2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876"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48"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0" w:lineRule="exact"/>
        <w:rPr>
          <w:sz w:val="20"/>
          <w:szCs w:val="20"/>
          <w:color w:val="auto"/>
        </w:rPr>
      </w:pPr>
    </w:p>
    <w:tbl>
      <w:tblPr>
        <w:tblLayout w:type="fixed"/>
        <w:tblInd w:w="580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JPMorgan Chase &amp; Co.</w:t>
            </w:r>
          </w:p>
        </w:tc>
      </w:tr>
      <w:tr>
        <w:trPr>
          <w:trHeight w:val="225"/>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7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Elena Korablina</w:t>
            </w:r>
          </w:p>
        </w:tc>
      </w:tr>
      <w:tr>
        <w:trPr>
          <w:trHeight w:val="215"/>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7"/>
              </w:rPr>
              <w:t>Elena Korablina</w:t>
            </w:r>
          </w:p>
        </w:tc>
      </w:tr>
      <w:tr>
        <w:trPr>
          <w:trHeight w:val="225"/>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7"/>
              </w:rPr>
              <w:t>Managing Director and Firmwide Controller</w:t>
            </w:r>
          </w:p>
        </w:tc>
      </w:tr>
      <w:tr>
        <w:trPr>
          <w:trHeight w:val="232"/>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7"/>
              </w:rPr>
              <w:t>(Principal Accounting Officer)</w:t>
            </w:r>
          </w:p>
        </w:tc>
      </w:tr>
    </w:tbl>
    <w:p>
      <w:pPr>
        <w:spacing w:after="0" w:line="39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July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1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-28575</wp:posOffset>
            </wp:positionV>
            <wp:extent cx="1371600" cy="193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ind w:left="260"/>
        <w:spacing w:after="0" w:line="198" w:lineRule="auto"/>
        <w:rPr>
          <w:sz w:val="20"/>
          <w:szCs w:val="20"/>
          <w:color w:val="auto"/>
        </w:rPr>
      </w:pPr>
      <w:r>
        <w:rPr>
          <w:rFonts w:ascii="Times New Roman" w:cs="Times New Roman" w:eastAsia="Times New Roman" w:hAnsi="Times New Roman"/>
          <w:sz w:val="14"/>
          <w:szCs w:val="14"/>
          <w:color w:val="auto"/>
        </w:rPr>
        <w:t>383 Madison Avenue, New York, NY 10179-0001</w:t>
      </w:r>
    </w:p>
    <w:p>
      <w:pPr>
        <w:ind w:left="260"/>
        <w:spacing w:after="0" w:line="217" w:lineRule="auto"/>
        <w:rPr>
          <w:sz w:val="20"/>
          <w:szCs w:val="20"/>
          <w:color w:val="auto"/>
        </w:rPr>
      </w:pPr>
      <w:r>
        <w:rPr>
          <w:rFonts w:ascii="Times New Roman" w:cs="Times New Roman" w:eastAsia="Times New Roman" w:hAnsi="Times New Roman"/>
          <w:sz w:val="14"/>
          <w:szCs w:val="14"/>
          <w:color w:val="auto"/>
        </w:rPr>
        <w:t>NYSE symbol: JPM</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3" w:lineRule="exact"/>
        <w:rPr>
          <w:sz w:val="20"/>
          <w:szCs w:val="20"/>
          <w:color w:val="auto"/>
        </w:rPr>
      </w:pPr>
    </w:p>
    <w:p>
      <w:pPr>
        <w:jc w:val="center"/>
        <w:ind w:left="340" w:right="440"/>
        <w:spacing w:after="0" w:line="304" w:lineRule="auto"/>
        <w:rPr>
          <w:sz w:val="20"/>
          <w:szCs w:val="20"/>
          <w:color w:val="auto"/>
        </w:rPr>
      </w:pPr>
      <w:r>
        <w:rPr>
          <w:rFonts w:ascii="Times New Roman" w:cs="Times New Roman" w:eastAsia="Times New Roman" w:hAnsi="Times New Roman"/>
          <w:sz w:val="19"/>
          <w:szCs w:val="19"/>
          <w:b w:val="1"/>
          <w:bCs w:val="1"/>
          <w:color w:val="auto"/>
        </w:rPr>
        <w:t>JPMORGANCHASE REPORTS SECOND-QUARTER 2025 NET INCOME OF $15.0 BILLION ($5.24 PER SHARE), NET INCOME, EXCLUDING A SIGNIFICANT ITEM, OF $14.2 BILLION ($4.96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-13970</wp:posOffset>
            </wp:positionV>
            <wp:extent cx="71012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1205" cy="4191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SECOND-QUARTER 2025 RESULTS </w:t>
      </w:r>
      <w:r>
        <w:rPr>
          <w:rFonts w:ascii="Times New Roman" w:cs="Times New Roman" w:eastAsia="Times New Roman" w:hAnsi="Times New Roman"/>
          <w:sz w:val="22"/>
          <w:szCs w:val="22"/>
          <w:b w:val="1"/>
          <w:bCs w:val="1"/>
          <w:color w:val="auto"/>
          <w:vertAlign w:val="superscript"/>
        </w:rPr>
        <w:t>1</w:t>
      </w:r>
    </w:p>
    <w:p>
      <w:pPr>
        <w:spacing w:after="0" w:line="99" w:lineRule="exact"/>
        <w:rPr>
          <w:sz w:val="20"/>
          <w:szCs w:val="20"/>
          <w:color w:val="auto"/>
        </w:rPr>
      </w:pPr>
    </w:p>
    <w:tbl>
      <w:tblPr>
        <w:tblLayout w:type="fixed"/>
        <w:tblInd w:w="240" w:type="dxa"/>
        <w:tblCellMar>
          <w:top w:w="0" w:type="dxa"/>
          <w:left w:w="0" w:type="dxa"/>
          <w:bottom w:w="0" w:type="dxa"/>
          <w:right w:w="0" w:type="dxa"/>
        </w:tblCellMar>
      </w:tblPr>
      <w:tr>
        <w:trPr>
          <w:trHeight w:val="291"/>
        </w:trPr>
        <w:tc>
          <w:tcPr>
            <w:tcW w:w="3400" w:type="dxa"/>
            <w:vAlign w:val="bottom"/>
            <w:vMerge w:val="restart"/>
            <w:shd w:val="clear" w:color="auto" w:fill="6B432B"/>
          </w:tcPr>
          <w:p>
            <w:pPr>
              <w:jc w:val="center"/>
              <w:spacing w:after="0"/>
              <w:rPr>
                <w:sz w:val="20"/>
                <w:szCs w:val="20"/>
                <w:color w:val="auto"/>
              </w:rPr>
            </w:pPr>
            <w:r>
              <w:rPr>
                <w:rFonts w:ascii="Arial" w:cs="Arial" w:eastAsia="Arial" w:hAnsi="Arial"/>
                <w:sz w:val="16"/>
                <w:szCs w:val="16"/>
                <w:color w:val="FFFFFF"/>
              </w:rPr>
              <w:t xml:space="preserve">ROE </w:t>
            </w:r>
            <w:r>
              <w:rPr>
                <w:rFonts w:ascii="Times New Roman" w:cs="Times New Roman" w:eastAsia="Times New Roman" w:hAnsi="Times New Roman"/>
                <w:sz w:val="24"/>
                <w:szCs w:val="24"/>
                <w:b w:val="1"/>
                <w:bCs w:val="1"/>
                <w:color w:val="FFFFFF"/>
              </w:rPr>
              <w:t>18%</w:t>
            </w:r>
          </w:p>
        </w:tc>
        <w:tc>
          <w:tcPr>
            <w:tcW w:w="260" w:type="dxa"/>
            <w:vAlign w:val="bottom"/>
          </w:tcPr>
          <w:p>
            <w:pPr>
              <w:spacing w:after="0"/>
              <w:rPr>
                <w:sz w:val="24"/>
                <w:szCs w:val="24"/>
                <w:color w:val="auto"/>
              </w:rPr>
            </w:pPr>
          </w:p>
        </w:tc>
        <w:tc>
          <w:tcPr>
            <w:tcW w:w="2480" w:type="dxa"/>
            <w:vAlign w:val="bottom"/>
            <w:shd w:val="clear" w:color="auto" w:fill="6B432B"/>
          </w:tcPr>
          <w:p>
            <w:pPr>
              <w:jc w:val="right"/>
              <w:spacing w:after="0"/>
              <w:rPr>
                <w:sz w:val="20"/>
                <w:szCs w:val="20"/>
                <w:color w:val="auto"/>
              </w:rPr>
            </w:pPr>
            <w:r>
              <w:rPr>
                <w:rFonts w:ascii="Arial" w:cs="Arial" w:eastAsia="Arial" w:hAnsi="Arial"/>
                <w:sz w:val="16"/>
                <w:szCs w:val="16"/>
                <w:color w:val="FFFFFF"/>
              </w:rPr>
              <w:t>CET1 Capital Ratios</w:t>
            </w:r>
            <w:r>
              <w:rPr>
                <w:rFonts w:ascii="Arial" w:cs="Arial" w:eastAsia="Arial" w:hAnsi="Arial"/>
                <w:sz w:val="20"/>
                <w:szCs w:val="20"/>
                <w:color w:val="FFFFFF"/>
                <w:vertAlign w:val="superscript"/>
              </w:rPr>
              <w:t>3</w:t>
            </w:r>
          </w:p>
        </w:tc>
        <w:tc>
          <w:tcPr>
            <w:tcW w:w="960" w:type="dxa"/>
            <w:vAlign w:val="bottom"/>
            <w:shd w:val="clear" w:color="auto" w:fill="6B432B"/>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shd w:val="clear" w:color="auto" w:fill="6B432B"/>
          </w:tcPr>
          <w:p>
            <w:pPr>
              <w:jc w:val="center"/>
              <w:ind w:left="781"/>
              <w:spacing w:after="0"/>
              <w:rPr>
                <w:sz w:val="20"/>
                <w:szCs w:val="20"/>
                <w:color w:val="auto"/>
              </w:rPr>
            </w:pPr>
            <w:r>
              <w:rPr>
                <w:rFonts w:ascii="Arial" w:cs="Arial" w:eastAsia="Arial" w:hAnsi="Arial"/>
                <w:sz w:val="16"/>
                <w:szCs w:val="16"/>
                <w:color w:val="FFFFFF"/>
                <w:w w:val="98"/>
              </w:rPr>
              <w:t>Std. RWA</w:t>
            </w:r>
            <w:r>
              <w:rPr>
                <w:rFonts w:ascii="Arial" w:cs="Arial" w:eastAsia="Arial" w:hAnsi="Arial"/>
                <w:sz w:val="20"/>
                <w:szCs w:val="20"/>
                <w:color w:val="FFFFFF"/>
                <w:w w:val="98"/>
                <w:vertAlign w:val="superscript"/>
              </w:rPr>
              <w:t>3</w:t>
            </w:r>
            <w:r>
              <w:rPr>
                <w:rFonts w:ascii="Arial" w:cs="Arial" w:eastAsia="Arial" w:hAnsi="Arial"/>
                <w:sz w:val="16"/>
                <w:szCs w:val="16"/>
                <w:color w:val="FFFFFF"/>
                <w:w w:val="98"/>
              </w:rPr>
              <w:t xml:space="preserve"> </w:t>
            </w:r>
            <w:r>
              <w:rPr>
                <w:rFonts w:ascii="Times New Roman" w:cs="Times New Roman" w:eastAsia="Times New Roman" w:hAnsi="Times New Roman"/>
                <w:sz w:val="24"/>
                <w:szCs w:val="24"/>
                <w:b w:val="1"/>
                <w:bCs w:val="1"/>
                <w:color w:val="FFFFFF"/>
                <w:w w:val="98"/>
              </w:rPr>
              <w:t>$1.9T</w:t>
            </w:r>
          </w:p>
        </w:tc>
        <w:tc>
          <w:tcPr>
            <w:tcW w:w="860" w:type="dxa"/>
            <w:vAlign w:val="bottom"/>
            <w:shd w:val="clear" w:color="auto" w:fill="6B432B"/>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400" w:type="dxa"/>
            <w:vAlign w:val="bottom"/>
            <w:vMerge w:val="continue"/>
            <w:shd w:val="clear" w:color="auto" w:fill="6B432B"/>
          </w:tcPr>
          <w:p>
            <w:pPr>
              <w:spacing w:after="0"/>
              <w:rPr>
                <w:sz w:val="12"/>
                <w:szCs w:val="12"/>
                <w:color w:val="auto"/>
              </w:rPr>
            </w:pPr>
          </w:p>
        </w:tc>
        <w:tc>
          <w:tcPr>
            <w:tcW w:w="260" w:type="dxa"/>
            <w:vAlign w:val="bottom"/>
          </w:tcPr>
          <w:p>
            <w:pPr>
              <w:spacing w:after="0"/>
              <w:rPr>
                <w:sz w:val="12"/>
                <w:szCs w:val="12"/>
                <w:color w:val="auto"/>
              </w:rPr>
            </w:pPr>
          </w:p>
        </w:tc>
        <w:tc>
          <w:tcPr>
            <w:tcW w:w="3440" w:type="dxa"/>
            <w:vAlign w:val="bottom"/>
            <w:gridSpan w:val="2"/>
            <w:vMerge w:val="restart"/>
            <w:shd w:val="clear" w:color="auto" w:fill="6B432B"/>
          </w:tcPr>
          <w:p>
            <w:pPr>
              <w:ind w:left="620"/>
              <w:spacing w:after="0"/>
              <w:rPr>
                <w:sz w:val="20"/>
                <w:szCs w:val="20"/>
                <w:color w:val="auto"/>
              </w:rPr>
            </w:pPr>
            <w:r>
              <w:rPr>
                <w:rFonts w:ascii="Arial" w:cs="Arial" w:eastAsia="Arial" w:hAnsi="Arial"/>
                <w:sz w:val="16"/>
                <w:szCs w:val="16"/>
                <w:color w:val="FFFFFF"/>
              </w:rPr>
              <w:t xml:space="preserve">Std. </w:t>
            </w:r>
            <w:r>
              <w:rPr>
                <w:rFonts w:ascii="Times New Roman" w:cs="Times New Roman" w:eastAsia="Times New Roman" w:hAnsi="Times New Roman"/>
                <w:sz w:val="24"/>
                <w:szCs w:val="24"/>
                <w:b w:val="1"/>
                <w:bCs w:val="1"/>
                <w:color w:val="FFFFFF"/>
              </w:rPr>
              <w:t>15.0%</w:t>
            </w:r>
            <w:r>
              <w:rPr>
                <w:rFonts w:ascii="Arial" w:cs="Arial" w:eastAsia="Arial" w:hAnsi="Arial"/>
                <w:sz w:val="16"/>
                <w:szCs w:val="16"/>
                <w:color w:val="FFFFFF"/>
              </w:rPr>
              <w:t xml:space="preserve"> | Adv. </w:t>
            </w:r>
            <w:r>
              <w:rPr>
                <w:rFonts w:ascii="Times New Roman" w:cs="Times New Roman" w:eastAsia="Times New Roman" w:hAnsi="Times New Roman"/>
                <w:sz w:val="24"/>
                <w:szCs w:val="24"/>
                <w:b w:val="1"/>
                <w:bCs w:val="1"/>
                <w:color w:val="FFFFFF"/>
              </w:rPr>
              <w:t>15.1%</w:t>
            </w:r>
          </w:p>
        </w:tc>
        <w:tc>
          <w:tcPr>
            <w:tcW w:w="260" w:type="dxa"/>
            <w:vAlign w:val="bottom"/>
          </w:tcPr>
          <w:p>
            <w:pPr>
              <w:spacing w:after="0"/>
              <w:rPr>
                <w:sz w:val="12"/>
                <w:szCs w:val="12"/>
                <w:color w:val="auto"/>
              </w:rPr>
            </w:pPr>
          </w:p>
        </w:tc>
        <w:tc>
          <w:tcPr>
            <w:tcW w:w="2560" w:type="dxa"/>
            <w:vAlign w:val="bottom"/>
            <w:vMerge w:val="restart"/>
            <w:shd w:val="clear" w:color="auto" w:fill="6B432B"/>
          </w:tcPr>
          <w:p>
            <w:pPr>
              <w:ind w:left="240"/>
              <w:spacing w:after="0"/>
              <w:rPr>
                <w:sz w:val="20"/>
                <w:szCs w:val="20"/>
                <w:color w:val="auto"/>
              </w:rPr>
            </w:pPr>
            <w:r>
              <w:rPr>
                <w:rFonts w:ascii="Arial" w:cs="Arial" w:eastAsia="Arial" w:hAnsi="Arial"/>
                <w:sz w:val="16"/>
                <w:szCs w:val="16"/>
                <w:color w:val="FFFFFF"/>
                <w:w w:val="99"/>
              </w:rPr>
              <w:t>Cash and marketable securities</w:t>
            </w:r>
            <w:r>
              <w:rPr>
                <w:rFonts w:ascii="Arial" w:cs="Arial" w:eastAsia="Arial" w:hAnsi="Arial"/>
                <w:sz w:val="20"/>
                <w:szCs w:val="20"/>
                <w:color w:val="FFFFFF"/>
                <w:w w:val="99"/>
                <w:vertAlign w:val="superscript"/>
              </w:rPr>
              <w:t>4</w:t>
            </w:r>
          </w:p>
        </w:tc>
        <w:tc>
          <w:tcPr>
            <w:tcW w:w="860" w:type="dxa"/>
            <w:vAlign w:val="bottom"/>
            <w:vMerge w:val="restart"/>
            <w:shd w:val="clear" w:color="auto" w:fill="6B432B"/>
          </w:tcPr>
          <w:p>
            <w:pPr>
              <w:ind w:left="20"/>
              <w:spacing w:after="0"/>
              <w:rPr>
                <w:sz w:val="20"/>
                <w:szCs w:val="20"/>
                <w:color w:val="auto"/>
              </w:rPr>
            </w:pPr>
            <w:r>
              <w:rPr>
                <w:rFonts w:ascii="Times New Roman" w:cs="Times New Roman" w:eastAsia="Times New Roman" w:hAnsi="Times New Roman"/>
                <w:sz w:val="25"/>
                <w:szCs w:val="25"/>
                <w:b w:val="1"/>
                <w:bCs w:val="1"/>
                <w:color w:val="FFFFFF"/>
              </w:rPr>
              <w:t>$1.5T</w:t>
            </w:r>
          </w:p>
        </w:tc>
        <w:tc>
          <w:tcPr>
            <w:tcW w:w="0" w:type="dxa"/>
            <w:vAlign w:val="bottom"/>
          </w:tcPr>
          <w:p>
            <w:pPr>
              <w:spacing w:after="0"/>
              <w:rPr>
                <w:sz w:val="1"/>
                <w:szCs w:val="1"/>
                <w:color w:val="auto"/>
              </w:rPr>
            </w:pPr>
          </w:p>
        </w:tc>
      </w:tr>
      <w:tr>
        <w:trPr>
          <w:trHeight w:val="159"/>
        </w:trPr>
        <w:tc>
          <w:tcPr>
            <w:tcW w:w="3400" w:type="dxa"/>
            <w:vAlign w:val="bottom"/>
            <w:vMerge w:val="restart"/>
            <w:shd w:val="clear" w:color="auto" w:fill="6B432B"/>
          </w:tcPr>
          <w:p>
            <w:pPr>
              <w:jc w:val="center"/>
              <w:spacing w:after="0"/>
              <w:rPr>
                <w:sz w:val="20"/>
                <w:szCs w:val="20"/>
                <w:color w:val="auto"/>
              </w:rPr>
            </w:pPr>
            <w:r>
              <w:rPr>
                <w:rFonts w:ascii="Arial" w:cs="Arial" w:eastAsia="Arial" w:hAnsi="Arial"/>
                <w:sz w:val="16"/>
                <w:szCs w:val="16"/>
                <w:color w:val="FFFFFF"/>
                <w:w w:val="98"/>
              </w:rPr>
              <w:t>ROTCE</w:t>
            </w:r>
            <w:r>
              <w:rPr>
                <w:rFonts w:ascii="Arial" w:cs="Arial" w:eastAsia="Arial" w:hAnsi="Arial"/>
                <w:sz w:val="20"/>
                <w:szCs w:val="20"/>
                <w:color w:val="FFFFFF"/>
                <w:w w:val="98"/>
                <w:vertAlign w:val="superscript"/>
              </w:rPr>
              <w:t>2</w:t>
            </w:r>
            <w:r>
              <w:rPr>
                <w:rFonts w:ascii="Arial" w:cs="Arial" w:eastAsia="Arial" w:hAnsi="Arial"/>
                <w:sz w:val="16"/>
                <w:szCs w:val="16"/>
                <w:color w:val="FFFFFF"/>
                <w:w w:val="98"/>
              </w:rPr>
              <w:t xml:space="preserve"> </w:t>
            </w:r>
            <w:r>
              <w:rPr>
                <w:rFonts w:ascii="Times New Roman" w:cs="Times New Roman" w:eastAsia="Times New Roman" w:hAnsi="Times New Roman"/>
                <w:sz w:val="24"/>
                <w:szCs w:val="24"/>
                <w:b w:val="1"/>
                <w:bCs w:val="1"/>
                <w:color w:val="FFFFFF"/>
                <w:w w:val="98"/>
              </w:rPr>
              <w:t>21%</w:t>
            </w:r>
          </w:p>
        </w:tc>
        <w:tc>
          <w:tcPr>
            <w:tcW w:w="260" w:type="dxa"/>
            <w:vAlign w:val="bottom"/>
          </w:tcPr>
          <w:p>
            <w:pPr>
              <w:spacing w:after="0"/>
              <w:rPr>
                <w:sz w:val="13"/>
                <w:szCs w:val="13"/>
                <w:color w:val="auto"/>
              </w:rPr>
            </w:pPr>
          </w:p>
        </w:tc>
        <w:tc>
          <w:tcPr>
            <w:tcW w:w="3440" w:type="dxa"/>
            <w:vAlign w:val="bottom"/>
            <w:gridSpan w:val="2"/>
            <w:vMerge w:val="continue"/>
            <w:shd w:val="clear" w:color="auto" w:fill="6B432B"/>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vMerge w:val="continue"/>
            <w:shd w:val="clear" w:color="auto" w:fill="6B432B"/>
          </w:tcPr>
          <w:p>
            <w:pPr>
              <w:spacing w:after="0"/>
              <w:rPr>
                <w:sz w:val="13"/>
                <w:szCs w:val="13"/>
                <w:color w:val="auto"/>
              </w:rPr>
            </w:pPr>
          </w:p>
        </w:tc>
        <w:tc>
          <w:tcPr>
            <w:tcW w:w="860" w:type="dxa"/>
            <w:vAlign w:val="bottom"/>
            <w:vMerge w:val="continue"/>
            <w:shd w:val="clear" w:color="auto" w:fill="6B432B"/>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400" w:type="dxa"/>
            <w:vAlign w:val="bottom"/>
            <w:vMerge w:val="continue"/>
            <w:shd w:val="clear" w:color="auto" w:fill="6B432B"/>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vMerge w:val="restart"/>
            <w:shd w:val="clear" w:color="auto" w:fill="6B432B"/>
          </w:tcPr>
          <w:p>
            <w:pPr>
              <w:jc w:val="right"/>
              <w:spacing w:after="0"/>
              <w:rPr>
                <w:sz w:val="20"/>
                <w:szCs w:val="20"/>
                <w:color w:val="auto"/>
              </w:rPr>
            </w:pPr>
            <w:r>
              <w:rPr>
                <w:rFonts w:ascii="Arial" w:cs="Arial" w:eastAsia="Arial" w:hAnsi="Arial"/>
                <w:sz w:val="16"/>
                <w:szCs w:val="16"/>
                <w:color w:val="FFFFFF"/>
              </w:rPr>
              <w:t>Total Loss-Absorbing Capacity</w:t>
            </w:r>
            <w:r>
              <w:rPr>
                <w:rFonts w:ascii="Arial" w:cs="Arial" w:eastAsia="Arial" w:hAnsi="Arial"/>
                <w:sz w:val="20"/>
                <w:szCs w:val="20"/>
                <w:color w:val="FFFFFF"/>
                <w:vertAlign w:val="superscript"/>
              </w:rPr>
              <w:t>3</w:t>
            </w:r>
          </w:p>
        </w:tc>
        <w:tc>
          <w:tcPr>
            <w:tcW w:w="960" w:type="dxa"/>
            <w:vAlign w:val="bottom"/>
            <w:vMerge w:val="restart"/>
            <w:shd w:val="clear" w:color="auto" w:fill="6B432B"/>
          </w:tcPr>
          <w:p>
            <w:pPr>
              <w:ind w:left="20"/>
              <w:spacing w:after="0"/>
              <w:rPr>
                <w:sz w:val="20"/>
                <w:szCs w:val="20"/>
                <w:color w:val="auto"/>
              </w:rPr>
            </w:pPr>
            <w:r>
              <w:rPr>
                <w:rFonts w:ascii="Times New Roman" w:cs="Times New Roman" w:eastAsia="Times New Roman" w:hAnsi="Times New Roman"/>
                <w:sz w:val="25"/>
                <w:szCs w:val="25"/>
                <w:b w:val="1"/>
                <w:bCs w:val="1"/>
                <w:color w:val="FFFFFF"/>
              </w:rPr>
              <w:t>$560B</w:t>
            </w:r>
          </w:p>
        </w:tc>
        <w:tc>
          <w:tcPr>
            <w:tcW w:w="260" w:type="dxa"/>
            <w:vAlign w:val="bottom"/>
          </w:tcPr>
          <w:p>
            <w:pPr>
              <w:spacing w:after="0"/>
              <w:rPr>
                <w:sz w:val="18"/>
                <w:szCs w:val="18"/>
                <w:color w:val="auto"/>
              </w:rPr>
            </w:pPr>
          </w:p>
        </w:tc>
        <w:tc>
          <w:tcPr>
            <w:tcW w:w="2560" w:type="dxa"/>
            <w:vAlign w:val="bottom"/>
            <w:vMerge w:val="restart"/>
            <w:shd w:val="clear" w:color="auto" w:fill="6B432B"/>
          </w:tcPr>
          <w:p>
            <w:pPr>
              <w:jc w:val="center"/>
              <w:ind w:left="781"/>
              <w:spacing w:after="0"/>
              <w:rPr>
                <w:sz w:val="20"/>
                <w:szCs w:val="20"/>
                <w:color w:val="auto"/>
              </w:rPr>
            </w:pPr>
            <w:r>
              <w:rPr>
                <w:rFonts w:ascii="Arial" w:cs="Arial" w:eastAsia="Arial" w:hAnsi="Arial"/>
                <w:sz w:val="16"/>
                <w:szCs w:val="16"/>
                <w:color w:val="FFFFFF"/>
              </w:rPr>
              <w:t xml:space="preserve">Average loans </w:t>
            </w:r>
            <w:r>
              <w:rPr>
                <w:rFonts w:ascii="Times New Roman" w:cs="Times New Roman" w:eastAsia="Times New Roman" w:hAnsi="Times New Roman"/>
                <w:sz w:val="24"/>
                <w:szCs w:val="24"/>
                <w:b w:val="1"/>
                <w:bCs w:val="1"/>
                <w:color w:val="FFFFFF"/>
              </w:rPr>
              <w:t>$1.4T</w:t>
            </w:r>
          </w:p>
        </w:tc>
        <w:tc>
          <w:tcPr>
            <w:tcW w:w="860" w:type="dxa"/>
            <w:vAlign w:val="bottom"/>
            <w:shd w:val="clear" w:color="auto" w:fill="6B432B"/>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00" w:type="dxa"/>
            <w:vAlign w:val="bottom"/>
            <w:shd w:val="clear" w:color="auto" w:fill="6B432B"/>
          </w:tcPr>
          <w:p>
            <w:pPr>
              <w:spacing w:after="0"/>
              <w:rPr>
                <w:sz w:val="11"/>
                <w:szCs w:val="11"/>
                <w:color w:val="auto"/>
              </w:rPr>
            </w:pPr>
          </w:p>
        </w:tc>
        <w:tc>
          <w:tcPr>
            <w:tcW w:w="260" w:type="dxa"/>
            <w:vAlign w:val="bottom"/>
          </w:tcPr>
          <w:p>
            <w:pPr>
              <w:spacing w:after="0"/>
              <w:rPr>
                <w:sz w:val="11"/>
                <w:szCs w:val="11"/>
                <w:color w:val="auto"/>
              </w:rPr>
            </w:pPr>
          </w:p>
        </w:tc>
        <w:tc>
          <w:tcPr>
            <w:tcW w:w="2480" w:type="dxa"/>
            <w:vAlign w:val="bottom"/>
            <w:vMerge w:val="continue"/>
            <w:shd w:val="clear" w:color="auto" w:fill="6B432B"/>
          </w:tcPr>
          <w:p>
            <w:pPr>
              <w:spacing w:after="0"/>
              <w:rPr>
                <w:sz w:val="11"/>
                <w:szCs w:val="11"/>
                <w:color w:val="auto"/>
              </w:rPr>
            </w:pPr>
          </w:p>
        </w:tc>
        <w:tc>
          <w:tcPr>
            <w:tcW w:w="960" w:type="dxa"/>
            <w:vAlign w:val="bottom"/>
            <w:vMerge w:val="continue"/>
            <w:shd w:val="clear" w:color="auto" w:fill="6B432B"/>
          </w:tcPr>
          <w:p>
            <w:pPr>
              <w:spacing w:after="0"/>
              <w:rPr>
                <w:sz w:val="11"/>
                <w:szCs w:val="11"/>
                <w:color w:val="auto"/>
              </w:rPr>
            </w:pPr>
          </w:p>
        </w:tc>
        <w:tc>
          <w:tcPr>
            <w:tcW w:w="260" w:type="dxa"/>
            <w:vAlign w:val="bottom"/>
          </w:tcPr>
          <w:p>
            <w:pPr>
              <w:spacing w:after="0"/>
              <w:rPr>
                <w:sz w:val="11"/>
                <w:szCs w:val="11"/>
                <w:color w:val="auto"/>
              </w:rPr>
            </w:pPr>
          </w:p>
        </w:tc>
        <w:tc>
          <w:tcPr>
            <w:tcW w:w="2560" w:type="dxa"/>
            <w:vAlign w:val="bottom"/>
            <w:vMerge w:val="continue"/>
            <w:shd w:val="clear" w:color="auto" w:fill="6B432B"/>
          </w:tcPr>
          <w:p>
            <w:pPr>
              <w:spacing w:after="0"/>
              <w:rPr>
                <w:sz w:val="11"/>
                <w:szCs w:val="11"/>
                <w:color w:val="auto"/>
              </w:rPr>
            </w:pPr>
          </w:p>
        </w:tc>
        <w:tc>
          <w:tcPr>
            <w:tcW w:w="860" w:type="dxa"/>
            <w:vAlign w:val="bottom"/>
            <w:shd w:val="clear" w:color="auto" w:fill="6B432B"/>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320" w:top="121" w:right="339" w:bottom="10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240"/>
        <w:spacing w:after="0"/>
        <w:rPr>
          <w:sz w:val="20"/>
          <w:szCs w:val="20"/>
          <w:color w:val="auto"/>
        </w:rPr>
      </w:pPr>
      <w:r>
        <w:rPr>
          <w:rFonts w:ascii="Arial" w:cs="Arial" w:eastAsia="Arial" w:hAnsi="Arial"/>
          <w:sz w:val="17"/>
          <w:szCs w:val="17"/>
          <w:b w:val="1"/>
          <w:bCs w:val="1"/>
          <w:color w:val="FFFFFF"/>
        </w:rPr>
        <w:t>Firmwide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-655320</wp:posOffset>
            </wp:positionV>
            <wp:extent cx="782320" cy="1346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2320" cy="1346200"/>
                    </a:xfrm>
                    <a:prstGeom prst="rect">
                      <a:avLst/>
                    </a:prstGeom>
                    <a:noFill/>
                  </pic:spPr>
                </pic:pic>
              </a:graphicData>
            </a:graphic>
          </wp:anchor>
        </w:drawing>
      </w:r>
    </w:p>
    <w:p>
      <w:pPr>
        <w:jc w:val="center"/>
        <w:ind w:left="240"/>
        <w:spacing w:after="0"/>
        <w:rPr>
          <w:sz w:val="20"/>
          <w:szCs w:val="20"/>
          <w:color w:val="auto"/>
        </w:rPr>
      </w:pPr>
      <w:r>
        <w:rPr>
          <w:rFonts w:ascii="Arial" w:cs="Arial" w:eastAsia="Arial" w:hAnsi="Arial"/>
          <w:sz w:val="18"/>
          <w:szCs w:val="18"/>
          <w:b w:val="1"/>
          <w:bCs w:val="1"/>
          <w:color w:val="FFFFFF"/>
        </w:rPr>
        <w:t>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617855</wp:posOffset>
            </wp:positionV>
            <wp:extent cx="782320" cy="1076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2320" cy="107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CCB</w:t>
      </w:r>
    </w:p>
    <w:p>
      <w:pPr>
        <w:spacing w:after="0" w:line="255"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i w:val="1"/>
          <w:iCs w:val="1"/>
          <w:color w:val="FFFFFF"/>
        </w:rPr>
        <w:t>ROE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415925</wp:posOffset>
            </wp:positionV>
            <wp:extent cx="782320" cy="1211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2320" cy="121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CIB</w:t>
      </w:r>
    </w:p>
    <w:p>
      <w:pPr>
        <w:spacing w:after="0" w:line="162"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i w:val="1"/>
          <w:iCs w:val="1"/>
          <w:color w:val="FFFFFF"/>
        </w:rPr>
        <w:t>ROE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525145</wp:posOffset>
            </wp:positionV>
            <wp:extent cx="782320" cy="538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2320" cy="53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AWM</w:t>
      </w:r>
    </w:p>
    <w:p>
      <w:pPr>
        <w:spacing w:after="0" w:line="215"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i w:val="1"/>
          <w:iCs w:val="1"/>
          <w:color w:val="FFFFFF"/>
        </w:rPr>
        <w:t>ROE 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4" w:right="220" w:hanging="244"/>
        <w:spacing w:after="0" w:line="285" w:lineRule="auto"/>
        <w:tabs>
          <w:tab w:leader="none" w:pos="244" w:val="left"/>
        </w:tabs>
        <w:numPr>
          <w:ilvl w:val="0"/>
          <w:numId w:val="5"/>
        </w:numPr>
        <w:rPr>
          <w:rFonts w:ascii="Wingdings" w:cs="Wingdings" w:eastAsia="Wingdings" w:hAnsi="Wingdings"/>
          <w:sz w:val="18"/>
          <w:szCs w:val="18"/>
          <w:b w:val="1"/>
          <w:bCs w:val="1"/>
          <w:color w:val="8F5A39"/>
        </w:rPr>
      </w:pPr>
      <w:r>
        <w:rPr>
          <w:rFonts w:ascii="Times New Roman" w:cs="Times New Roman" w:eastAsia="Times New Roman" w:hAnsi="Times New Roman"/>
          <w:sz w:val="16"/>
          <w:szCs w:val="16"/>
          <w:color w:val="auto"/>
        </w:rPr>
        <w:t>Reported revenue of $44.9 billion and managed revenue of $45.7 billion</w:t>
      </w:r>
      <w:r>
        <w:rPr>
          <w:rFonts w:ascii="Times New Roman" w:cs="Times New Roman" w:eastAsia="Times New Roman" w:hAnsi="Times New Roman"/>
          <w:sz w:val="20"/>
          <w:szCs w:val="20"/>
          <w:color w:val="auto"/>
          <w:vertAlign w:val="superscript"/>
        </w:rPr>
        <w:t>2</w:t>
      </w:r>
    </w:p>
    <w:p>
      <w:pPr>
        <w:spacing w:after="0" w:line="32" w:lineRule="exact"/>
        <w:rPr>
          <w:rFonts w:ascii="Wingdings" w:cs="Wingdings" w:eastAsia="Wingdings" w:hAnsi="Wingdings"/>
          <w:sz w:val="18"/>
          <w:szCs w:val="18"/>
          <w:b w:val="1"/>
          <w:bCs w:val="1"/>
          <w:color w:val="8F5A39"/>
        </w:rPr>
      </w:pPr>
    </w:p>
    <w:p>
      <w:pPr>
        <w:ind w:left="244" w:right="60" w:hanging="244"/>
        <w:spacing w:after="0" w:line="285" w:lineRule="auto"/>
        <w:tabs>
          <w:tab w:leader="none" w:pos="244" w:val="left"/>
        </w:tabs>
        <w:numPr>
          <w:ilvl w:val="0"/>
          <w:numId w:val="5"/>
        </w:numPr>
        <w:rPr>
          <w:rFonts w:ascii="Wingdings" w:cs="Wingdings" w:eastAsia="Wingdings" w:hAnsi="Wingdings"/>
          <w:sz w:val="18"/>
          <w:szCs w:val="18"/>
          <w:b w:val="1"/>
          <w:bCs w:val="1"/>
          <w:color w:val="8F5A39"/>
        </w:rPr>
      </w:pPr>
      <w:r>
        <w:rPr>
          <w:rFonts w:ascii="Times New Roman" w:cs="Times New Roman" w:eastAsia="Times New Roman" w:hAnsi="Times New Roman"/>
          <w:sz w:val="16"/>
          <w:szCs w:val="16"/>
          <w:color w:val="auto"/>
        </w:rPr>
        <w:t>Expense of $23.8 billion; reported overhead ratio of 53% and managed overhead ratio</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of 52%</w:t>
      </w:r>
    </w:p>
    <w:p>
      <w:pPr>
        <w:spacing w:after="0" w:line="6" w:lineRule="exact"/>
        <w:rPr>
          <w:rFonts w:ascii="Wingdings" w:cs="Wingdings" w:eastAsia="Wingdings" w:hAnsi="Wingdings"/>
          <w:sz w:val="18"/>
          <w:szCs w:val="18"/>
          <w:b w:val="1"/>
          <w:bCs w:val="1"/>
          <w:color w:val="8F5A39"/>
        </w:rPr>
      </w:pPr>
    </w:p>
    <w:p>
      <w:pPr>
        <w:ind w:left="244" w:hanging="244"/>
        <w:spacing w:after="0" w:line="269" w:lineRule="auto"/>
        <w:tabs>
          <w:tab w:leader="none" w:pos="244" w:val="left"/>
        </w:tabs>
        <w:numPr>
          <w:ilvl w:val="0"/>
          <w:numId w:val="5"/>
        </w:numPr>
        <w:rPr>
          <w:rFonts w:ascii="Wingdings" w:cs="Wingdings" w:eastAsia="Wingdings" w:hAnsi="Wingdings"/>
          <w:sz w:val="18"/>
          <w:szCs w:val="18"/>
          <w:b w:val="1"/>
          <w:bCs w:val="1"/>
          <w:color w:val="8F5A39"/>
        </w:rPr>
      </w:pPr>
      <w:r>
        <w:rPr>
          <w:rFonts w:ascii="Times New Roman" w:cs="Times New Roman" w:eastAsia="Times New Roman" w:hAnsi="Times New Roman"/>
          <w:sz w:val="16"/>
          <w:szCs w:val="16"/>
          <w:color w:val="auto"/>
        </w:rPr>
        <w:t>Credit costs of $2.8 billion with $2.4 billion of net charge-offs and a $439 million net reserve build</w:t>
      </w:r>
    </w:p>
    <w:p>
      <w:pPr>
        <w:spacing w:after="0" w:line="99" w:lineRule="exact"/>
        <w:rPr>
          <w:rFonts w:ascii="Wingdings" w:cs="Wingdings" w:eastAsia="Wingdings" w:hAnsi="Wingdings"/>
          <w:sz w:val="18"/>
          <w:szCs w:val="18"/>
          <w:b w:val="1"/>
          <w:bCs w:val="1"/>
          <w:color w:val="8F5A39"/>
        </w:rPr>
      </w:pPr>
    </w:p>
    <w:p>
      <w:pPr>
        <w:ind w:left="244" w:right="120" w:hanging="244"/>
        <w:spacing w:after="0" w:line="269" w:lineRule="auto"/>
        <w:tabs>
          <w:tab w:leader="none" w:pos="244" w:val="left"/>
        </w:tabs>
        <w:numPr>
          <w:ilvl w:val="0"/>
          <w:numId w:val="5"/>
        </w:numPr>
        <w:rPr>
          <w:rFonts w:ascii="Wingdings" w:cs="Wingdings" w:eastAsia="Wingdings" w:hAnsi="Wingdings"/>
          <w:sz w:val="18"/>
          <w:szCs w:val="18"/>
          <w:b w:val="1"/>
          <w:bCs w:val="1"/>
          <w:color w:val="8F5A39"/>
        </w:rPr>
      </w:pPr>
      <w:r>
        <w:rPr>
          <w:rFonts w:ascii="Times New Roman" w:cs="Times New Roman" w:eastAsia="Times New Roman" w:hAnsi="Times New Roman"/>
          <w:sz w:val="16"/>
          <w:szCs w:val="16"/>
          <w:color w:val="auto"/>
        </w:rPr>
        <w:t>Average loans up 5% YoY, up 3% QoQ; average deposits up 6% YoY, up 3% QoQ</w:t>
      </w:r>
    </w:p>
    <w:p>
      <w:pPr>
        <w:spacing w:after="0" w:line="192" w:lineRule="exact"/>
        <w:rPr>
          <w:rFonts w:ascii="Wingdings" w:cs="Wingdings" w:eastAsia="Wingdings" w:hAnsi="Wingdings"/>
          <w:sz w:val="18"/>
          <w:szCs w:val="18"/>
          <w:b w:val="1"/>
          <w:bCs w:val="1"/>
          <w:color w:val="8F5A39"/>
        </w:rPr>
      </w:pPr>
    </w:p>
    <w:p>
      <w:pPr>
        <w:ind w:left="244" w:right="640" w:hanging="244"/>
        <w:spacing w:after="0" w:line="269" w:lineRule="auto"/>
        <w:tabs>
          <w:tab w:leader="none" w:pos="244" w:val="left"/>
        </w:tabs>
        <w:numPr>
          <w:ilvl w:val="0"/>
          <w:numId w:val="5"/>
        </w:numPr>
        <w:rPr>
          <w:rFonts w:ascii="Wingdings" w:cs="Wingdings" w:eastAsia="Wingdings" w:hAnsi="Wingdings"/>
          <w:sz w:val="18"/>
          <w:szCs w:val="18"/>
          <w:b w:val="1"/>
          <w:bCs w:val="1"/>
          <w:color w:val="2B5780"/>
        </w:rPr>
      </w:pPr>
      <w:r>
        <w:rPr>
          <w:rFonts w:ascii="Times New Roman" w:cs="Times New Roman" w:eastAsia="Times New Roman" w:hAnsi="Times New Roman"/>
          <w:sz w:val="16"/>
          <w:szCs w:val="16"/>
          <w:color w:val="auto"/>
        </w:rPr>
        <w:t>Average deposits down 1% YoY, up 1% QoQ; client investment assets up 14% YoY</w:t>
      </w:r>
    </w:p>
    <w:p>
      <w:pPr>
        <w:spacing w:after="0" w:line="99" w:lineRule="exact"/>
        <w:rPr>
          <w:rFonts w:ascii="Wingdings" w:cs="Wingdings" w:eastAsia="Wingdings" w:hAnsi="Wingdings"/>
          <w:sz w:val="18"/>
          <w:szCs w:val="18"/>
          <w:b w:val="1"/>
          <w:bCs w:val="1"/>
          <w:color w:val="2B5780"/>
        </w:rPr>
      </w:pPr>
    </w:p>
    <w:p>
      <w:pPr>
        <w:ind w:left="244" w:right="460" w:hanging="244"/>
        <w:spacing w:after="0" w:line="269" w:lineRule="auto"/>
        <w:tabs>
          <w:tab w:leader="none" w:pos="244" w:val="left"/>
        </w:tabs>
        <w:numPr>
          <w:ilvl w:val="0"/>
          <w:numId w:val="5"/>
        </w:numPr>
        <w:rPr>
          <w:rFonts w:ascii="Wingdings" w:cs="Wingdings" w:eastAsia="Wingdings" w:hAnsi="Wingdings"/>
          <w:sz w:val="18"/>
          <w:szCs w:val="18"/>
          <w:b w:val="1"/>
          <w:bCs w:val="1"/>
          <w:color w:val="2B5780"/>
        </w:rPr>
      </w:pPr>
      <w:r>
        <w:rPr>
          <w:rFonts w:ascii="Times New Roman" w:cs="Times New Roman" w:eastAsia="Times New Roman" w:hAnsi="Times New Roman"/>
          <w:sz w:val="16"/>
          <w:szCs w:val="16"/>
          <w:color w:val="auto"/>
        </w:rPr>
        <w:t>Average loans up 1% YoY, flat QoQ; Card Services net charge-off rate of 3.40%</w:t>
      </w:r>
    </w:p>
    <w:p>
      <w:pPr>
        <w:spacing w:after="0" w:line="77" w:lineRule="exact"/>
        <w:rPr>
          <w:rFonts w:ascii="Wingdings" w:cs="Wingdings" w:eastAsia="Wingdings" w:hAnsi="Wingdings"/>
          <w:sz w:val="18"/>
          <w:szCs w:val="18"/>
          <w:b w:val="1"/>
          <w:bCs w:val="1"/>
          <w:color w:val="2B5780"/>
        </w:rPr>
      </w:pPr>
    </w:p>
    <w:p>
      <w:pPr>
        <w:ind w:left="244" w:hanging="244"/>
        <w:spacing w:after="0"/>
        <w:tabs>
          <w:tab w:leader="none" w:pos="244" w:val="left"/>
        </w:tabs>
        <w:numPr>
          <w:ilvl w:val="0"/>
          <w:numId w:val="5"/>
        </w:numPr>
        <w:rPr>
          <w:rFonts w:ascii="Wingdings" w:cs="Wingdings" w:eastAsia="Wingdings" w:hAnsi="Wingdings"/>
          <w:sz w:val="18"/>
          <w:szCs w:val="18"/>
          <w:b w:val="1"/>
          <w:bCs w:val="1"/>
          <w:color w:val="2B5780"/>
        </w:rPr>
      </w:pPr>
      <w:r>
        <w:rPr>
          <w:rFonts w:ascii="Times New Roman" w:cs="Times New Roman" w:eastAsia="Times New Roman" w:hAnsi="Times New Roman"/>
          <w:sz w:val="16"/>
          <w:szCs w:val="16"/>
          <w:color w:val="auto"/>
        </w:rPr>
        <w:t>Debit and credit card sales volume</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6"/>
          <w:szCs w:val="16"/>
          <w:color w:val="auto"/>
        </w:rPr>
        <w:t xml:space="preserve"> up 7% YoY</w:t>
      </w:r>
    </w:p>
    <w:p>
      <w:pPr>
        <w:spacing w:after="0" w:line="88" w:lineRule="exact"/>
        <w:rPr>
          <w:rFonts w:ascii="Wingdings" w:cs="Wingdings" w:eastAsia="Wingdings" w:hAnsi="Wingdings"/>
          <w:sz w:val="18"/>
          <w:szCs w:val="18"/>
          <w:b w:val="1"/>
          <w:bCs w:val="1"/>
          <w:color w:val="2B5780"/>
        </w:rPr>
      </w:pPr>
    </w:p>
    <w:p>
      <w:pPr>
        <w:ind w:left="244" w:hanging="244"/>
        <w:spacing w:after="0"/>
        <w:tabs>
          <w:tab w:leader="none" w:pos="244" w:val="left"/>
        </w:tabs>
        <w:numPr>
          <w:ilvl w:val="0"/>
          <w:numId w:val="5"/>
        </w:numPr>
        <w:rPr>
          <w:rFonts w:ascii="Wingdings" w:cs="Wingdings" w:eastAsia="Wingdings" w:hAnsi="Wingdings"/>
          <w:sz w:val="18"/>
          <w:szCs w:val="18"/>
          <w:b w:val="1"/>
          <w:bCs w:val="1"/>
          <w:color w:val="2B5780"/>
        </w:rPr>
      </w:pPr>
      <w:r>
        <w:rPr>
          <w:rFonts w:ascii="Times New Roman" w:cs="Times New Roman" w:eastAsia="Times New Roman" w:hAnsi="Times New Roman"/>
          <w:sz w:val="16"/>
          <w:szCs w:val="16"/>
          <w:color w:val="auto"/>
        </w:rPr>
        <w:t>Active mobile customers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6"/>
          <w:szCs w:val="16"/>
          <w:color w:val="auto"/>
        </w:rPr>
        <w:t xml:space="preserve"> up 8% YoY</w:t>
      </w:r>
    </w:p>
    <w:p>
      <w:pPr>
        <w:spacing w:after="0" w:line="202" w:lineRule="exact"/>
        <w:rPr>
          <w:rFonts w:ascii="Wingdings" w:cs="Wingdings" w:eastAsia="Wingdings" w:hAnsi="Wingdings"/>
          <w:sz w:val="18"/>
          <w:szCs w:val="18"/>
          <w:b w:val="1"/>
          <w:bCs w:val="1"/>
          <w:color w:val="2B5780"/>
        </w:rPr>
      </w:pPr>
    </w:p>
    <w:p>
      <w:pPr>
        <w:ind w:left="244" w:right="40" w:hanging="244"/>
        <w:spacing w:after="0" w:line="271" w:lineRule="auto"/>
        <w:tabs>
          <w:tab w:leader="none" w:pos="244" w:val="left"/>
        </w:tabs>
        <w:numPr>
          <w:ilvl w:val="0"/>
          <w:numId w:val="5"/>
        </w:numPr>
        <w:rPr>
          <w:rFonts w:ascii="Wingdings" w:cs="Wingdings" w:eastAsia="Wingdings" w:hAnsi="Wingdings"/>
          <w:sz w:val="18"/>
          <w:szCs w:val="18"/>
          <w:b w:val="1"/>
          <w:bCs w:val="1"/>
          <w:color w:val="447E94"/>
        </w:rPr>
      </w:pPr>
      <w:r>
        <w:rPr>
          <w:rFonts w:ascii="Times New Roman" w:cs="Times New Roman" w:eastAsia="Times New Roman" w:hAnsi="Times New Roman"/>
          <w:sz w:val="16"/>
          <w:szCs w:val="16"/>
          <w:color w:val="auto"/>
        </w:rPr>
        <w:t>Investment Banking fees up 7% YoY, up 12% QoQ; #1 ranking for Global Investment Banking fees with 8.9% wallet share YTD</w:t>
      </w:r>
    </w:p>
    <w:p>
      <w:pPr>
        <w:spacing w:after="0" w:line="47" w:lineRule="exact"/>
        <w:rPr>
          <w:rFonts w:ascii="Wingdings" w:cs="Wingdings" w:eastAsia="Wingdings" w:hAnsi="Wingdings"/>
          <w:sz w:val="18"/>
          <w:szCs w:val="18"/>
          <w:b w:val="1"/>
          <w:bCs w:val="1"/>
          <w:color w:val="447E94"/>
        </w:rPr>
      </w:pPr>
    </w:p>
    <w:p>
      <w:pPr>
        <w:ind w:left="244" w:right="20" w:hanging="244"/>
        <w:spacing w:after="0" w:line="269" w:lineRule="auto"/>
        <w:tabs>
          <w:tab w:leader="none" w:pos="244" w:val="left"/>
        </w:tabs>
        <w:numPr>
          <w:ilvl w:val="0"/>
          <w:numId w:val="5"/>
        </w:numPr>
        <w:rPr>
          <w:rFonts w:ascii="Wingdings" w:cs="Wingdings" w:eastAsia="Wingdings" w:hAnsi="Wingdings"/>
          <w:sz w:val="18"/>
          <w:szCs w:val="18"/>
          <w:b w:val="1"/>
          <w:bCs w:val="1"/>
          <w:color w:val="447E94"/>
        </w:rPr>
      </w:pPr>
      <w:r>
        <w:rPr>
          <w:rFonts w:ascii="Times New Roman" w:cs="Times New Roman" w:eastAsia="Times New Roman" w:hAnsi="Times New Roman"/>
          <w:sz w:val="16"/>
          <w:szCs w:val="16"/>
          <w:color w:val="auto"/>
        </w:rPr>
        <w:t>Markets revenue up 15% YoY, with Fixed Income Markets up 14% and Equity Markets up 15%</w:t>
      </w:r>
    </w:p>
    <w:p>
      <w:pPr>
        <w:spacing w:after="0" w:line="91" w:lineRule="exact"/>
        <w:rPr>
          <w:rFonts w:ascii="Wingdings" w:cs="Wingdings" w:eastAsia="Wingdings" w:hAnsi="Wingdings"/>
          <w:sz w:val="18"/>
          <w:szCs w:val="18"/>
          <w:b w:val="1"/>
          <w:bCs w:val="1"/>
          <w:color w:val="447E94"/>
        </w:rPr>
      </w:pPr>
    </w:p>
    <w:p>
      <w:pPr>
        <w:ind w:left="244" w:right="160" w:hanging="244"/>
        <w:spacing w:after="0" w:line="289" w:lineRule="auto"/>
        <w:tabs>
          <w:tab w:leader="none" w:pos="244" w:val="left"/>
        </w:tabs>
        <w:numPr>
          <w:ilvl w:val="0"/>
          <w:numId w:val="5"/>
        </w:numPr>
        <w:rPr>
          <w:rFonts w:ascii="Wingdings" w:cs="Wingdings" w:eastAsia="Wingdings" w:hAnsi="Wingdings"/>
          <w:sz w:val="17"/>
          <w:szCs w:val="17"/>
          <w:b w:val="1"/>
          <w:bCs w:val="1"/>
          <w:color w:val="447E94"/>
        </w:rPr>
      </w:pPr>
      <w:r>
        <w:rPr>
          <w:rFonts w:ascii="Times New Roman" w:cs="Times New Roman" w:eastAsia="Times New Roman" w:hAnsi="Times New Roman"/>
          <w:sz w:val="15"/>
          <w:szCs w:val="15"/>
          <w:color w:val="auto"/>
        </w:rPr>
        <w:t>Average Banking &amp; Payments loans</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5"/>
          <w:szCs w:val="15"/>
          <w:color w:val="auto"/>
        </w:rPr>
        <w:t xml:space="preserve"> down 2% YoY, up 2% QoQ; average client deposits</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5"/>
          <w:szCs w:val="15"/>
          <w:color w:val="auto"/>
        </w:rPr>
        <w:t xml:space="preserve"> up 16% YoY, up 5% QoQ</w:t>
      </w:r>
    </w:p>
    <w:p>
      <w:pPr>
        <w:spacing w:after="0" w:line="268" w:lineRule="exact"/>
        <w:rPr>
          <w:rFonts w:ascii="Wingdings" w:cs="Wingdings" w:eastAsia="Wingdings" w:hAnsi="Wingdings"/>
          <w:sz w:val="17"/>
          <w:szCs w:val="17"/>
          <w:b w:val="1"/>
          <w:bCs w:val="1"/>
          <w:color w:val="447E94"/>
        </w:rPr>
      </w:pPr>
    </w:p>
    <w:p>
      <w:pPr>
        <w:ind w:left="244" w:hanging="244"/>
        <w:spacing w:after="0"/>
        <w:tabs>
          <w:tab w:leader="none" w:pos="244" w:val="left"/>
        </w:tabs>
        <w:numPr>
          <w:ilvl w:val="0"/>
          <w:numId w:val="5"/>
        </w:numPr>
        <w:rPr>
          <w:rFonts w:ascii="Wingdings" w:cs="Wingdings" w:eastAsia="Wingdings" w:hAnsi="Wingdings"/>
          <w:sz w:val="18"/>
          <w:szCs w:val="18"/>
          <w:b w:val="1"/>
          <w:bCs w:val="1"/>
          <w:color w:val="336B54"/>
        </w:rPr>
      </w:pPr>
      <w:r>
        <w:rPr>
          <w:rFonts w:ascii="Times New Roman" w:cs="Times New Roman" w:eastAsia="Times New Roman" w:hAnsi="Times New Roman"/>
          <w:sz w:val="16"/>
          <w:szCs w:val="16"/>
          <w:color w:val="auto"/>
        </w:rPr>
        <w:t>AUM</w:t>
      </w: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16"/>
          <w:szCs w:val="16"/>
          <w:color w:val="auto"/>
        </w:rPr>
        <w:t xml:space="preserve"> of $4.3 trillion, up 18% YoY</w:t>
      </w:r>
    </w:p>
    <w:p>
      <w:pPr>
        <w:spacing w:after="0" w:line="96" w:lineRule="exact"/>
        <w:rPr>
          <w:rFonts w:ascii="Wingdings" w:cs="Wingdings" w:eastAsia="Wingdings" w:hAnsi="Wingdings"/>
          <w:sz w:val="18"/>
          <w:szCs w:val="18"/>
          <w:b w:val="1"/>
          <w:bCs w:val="1"/>
          <w:color w:val="336B54"/>
        </w:rPr>
      </w:pPr>
    </w:p>
    <w:p>
      <w:pPr>
        <w:ind w:left="244" w:right="120" w:hanging="244"/>
        <w:spacing w:after="0" w:line="269" w:lineRule="auto"/>
        <w:tabs>
          <w:tab w:leader="none" w:pos="244" w:val="left"/>
        </w:tabs>
        <w:numPr>
          <w:ilvl w:val="0"/>
          <w:numId w:val="5"/>
        </w:numPr>
        <w:rPr>
          <w:rFonts w:ascii="Wingdings" w:cs="Wingdings" w:eastAsia="Wingdings" w:hAnsi="Wingdings"/>
          <w:sz w:val="18"/>
          <w:szCs w:val="18"/>
          <w:b w:val="1"/>
          <w:bCs w:val="1"/>
          <w:color w:val="336B54"/>
        </w:rPr>
      </w:pPr>
      <w:r>
        <w:rPr>
          <w:rFonts w:ascii="Times New Roman" w:cs="Times New Roman" w:eastAsia="Times New Roman" w:hAnsi="Times New Roman"/>
          <w:sz w:val="16"/>
          <w:szCs w:val="16"/>
          <w:color w:val="auto"/>
        </w:rPr>
        <w:t>Average loans up 7% YoY, up 3% QoQ; average deposits up 9% YoY, up 2% QoQ</w:t>
      </w:r>
    </w:p>
    <w:p>
      <w:pPr>
        <w:spacing w:after="0" w:line="20" w:lineRule="exact"/>
        <w:rPr>
          <w:sz w:val="20"/>
          <w:szCs w:val="20"/>
          <w:color w:val="auto"/>
        </w:rPr>
      </w:pPr>
      <w:r>
        <w:rPr>
          <w:sz w:val="20"/>
          <w:szCs w:val="20"/>
          <w:color w:val="auto"/>
        </w:rPr>
        <w:br w:type="column"/>
      </w:r>
    </w:p>
    <w:p>
      <w:pPr>
        <w:ind w:right="80"/>
        <w:spacing w:after="0" w:line="247" w:lineRule="auto"/>
        <w:rPr>
          <w:sz w:val="20"/>
          <w:szCs w:val="20"/>
          <w:color w:val="auto"/>
        </w:rPr>
      </w:pPr>
      <w:r>
        <w:rPr>
          <w:rFonts w:ascii="Times New Roman" w:cs="Times New Roman" w:eastAsia="Times New Roman" w:hAnsi="Times New Roman"/>
          <w:sz w:val="16"/>
          <w:szCs w:val="16"/>
          <w:color w:val="auto"/>
        </w:rPr>
        <w:t xml:space="preserve">Jamie Dimon, Chairman and CEO, commented on the financial results: </w:t>
      </w:r>
      <w:r>
        <w:rPr>
          <w:rFonts w:ascii="Times New Roman" w:cs="Times New Roman" w:eastAsia="Times New Roman" w:hAnsi="Times New Roman"/>
          <w:sz w:val="16"/>
          <w:szCs w:val="16"/>
          <w:i w:val="1"/>
          <w:iCs w:val="1"/>
          <w:color w:val="auto"/>
        </w:rPr>
        <w:t>“We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reported another quarter of strong results, generating net income of $15.0 billion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3609340" cy="5064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9340" cy="50647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i w:val="1"/>
          <w:iCs w:val="1"/>
          <w:color w:val="auto"/>
        </w:rPr>
        <w:t>net income of $14.2 billion excluding a significant item.”</w:t>
      </w:r>
    </w:p>
    <w:p>
      <w:pPr>
        <w:spacing w:after="0" w:line="20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 xml:space="preserve">Dimon continued: </w:t>
      </w:r>
      <w:r>
        <w:rPr>
          <w:rFonts w:ascii="Times New Roman" w:cs="Times New Roman" w:eastAsia="Times New Roman" w:hAnsi="Times New Roman"/>
          <w:sz w:val="16"/>
          <w:szCs w:val="16"/>
          <w:i w:val="1"/>
          <w:iCs w:val="1"/>
          <w:color w:val="auto"/>
        </w:rPr>
        <w:t>“Each of the lines of business performed well. In the CIB,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Markets revenue rose to $8.9 billion, and we supported clients as they navigated volatile market conditions at the beginning of the quarter. Meanwhile, IB activity started slow but gained momentum as market sentiment improved, and IB fees were up 7% for the quarter. In CCB, we added approximately 500,000 net new checking accounts, which drove sequential growth in checking account balances. In Card, we launched a refreshed Sapphire Reserve along with a new Sapphire Reserve for Business, with positive early reactions and strong new card acquisitions. Finally, in AWM, asset management fees rose 10%, and we saw continued client asset net inflows of $80 billion, with client assets crossing over $6.4 trillion.”</w:t>
      </w:r>
    </w:p>
    <w:p>
      <w:pPr>
        <w:spacing w:after="0" w:line="200"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6"/>
          <w:szCs w:val="16"/>
          <w:color w:val="auto"/>
        </w:rPr>
        <w:t xml:space="preserve">Dimon added: </w:t>
      </w:r>
      <w:r>
        <w:rPr>
          <w:rFonts w:ascii="Times New Roman" w:cs="Times New Roman" w:eastAsia="Times New Roman" w:hAnsi="Times New Roman"/>
          <w:sz w:val="16"/>
          <w:szCs w:val="16"/>
          <w:i w:val="1"/>
          <w:iCs w:val="1"/>
          <w:color w:val="auto"/>
        </w:rPr>
        <w:t>“Earlier this month, we announced that the Board intends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increase our common dividend for the second time this year, resulting in a 20%</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7"/>
          <w:szCs w:val="17"/>
          <w:i w:val="1"/>
          <w:iCs w:val="1"/>
          <w:color w:val="auto"/>
        </w:rPr>
        <w:t>cumulative increase compared with the fourth quarter of 2024. We also repurchased $7 billion of common stock. We ended the quarter with a 15% CET1 ratio, which remains far in excess of our required capital levels. In addition, we have an extraordinary amount of liquidity, with $1.5 trillion of cash and marketable securities.”</w:t>
      </w:r>
    </w:p>
    <w:p>
      <w:pPr>
        <w:spacing w:after="0" w:line="20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7"/>
          <w:szCs w:val="17"/>
          <w:color w:val="auto"/>
        </w:rPr>
        <w:t xml:space="preserve">Dimon added: </w:t>
      </w:r>
      <w:r>
        <w:rPr>
          <w:rFonts w:ascii="Times New Roman" w:cs="Times New Roman" w:eastAsia="Times New Roman" w:hAnsi="Times New Roman"/>
          <w:sz w:val="17"/>
          <w:szCs w:val="17"/>
          <w:i w:val="1"/>
          <w:iCs w:val="1"/>
          <w:color w:val="auto"/>
        </w:rPr>
        <w:t>“The U.S. economy remained resilient in the quarter.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finalization of tax reform and potential deregulation are positive for the economic outlook, however, significant risks persist – including from tariffs and trade uncertainty, worsening geopolitical conditions, high fiscal deficits and elevated asset prices. As always, we hope for the best but prepare the Firm for a wide range of scenarios.”</w:t>
      </w:r>
    </w:p>
    <w:p>
      <w:pPr>
        <w:spacing w:after="0" w:line="203"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 xml:space="preserve">Dimon concluded: </w:t>
      </w:r>
      <w:r>
        <w:rPr>
          <w:rFonts w:ascii="Times New Roman" w:cs="Times New Roman" w:eastAsia="Times New Roman" w:hAnsi="Times New Roman"/>
          <w:sz w:val="16"/>
          <w:szCs w:val="16"/>
          <w:i w:val="1"/>
          <w:iCs w:val="1"/>
          <w:color w:val="auto"/>
        </w:rPr>
        <w:t>“I want to thank our exceptional employees across the globe.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Their passion and dedication are what set us apart and enable us to be trusted</w:t>
      </w:r>
    </w:p>
    <w:p>
      <w:pPr>
        <w:spacing w:after="0" w:line="1"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i w:val="1"/>
          <w:iCs w:val="1"/>
          <w:color w:val="auto"/>
        </w:rPr>
        <w:t>partners for our clients and communities, including consumers, small and large-sized businesses, schools, cities, states and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1003300</wp:posOffset>
            </wp:positionV>
            <wp:extent cx="71094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9460" cy="41910"/>
                    </a:xfrm>
                    <a:prstGeom prst="rect">
                      <a:avLst/>
                    </a:prstGeom>
                    <a:noFill/>
                  </pic:spPr>
                </pic:pic>
              </a:graphicData>
            </a:graphic>
          </wp:anchor>
        </w:drawing>
      </w:r>
    </w:p>
    <w:p>
      <w:pPr>
        <w:spacing w:after="0" w:line="1586" w:lineRule="exact"/>
        <w:rPr>
          <w:sz w:val="20"/>
          <w:szCs w:val="20"/>
          <w:color w:val="auto"/>
        </w:rPr>
      </w:pPr>
    </w:p>
    <w:p>
      <w:pPr>
        <w:sectPr>
          <w:pgSz w:w="11900" w:h="16838" w:orient="portrait"/>
          <w:cols w:equalWidth="0" w:num="3">
            <w:col w:w="1000" w:space="256"/>
            <w:col w:w="4204" w:space="60"/>
            <w:col w:w="5720"/>
          </w:cols>
          <w:pgMar w:left="320" w:top="121" w:right="339" w:bottom="1096" w:gutter="0" w:footer="0" w:header="0"/>
          <w:type w:val="continuous"/>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ITEMS IN 2Q25 RESULTS</w:t>
      </w:r>
    </w:p>
    <w:p>
      <w:pPr>
        <w:spacing w:after="0" w:line="43" w:lineRule="exact"/>
        <w:rPr>
          <w:sz w:val="20"/>
          <w:szCs w:val="20"/>
          <w:color w:val="auto"/>
        </w:rPr>
      </w:pPr>
    </w:p>
    <w:p>
      <w:pPr>
        <w:ind w:left="320" w:hanging="274"/>
        <w:spacing w:after="0"/>
        <w:tabs>
          <w:tab w:leader="none" w:pos="320" w:val="left"/>
        </w:tabs>
        <w:numPr>
          <w:ilvl w:val="0"/>
          <w:numId w:val="6"/>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$774 million income tax benefit in Corporate ($0.28 increase in EPS</w:t>
      </w:r>
      <w:r>
        <w:rPr>
          <w:rFonts w:ascii="Times New Roman" w:cs="Times New Roman" w:eastAsia="Times New Roman" w:hAnsi="Times New Roman"/>
          <w:sz w:val="20"/>
          <w:szCs w:val="20"/>
          <w:color w:val="auto"/>
          <w:vertAlign w:val="superscript"/>
        </w:rPr>
        <w:t>10</w:t>
      </w:r>
      <w:r>
        <w:rPr>
          <w:rFonts w:ascii="Times New Roman" w:cs="Times New Roman" w:eastAsia="Times New Roman" w:hAnsi="Times New Roman"/>
          <w:sz w:val="16"/>
          <w:szCs w:val="16"/>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DISTRIBUTIONS</w:t>
      </w:r>
    </w:p>
    <w:p>
      <w:pPr>
        <w:spacing w:after="0" w:line="43" w:lineRule="exact"/>
        <w:rPr>
          <w:sz w:val="20"/>
          <w:szCs w:val="20"/>
          <w:color w:val="auto"/>
        </w:rPr>
      </w:pPr>
    </w:p>
    <w:p>
      <w:pPr>
        <w:ind w:left="320" w:hanging="274"/>
        <w:spacing w:after="0"/>
        <w:tabs>
          <w:tab w:leader="none" w:pos="320" w:val="left"/>
        </w:tabs>
        <w:numPr>
          <w:ilvl w:val="0"/>
          <w:numId w:val="7"/>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Common dividend of $3.9 billion or $1.40 per share</w:t>
      </w:r>
    </w:p>
    <w:p>
      <w:pPr>
        <w:spacing w:after="0" w:line="41" w:lineRule="exact"/>
        <w:rPr>
          <w:rFonts w:ascii="Wingdings" w:cs="Wingdings" w:eastAsia="Wingdings" w:hAnsi="Wingdings"/>
          <w:sz w:val="16"/>
          <w:szCs w:val="16"/>
          <w:b w:val="1"/>
          <w:bCs w:val="1"/>
          <w:color w:val="auto"/>
        </w:rPr>
      </w:pPr>
    </w:p>
    <w:p>
      <w:pPr>
        <w:ind w:left="320" w:hanging="274"/>
        <w:spacing w:after="0"/>
        <w:tabs>
          <w:tab w:leader="none" w:pos="320" w:val="left"/>
        </w:tabs>
        <w:numPr>
          <w:ilvl w:val="0"/>
          <w:numId w:val="7"/>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$7.1 billion of common stock net repurchases</w:t>
      </w:r>
      <w:r>
        <w:rPr>
          <w:rFonts w:ascii="Times New Roman" w:cs="Times New Roman" w:eastAsia="Times New Roman" w:hAnsi="Times New Roman"/>
          <w:sz w:val="20"/>
          <w:szCs w:val="20"/>
          <w:color w:val="auto"/>
          <w:vertAlign w:val="superscript"/>
        </w:rPr>
        <w:t>11</w:t>
      </w:r>
    </w:p>
    <w:p>
      <w:pPr>
        <w:spacing w:after="0" w:line="9" w:lineRule="exact"/>
        <w:rPr>
          <w:rFonts w:ascii="Wingdings" w:cs="Wingdings" w:eastAsia="Wingdings" w:hAnsi="Wingdings"/>
          <w:sz w:val="16"/>
          <w:szCs w:val="16"/>
          <w:b w:val="1"/>
          <w:bCs w:val="1"/>
          <w:color w:val="auto"/>
        </w:rPr>
      </w:pPr>
    </w:p>
    <w:p>
      <w:pPr>
        <w:ind w:left="320" w:hanging="274"/>
        <w:spacing w:after="0"/>
        <w:tabs>
          <w:tab w:leader="none" w:pos="320" w:val="left"/>
        </w:tabs>
        <w:numPr>
          <w:ilvl w:val="0"/>
          <w:numId w:val="7"/>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Net payout LTM</w:t>
      </w:r>
      <w:r>
        <w:rPr>
          <w:rFonts w:ascii="Times New Roman" w:cs="Times New Roman" w:eastAsia="Times New Roman" w:hAnsi="Times New Roman"/>
          <w:sz w:val="20"/>
          <w:szCs w:val="20"/>
          <w:color w:val="auto"/>
          <w:vertAlign w:val="superscript"/>
        </w:rPr>
        <w:t>11,12</w:t>
      </w:r>
      <w:r>
        <w:rPr>
          <w:rFonts w:ascii="Times New Roman" w:cs="Times New Roman" w:eastAsia="Times New Roman" w:hAnsi="Times New Roman"/>
          <w:sz w:val="16"/>
          <w:szCs w:val="16"/>
          <w:color w:val="auto"/>
        </w:rPr>
        <w:t xml:space="preserve"> of 71%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FORTRESS PRINCIPLES</w:t>
      </w:r>
    </w:p>
    <w:p>
      <w:pPr>
        <w:spacing w:after="0" w:line="48" w:lineRule="exact"/>
        <w:rPr>
          <w:sz w:val="20"/>
          <w:szCs w:val="20"/>
          <w:color w:val="auto"/>
        </w:rPr>
      </w:pPr>
    </w:p>
    <w:p>
      <w:pPr>
        <w:ind w:left="200" w:hanging="158"/>
        <w:spacing w:after="0" w:line="232" w:lineRule="auto"/>
        <w:rPr>
          <w:sz w:val="20"/>
          <w:szCs w:val="20"/>
          <w:color w:val="auto"/>
        </w:rPr>
      </w:pPr>
      <w:r>
        <w:rPr>
          <w:rFonts w:ascii="Wingdings" w:cs="Wingdings" w:eastAsia="Wingdings" w:hAnsi="Wingdings"/>
          <w:sz w:val="16"/>
          <w:szCs w:val="16"/>
          <w:b w:val="1"/>
          <w:bCs w:val="1"/>
          <w:color w:val="auto"/>
        </w:rPr>
        <w:t xml:space="preserve">n </w:t>
      </w:r>
      <w:r>
        <w:rPr>
          <w:rFonts w:ascii="Times New Roman" w:cs="Times New Roman" w:eastAsia="Times New Roman" w:hAnsi="Times New Roman"/>
          <w:sz w:val="16"/>
          <w:szCs w:val="16"/>
          <w:color w:val="auto"/>
        </w:rPr>
        <w:t>Book value per share of $122.51, up 10% YoY; tangible book value per share</w:t>
      </w:r>
      <w:r>
        <w:rPr>
          <w:rFonts w:ascii="Times New Roman" w:cs="Times New Roman" w:eastAsia="Times New Roman" w:hAnsi="Times New Roman"/>
          <w:sz w:val="20"/>
          <w:szCs w:val="20"/>
          <w:color w:val="auto"/>
          <w:vertAlign w:val="superscript"/>
        </w:rPr>
        <w:t>2</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6"/>
          <w:szCs w:val="16"/>
          <w:color w:val="auto"/>
        </w:rPr>
        <w:t>of</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6"/>
          <w:szCs w:val="16"/>
          <w:color w:val="auto"/>
        </w:rPr>
        <w:t>$103.40, up 11% YoY</w:t>
      </w:r>
    </w:p>
    <w:p>
      <w:pPr>
        <w:spacing w:after="0" w:line="24" w:lineRule="exact"/>
        <w:rPr>
          <w:sz w:val="20"/>
          <w:szCs w:val="20"/>
          <w:color w:val="auto"/>
        </w:rPr>
      </w:pPr>
    </w:p>
    <w:p>
      <w:pPr>
        <w:ind w:left="200" w:right="60" w:hanging="154"/>
        <w:spacing w:after="0" w:line="249" w:lineRule="auto"/>
        <w:tabs>
          <w:tab w:leader="none" w:pos="319" w:val="left"/>
        </w:tabs>
        <w:numPr>
          <w:ilvl w:val="0"/>
          <w:numId w:val="8"/>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Basel III common equity Tier 1 capital</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of $284 billion, Standardized ratio</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of 15.0% and Advanced ratio</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of 15.1%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280" w:hanging="276"/>
        <w:spacing w:after="0"/>
        <w:tabs>
          <w:tab w:leader="none" w:pos="280" w:val="left"/>
        </w:tabs>
        <w:numPr>
          <w:ilvl w:val="0"/>
          <w:numId w:val="9"/>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Firm supplementary leverage ratio of 5.9%</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SUPPORTED CONSUMERS, BUSINESSES &amp; COMMUNITIES</w:t>
      </w:r>
    </w:p>
    <w:p>
      <w:pPr>
        <w:spacing w:after="0" w:line="55" w:lineRule="exact"/>
        <w:rPr>
          <w:sz w:val="20"/>
          <w:szCs w:val="20"/>
          <w:color w:val="auto"/>
        </w:rPr>
      </w:pPr>
    </w:p>
    <w:p>
      <w:pPr>
        <w:ind w:left="280" w:hanging="276"/>
        <w:spacing w:after="0"/>
        <w:tabs>
          <w:tab w:leader="none" w:pos="280" w:val="left"/>
        </w:tabs>
        <w:numPr>
          <w:ilvl w:val="0"/>
          <w:numId w:val="10"/>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 xml:space="preserve">Approximately </w:t>
      </w:r>
      <w:r>
        <w:rPr>
          <w:rFonts w:ascii="Times New Roman" w:cs="Times New Roman" w:eastAsia="Times New Roman" w:hAnsi="Times New Roman"/>
          <w:sz w:val="16"/>
          <w:szCs w:val="16"/>
          <w:b w:val="1"/>
          <w:bCs w:val="1"/>
          <w:color w:val="auto"/>
        </w:rPr>
        <w:t>$1.7 trillion</w:t>
      </w:r>
      <w:r>
        <w:rPr>
          <w:rFonts w:ascii="Times New Roman" w:cs="Times New Roman" w:eastAsia="Times New Roman" w:hAnsi="Times New Roman"/>
          <w:sz w:val="16"/>
          <w:szCs w:val="16"/>
          <w:color w:val="auto"/>
        </w:rPr>
        <w:t xml:space="preserve"> of credit and capital</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6"/>
          <w:szCs w:val="16"/>
          <w:color w:val="auto"/>
        </w:rPr>
        <w:t xml:space="preserve"> raised YTD:</w:t>
      </w:r>
    </w:p>
    <w:p>
      <w:pPr>
        <w:spacing w:after="0" w:line="27" w:lineRule="exact"/>
        <w:rPr>
          <w:sz w:val="20"/>
          <w:szCs w:val="20"/>
          <w:color w:val="auto"/>
        </w:rPr>
      </w:pPr>
    </w:p>
    <w:p>
      <w:pPr>
        <w:ind w:left="400" w:hanging="277"/>
        <w:spacing w:after="0"/>
        <w:tabs>
          <w:tab w:leader="none" w:pos="400" w:val="left"/>
        </w:tabs>
        <w:numPr>
          <w:ilvl w:val="0"/>
          <w:numId w:val="11"/>
        </w:numPr>
        <w:rPr>
          <w:rFonts w:ascii="Wingdings" w:cs="Wingdings" w:eastAsia="Wingdings" w:hAnsi="Wingdings"/>
          <w:sz w:val="16"/>
          <w:szCs w:val="16"/>
          <w:b w:val="1"/>
          <w:bCs w:val="1"/>
          <w:color w:val="7F7F7F"/>
        </w:rPr>
      </w:pPr>
      <w:r>
        <w:rPr>
          <w:rFonts w:ascii="Times New Roman" w:cs="Times New Roman" w:eastAsia="Times New Roman" w:hAnsi="Times New Roman"/>
          <w:sz w:val="16"/>
          <w:szCs w:val="16"/>
          <w:b w:val="1"/>
          <w:bCs w:val="1"/>
          <w:color w:val="auto"/>
        </w:rPr>
        <w:t xml:space="preserve">$135 billion </w:t>
      </w:r>
      <w:r>
        <w:rPr>
          <w:rFonts w:ascii="Times New Roman" w:cs="Times New Roman" w:eastAsia="Times New Roman" w:hAnsi="Times New Roman"/>
          <w:sz w:val="16"/>
          <w:szCs w:val="16"/>
          <w:color w:val="auto"/>
        </w:rPr>
        <w:t>of credit for consumers</w:t>
      </w:r>
    </w:p>
    <w:p>
      <w:pPr>
        <w:spacing w:after="0" w:line="22" w:lineRule="exact"/>
        <w:rPr>
          <w:rFonts w:ascii="Wingdings" w:cs="Wingdings" w:eastAsia="Wingdings" w:hAnsi="Wingdings"/>
          <w:sz w:val="16"/>
          <w:szCs w:val="16"/>
          <w:b w:val="1"/>
          <w:bCs w:val="1"/>
          <w:color w:val="7F7F7F"/>
        </w:rPr>
      </w:pPr>
    </w:p>
    <w:p>
      <w:pPr>
        <w:ind w:left="400" w:hanging="277"/>
        <w:spacing w:after="0"/>
        <w:tabs>
          <w:tab w:leader="none" w:pos="400" w:val="left"/>
        </w:tabs>
        <w:numPr>
          <w:ilvl w:val="0"/>
          <w:numId w:val="11"/>
        </w:numPr>
        <w:rPr>
          <w:rFonts w:ascii="Wingdings" w:cs="Wingdings" w:eastAsia="Wingdings" w:hAnsi="Wingdings"/>
          <w:sz w:val="16"/>
          <w:szCs w:val="16"/>
          <w:b w:val="1"/>
          <w:bCs w:val="1"/>
          <w:color w:val="7F7F7F"/>
        </w:rPr>
      </w:pPr>
      <w:r>
        <w:rPr>
          <w:rFonts w:ascii="Times New Roman" w:cs="Times New Roman" w:eastAsia="Times New Roman" w:hAnsi="Times New Roman"/>
          <w:sz w:val="16"/>
          <w:szCs w:val="16"/>
          <w:b w:val="1"/>
          <w:bCs w:val="1"/>
          <w:color w:val="auto"/>
        </w:rPr>
        <w:t xml:space="preserve">$17 billion </w:t>
      </w:r>
      <w:r>
        <w:rPr>
          <w:rFonts w:ascii="Times New Roman" w:cs="Times New Roman" w:eastAsia="Times New Roman" w:hAnsi="Times New Roman"/>
          <w:sz w:val="16"/>
          <w:szCs w:val="16"/>
          <w:color w:val="auto"/>
        </w:rPr>
        <w:t>of credit for U.S. small businesses</w:t>
      </w:r>
    </w:p>
    <w:p>
      <w:pPr>
        <w:spacing w:after="0" w:line="54" w:lineRule="exact"/>
        <w:rPr>
          <w:rFonts w:ascii="Wingdings" w:cs="Wingdings" w:eastAsia="Wingdings" w:hAnsi="Wingdings"/>
          <w:sz w:val="16"/>
          <w:szCs w:val="16"/>
          <w:b w:val="1"/>
          <w:bCs w:val="1"/>
          <w:color w:val="7F7F7F"/>
        </w:rPr>
      </w:pPr>
    </w:p>
    <w:p>
      <w:pPr>
        <w:ind w:left="360" w:right="340" w:hanging="237"/>
        <w:spacing w:after="0" w:line="276" w:lineRule="auto"/>
        <w:tabs>
          <w:tab w:leader="none" w:pos="399" w:val="left"/>
        </w:tabs>
        <w:numPr>
          <w:ilvl w:val="0"/>
          <w:numId w:val="11"/>
        </w:numPr>
        <w:rPr>
          <w:rFonts w:ascii="Wingdings" w:cs="Wingdings" w:eastAsia="Wingdings" w:hAnsi="Wingdings"/>
          <w:sz w:val="16"/>
          <w:szCs w:val="16"/>
          <w:b w:val="1"/>
          <w:bCs w:val="1"/>
          <w:color w:val="7F7F7F"/>
        </w:rPr>
      </w:pPr>
      <w:r>
        <w:rPr>
          <w:rFonts w:ascii="Times New Roman" w:cs="Times New Roman" w:eastAsia="Times New Roman" w:hAnsi="Times New Roman"/>
          <w:sz w:val="16"/>
          <w:szCs w:val="16"/>
          <w:b w:val="1"/>
          <w:bCs w:val="1"/>
          <w:color w:val="auto"/>
        </w:rPr>
        <w:t xml:space="preserve">$1.5 trillion </w:t>
      </w:r>
      <w:r>
        <w:rPr>
          <w:rFonts w:ascii="Times New Roman" w:cs="Times New Roman" w:eastAsia="Times New Roman" w:hAnsi="Times New Roman"/>
          <w:sz w:val="16"/>
          <w:szCs w:val="16"/>
          <w:color w:val="auto"/>
        </w:rPr>
        <w:t>of credit and capital for corporations and non-U.S. government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entities</w:t>
      </w:r>
    </w:p>
    <w:p>
      <w:pPr>
        <w:ind w:left="360" w:right="380" w:hanging="237"/>
        <w:spacing w:after="0" w:line="292" w:lineRule="auto"/>
        <w:tabs>
          <w:tab w:leader="none" w:pos="399" w:val="left"/>
        </w:tabs>
        <w:numPr>
          <w:ilvl w:val="0"/>
          <w:numId w:val="11"/>
        </w:numPr>
        <w:rPr>
          <w:rFonts w:ascii="Wingdings" w:cs="Wingdings" w:eastAsia="Wingdings" w:hAnsi="Wingdings"/>
          <w:sz w:val="16"/>
          <w:szCs w:val="16"/>
          <w:b w:val="1"/>
          <w:bCs w:val="1"/>
          <w:color w:val="7F7F7F"/>
        </w:rPr>
      </w:pPr>
      <w:r>
        <w:rPr>
          <w:rFonts w:ascii="Times New Roman" w:cs="Times New Roman" w:eastAsia="Times New Roman" w:hAnsi="Times New Roman"/>
          <w:sz w:val="16"/>
          <w:szCs w:val="16"/>
          <w:b w:val="1"/>
          <w:bCs w:val="1"/>
          <w:color w:val="auto"/>
        </w:rPr>
        <w:t xml:space="preserve">$37 billion </w:t>
      </w:r>
      <w:r>
        <w:rPr>
          <w:rFonts w:ascii="Times New Roman" w:cs="Times New Roman" w:eastAsia="Times New Roman" w:hAnsi="Times New Roman"/>
          <w:sz w:val="16"/>
          <w:szCs w:val="16"/>
          <w:color w:val="auto"/>
        </w:rPr>
        <w:t>of credit and capital for nonprofit and U.S. government entities,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states, municipalities, hospitals and universities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382270</wp:posOffset>
            </wp:positionV>
            <wp:extent cx="7033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3895" cy="8255"/>
                    </a:xfrm>
                    <a:prstGeom prst="rect">
                      <a:avLst/>
                    </a:prstGeom>
                    <a:noFill/>
                  </pic:spPr>
                </pic:pic>
              </a:graphicData>
            </a:graphic>
          </wp:anchor>
        </w:drawing>
      </w:r>
    </w:p>
    <w:p>
      <w:pPr>
        <w:spacing w:after="0" w:line="614" w:lineRule="exact"/>
        <w:rPr>
          <w:sz w:val="20"/>
          <w:szCs w:val="20"/>
          <w:color w:val="auto"/>
        </w:rPr>
      </w:pPr>
    </w:p>
    <w:p>
      <w:pPr>
        <w:sectPr>
          <w:pgSz w:w="11900" w:h="16838" w:orient="portrait"/>
          <w:cols w:equalWidth="0" w:num="2">
            <w:col w:w="5340" w:space="320"/>
            <w:col w:w="5580"/>
          </w:cols>
          <w:pgMar w:left="320" w:top="121" w:right="339" w:bottom="1096" w:gutter="0" w:footer="0" w:header="0"/>
          <w:type w:val="continuous"/>
        </w:sectPr>
      </w:pPr>
    </w:p>
    <w:p>
      <w:pPr>
        <w:ind w:left="100"/>
        <w:spacing w:after="0"/>
        <w:tabs>
          <w:tab w:leader="none" w:pos="8120" w:val="left"/>
        </w:tabs>
        <w:rPr>
          <w:sz w:val="20"/>
          <w:szCs w:val="20"/>
          <w:color w:val="auto"/>
        </w:rPr>
      </w:pPr>
      <w:r>
        <w:rPr>
          <w:rFonts w:ascii="Times New Roman" w:cs="Times New Roman" w:eastAsia="Times New Roman" w:hAnsi="Times New Roman"/>
          <w:sz w:val="16"/>
          <w:szCs w:val="16"/>
          <w:color w:val="auto"/>
        </w:rPr>
        <w:t>Investor Contact: Mikael Grubb (212) 270-2479</w:t>
      </w:r>
      <w:r>
        <w:rPr>
          <w:sz w:val="20"/>
          <w:szCs w:val="20"/>
          <w:color w:val="auto"/>
        </w:rPr>
        <w:tab/>
      </w:r>
      <w:r>
        <w:rPr>
          <w:rFonts w:ascii="Times New Roman" w:cs="Times New Roman" w:eastAsia="Times New Roman" w:hAnsi="Times New Roman"/>
          <w:sz w:val="15"/>
          <w:szCs w:val="15"/>
          <w:color w:val="auto"/>
        </w:rPr>
        <w:t>Media Contact: Michael Fusco (212) 270-2495</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Note: Totals may not sum due to rounding.</w:t>
      </w:r>
    </w:p>
    <w:p>
      <w:pPr>
        <w:ind w:left="160" w:hanging="57"/>
        <w:spacing w:after="0" w:line="212" w:lineRule="auto"/>
        <w:tabs>
          <w:tab w:leader="none" w:pos="16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 comparisons are for the second quarter of 2025 versus the prior-year second quarter, unless otherwise specified.</w:t>
      </w:r>
    </w:p>
    <w:p>
      <w:pPr>
        <w:spacing w:after="0" w:line="11" w:lineRule="exact"/>
        <w:rPr>
          <w:rFonts w:ascii="Times New Roman" w:cs="Times New Roman" w:eastAsia="Times New Roman" w:hAnsi="Times New Roman"/>
          <w:sz w:val="17"/>
          <w:szCs w:val="17"/>
          <w:color w:val="auto"/>
          <w:vertAlign w:val="superscript"/>
        </w:rPr>
      </w:pPr>
    </w:p>
    <w:p>
      <w:pPr>
        <w:ind w:left="100" w:right="6080"/>
        <w:spacing w:after="0" w:line="224"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For notes on non-GAAP financial measures, including managed basis reporting, see page 6. For additional notes, see page 7.</w:t>
      </w:r>
    </w:p>
    <w:p>
      <w:pPr>
        <w:sectPr>
          <w:pgSz w:w="11900" w:h="16838" w:orient="portrait"/>
          <w:cols w:equalWidth="0" w:num="1">
            <w:col w:w="11240"/>
          </w:cols>
          <w:pgMar w:left="320" w:top="121" w:right="339" w:bottom="1096"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In the discussion below of Firmwide results of JPMorgan Chase &amp; Co. (“JPMorganChase” or the “Firm”), information is presented on a managed basis, which is a non-GAAP financial measure, unless otherwise specified. The discussion below of the Firm’s business segments and Corporate is also presented on a managed basis. For more information about managed basis and non-GAAP financial measures used by management to evaluate the performance of each line of business, refer to page 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Comparisons noted in the sections below are for the second quarter of 2025 versus the prior-year second quarter,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01205" cy="260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FFFFFF"/>
        </w:rPr>
        <w:t>JPMORGANCHASE (JPM)</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10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JPM</w:t>
            </w:r>
          </w:p>
        </w:tc>
        <w:tc>
          <w:tcPr>
            <w:tcW w:w="240" w:type="dxa"/>
            <w:vAlign w:val="bottom"/>
            <w:tcBorders>
              <w:bottom w:val="single" w:sz="8" w:color="auto"/>
            </w:tcBorders>
            <w:shd w:val="clear" w:color="auto" w:fill="F4EFE7"/>
          </w:tcPr>
          <w:p>
            <w:pPr>
              <w:spacing w:after="0"/>
              <w:rPr>
                <w:sz w:val="19"/>
                <w:szCs w:val="19"/>
                <w:color w:val="auto"/>
              </w:rPr>
            </w:pPr>
          </w:p>
        </w:tc>
        <w:tc>
          <w:tcPr>
            <w:tcW w:w="940" w:type="dxa"/>
            <w:vAlign w:val="bottom"/>
            <w:tcBorders>
              <w:bottom w:val="single" w:sz="8" w:color="auto"/>
            </w:tcBorders>
            <w:shd w:val="clear" w:color="auto" w:fill="F4EFE7"/>
          </w:tcPr>
          <w:p>
            <w:pPr>
              <w:spacing w:after="0"/>
              <w:rPr>
                <w:sz w:val="19"/>
                <w:szCs w:val="19"/>
                <w:color w:val="auto"/>
              </w:rPr>
            </w:pPr>
          </w:p>
        </w:tc>
        <w:tc>
          <w:tcPr>
            <w:tcW w:w="120" w:type="dxa"/>
            <w:vAlign w:val="bottom"/>
            <w:tcBorders>
              <w:bottom w:val="single" w:sz="8" w:color="auto"/>
            </w:tcBorders>
            <w:shd w:val="clear" w:color="auto" w:fill="F4EFE7"/>
          </w:tcPr>
          <w:p>
            <w:pPr>
              <w:spacing w:after="0"/>
              <w:rPr>
                <w:sz w:val="19"/>
                <w:szCs w:val="19"/>
                <w:color w:val="auto"/>
              </w:rPr>
            </w:pPr>
          </w:p>
        </w:tc>
        <w:tc>
          <w:tcPr>
            <w:tcW w:w="240" w:type="dxa"/>
            <w:vAlign w:val="bottom"/>
            <w:tcBorders>
              <w:bottom w:val="single" w:sz="8" w:color="auto"/>
            </w:tcBorders>
            <w:shd w:val="clear" w:color="auto" w:fill="F4EFE7"/>
          </w:tcPr>
          <w:p>
            <w:pPr>
              <w:spacing w:after="0"/>
              <w:rPr>
                <w:sz w:val="19"/>
                <w:szCs w:val="19"/>
                <w:color w:val="auto"/>
              </w:rPr>
            </w:pPr>
          </w:p>
        </w:tc>
        <w:tc>
          <w:tcPr>
            <w:tcW w:w="940" w:type="dxa"/>
            <w:vAlign w:val="bottom"/>
            <w:tcBorders>
              <w:bottom w:val="single" w:sz="8" w:color="auto"/>
            </w:tcBorders>
            <w:shd w:val="clear" w:color="auto" w:fill="F4EFE7"/>
          </w:tcPr>
          <w:p>
            <w:pPr>
              <w:spacing w:after="0"/>
              <w:rPr>
                <w:sz w:val="19"/>
                <w:szCs w:val="19"/>
                <w:color w:val="auto"/>
              </w:rPr>
            </w:pPr>
          </w:p>
        </w:tc>
        <w:tc>
          <w:tcPr>
            <w:tcW w:w="100" w:type="dxa"/>
            <w:vAlign w:val="bottom"/>
            <w:tcBorders>
              <w:bottom w:val="single" w:sz="8" w:color="auto"/>
            </w:tcBorders>
            <w:shd w:val="clear" w:color="auto" w:fill="F4EFE7"/>
          </w:tcPr>
          <w:p>
            <w:pPr>
              <w:spacing w:after="0"/>
              <w:rPr>
                <w:sz w:val="19"/>
                <w:szCs w:val="19"/>
                <w:color w:val="auto"/>
              </w:rPr>
            </w:pPr>
          </w:p>
        </w:tc>
        <w:tc>
          <w:tcPr>
            <w:tcW w:w="260" w:type="dxa"/>
            <w:vAlign w:val="bottom"/>
            <w:tcBorders>
              <w:bottom w:val="single" w:sz="8" w:color="auto"/>
            </w:tcBorders>
            <w:shd w:val="clear" w:color="auto" w:fill="F4EFE7"/>
          </w:tcPr>
          <w:p>
            <w:pPr>
              <w:spacing w:after="0"/>
              <w:rPr>
                <w:sz w:val="19"/>
                <w:szCs w:val="19"/>
                <w:color w:val="auto"/>
              </w:rPr>
            </w:pPr>
          </w:p>
        </w:tc>
        <w:tc>
          <w:tcPr>
            <w:tcW w:w="1000" w:type="dxa"/>
            <w:vAlign w:val="bottom"/>
            <w:tcBorders>
              <w:bottom w:val="single" w:sz="8" w:color="auto"/>
            </w:tcBorders>
            <w:shd w:val="clear" w:color="auto" w:fill="F4EFE7"/>
          </w:tcPr>
          <w:p>
            <w:pPr>
              <w:spacing w:after="0"/>
              <w:rPr>
                <w:sz w:val="19"/>
                <w:szCs w:val="19"/>
                <w:color w:val="auto"/>
              </w:rPr>
            </w:pPr>
          </w:p>
        </w:tc>
        <w:tc>
          <w:tcPr>
            <w:tcW w:w="200" w:type="dxa"/>
            <w:vAlign w:val="bottom"/>
            <w:tcBorders>
              <w:bottom w:val="single" w:sz="8" w:color="auto"/>
            </w:tcBorders>
            <w:shd w:val="clear" w:color="auto" w:fill="F4EFE7"/>
          </w:tcPr>
          <w:p>
            <w:pPr>
              <w:spacing w:after="0"/>
              <w:rPr>
                <w:sz w:val="19"/>
                <w:szCs w:val="19"/>
                <w:color w:val="auto"/>
              </w:rPr>
            </w:pPr>
          </w:p>
        </w:tc>
        <w:tc>
          <w:tcPr>
            <w:tcW w:w="1880" w:type="dxa"/>
            <w:vAlign w:val="bottom"/>
            <w:tcBorders>
              <w:bottom w:val="single" w:sz="8" w:color="auto"/>
            </w:tcBorders>
            <w:gridSpan w:val="2"/>
            <w:shd w:val="clear" w:color="auto" w:fill="F4EFE7"/>
          </w:tcPr>
          <w:p>
            <w:pPr>
              <w:jc w:val="right"/>
              <w:ind w:right="732"/>
              <w:spacing w:after="0"/>
              <w:rPr>
                <w:sz w:val="20"/>
                <w:szCs w:val="20"/>
                <w:color w:val="auto"/>
              </w:rPr>
            </w:pPr>
            <w:r>
              <w:rPr>
                <w:rFonts w:ascii="Times New Roman" w:cs="Times New Roman" w:eastAsia="Times New Roman" w:hAnsi="Times New Roman"/>
                <w:sz w:val="18"/>
                <w:szCs w:val="18"/>
                <w:color w:val="auto"/>
              </w:rPr>
              <w:t>1Q25</w:t>
            </w:r>
          </w:p>
        </w:tc>
        <w:tc>
          <w:tcPr>
            <w:tcW w:w="260" w:type="dxa"/>
            <w:vAlign w:val="bottom"/>
            <w:tcBorders>
              <w:bottom w:val="single" w:sz="8" w:color="auto"/>
            </w:tcBorders>
            <w:shd w:val="clear" w:color="auto" w:fill="F4EFE7"/>
          </w:tcPr>
          <w:p>
            <w:pPr>
              <w:spacing w:after="0"/>
              <w:rPr>
                <w:sz w:val="19"/>
                <w:szCs w:val="19"/>
                <w:color w:val="auto"/>
              </w:rPr>
            </w:pPr>
          </w:p>
        </w:tc>
        <w:tc>
          <w:tcPr>
            <w:tcW w:w="1900" w:type="dxa"/>
            <w:vAlign w:val="bottom"/>
            <w:tcBorders>
              <w:bottom w:val="single" w:sz="8" w:color="auto"/>
            </w:tcBorders>
            <w:gridSpan w:val="2"/>
            <w:shd w:val="clear" w:color="auto" w:fill="F4EFE7"/>
          </w:tcPr>
          <w:p>
            <w:pPr>
              <w:jc w:val="right"/>
              <w:ind w:right="732"/>
              <w:spacing w:after="0"/>
              <w:rPr>
                <w:sz w:val="20"/>
                <w:szCs w:val="20"/>
                <w:color w:val="auto"/>
              </w:rPr>
            </w:pPr>
            <w:r>
              <w:rPr>
                <w:rFonts w:ascii="Times New Roman" w:cs="Times New Roman" w:eastAsia="Times New Roman" w:hAnsi="Times New Roman"/>
                <w:sz w:val="18"/>
                <w:szCs w:val="18"/>
                <w:color w:val="auto"/>
              </w:rPr>
              <w:t>2Q24</w:t>
            </w:r>
          </w:p>
        </w:tc>
      </w:tr>
      <w:tr>
        <w:trPr>
          <w:trHeight w:val="219"/>
        </w:trPr>
        <w:tc>
          <w:tcPr>
            <w:tcW w:w="310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 except per share data)</w:t>
            </w:r>
          </w:p>
        </w:tc>
        <w:tc>
          <w:tcPr>
            <w:tcW w:w="240" w:type="dxa"/>
            <w:vAlign w:val="bottom"/>
            <w:tcBorders>
              <w:bottom w:val="single" w:sz="8" w:color="auto"/>
            </w:tcBorders>
            <w:shd w:val="clear" w:color="auto" w:fill="F4EFE7"/>
          </w:tcPr>
          <w:p>
            <w:pPr>
              <w:spacing w:after="0"/>
              <w:rPr>
                <w:sz w:val="19"/>
                <w:szCs w:val="19"/>
                <w:color w:val="auto"/>
              </w:rPr>
            </w:pPr>
          </w:p>
        </w:tc>
        <w:tc>
          <w:tcPr>
            <w:tcW w:w="1060" w:type="dxa"/>
            <w:vAlign w:val="bottom"/>
            <w:tcBorders>
              <w:bottom w:val="single" w:sz="8" w:color="auto"/>
            </w:tcBorders>
            <w:gridSpan w:val="2"/>
            <w:shd w:val="clear" w:color="auto" w:fill="F4EFE7"/>
          </w:tcPr>
          <w:p>
            <w:pPr>
              <w:ind w:left="160"/>
              <w:spacing w:after="0"/>
              <w:rPr>
                <w:sz w:val="20"/>
                <w:szCs w:val="20"/>
                <w:color w:val="auto"/>
              </w:rPr>
            </w:pPr>
            <w:r>
              <w:rPr>
                <w:rFonts w:ascii="Times New Roman" w:cs="Times New Roman" w:eastAsia="Times New Roman" w:hAnsi="Times New Roman"/>
                <w:sz w:val="18"/>
                <w:szCs w:val="18"/>
                <w:color w:val="auto"/>
              </w:rPr>
              <w:t>2Q25</w:t>
            </w:r>
          </w:p>
        </w:tc>
        <w:tc>
          <w:tcPr>
            <w:tcW w:w="240" w:type="dxa"/>
            <w:vAlign w:val="bottom"/>
            <w:tcBorders>
              <w:bottom w:val="single" w:sz="8" w:color="auto"/>
            </w:tcBorders>
            <w:shd w:val="clear" w:color="auto" w:fill="F4EFE7"/>
          </w:tcPr>
          <w:p>
            <w:pPr>
              <w:spacing w:after="0"/>
              <w:rPr>
                <w:sz w:val="19"/>
                <w:szCs w:val="19"/>
                <w:color w:val="auto"/>
              </w:rPr>
            </w:pPr>
          </w:p>
        </w:tc>
        <w:tc>
          <w:tcPr>
            <w:tcW w:w="1040" w:type="dxa"/>
            <w:vAlign w:val="bottom"/>
            <w:tcBorders>
              <w:bottom w:val="single" w:sz="8" w:color="auto"/>
            </w:tcBorders>
            <w:gridSpan w:val="2"/>
            <w:shd w:val="clear" w:color="auto" w:fill="F4EFE7"/>
          </w:tcPr>
          <w:p>
            <w:pPr>
              <w:ind w:left="160"/>
              <w:spacing w:after="0"/>
              <w:rPr>
                <w:sz w:val="20"/>
                <w:szCs w:val="20"/>
                <w:color w:val="auto"/>
              </w:rPr>
            </w:pPr>
            <w:r>
              <w:rPr>
                <w:rFonts w:ascii="Times New Roman" w:cs="Times New Roman" w:eastAsia="Times New Roman" w:hAnsi="Times New Roman"/>
                <w:sz w:val="18"/>
                <w:szCs w:val="18"/>
                <w:color w:val="auto"/>
              </w:rPr>
              <w:t>1Q25</w:t>
            </w:r>
          </w:p>
        </w:tc>
        <w:tc>
          <w:tcPr>
            <w:tcW w:w="260" w:type="dxa"/>
            <w:vAlign w:val="bottom"/>
            <w:tcBorders>
              <w:bottom w:val="single" w:sz="8" w:color="auto"/>
            </w:tcBorders>
            <w:shd w:val="clear" w:color="auto" w:fill="F4EFE7"/>
          </w:tcPr>
          <w:p>
            <w:pPr>
              <w:spacing w:after="0"/>
              <w:rPr>
                <w:sz w:val="19"/>
                <w:szCs w:val="19"/>
                <w:color w:val="auto"/>
              </w:rPr>
            </w:pPr>
          </w:p>
        </w:tc>
        <w:tc>
          <w:tcPr>
            <w:tcW w:w="1000" w:type="dxa"/>
            <w:vAlign w:val="bottom"/>
            <w:tcBorders>
              <w:bottom w:val="single" w:sz="8" w:color="auto"/>
            </w:tcBorders>
            <w:shd w:val="clear" w:color="auto" w:fill="F4EFE7"/>
          </w:tcPr>
          <w:p>
            <w:pPr>
              <w:jc w:val="right"/>
              <w:ind w:right="372"/>
              <w:spacing w:after="0"/>
              <w:rPr>
                <w:sz w:val="20"/>
                <w:szCs w:val="20"/>
                <w:color w:val="auto"/>
              </w:rPr>
            </w:pPr>
            <w:r>
              <w:rPr>
                <w:rFonts w:ascii="Times New Roman" w:cs="Times New Roman" w:eastAsia="Times New Roman" w:hAnsi="Times New Roman"/>
                <w:sz w:val="18"/>
                <w:szCs w:val="18"/>
                <w:color w:val="auto"/>
              </w:rPr>
              <w:t>2Q24</w:t>
            </w:r>
          </w:p>
        </w:tc>
        <w:tc>
          <w:tcPr>
            <w:tcW w:w="20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92"/>
              <w:spacing w:after="0"/>
              <w:rPr>
                <w:sz w:val="20"/>
                <w:szCs w:val="20"/>
                <w:color w:val="auto"/>
              </w:rPr>
            </w:pPr>
            <w:r>
              <w:rPr>
                <w:rFonts w:ascii="Times New Roman" w:cs="Times New Roman" w:eastAsia="Times New Roman" w:hAnsi="Times New Roman"/>
                <w:sz w:val="18"/>
                <w:szCs w:val="18"/>
                <w:color w:val="auto"/>
              </w:rPr>
              <w:t>$ O/(U)</w:t>
            </w:r>
          </w:p>
        </w:tc>
        <w:tc>
          <w:tcPr>
            <w:tcW w:w="1100" w:type="dxa"/>
            <w:vAlign w:val="bottom"/>
            <w:tcBorders>
              <w:bottom w:val="single" w:sz="8" w:color="auto"/>
            </w:tcBorders>
            <w:shd w:val="clear" w:color="auto" w:fill="F4EFE7"/>
          </w:tcPr>
          <w:p>
            <w:pPr>
              <w:jc w:val="right"/>
              <w:ind w:right="152"/>
              <w:spacing w:after="0"/>
              <w:rPr>
                <w:sz w:val="20"/>
                <w:szCs w:val="20"/>
                <w:color w:val="auto"/>
              </w:rPr>
            </w:pPr>
            <w:r>
              <w:rPr>
                <w:rFonts w:ascii="Times New Roman" w:cs="Times New Roman" w:eastAsia="Times New Roman" w:hAnsi="Times New Roman"/>
                <w:sz w:val="18"/>
                <w:szCs w:val="18"/>
                <w:color w:val="auto"/>
              </w:rPr>
              <w:t>O/(U) %</w:t>
            </w:r>
          </w:p>
        </w:tc>
        <w:tc>
          <w:tcPr>
            <w:tcW w:w="26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112"/>
              <w:spacing w:after="0"/>
              <w:rPr>
                <w:sz w:val="20"/>
                <w:szCs w:val="20"/>
                <w:color w:val="auto"/>
              </w:rPr>
            </w:pPr>
            <w:r>
              <w:rPr>
                <w:rFonts w:ascii="Times New Roman" w:cs="Times New Roman" w:eastAsia="Times New Roman" w:hAnsi="Times New Roman"/>
                <w:sz w:val="18"/>
                <w:szCs w:val="18"/>
                <w:color w:val="auto"/>
              </w:rPr>
              <w:t>$ O/(U)</w:t>
            </w:r>
          </w:p>
        </w:tc>
        <w:tc>
          <w:tcPr>
            <w:tcW w:w="1100" w:type="dxa"/>
            <w:vAlign w:val="bottom"/>
            <w:tcBorders>
              <w:bottom w:val="single" w:sz="8" w:color="auto"/>
            </w:tcBorders>
            <w:shd w:val="clear" w:color="auto" w:fill="F4EFE7"/>
          </w:tcPr>
          <w:p>
            <w:pPr>
              <w:jc w:val="right"/>
              <w:ind w:right="152"/>
              <w:spacing w:after="0"/>
              <w:rPr>
                <w:sz w:val="20"/>
                <w:szCs w:val="20"/>
                <w:color w:val="auto"/>
              </w:rPr>
            </w:pPr>
            <w:r>
              <w:rPr>
                <w:rFonts w:ascii="Times New Roman" w:cs="Times New Roman" w:eastAsia="Times New Roman" w:hAnsi="Times New Roman"/>
                <w:sz w:val="18"/>
                <w:szCs w:val="18"/>
                <w:color w:val="auto"/>
              </w:rPr>
              <w:t>O/(U) %</w:t>
            </w: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reported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44,912</w:t>
            </w: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45,310</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50,200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managed</w:t>
            </w:r>
          </w:p>
        </w:tc>
        <w:tc>
          <w:tcPr>
            <w:tcW w:w="2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45,680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50,992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23,779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23,597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23,713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0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Borders>
              <w:bottom w:val="single" w:sz="8" w:color="828282"/>
            </w:tcBorders>
          </w:tcPr>
          <w:p>
            <w:pPr>
              <w:spacing w:after="0"/>
              <w:rPr>
                <w:sz w:val="20"/>
                <w:szCs w:val="20"/>
                <w:color w:val="auto"/>
              </w:rPr>
            </w:pPr>
          </w:p>
        </w:tc>
        <w:tc>
          <w:tcPr>
            <w:tcW w:w="940" w:type="dxa"/>
            <w:vAlign w:val="bottom"/>
            <w:tcBorders>
              <w:bottom w:val="single" w:sz="8" w:color="828282"/>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tcBorders>
              <w:bottom w:val="single" w:sz="8" w:color="828282"/>
            </w:tcBorders>
          </w:tcPr>
          <w:p>
            <w:pPr>
              <w:spacing w:after="0"/>
              <w:rPr>
                <w:sz w:val="20"/>
                <w:szCs w:val="20"/>
                <w:color w:val="auto"/>
              </w:rPr>
            </w:pPr>
          </w:p>
        </w:tc>
        <w:tc>
          <w:tcPr>
            <w:tcW w:w="240" w:type="dxa"/>
            <w:vAlign w:val="bottom"/>
            <w:tcBorders>
              <w:bottom w:val="single" w:sz="8" w:color="828282"/>
            </w:tcBorders>
          </w:tcPr>
          <w:p>
            <w:pPr>
              <w:spacing w:after="0"/>
              <w:rPr>
                <w:sz w:val="20"/>
                <w:szCs w:val="20"/>
                <w:color w:val="auto"/>
              </w:rPr>
            </w:pPr>
          </w:p>
        </w:tc>
        <w:tc>
          <w:tcPr>
            <w:tcW w:w="940" w:type="dxa"/>
            <w:vAlign w:val="bottom"/>
            <w:tcBorders>
              <w:bottom w:val="single" w:sz="8" w:color="828282"/>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828282"/>
            </w:tcBorders>
          </w:tcPr>
          <w:p>
            <w:pPr>
              <w:spacing w:after="0"/>
              <w:rPr>
                <w:sz w:val="20"/>
                <w:szCs w:val="20"/>
                <w:color w:val="auto"/>
              </w:rPr>
            </w:pPr>
          </w:p>
        </w:tc>
        <w:tc>
          <w:tcPr>
            <w:tcW w:w="260" w:type="dxa"/>
            <w:vAlign w:val="bottom"/>
            <w:tcBorders>
              <w:bottom w:val="single" w:sz="8" w:color="828282"/>
            </w:tcBorders>
          </w:tcPr>
          <w:p>
            <w:pPr>
              <w:spacing w:after="0"/>
              <w:rPr>
                <w:sz w:val="20"/>
                <w:szCs w:val="20"/>
                <w:color w:val="auto"/>
              </w:rPr>
            </w:pPr>
          </w:p>
        </w:tc>
        <w:tc>
          <w:tcPr>
            <w:tcW w:w="1000" w:type="dxa"/>
            <w:vAlign w:val="bottom"/>
            <w:tcBorders>
              <w:bottom w:val="single" w:sz="8" w:color="828282"/>
            </w:tcBorders>
          </w:tcPr>
          <w:p>
            <w:pPr>
              <w:jc w:val="right"/>
              <w:ind w:right="192"/>
              <w:spacing w:after="0"/>
              <w:rPr>
                <w:sz w:val="20"/>
                <w:szCs w:val="20"/>
                <w:color w:val="auto"/>
              </w:rPr>
            </w:pPr>
            <w:r>
              <w:rPr>
                <w:rFonts w:ascii="Times New Roman" w:cs="Times New Roman" w:eastAsia="Times New Roman" w:hAnsi="Times New Roman"/>
                <w:sz w:val="18"/>
                <w:szCs w:val="18"/>
                <w:color w:val="auto"/>
              </w:rPr>
              <w:t>3,052</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100" w:type="dxa"/>
            <w:vAlign w:val="bottom"/>
            <w:tcBorders>
              <w:bottom w:val="single" w:sz="8" w:color="828282"/>
            </w:tcBorders>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10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r>
      <w:tr>
        <w:trPr>
          <w:trHeight w:val="218"/>
        </w:trPr>
        <w:tc>
          <w:tcPr>
            <w:tcW w:w="3100" w:type="dxa"/>
            <w:vAlign w:val="bottom"/>
            <w:tcBorders>
              <w:bottom w:val="single" w:sz="8" w:color="828282"/>
            </w:tcBorders>
            <w:shd w:val="clear" w:color="auto" w:fill="FEFD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828282"/>
            </w:tcBorders>
            <w:shd w:val="clear" w:color="auto" w:fill="FEFD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828282"/>
            </w:tcBorders>
            <w:shd w:val="clear" w:color="auto" w:fill="FEFDFC"/>
          </w:tcPr>
          <w:p>
            <w:pPr>
              <w:jc w:val="right"/>
              <w:ind w:right="132"/>
              <w:spacing w:after="0"/>
              <w:rPr>
                <w:sz w:val="20"/>
                <w:szCs w:val="20"/>
                <w:color w:val="auto"/>
              </w:rPr>
            </w:pPr>
            <w:r>
              <w:rPr>
                <w:rFonts w:ascii="Times New Roman" w:cs="Times New Roman" w:eastAsia="Times New Roman" w:hAnsi="Times New Roman"/>
                <w:sz w:val="18"/>
                <w:szCs w:val="18"/>
                <w:color w:val="auto"/>
              </w:rPr>
              <w:t>14,987</w:t>
            </w:r>
          </w:p>
        </w:tc>
        <w:tc>
          <w:tcPr>
            <w:tcW w:w="120" w:type="dxa"/>
            <w:vAlign w:val="bottom"/>
            <w:tcBorders>
              <w:bottom w:val="single" w:sz="8" w:color="828282"/>
            </w:tcBorders>
            <w:shd w:val="clear" w:color="auto" w:fill="FEFDFC"/>
          </w:tcPr>
          <w:p>
            <w:pPr>
              <w:spacing w:after="0"/>
              <w:rPr>
                <w:sz w:val="19"/>
                <w:szCs w:val="19"/>
                <w:color w:val="auto"/>
              </w:rPr>
            </w:pPr>
          </w:p>
        </w:tc>
        <w:tc>
          <w:tcPr>
            <w:tcW w:w="240" w:type="dxa"/>
            <w:vAlign w:val="bottom"/>
            <w:tcBorders>
              <w:bottom w:val="single" w:sz="8" w:color="828282"/>
            </w:tcBorders>
            <w:shd w:val="clear" w:color="auto" w:fill="FEFD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828282"/>
            </w:tcBorders>
            <w:shd w:val="clear" w:color="auto" w:fill="FEFDFC"/>
          </w:tcPr>
          <w:p>
            <w:pPr>
              <w:jc w:val="right"/>
              <w:ind w:right="132"/>
              <w:spacing w:after="0"/>
              <w:rPr>
                <w:sz w:val="20"/>
                <w:szCs w:val="20"/>
                <w:color w:val="auto"/>
              </w:rPr>
            </w:pPr>
            <w:r>
              <w:rPr>
                <w:rFonts w:ascii="Times New Roman" w:cs="Times New Roman" w:eastAsia="Times New Roman" w:hAnsi="Times New Roman"/>
                <w:sz w:val="18"/>
                <w:szCs w:val="18"/>
                <w:color w:val="auto"/>
              </w:rPr>
              <w:t>14,643</w:t>
            </w:r>
          </w:p>
        </w:tc>
        <w:tc>
          <w:tcPr>
            <w:tcW w:w="100" w:type="dxa"/>
            <w:vAlign w:val="bottom"/>
            <w:tcBorders>
              <w:bottom w:val="single" w:sz="8" w:color="828282"/>
            </w:tcBorders>
            <w:shd w:val="clear" w:color="auto" w:fill="FEFDFC"/>
          </w:tcPr>
          <w:p>
            <w:pPr>
              <w:spacing w:after="0"/>
              <w:rPr>
                <w:sz w:val="19"/>
                <w:szCs w:val="19"/>
                <w:color w:val="auto"/>
              </w:rPr>
            </w:pPr>
          </w:p>
        </w:tc>
        <w:tc>
          <w:tcPr>
            <w:tcW w:w="260" w:type="dxa"/>
            <w:vAlign w:val="bottom"/>
            <w:tcBorders>
              <w:bottom w:val="single" w:sz="8" w:color="828282"/>
            </w:tcBorders>
            <w:shd w:val="clear" w:color="auto" w:fill="FEFD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828282"/>
            </w:tcBorders>
            <w:shd w:val="clear" w:color="auto" w:fill="FEFDFC"/>
          </w:tcPr>
          <w:p>
            <w:pPr>
              <w:jc w:val="right"/>
              <w:ind w:right="192"/>
              <w:spacing w:after="0"/>
              <w:rPr>
                <w:sz w:val="20"/>
                <w:szCs w:val="20"/>
                <w:color w:val="auto"/>
              </w:rPr>
            </w:pPr>
            <w:r>
              <w:rPr>
                <w:rFonts w:ascii="Times New Roman" w:cs="Times New Roman" w:eastAsia="Times New Roman" w:hAnsi="Times New Roman"/>
                <w:sz w:val="18"/>
                <w:szCs w:val="18"/>
                <w:color w:val="auto"/>
              </w:rPr>
              <w:t>18,149</w:t>
            </w:r>
          </w:p>
        </w:tc>
        <w:tc>
          <w:tcPr>
            <w:tcW w:w="20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10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10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310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828282"/>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828282"/>
            </w:tcBorders>
          </w:tcPr>
          <w:p>
            <w:pPr>
              <w:jc w:val="right"/>
              <w:ind w:right="132"/>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828282"/>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828282"/>
            </w:tcBorders>
          </w:tcPr>
          <w:p>
            <w:pPr>
              <w:jc w:val="right"/>
              <w:ind w:right="132"/>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828282"/>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828282"/>
            </w:tcBorders>
          </w:tcPr>
          <w:p>
            <w:pPr>
              <w:jc w:val="right"/>
              <w:ind w:right="192"/>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10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10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9"/>
        </w:trPr>
        <w:tc>
          <w:tcPr>
            <w:tcW w:w="3100" w:type="dxa"/>
            <w:vAlign w:val="bottom"/>
            <w:tcBorders>
              <w:bottom w:val="single" w:sz="8" w:color="7F7F7F"/>
            </w:tcBorders>
          </w:tcPr>
          <w:p>
            <w:pPr>
              <w:ind w:left="20"/>
              <w:spacing w:after="0"/>
              <w:rPr>
                <w:sz w:val="20"/>
                <w:szCs w:val="20"/>
                <w:color w:val="auto"/>
              </w:rPr>
            </w:pPr>
            <w:r>
              <w:rPr>
                <w:rFonts w:ascii="Times New Roman" w:cs="Times New Roman" w:eastAsia="Times New Roman" w:hAnsi="Times New Roman"/>
                <w:sz w:val="18"/>
                <w:szCs w:val="18"/>
                <w:color w:val="auto"/>
              </w:rPr>
              <w:t>Return on common equity</w:t>
            </w:r>
          </w:p>
        </w:tc>
        <w:tc>
          <w:tcPr>
            <w:tcW w:w="24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Borders>
              <w:bottom w:val="single" w:sz="8" w:color="7F7F7F"/>
            </w:tcBorders>
          </w:tcPr>
          <w:p>
            <w:pPr>
              <w:spacing w:after="0"/>
              <w:rPr>
                <w:sz w:val="19"/>
                <w:szCs w:val="19"/>
                <w:color w:val="auto"/>
              </w:rPr>
            </w:pPr>
          </w:p>
        </w:tc>
        <w:tc>
          <w:tcPr>
            <w:tcW w:w="78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r>
        <w:trPr>
          <w:trHeight w:val="218"/>
        </w:trPr>
        <w:tc>
          <w:tcPr>
            <w:tcW w:w="3100" w:type="dxa"/>
            <w:vAlign w:val="bottom"/>
            <w:tcBorders>
              <w:bottom w:val="single" w:sz="8" w:color="7F7F7F"/>
            </w:tcBorders>
          </w:tcPr>
          <w:p>
            <w:pPr>
              <w:ind w:left="20"/>
              <w:spacing w:after="0"/>
              <w:rPr>
                <w:sz w:val="20"/>
                <w:szCs w:val="20"/>
                <w:color w:val="auto"/>
              </w:rPr>
            </w:pPr>
            <w:r>
              <w:rPr>
                <w:rFonts w:ascii="Times New Roman" w:cs="Times New Roman" w:eastAsia="Times New Roman" w:hAnsi="Times New Roman"/>
                <w:sz w:val="18"/>
                <w:szCs w:val="18"/>
                <w:color w:val="auto"/>
              </w:rPr>
              <w:t>Return on tangible common equity</w:t>
            </w:r>
          </w:p>
        </w:tc>
        <w:tc>
          <w:tcPr>
            <w:tcW w:w="24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ind w:right="192"/>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7F7F7F"/>
            </w:tcBorders>
          </w:tcPr>
          <w:p>
            <w:pPr>
              <w:spacing w:after="0"/>
              <w:rPr>
                <w:sz w:val="19"/>
                <w:szCs w:val="19"/>
                <w:color w:val="auto"/>
              </w:rPr>
            </w:pPr>
          </w:p>
        </w:tc>
        <w:tc>
          <w:tcPr>
            <w:tcW w:w="78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$15.0 billion, down 17%.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was $45.7 billion, down 10%. Net interest income was $23.3 billion , up 2% . Noninterest revenue was $22.4 billion, down 20%.</w:t>
      </w:r>
    </w:p>
    <w:p>
      <w:pPr>
        <w:spacing w:after="0" w:line="10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Net interest income excluding Markets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was $22.8 billion, down 1%, driven by the impact of lower rates and deposit margin compression, predominantly offset by higher wholesale deposit balances and higher revolving balances in Card Services, as well as the impact of securities activity including activity in prior quarters. Noninterest revenue excluding Markets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was $14.0 billion, down 31%. Excluding the $7.9 billion net gain related to Visa shares</w:t>
      </w:r>
      <w:r>
        <w:rPr>
          <w:rFonts w:ascii="Times New Roman" w:cs="Times New Roman" w:eastAsia="Times New Roman" w:hAnsi="Times New Roman"/>
          <w:sz w:val="22"/>
          <w:szCs w:val="22"/>
          <w:color w:val="auto"/>
          <w:vertAlign w:val="superscript"/>
        </w:rPr>
        <w:t>14</w:t>
      </w:r>
      <w:r>
        <w:rPr>
          <w:rFonts w:ascii="Times New Roman" w:cs="Times New Roman" w:eastAsia="Times New Roman" w:hAnsi="Times New Roman"/>
          <w:sz w:val="18"/>
          <w:szCs w:val="18"/>
          <w:color w:val="auto"/>
        </w:rPr>
        <w:t xml:space="preserve"> and $546 million of securities losses in the prior year, noninterest revenue excluding Markets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was up 8%, driven by higher asset management fees in AWM and CCB, higher auto operating lease income, higher investment banking fees and higher Payments fees. Markets revenue was $8.9 billion, up 15%.</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Noninterest expense was $23.8 billion, flat to the prior year. Excluding the $1.0 billion contribution of Visa shares to the JPMorgan Chase Foundation in the prior year, noninterest expense was up 5%, driven by higher compensation, including higher revenue-related compensation and growth in front office and technology employees, as well as higher brokerage expense and distribution fees, auto lease depreciation and technology expense, partially offset by lower legal expense.</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provision for credit losses was $2.8 billion. Net charge-offs of $2.4 billion, predominantly in Card Services, were up $179 million. The net reserve build of $439 million, primarily in Wholesale, was driven by the impact of net lending activity, largely offset by a decrease in the weight placed on the adverse scenarios. In the prior year, the provision was $3.1 billion, net charge-offs were $2.2 billion and the net reserve build was $821 million.</w:t>
      </w:r>
    </w:p>
    <w:p>
      <w:pPr>
        <w:spacing w:after="0" w:line="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current quarter included a $774 million income tax benefit in Corporate, driven by the resolution of certain tax audits and the impact of tax regulations finalized in 2024 related to foreign currency translation gains and losses.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322580</wp:posOffset>
            </wp:positionV>
            <wp:extent cx="6974840" cy="260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74840"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FFFFFF"/>
        </w:rPr>
        <w:t>CONSUMER &amp; COMMUNITY BANKING (CCB)</w:t>
      </w: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225"/>
        </w:trPr>
        <w:tc>
          <w:tcPr>
            <w:tcW w:w="3640" w:type="dxa"/>
            <w:vAlign w:val="bottom"/>
            <w:tcBorders>
              <w:bottom w:val="single" w:sz="8" w:color="F4EFE7"/>
            </w:tcBorders>
            <w:shd w:val="clear" w:color="auto" w:fill="F4EFE7"/>
          </w:tcPr>
          <w:p>
            <w:pPr>
              <w:spacing w:after="0"/>
              <w:rPr>
                <w:sz w:val="20"/>
                <w:szCs w:val="20"/>
                <w:color w:val="auto"/>
              </w:rPr>
            </w:pPr>
            <w:r>
              <w:rPr>
                <w:rFonts w:ascii="Times New Roman" w:cs="Times New Roman" w:eastAsia="Times New Roman" w:hAnsi="Times New Roman"/>
                <w:sz w:val="18"/>
                <w:szCs w:val="18"/>
                <w:color w:val="auto"/>
              </w:rPr>
              <w:t>Results for CCB</w:t>
            </w:r>
          </w:p>
        </w:tc>
        <w:tc>
          <w:tcPr>
            <w:tcW w:w="180" w:type="dxa"/>
            <w:vAlign w:val="bottom"/>
            <w:tcBorders>
              <w:bottom w:val="single" w:sz="8" w:color="F4EFE7"/>
            </w:tcBorders>
            <w:shd w:val="clear" w:color="auto" w:fill="F4EFE7"/>
          </w:tcPr>
          <w:p>
            <w:pPr>
              <w:spacing w:after="0"/>
              <w:rPr>
                <w:sz w:val="19"/>
                <w:szCs w:val="19"/>
                <w:color w:val="auto"/>
              </w:rPr>
            </w:pPr>
          </w:p>
        </w:tc>
        <w:tc>
          <w:tcPr>
            <w:tcW w:w="78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76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60" w:type="dxa"/>
            <w:vAlign w:val="bottom"/>
            <w:tcBorders>
              <w:bottom w:val="single" w:sz="8" w:color="F4EFE7"/>
            </w:tcBorders>
            <w:shd w:val="clear" w:color="auto" w:fill="F4EFE7"/>
          </w:tcPr>
          <w:p>
            <w:pPr>
              <w:spacing w:after="0"/>
              <w:rPr>
                <w:sz w:val="19"/>
                <w:szCs w:val="19"/>
                <w:color w:val="auto"/>
              </w:rPr>
            </w:pPr>
          </w:p>
        </w:tc>
        <w:tc>
          <w:tcPr>
            <w:tcW w:w="140" w:type="dxa"/>
            <w:vAlign w:val="bottom"/>
            <w:tcBorders>
              <w:bottom w:val="single" w:sz="8" w:color="auto"/>
            </w:tcBorders>
            <w:shd w:val="clear" w:color="auto" w:fill="F4EFE7"/>
          </w:tcPr>
          <w:p>
            <w:pPr>
              <w:spacing w:after="0"/>
              <w:rPr>
                <w:sz w:val="19"/>
                <w:szCs w:val="19"/>
                <w:color w:val="auto"/>
              </w:rPr>
            </w:pPr>
          </w:p>
        </w:tc>
        <w:tc>
          <w:tcPr>
            <w:tcW w:w="1940" w:type="dxa"/>
            <w:vAlign w:val="bottom"/>
            <w:tcBorders>
              <w:bottom w:val="single" w:sz="8" w:color="auto"/>
            </w:tcBorders>
            <w:gridSpan w:val="2"/>
            <w:shd w:val="clear" w:color="auto" w:fill="F4EFE7"/>
          </w:tcPr>
          <w:p>
            <w:pPr>
              <w:jc w:val="right"/>
              <w:ind w:right="772"/>
              <w:spacing w:after="0"/>
              <w:rPr>
                <w:sz w:val="20"/>
                <w:szCs w:val="20"/>
                <w:color w:val="auto"/>
              </w:rPr>
            </w:pPr>
            <w:r>
              <w:rPr>
                <w:rFonts w:ascii="Times New Roman" w:cs="Times New Roman" w:eastAsia="Times New Roman" w:hAnsi="Times New Roman"/>
                <w:sz w:val="18"/>
                <w:szCs w:val="18"/>
                <w:color w:val="auto"/>
              </w:rPr>
              <w:t>1Q25</w:t>
            </w:r>
          </w:p>
        </w:tc>
        <w:tc>
          <w:tcPr>
            <w:tcW w:w="220" w:type="dxa"/>
            <w:vAlign w:val="bottom"/>
            <w:tcBorders>
              <w:bottom w:val="single" w:sz="8" w:color="auto"/>
            </w:tcBorders>
            <w:shd w:val="clear" w:color="auto" w:fill="F4EFE7"/>
          </w:tcPr>
          <w:p>
            <w:pPr>
              <w:spacing w:after="0"/>
              <w:rPr>
                <w:sz w:val="19"/>
                <w:szCs w:val="19"/>
                <w:color w:val="auto"/>
              </w:rPr>
            </w:pPr>
          </w:p>
        </w:tc>
        <w:tc>
          <w:tcPr>
            <w:tcW w:w="1900" w:type="dxa"/>
            <w:vAlign w:val="bottom"/>
            <w:tcBorders>
              <w:bottom w:val="single" w:sz="8" w:color="auto"/>
            </w:tcBorders>
            <w:gridSpan w:val="2"/>
            <w:shd w:val="clear" w:color="auto" w:fill="F4EFE7"/>
          </w:tcPr>
          <w:p>
            <w:pPr>
              <w:jc w:val="right"/>
              <w:ind w:right="752"/>
              <w:spacing w:after="0"/>
              <w:rPr>
                <w:sz w:val="20"/>
                <w:szCs w:val="20"/>
                <w:color w:val="auto"/>
              </w:rPr>
            </w:pPr>
            <w:r>
              <w:rPr>
                <w:rFonts w:ascii="Times New Roman" w:cs="Times New Roman" w:eastAsia="Times New Roman" w:hAnsi="Times New Roman"/>
                <w:sz w:val="18"/>
                <w:szCs w:val="18"/>
                <w:color w:val="auto"/>
              </w:rPr>
              <w:t>2Q24</w:t>
            </w:r>
          </w:p>
        </w:tc>
      </w:tr>
      <w:tr>
        <w:trPr>
          <w:trHeight w:val="218"/>
        </w:trPr>
        <w:tc>
          <w:tcPr>
            <w:tcW w:w="3640" w:type="dxa"/>
            <w:vAlign w:val="bottom"/>
            <w:tcBorders>
              <w:bottom w:val="single" w:sz="8" w:color="auto"/>
            </w:tcBorders>
            <w:shd w:val="clear" w:color="auto" w:fill="F4EFE7"/>
          </w:tcPr>
          <w:p>
            <w:pPr>
              <w:spacing w:after="0"/>
              <w:rPr>
                <w:sz w:val="20"/>
                <w:szCs w:val="20"/>
                <w:color w:val="auto"/>
              </w:rPr>
            </w:pPr>
            <w:r>
              <w:rPr>
                <w:rFonts w:ascii="Times New Roman" w:cs="Times New Roman" w:eastAsia="Times New Roman" w:hAnsi="Times New Roman"/>
                <w:sz w:val="18"/>
                <w:szCs w:val="18"/>
                <w:color w:val="auto"/>
              </w:rPr>
              <w:t>($ millions)</w:t>
            </w:r>
          </w:p>
        </w:tc>
        <w:tc>
          <w:tcPr>
            <w:tcW w:w="18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2Q25</w:t>
            </w:r>
          </w:p>
        </w:tc>
        <w:tc>
          <w:tcPr>
            <w:tcW w:w="280" w:type="dxa"/>
            <w:vAlign w:val="bottom"/>
            <w:tcBorders>
              <w:bottom w:val="single" w:sz="8" w:color="auto"/>
            </w:tcBorders>
            <w:shd w:val="clear" w:color="auto" w:fill="F4EFE7"/>
          </w:tcPr>
          <w:p>
            <w:pPr>
              <w:spacing w:after="0"/>
              <w:rPr>
                <w:sz w:val="19"/>
                <w:szCs w:val="19"/>
                <w:color w:val="auto"/>
              </w:rPr>
            </w:pPr>
          </w:p>
        </w:tc>
        <w:tc>
          <w:tcPr>
            <w:tcW w:w="76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1Q25</w:t>
            </w:r>
          </w:p>
        </w:tc>
        <w:tc>
          <w:tcPr>
            <w:tcW w:w="280" w:type="dxa"/>
            <w:vAlign w:val="bottom"/>
            <w:tcBorders>
              <w:bottom w:val="single" w:sz="8" w:color="auto"/>
            </w:tcBorders>
            <w:shd w:val="clear" w:color="auto" w:fill="F4EFE7"/>
          </w:tcPr>
          <w:p>
            <w:pPr>
              <w:spacing w:after="0"/>
              <w:rPr>
                <w:sz w:val="19"/>
                <w:szCs w:val="19"/>
                <w:color w:val="auto"/>
              </w:rPr>
            </w:pPr>
          </w:p>
        </w:tc>
        <w:tc>
          <w:tcPr>
            <w:tcW w:w="860" w:type="dxa"/>
            <w:vAlign w:val="bottom"/>
            <w:tcBorders>
              <w:bottom w:val="single" w:sz="8" w:color="auto"/>
            </w:tcBorders>
            <w:shd w:val="clear" w:color="auto" w:fill="F4EFE7"/>
          </w:tcPr>
          <w:p>
            <w:pPr>
              <w:jc w:val="right"/>
              <w:ind w:right="292"/>
              <w:spacing w:after="0"/>
              <w:rPr>
                <w:sz w:val="20"/>
                <w:szCs w:val="20"/>
                <w:color w:val="auto"/>
              </w:rPr>
            </w:pPr>
            <w:r>
              <w:rPr>
                <w:rFonts w:ascii="Times New Roman" w:cs="Times New Roman" w:eastAsia="Times New Roman" w:hAnsi="Times New Roman"/>
                <w:sz w:val="18"/>
                <w:szCs w:val="18"/>
                <w:color w:val="auto"/>
              </w:rPr>
              <w:t>2Q24</w:t>
            </w:r>
          </w:p>
        </w:tc>
        <w:tc>
          <w:tcPr>
            <w:tcW w:w="14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 O/(U)</w:t>
            </w:r>
          </w:p>
        </w:tc>
        <w:tc>
          <w:tcPr>
            <w:tcW w:w="1040" w:type="dxa"/>
            <w:vAlign w:val="bottom"/>
            <w:tcBorders>
              <w:bottom w:val="single" w:sz="8" w:color="auto"/>
            </w:tcBorders>
            <w:shd w:val="clear" w:color="auto" w:fill="F4EFE7"/>
          </w:tcPr>
          <w:p>
            <w:pPr>
              <w:jc w:val="right"/>
              <w:ind w:right="192"/>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 O/(U)</w:t>
            </w:r>
          </w:p>
        </w:tc>
        <w:tc>
          <w:tcPr>
            <w:tcW w:w="1000" w:type="dxa"/>
            <w:vAlign w:val="bottom"/>
            <w:tcBorders>
              <w:bottom w:val="single" w:sz="8" w:color="auto"/>
            </w:tcBorders>
            <w:shd w:val="clear" w:color="auto" w:fill="F4EFE7"/>
          </w:tcPr>
          <w:p>
            <w:pPr>
              <w:jc w:val="right"/>
              <w:ind w:right="152"/>
              <w:spacing w:after="0"/>
              <w:rPr>
                <w:sz w:val="20"/>
                <w:szCs w:val="20"/>
                <w:color w:val="auto"/>
              </w:rPr>
            </w:pPr>
            <w:r>
              <w:rPr>
                <w:rFonts w:ascii="Times New Roman" w:cs="Times New Roman" w:eastAsia="Times New Roman" w:hAnsi="Times New Roman"/>
                <w:sz w:val="18"/>
                <w:szCs w:val="18"/>
                <w:color w:val="auto"/>
              </w:rPr>
              <w:t>O/(U) %</w:t>
            </w:r>
          </w:p>
        </w:tc>
      </w:tr>
      <w:tr>
        <w:trPr>
          <w:trHeight w:val="213"/>
        </w:trPr>
        <w:tc>
          <w:tcPr>
            <w:tcW w:w="3640" w:type="dxa"/>
            <w:vAlign w:val="bottom"/>
          </w:tcPr>
          <w:p>
            <w:pPr>
              <w:spacing w:after="0" w:line="213" w:lineRule="exact"/>
              <w:rPr>
                <w:sz w:val="20"/>
                <w:szCs w:val="20"/>
                <w:color w:val="auto"/>
              </w:rPr>
            </w:pPr>
            <w:r>
              <w:rPr>
                <w:rFonts w:ascii="Times New Roman" w:cs="Times New Roman" w:eastAsia="Times New Roman" w:hAnsi="Times New Roman"/>
                <w:sz w:val="18"/>
                <w:szCs w:val="18"/>
                <w:color w:val="auto"/>
              </w:rPr>
              <w:t>Net revenue</w:t>
            </w:r>
            <w:r>
              <w:rPr>
                <w:rFonts w:ascii="Times New Roman" w:cs="Times New Roman" w:eastAsia="Times New Roman" w:hAnsi="Times New Roman"/>
                <w:sz w:val="22"/>
                <w:szCs w:val="22"/>
                <w:color w:val="auto"/>
                <w:vertAlign w:val="superscript"/>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18,847</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17,701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5"/>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Banking &amp; Wealth Management</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10,698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28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10,375</w:t>
            </w: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444</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323</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Lending</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8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1,319</w:t>
            </w: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Card Services &amp; Auto</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6,899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28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6,007</w:t>
            </w: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892</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9,858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28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9,425</w:t>
            </w: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433</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640" w:type="dxa"/>
            <w:vAlign w:val="bottom"/>
            <w:tcBorders>
              <w:bottom w:val="single" w:sz="8" w:color="828282"/>
            </w:tcBorders>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2,082</w:t>
            </w:r>
          </w:p>
        </w:tc>
        <w:tc>
          <w:tcPr>
            <w:tcW w:w="280" w:type="dxa"/>
            <w:vAlign w:val="bottom"/>
            <w:tcBorders>
              <w:bottom w:val="single" w:sz="8" w:color="828282"/>
            </w:tcBorders>
          </w:tcPr>
          <w:p>
            <w:pPr>
              <w:spacing w:after="0"/>
              <w:rPr>
                <w:sz w:val="20"/>
                <w:szCs w:val="20"/>
                <w:color w:val="auto"/>
              </w:rPr>
            </w:pPr>
          </w:p>
        </w:tc>
        <w:tc>
          <w:tcPr>
            <w:tcW w:w="7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80" w:type="dxa"/>
            <w:vAlign w:val="bottom"/>
            <w:tcBorders>
              <w:bottom w:val="single" w:sz="8" w:color="828282"/>
            </w:tcBorders>
          </w:tcPr>
          <w:p>
            <w:pPr>
              <w:spacing w:after="0"/>
              <w:rPr>
                <w:sz w:val="20"/>
                <w:szCs w:val="20"/>
                <w:color w:val="auto"/>
              </w:rPr>
            </w:pPr>
          </w:p>
        </w:tc>
        <w:tc>
          <w:tcPr>
            <w:tcW w:w="86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2,643</w:t>
            </w:r>
          </w:p>
        </w:tc>
        <w:tc>
          <w:tcPr>
            <w:tcW w:w="14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32"/>
              <w:spacing w:after="0"/>
              <w:rPr>
                <w:sz w:val="20"/>
                <w:szCs w:val="20"/>
                <w:color w:val="auto"/>
              </w:rPr>
            </w:pPr>
            <w:r>
              <w:rPr>
                <w:rFonts w:ascii="Times New Roman" w:cs="Times New Roman" w:eastAsia="Times New Roman" w:hAnsi="Times New Roman"/>
                <w:sz w:val="18"/>
                <w:szCs w:val="18"/>
                <w:color w:val="auto"/>
              </w:rPr>
              <w:t>(547)</w:t>
            </w:r>
          </w:p>
        </w:tc>
        <w:tc>
          <w:tcPr>
            <w:tcW w:w="1040" w:type="dxa"/>
            <w:vAlign w:val="bottom"/>
            <w:tcBorders>
              <w:bottom w:val="single" w:sz="8" w:color="828282"/>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c>
          <w:tcPr>
            <w:tcW w:w="100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r>
      <w:tr>
        <w:trPr>
          <w:trHeight w:val="218"/>
        </w:trPr>
        <w:tc>
          <w:tcPr>
            <w:tcW w:w="3640" w:type="dxa"/>
            <w:vAlign w:val="bottom"/>
            <w:tcBorders>
              <w:bottom w:val="single" w:sz="8" w:color="828282"/>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5,169</w:t>
            </w:r>
          </w:p>
        </w:tc>
        <w:tc>
          <w:tcPr>
            <w:tcW w:w="2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28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4,210</w:t>
            </w:r>
          </w:p>
        </w:tc>
        <w:tc>
          <w:tcPr>
            <w:tcW w:w="1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744</w:t>
            </w:r>
          </w:p>
        </w:tc>
        <w:tc>
          <w:tcPr>
            <w:tcW w:w="10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959</w:t>
            </w:r>
          </w:p>
        </w:tc>
        <w:tc>
          <w:tcPr>
            <w:tcW w:w="10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$5.2 billion, up 23%.</w:t>
      </w:r>
    </w:p>
    <w:p>
      <w:pPr>
        <w:spacing w:after="0" w:line="1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Net revenue</w:t>
      </w:r>
      <w:r>
        <w:rPr>
          <w:rFonts w:ascii="Times New Roman" w:cs="Times New Roman" w:eastAsia="Times New Roman" w:hAnsi="Times New Roman"/>
          <w:sz w:val="22"/>
          <w:szCs w:val="22"/>
          <w:color w:val="auto"/>
          <w:vertAlign w:val="superscript"/>
        </w:rPr>
        <w:t>15</w:t>
      </w:r>
      <w:r>
        <w:rPr>
          <w:rFonts w:ascii="Times New Roman" w:cs="Times New Roman" w:eastAsia="Times New Roman" w:hAnsi="Times New Roman"/>
          <w:sz w:val="18"/>
          <w:szCs w:val="18"/>
          <w:color w:val="auto"/>
        </w:rPr>
        <w:t xml:space="preserve"> was $18.8 billion, up 6%. Banking &amp; Wealth Management net revenue was $10.7 billion, up 3%, predominantly driven by higher noninterest revenue, largely due to higher asset management fees in J.P. Morgan Wealth Management and higher card income. Home Lending net revenue was $1.3 billion, down 5%, predominantly driven by lower net interest income. Card Services &amp; Auto net revenue was $6.9 billion, up 15%, predominantly driven by higher Card Services net interest income on higher revolving balances, as well as higher auto operating lease income.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was $9.9 billion, up 5%, largely driven by higher technology expense and higher auto lease depreciation.</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provision for credit losses was $2.1 billion. Net charge-offs were $2.1 billion, up $22 million, primarily driven by Card Services. Reserves were relatively flat, as changes in the weighted-average macroeconomic outlook were offset by loan growth in Card Services. In the prior year, the provision was $2.6 billion, net charge-offs were $2.1 billion and the net reserve build was $579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313690</wp:posOffset>
            </wp:positionV>
            <wp:extent cx="7101205" cy="260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FFFFFF"/>
        </w:rPr>
        <w:t>COMMERCIAL &amp; INVESTMENT BANK (CIB)</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70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CIB</w:t>
            </w:r>
          </w:p>
        </w:tc>
        <w:tc>
          <w:tcPr>
            <w:tcW w:w="200" w:type="dxa"/>
            <w:vAlign w:val="bottom"/>
            <w:tcBorders>
              <w:bottom w:val="single" w:sz="8" w:color="F4EFE7"/>
            </w:tcBorders>
            <w:shd w:val="clear" w:color="auto" w:fill="F4EFE7"/>
          </w:tcPr>
          <w:p>
            <w:pPr>
              <w:spacing w:after="0"/>
              <w:rPr>
                <w:sz w:val="19"/>
                <w:szCs w:val="19"/>
                <w:color w:val="auto"/>
              </w:rPr>
            </w:pPr>
          </w:p>
        </w:tc>
        <w:tc>
          <w:tcPr>
            <w:tcW w:w="78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6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1980" w:type="dxa"/>
            <w:vAlign w:val="bottom"/>
            <w:tcBorders>
              <w:bottom w:val="single" w:sz="8" w:color="auto"/>
            </w:tcBorders>
            <w:gridSpan w:val="2"/>
            <w:shd w:val="clear" w:color="auto" w:fill="F4EFE7"/>
          </w:tcPr>
          <w:p>
            <w:pPr>
              <w:ind w:left="700"/>
              <w:spacing w:after="0"/>
              <w:rPr>
                <w:sz w:val="20"/>
                <w:szCs w:val="20"/>
                <w:color w:val="auto"/>
              </w:rPr>
            </w:pPr>
            <w:r>
              <w:rPr>
                <w:rFonts w:ascii="Times New Roman" w:cs="Times New Roman" w:eastAsia="Times New Roman" w:hAnsi="Times New Roman"/>
                <w:sz w:val="18"/>
                <w:szCs w:val="18"/>
                <w:color w:val="auto"/>
              </w:rPr>
              <w:t>1Q25</w:t>
            </w:r>
          </w:p>
        </w:tc>
        <w:tc>
          <w:tcPr>
            <w:tcW w:w="220" w:type="dxa"/>
            <w:vAlign w:val="bottom"/>
            <w:tcBorders>
              <w:bottom w:val="single" w:sz="8" w:color="auto"/>
            </w:tcBorders>
            <w:shd w:val="clear" w:color="auto" w:fill="F4EFE7"/>
          </w:tcPr>
          <w:p>
            <w:pPr>
              <w:spacing w:after="0"/>
              <w:rPr>
                <w:sz w:val="19"/>
                <w:szCs w:val="19"/>
                <w:color w:val="auto"/>
              </w:rPr>
            </w:pPr>
          </w:p>
        </w:tc>
        <w:tc>
          <w:tcPr>
            <w:tcW w:w="1920" w:type="dxa"/>
            <w:vAlign w:val="bottom"/>
            <w:tcBorders>
              <w:bottom w:val="single" w:sz="8" w:color="auto"/>
            </w:tcBorders>
            <w:gridSpan w:val="2"/>
            <w:shd w:val="clear" w:color="auto" w:fill="F4EFE7"/>
          </w:tcPr>
          <w:p>
            <w:pPr>
              <w:jc w:val="right"/>
              <w:ind w:right="752"/>
              <w:spacing w:after="0"/>
              <w:rPr>
                <w:sz w:val="20"/>
                <w:szCs w:val="20"/>
                <w:color w:val="auto"/>
              </w:rPr>
            </w:pPr>
            <w:r>
              <w:rPr>
                <w:rFonts w:ascii="Times New Roman" w:cs="Times New Roman" w:eastAsia="Times New Roman" w:hAnsi="Times New Roman"/>
                <w:sz w:val="18"/>
                <w:szCs w:val="18"/>
                <w:color w:val="auto"/>
              </w:rPr>
              <w:t>2Q24</w:t>
            </w:r>
          </w:p>
        </w:tc>
      </w:tr>
      <w:tr>
        <w:trPr>
          <w:trHeight w:val="218"/>
        </w:trPr>
        <w:tc>
          <w:tcPr>
            <w:tcW w:w="370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2Q25</w:t>
            </w:r>
          </w:p>
        </w:tc>
        <w:tc>
          <w:tcPr>
            <w:tcW w:w="28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32"/>
              <w:spacing w:after="0"/>
              <w:rPr>
                <w:sz w:val="20"/>
                <w:szCs w:val="20"/>
                <w:color w:val="auto"/>
              </w:rPr>
            </w:pPr>
            <w:r>
              <w:rPr>
                <w:rFonts w:ascii="Times New Roman" w:cs="Times New Roman" w:eastAsia="Times New Roman" w:hAnsi="Times New Roman"/>
                <w:sz w:val="18"/>
                <w:szCs w:val="18"/>
                <w:color w:val="auto"/>
              </w:rPr>
              <w:t>1Q25</w:t>
            </w:r>
          </w:p>
        </w:tc>
        <w:tc>
          <w:tcPr>
            <w:tcW w:w="280" w:type="dxa"/>
            <w:vAlign w:val="bottom"/>
            <w:tcBorders>
              <w:bottom w:val="single" w:sz="8" w:color="auto"/>
            </w:tcBorders>
            <w:shd w:val="clear" w:color="auto" w:fill="F4EFE7"/>
          </w:tcPr>
          <w:p>
            <w:pPr>
              <w:spacing w:after="0"/>
              <w:rPr>
                <w:sz w:val="19"/>
                <w:szCs w:val="19"/>
                <w:color w:val="auto"/>
              </w:rPr>
            </w:pPr>
          </w:p>
        </w:tc>
        <w:tc>
          <w:tcPr>
            <w:tcW w:w="860" w:type="dxa"/>
            <w:vAlign w:val="bottom"/>
            <w:tcBorders>
              <w:bottom w:val="single" w:sz="8" w:color="auto"/>
            </w:tcBorders>
            <w:shd w:val="clear" w:color="auto" w:fill="F4EFE7"/>
          </w:tcPr>
          <w:p>
            <w:pPr>
              <w:jc w:val="right"/>
              <w:ind w:right="292"/>
              <w:spacing w:after="0"/>
              <w:rPr>
                <w:sz w:val="20"/>
                <w:szCs w:val="20"/>
                <w:color w:val="auto"/>
              </w:rPr>
            </w:pPr>
            <w:r>
              <w:rPr>
                <w:rFonts w:ascii="Times New Roman" w:cs="Times New Roman" w:eastAsia="Times New Roman" w:hAnsi="Times New Roman"/>
                <w:sz w:val="18"/>
                <w:szCs w:val="18"/>
                <w:color w:val="auto"/>
              </w:rPr>
              <w:t>2Q24</w:t>
            </w:r>
          </w:p>
        </w:tc>
        <w:tc>
          <w:tcPr>
            <w:tcW w:w="16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32"/>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F4EFE7"/>
          </w:tcPr>
          <w:p>
            <w:pPr>
              <w:ind w:left="14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F4EFE7"/>
          </w:tcPr>
          <w:p>
            <w:pPr>
              <w:jc w:val="right"/>
              <w:ind w:right="172"/>
              <w:spacing w:after="0"/>
              <w:rPr>
                <w:sz w:val="20"/>
                <w:szCs w:val="20"/>
                <w:color w:val="auto"/>
              </w:rPr>
            </w:pPr>
            <w:r>
              <w:rPr>
                <w:rFonts w:ascii="Times New Roman" w:cs="Times New Roman" w:eastAsia="Times New Roman" w:hAnsi="Times New Roman"/>
                <w:sz w:val="18"/>
                <w:szCs w:val="18"/>
                <w:color w:val="auto"/>
              </w:rPr>
              <w:t>O/(U) %</w:t>
            </w: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19,535</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19,666</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17,917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(131)</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1,618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5"/>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Banking &amp; Payments</w:t>
            </w: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9,248</w:t>
            </w: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8,754</w:t>
            </w:r>
          </w:p>
        </w:tc>
        <w:tc>
          <w:tcPr>
            <w:tcW w:w="28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8,950</w:t>
            </w:r>
          </w:p>
        </w:tc>
        <w:tc>
          <w:tcPr>
            <w:tcW w:w="16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494</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298</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Markets &amp; Securities Services</w:t>
            </w: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10,287</w:t>
            </w: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10,912</w:t>
            </w:r>
          </w:p>
        </w:tc>
        <w:tc>
          <w:tcPr>
            <w:tcW w:w="28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8,967</w:t>
            </w:r>
          </w:p>
        </w:tc>
        <w:tc>
          <w:tcPr>
            <w:tcW w:w="16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(625)</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1,320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9,641</w:t>
            </w: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9,842</w:t>
            </w:r>
          </w:p>
        </w:tc>
        <w:tc>
          <w:tcPr>
            <w:tcW w:w="28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9,166</w:t>
            </w:r>
          </w:p>
        </w:tc>
        <w:tc>
          <w:tcPr>
            <w:tcW w:w="16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(201)</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475</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70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tcBorders>
              <w:bottom w:val="single" w:sz="8" w:color="828282"/>
            </w:tcBorders>
          </w:tcPr>
          <w:p>
            <w:pPr>
              <w:spacing w:after="0"/>
              <w:rPr>
                <w:sz w:val="20"/>
                <w:szCs w:val="20"/>
                <w:color w:val="auto"/>
              </w:rPr>
            </w:pPr>
          </w:p>
        </w:tc>
        <w:tc>
          <w:tcPr>
            <w:tcW w:w="860" w:type="dxa"/>
            <w:vAlign w:val="bottom"/>
            <w:tcBorders>
              <w:bottom w:val="single" w:sz="8" w:color="828282"/>
            </w:tcBorders>
          </w:tcPr>
          <w:p>
            <w:pPr>
              <w:jc w:val="right"/>
              <w:ind w:right="72"/>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tcBorders>
              <w:bottom w:val="single" w:sz="8" w:color="828282"/>
            </w:tcBorders>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72"/>
              <w:spacing w:after="0"/>
              <w:rPr>
                <w:sz w:val="20"/>
                <w:szCs w:val="20"/>
                <w:color w:val="auto"/>
              </w:rPr>
            </w:pPr>
            <w:r>
              <w:rPr>
                <w:rFonts w:ascii="Times New Roman" w:cs="Times New Roman" w:eastAsia="Times New Roman" w:hAnsi="Times New Roman"/>
                <w:sz w:val="18"/>
                <w:szCs w:val="18"/>
                <w:color w:val="auto"/>
              </w:rPr>
              <w:t>312</w:t>
            </w:r>
          </w:p>
        </w:tc>
        <w:tc>
          <w:tcPr>
            <w:tcW w:w="1020" w:type="dxa"/>
            <w:vAlign w:val="bottom"/>
            <w:tcBorders>
              <w:bottom w:val="single" w:sz="8" w:color="828282"/>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r>
      <w:tr>
        <w:trPr>
          <w:trHeight w:val="218"/>
        </w:trPr>
        <w:tc>
          <w:tcPr>
            <w:tcW w:w="370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6,650</w:t>
            </w:r>
          </w:p>
        </w:tc>
        <w:tc>
          <w:tcPr>
            <w:tcW w:w="2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6,942</w:t>
            </w:r>
          </w:p>
        </w:tc>
        <w:tc>
          <w:tcPr>
            <w:tcW w:w="2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828282"/>
            </w:tcBorders>
          </w:tcPr>
          <w:p>
            <w:pPr>
              <w:jc w:val="right"/>
              <w:ind w:right="72"/>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tcPr>
          <w:p>
            <w:pPr>
              <w:jc w:val="right"/>
              <w:ind w:right="52"/>
              <w:spacing w:after="0"/>
              <w:rPr>
                <w:sz w:val="20"/>
                <w:szCs w:val="20"/>
                <w:color w:val="auto"/>
              </w:rPr>
            </w:pPr>
            <w:r>
              <w:rPr>
                <w:rFonts w:ascii="Times New Roman" w:cs="Times New Roman" w:eastAsia="Times New Roman" w:hAnsi="Times New Roman"/>
                <w:sz w:val="18"/>
                <w:szCs w:val="18"/>
                <w:color w:val="auto"/>
              </w:rPr>
              <w:t>(292)</w:t>
            </w:r>
          </w:p>
        </w:tc>
        <w:tc>
          <w:tcPr>
            <w:tcW w:w="1060" w:type="dxa"/>
            <w:vAlign w:val="bottom"/>
            <w:tcBorders>
              <w:bottom w:val="single" w:sz="8" w:color="828282"/>
            </w:tcBorders>
          </w:tcPr>
          <w:p>
            <w:pPr>
              <w:ind w:left="6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tcPr>
          <w:p>
            <w:pPr>
              <w:jc w:val="right"/>
              <w:ind w:right="72"/>
              <w:spacing w:after="0"/>
              <w:rPr>
                <w:sz w:val="20"/>
                <w:szCs w:val="20"/>
                <w:color w:val="auto"/>
              </w:rPr>
            </w:pPr>
            <w:r>
              <w:rPr>
                <w:rFonts w:ascii="Times New Roman" w:cs="Times New Roman" w:eastAsia="Times New Roman" w:hAnsi="Times New Roman"/>
                <w:sz w:val="18"/>
                <w:szCs w:val="18"/>
                <w:color w:val="auto"/>
              </w:rPr>
              <w:t>753</w:t>
            </w:r>
          </w:p>
        </w:tc>
        <w:tc>
          <w:tcPr>
            <w:tcW w:w="10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$6.7 billion, up 13%.</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revenue was $19.5 billion, up 9%. Banking &amp; Payments revenue was $9.2 billion, up 3%. Investment Banking revenue was $2.7 billion, up 9%. Investment Banking fees were $2.5 billion, up 7%, driven by higher debt underwriting and advisory fees, partially offset by lower equity underwriting fees. Payments revenue was $4.7 billion, up 4%. Excluding the net impact of equity investments, Payments revenue was up 3%, driven by higher deposit balances and fee growth, predominantly offset by deposit margin compression. Lending revenue was $1.8 billion, down 6%, largely driven by higher losses on hedges of the retained lending portfolio.</w:t>
      </w:r>
    </w:p>
    <w:p>
      <w:pPr>
        <w:spacing w:after="0" w:line="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Markets &amp; Securities Services revenue was $10.3 billion, up 15%. Markets revenue was $8.9 billion, up 15%. Fixed Income Markets revenue was $5.7 billion, up 14%, driven by higher revenue in Currencies &amp; Emerging Markets, Rates and Commodities, partially offset by lower revenue in the Securitized Products Group</w:t>
      </w:r>
      <w:r>
        <w:rPr>
          <w:rFonts w:ascii="Times New Roman" w:cs="Times New Roman" w:eastAsia="Times New Roman" w:hAnsi="Times New Roman"/>
          <w:sz w:val="22"/>
          <w:szCs w:val="22"/>
          <w:color w:val="auto"/>
          <w:vertAlign w:val="superscript"/>
        </w:rPr>
        <w:t>16</w:t>
      </w:r>
      <w:r>
        <w:rPr>
          <w:rFonts w:ascii="Times New Roman" w:cs="Times New Roman" w:eastAsia="Times New Roman" w:hAnsi="Times New Roman"/>
          <w:sz w:val="18"/>
          <w:szCs w:val="18"/>
          <w:color w:val="auto"/>
        </w:rPr>
        <w:t xml:space="preserve"> and Fixed Income Financing. Equity Markets revenue was $3.2 billion, up 15%, predominantly driven by higher revenue across products, notably in Derivatives. Securities Services revenue was $1.4 billion, up 12%, driven by higher deposit balances as well as fee growth on higher client activity and market levels.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was $9.6 billion, up 5%, driven by higher compensation, brokerage and technology expense, partially offset by lower legal expense.</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credit losses was $696 million, driven by a reserve build in the Commercial &amp; Industrial portfolio, which reflected the impact of net lending activity and credit quality changes on certain exposures, partially offset by a decrease in the weight placed on the adverse scenarios. The net reserve build was $371 million and net charge-offs were $325 million. In the prior year, the provision was $384 million, the net reserve build was $220 million and net charge-offs were $164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294640</wp:posOffset>
            </wp:positionV>
            <wp:extent cx="7101205" cy="260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FFFFFF"/>
        </w:rPr>
        <w:t>ASSET &amp; WEALTH MANAGEMENT (AWM)</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66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AWM</w:t>
            </w:r>
          </w:p>
        </w:tc>
        <w:tc>
          <w:tcPr>
            <w:tcW w:w="20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20" w:type="dxa"/>
            <w:vAlign w:val="bottom"/>
            <w:tcBorders>
              <w:bottom w:val="single" w:sz="8" w:color="F4EFE7"/>
            </w:tcBorders>
            <w:shd w:val="clear" w:color="auto" w:fill="F4EFE7"/>
          </w:tcPr>
          <w:p>
            <w:pPr>
              <w:spacing w:after="0"/>
              <w:rPr>
                <w:sz w:val="19"/>
                <w:szCs w:val="19"/>
                <w:color w:val="auto"/>
              </w:rPr>
            </w:pPr>
          </w:p>
        </w:tc>
        <w:tc>
          <w:tcPr>
            <w:tcW w:w="240" w:type="dxa"/>
            <w:vAlign w:val="bottom"/>
            <w:tcBorders>
              <w:bottom w:val="single" w:sz="8" w:color="F4EFE7"/>
            </w:tcBorders>
            <w:shd w:val="clear" w:color="auto" w:fill="F4EFE7"/>
          </w:tcPr>
          <w:p>
            <w:pPr>
              <w:spacing w:after="0"/>
              <w:rPr>
                <w:sz w:val="19"/>
                <w:szCs w:val="19"/>
                <w:color w:val="auto"/>
              </w:rPr>
            </w:pPr>
          </w:p>
        </w:tc>
        <w:tc>
          <w:tcPr>
            <w:tcW w:w="88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1980" w:type="dxa"/>
            <w:vAlign w:val="bottom"/>
            <w:tcBorders>
              <w:bottom w:val="single" w:sz="8" w:color="auto"/>
            </w:tcBorders>
            <w:gridSpan w:val="2"/>
            <w:shd w:val="clear" w:color="auto" w:fill="F4EFE7"/>
          </w:tcPr>
          <w:p>
            <w:pPr>
              <w:jc w:val="right"/>
              <w:ind w:right="812"/>
              <w:spacing w:after="0"/>
              <w:rPr>
                <w:sz w:val="20"/>
                <w:szCs w:val="20"/>
                <w:color w:val="auto"/>
              </w:rPr>
            </w:pPr>
            <w:r>
              <w:rPr>
                <w:rFonts w:ascii="Times New Roman" w:cs="Times New Roman" w:eastAsia="Times New Roman" w:hAnsi="Times New Roman"/>
                <w:sz w:val="18"/>
                <w:szCs w:val="18"/>
                <w:color w:val="auto"/>
              </w:rPr>
              <w:t>1Q25</w:t>
            </w:r>
          </w:p>
        </w:tc>
        <w:tc>
          <w:tcPr>
            <w:tcW w:w="220" w:type="dxa"/>
            <w:vAlign w:val="bottom"/>
            <w:tcBorders>
              <w:bottom w:val="single" w:sz="8" w:color="auto"/>
            </w:tcBorders>
            <w:shd w:val="clear" w:color="auto" w:fill="F4EFE7"/>
          </w:tcPr>
          <w:p>
            <w:pPr>
              <w:spacing w:after="0"/>
              <w:rPr>
                <w:sz w:val="19"/>
                <w:szCs w:val="19"/>
                <w:color w:val="auto"/>
              </w:rPr>
            </w:pPr>
          </w:p>
        </w:tc>
        <w:tc>
          <w:tcPr>
            <w:tcW w:w="1940" w:type="dxa"/>
            <w:vAlign w:val="bottom"/>
            <w:tcBorders>
              <w:bottom w:val="single" w:sz="8" w:color="auto"/>
            </w:tcBorders>
            <w:gridSpan w:val="2"/>
            <w:shd w:val="clear" w:color="auto" w:fill="F4EFE7"/>
          </w:tcPr>
          <w:p>
            <w:pPr>
              <w:jc w:val="right"/>
              <w:ind w:right="772"/>
              <w:spacing w:after="0"/>
              <w:rPr>
                <w:sz w:val="20"/>
                <w:szCs w:val="20"/>
                <w:color w:val="auto"/>
              </w:rPr>
            </w:pPr>
            <w:r>
              <w:rPr>
                <w:rFonts w:ascii="Times New Roman" w:cs="Times New Roman" w:eastAsia="Times New Roman" w:hAnsi="Times New Roman"/>
                <w:sz w:val="18"/>
                <w:szCs w:val="18"/>
                <w:color w:val="auto"/>
              </w:rPr>
              <w:t>2Q24</w:t>
            </w:r>
          </w:p>
        </w:tc>
      </w:tr>
      <w:tr>
        <w:trPr>
          <w:trHeight w:val="218"/>
        </w:trPr>
        <w:tc>
          <w:tcPr>
            <w:tcW w:w="366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32"/>
              <w:spacing w:after="0"/>
              <w:rPr>
                <w:sz w:val="20"/>
                <w:szCs w:val="20"/>
                <w:color w:val="auto"/>
              </w:rPr>
            </w:pPr>
            <w:r>
              <w:rPr>
                <w:rFonts w:ascii="Times New Roman" w:cs="Times New Roman" w:eastAsia="Times New Roman" w:hAnsi="Times New Roman"/>
                <w:sz w:val="18"/>
                <w:szCs w:val="18"/>
                <w:color w:val="auto"/>
              </w:rPr>
              <w:t>2Q25</w:t>
            </w:r>
          </w:p>
        </w:tc>
        <w:tc>
          <w:tcPr>
            <w:tcW w:w="280" w:type="dxa"/>
            <w:vAlign w:val="bottom"/>
            <w:tcBorders>
              <w:bottom w:val="single" w:sz="8" w:color="auto"/>
            </w:tcBorders>
            <w:shd w:val="clear" w:color="auto" w:fill="F4EFE7"/>
          </w:tcPr>
          <w:p>
            <w:pPr>
              <w:spacing w:after="0"/>
              <w:rPr>
                <w:sz w:val="19"/>
                <w:szCs w:val="19"/>
                <w:color w:val="auto"/>
              </w:rPr>
            </w:pPr>
          </w:p>
        </w:tc>
        <w:tc>
          <w:tcPr>
            <w:tcW w:w="820" w:type="dxa"/>
            <w:vAlign w:val="bottom"/>
            <w:tcBorders>
              <w:bottom w:val="single" w:sz="8" w:color="auto"/>
            </w:tcBorders>
            <w:shd w:val="clear" w:color="auto" w:fill="F4EFE7"/>
          </w:tcPr>
          <w:p>
            <w:pPr>
              <w:jc w:val="right"/>
              <w:ind w:right="252"/>
              <w:spacing w:after="0"/>
              <w:rPr>
                <w:sz w:val="20"/>
                <w:szCs w:val="20"/>
                <w:color w:val="auto"/>
              </w:rPr>
            </w:pPr>
            <w:r>
              <w:rPr>
                <w:rFonts w:ascii="Times New Roman" w:cs="Times New Roman" w:eastAsia="Times New Roman" w:hAnsi="Times New Roman"/>
                <w:sz w:val="18"/>
                <w:szCs w:val="18"/>
                <w:color w:val="auto"/>
              </w:rPr>
              <w:t>1Q25</w:t>
            </w:r>
          </w:p>
        </w:tc>
        <w:tc>
          <w:tcPr>
            <w:tcW w:w="240" w:type="dxa"/>
            <w:vAlign w:val="bottom"/>
            <w:tcBorders>
              <w:bottom w:val="single" w:sz="8" w:color="auto"/>
            </w:tcBorders>
            <w:shd w:val="clear" w:color="auto" w:fill="F4EFE7"/>
          </w:tcPr>
          <w:p>
            <w:pPr>
              <w:spacing w:after="0"/>
              <w:rPr>
                <w:sz w:val="19"/>
                <w:szCs w:val="19"/>
                <w:color w:val="auto"/>
              </w:rPr>
            </w:pPr>
          </w:p>
        </w:tc>
        <w:tc>
          <w:tcPr>
            <w:tcW w:w="880" w:type="dxa"/>
            <w:vAlign w:val="bottom"/>
            <w:tcBorders>
              <w:bottom w:val="single" w:sz="8" w:color="auto"/>
            </w:tcBorders>
            <w:shd w:val="clear" w:color="auto" w:fill="F4EFE7"/>
          </w:tcPr>
          <w:p>
            <w:pPr>
              <w:jc w:val="right"/>
              <w:ind w:right="312"/>
              <w:spacing w:after="0"/>
              <w:rPr>
                <w:sz w:val="20"/>
                <w:szCs w:val="20"/>
                <w:color w:val="auto"/>
              </w:rPr>
            </w:pPr>
            <w:r>
              <w:rPr>
                <w:rFonts w:ascii="Times New Roman" w:cs="Times New Roman" w:eastAsia="Times New Roman" w:hAnsi="Times New Roman"/>
                <w:sz w:val="18"/>
                <w:szCs w:val="18"/>
                <w:color w:val="auto"/>
              </w:rPr>
              <w:t>2Q24</w:t>
            </w:r>
          </w:p>
        </w:tc>
        <w:tc>
          <w:tcPr>
            <w:tcW w:w="16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32"/>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 O/(U)</w:t>
            </w:r>
          </w:p>
        </w:tc>
        <w:tc>
          <w:tcPr>
            <w:tcW w:w="1040" w:type="dxa"/>
            <w:vAlign w:val="bottom"/>
            <w:tcBorders>
              <w:bottom w:val="single" w:sz="8" w:color="auto"/>
            </w:tcBorders>
            <w:shd w:val="clear" w:color="auto" w:fill="F4EFE7"/>
          </w:tcPr>
          <w:p>
            <w:pPr>
              <w:jc w:val="right"/>
              <w:ind w:right="172"/>
              <w:spacing w:after="0"/>
              <w:rPr>
                <w:sz w:val="20"/>
                <w:szCs w:val="20"/>
                <w:color w:val="auto"/>
              </w:rPr>
            </w:pPr>
            <w:r>
              <w:rPr>
                <w:rFonts w:ascii="Times New Roman" w:cs="Times New Roman" w:eastAsia="Times New Roman" w:hAnsi="Times New Roman"/>
                <w:sz w:val="18"/>
                <w:szCs w:val="18"/>
                <w:color w:val="auto"/>
              </w:rPr>
              <w:t>O/(U) %</w:t>
            </w: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5,760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508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3,733</w:t>
            </w:r>
          </w:p>
        </w:tc>
        <w:tc>
          <w:tcPr>
            <w:tcW w:w="2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3,713</w:t>
            </w:r>
          </w:p>
        </w:tc>
        <w:tc>
          <w:tcPr>
            <w:tcW w:w="24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3,543</w:t>
            </w:r>
          </w:p>
        </w:tc>
        <w:tc>
          <w:tcPr>
            <w:tcW w:w="16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190</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66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72"/>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tcBorders>
              <w:bottom w:val="single" w:sz="8" w:color="828282"/>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r>
      <w:tr>
        <w:trPr>
          <w:trHeight w:val="218"/>
        </w:trPr>
        <w:tc>
          <w:tcPr>
            <w:tcW w:w="366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1,473</w:t>
            </w:r>
          </w:p>
        </w:tc>
        <w:tc>
          <w:tcPr>
            <w:tcW w:w="2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828282"/>
            </w:tcBorders>
          </w:tcPr>
          <w:p>
            <w:pPr>
              <w:jc w:val="right"/>
              <w:ind w:right="32"/>
              <w:spacing w:after="0"/>
              <w:rPr>
                <w:sz w:val="20"/>
                <w:szCs w:val="20"/>
                <w:color w:val="auto"/>
              </w:rPr>
            </w:pPr>
            <w:r>
              <w:rPr>
                <w:rFonts w:ascii="Times New Roman" w:cs="Times New Roman" w:eastAsia="Times New Roman" w:hAnsi="Times New Roman"/>
                <w:sz w:val="18"/>
                <w:szCs w:val="18"/>
                <w:color w:val="auto"/>
              </w:rPr>
              <w:t>1,583</w:t>
            </w:r>
          </w:p>
        </w:tc>
        <w:tc>
          <w:tcPr>
            <w:tcW w:w="2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tcPr>
          <w:p>
            <w:pPr>
              <w:jc w:val="right"/>
              <w:ind w:right="52"/>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tcPr>
          <w:p>
            <w:pPr>
              <w:jc w:val="right"/>
              <w:ind w:right="72"/>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$1.5 billion, up 17%.</w:t>
      </w:r>
    </w:p>
    <w:p>
      <w:pPr>
        <w:spacing w:after="0" w:line="1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Net revenue was $5.8 billion, up 10%, driven by growth in management fees on strong net inflows and higher average market levels, as well as higher brokerage activity and higher deposit balances.</w:t>
      </w:r>
    </w:p>
    <w:p>
      <w:pPr>
        <w:spacing w:after="0" w:line="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Noninterest expense was $3.7 billion, up 5%, driven by higher compensation, including higher revenue-related compensation and continued growth in private banking advisor teams, as well as higher distribution fees.</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Assets under management were $4.3 trillion, up 18%, and client assets were $6.4 trillion, up 19%. These increases were each driven by continued net inflows and higher market levels.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675640</wp:posOffset>
            </wp:positionV>
            <wp:extent cx="7101205" cy="260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FFFFFF"/>
        </w:rPr>
        <w:t>CORPORATE</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66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Corporate</w:t>
            </w:r>
          </w:p>
        </w:tc>
        <w:tc>
          <w:tcPr>
            <w:tcW w:w="20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20" w:type="dxa"/>
            <w:vAlign w:val="bottom"/>
            <w:tcBorders>
              <w:bottom w:val="single" w:sz="8" w:color="F4EFE7"/>
            </w:tcBorders>
            <w:shd w:val="clear" w:color="auto" w:fill="F4EFE7"/>
          </w:tcPr>
          <w:p>
            <w:pPr>
              <w:spacing w:after="0"/>
              <w:rPr>
                <w:sz w:val="19"/>
                <w:szCs w:val="19"/>
                <w:color w:val="auto"/>
              </w:rPr>
            </w:pPr>
          </w:p>
        </w:tc>
        <w:tc>
          <w:tcPr>
            <w:tcW w:w="240" w:type="dxa"/>
            <w:vAlign w:val="bottom"/>
            <w:tcBorders>
              <w:bottom w:val="single" w:sz="8" w:color="F4EFE7"/>
            </w:tcBorders>
            <w:shd w:val="clear" w:color="auto" w:fill="F4EFE7"/>
          </w:tcPr>
          <w:p>
            <w:pPr>
              <w:spacing w:after="0"/>
              <w:rPr>
                <w:sz w:val="19"/>
                <w:szCs w:val="19"/>
                <w:color w:val="auto"/>
              </w:rPr>
            </w:pPr>
          </w:p>
        </w:tc>
        <w:tc>
          <w:tcPr>
            <w:tcW w:w="88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1980" w:type="dxa"/>
            <w:vAlign w:val="bottom"/>
            <w:tcBorders>
              <w:bottom w:val="single" w:sz="8" w:color="auto"/>
            </w:tcBorders>
            <w:gridSpan w:val="2"/>
            <w:shd w:val="clear" w:color="auto" w:fill="F4EFE7"/>
          </w:tcPr>
          <w:p>
            <w:pPr>
              <w:jc w:val="right"/>
              <w:ind w:right="812"/>
              <w:spacing w:after="0"/>
              <w:rPr>
                <w:sz w:val="20"/>
                <w:szCs w:val="20"/>
                <w:color w:val="auto"/>
              </w:rPr>
            </w:pPr>
            <w:r>
              <w:rPr>
                <w:rFonts w:ascii="Times New Roman" w:cs="Times New Roman" w:eastAsia="Times New Roman" w:hAnsi="Times New Roman"/>
                <w:sz w:val="18"/>
                <w:szCs w:val="18"/>
                <w:color w:val="auto"/>
              </w:rPr>
              <w:t>1Q25</w:t>
            </w:r>
          </w:p>
        </w:tc>
        <w:tc>
          <w:tcPr>
            <w:tcW w:w="220" w:type="dxa"/>
            <w:vAlign w:val="bottom"/>
            <w:tcBorders>
              <w:bottom w:val="single" w:sz="8" w:color="auto"/>
            </w:tcBorders>
            <w:shd w:val="clear" w:color="auto" w:fill="F4EFE7"/>
          </w:tcPr>
          <w:p>
            <w:pPr>
              <w:spacing w:after="0"/>
              <w:rPr>
                <w:sz w:val="19"/>
                <w:szCs w:val="19"/>
                <w:color w:val="auto"/>
              </w:rPr>
            </w:pPr>
          </w:p>
        </w:tc>
        <w:tc>
          <w:tcPr>
            <w:tcW w:w="1940" w:type="dxa"/>
            <w:vAlign w:val="bottom"/>
            <w:tcBorders>
              <w:bottom w:val="single" w:sz="8" w:color="auto"/>
            </w:tcBorders>
            <w:gridSpan w:val="2"/>
            <w:shd w:val="clear" w:color="auto" w:fill="F4EFE7"/>
          </w:tcPr>
          <w:p>
            <w:pPr>
              <w:ind w:left="700"/>
              <w:spacing w:after="0"/>
              <w:rPr>
                <w:sz w:val="20"/>
                <w:szCs w:val="20"/>
                <w:color w:val="auto"/>
              </w:rPr>
            </w:pPr>
            <w:r>
              <w:rPr>
                <w:rFonts w:ascii="Times New Roman" w:cs="Times New Roman" w:eastAsia="Times New Roman" w:hAnsi="Times New Roman"/>
                <w:sz w:val="18"/>
                <w:szCs w:val="18"/>
                <w:color w:val="auto"/>
              </w:rPr>
              <w:t>2Q24</w:t>
            </w:r>
          </w:p>
        </w:tc>
      </w:tr>
      <w:tr>
        <w:trPr>
          <w:trHeight w:val="219"/>
        </w:trPr>
        <w:tc>
          <w:tcPr>
            <w:tcW w:w="366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32"/>
              <w:spacing w:after="0"/>
              <w:rPr>
                <w:sz w:val="20"/>
                <w:szCs w:val="20"/>
                <w:color w:val="auto"/>
              </w:rPr>
            </w:pPr>
            <w:r>
              <w:rPr>
                <w:rFonts w:ascii="Times New Roman" w:cs="Times New Roman" w:eastAsia="Times New Roman" w:hAnsi="Times New Roman"/>
                <w:sz w:val="18"/>
                <w:szCs w:val="18"/>
                <w:color w:val="auto"/>
              </w:rPr>
              <w:t>2Q25</w:t>
            </w:r>
          </w:p>
        </w:tc>
        <w:tc>
          <w:tcPr>
            <w:tcW w:w="280" w:type="dxa"/>
            <w:vAlign w:val="bottom"/>
            <w:tcBorders>
              <w:bottom w:val="single" w:sz="8" w:color="auto"/>
            </w:tcBorders>
            <w:shd w:val="clear" w:color="auto" w:fill="F4EFE7"/>
          </w:tcPr>
          <w:p>
            <w:pPr>
              <w:spacing w:after="0"/>
              <w:rPr>
                <w:sz w:val="19"/>
                <w:szCs w:val="19"/>
                <w:color w:val="auto"/>
              </w:rPr>
            </w:pPr>
          </w:p>
        </w:tc>
        <w:tc>
          <w:tcPr>
            <w:tcW w:w="820" w:type="dxa"/>
            <w:vAlign w:val="bottom"/>
            <w:tcBorders>
              <w:bottom w:val="single" w:sz="8" w:color="auto"/>
            </w:tcBorders>
            <w:shd w:val="clear" w:color="auto" w:fill="F4EFE7"/>
          </w:tcPr>
          <w:p>
            <w:pPr>
              <w:jc w:val="right"/>
              <w:ind w:right="252"/>
              <w:spacing w:after="0"/>
              <w:rPr>
                <w:sz w:val="20"/>
                <w:szCs w:val="20"/>
                <w:color w:val="auto"/>
              </w:rPr>
            </w:pPr>
            <w:r>
              <w:rPr>
                <w:rFonts w:ascii="Times New Roman" w:cs="Times New Roman" w:eastAsia="Times New Roman" w:hAnsi="Times New Roman"/>
                <w:sz w:val="18"/>
                <w:szCs w:val="18"/>
                <w:color w:val="auto"/>
              </w:rPr>
              <w:t>1Q25</w:t>
            </w:r>
          </w:p>
        </w:tc>
        <w:tc>
          <w:tcPr>
            <w:tcW w:w="240" w:type="dxa"/>
            <w:vAlign w:val="bottom"/>
            <w:tcBorders>
              <w:bottom w:val="single" w:sz="8" w:color="auto"/>
            </w:tcBorders>
            <w:shd w:val="clear" w:color="auto" w:fill="F4EFE7"/>
          </w:tcPr>
          <w:p>
            <w:pPr>
              <w:spacing w:after="0"/>
              <w:rPr>
                <w:sz w:val="19"/>
                <w:szCs w:val="19"/>
                <w:color w:val="auto"/>
              </w:rPr>
            </w:pPr>
          </w:p>
        </w:tc>
        <w:tc>
          <w:tcPr>
            <w:tcW w:w="880" w:type="dxa"/>
            <w:vAlign w:val="bottom"/>
            <w:tcBorders>
              <w:bottom w:val="single" w:sz="8" w:color="auto"/>
            </w:tcBorders>
            <w:shd w:val="clear" w:color="auto" w:fill="F4EFE7"/>
          </w:tcPr>
          <w:p>
            <w:pPr>
              <w:jc w:val="right"/>
              <w:ind w:right="312"/>
              <w:spacing w:after="0"/>
              <w:rPr>
                <w:sz w:val="20"/>
                <w:szCs w:val="20"/>
                <w:color w:val="auto"/>
              </w:rPr>
            </w:pPr>
            <w:r>
              <w:rPr>
                <w:rFonts w:ascii="Times New Roman" w:cs="Times New Roman" w:eastAsia="Times New Roman" w:hAnsi="Times New Roman"/>
                <w:sz w:val="18"/>
                <w:szCs w:val="18"/>
                <w:color w:val="auto"/>
              </w:rPr>
              <w:t>2Q24</w:t>
            </w:r>
          </w:p>
        </w:tc>
        <w:tc>
          <w:tcPr>
            <w:tcW w:w="16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32"/>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F4EFE7"/>
          </w:tcPr>
          <w:p>
            <w:pPr>
              <w:jc w:val="right"/>
              <w:ind w:right="212"/>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32"/>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F4EFE7"/>
          </w:tcPr>
          <w:p>
            <w:pPr>
              <w:ind w:left="140"/>
              <w:spacing w:after="0"/>
              <w:rPr>
                <w:sz w:val="20"/>
                <w:szCs w:val="20"/>
                <w:color w:val="auto"/>
              </w:rPr>
            </w:pPr>
            <w:r>
              <w:rPr>
                <w:rFonts w:ascii="Times New Roman" w:cs="Times New Roman" w:eastAsia="Times New Roman" w:hAnsi="Times New Roman"/>
                <w:sz w:val="18"/>
                <w:szCs w:val="18"/>
                <w:color w:val="auto"/>
              </w:rPr>
              <w:t>O/(U) %</w:t>
            </w:r>
          </w:p>
        </w:tc>
      </w:tr>
      <w:tr>
        <w:trPr>
          <w:trHeight w:val="213"/>
        </w:trPr>
        <w:tc>
          <w:tcPr>
            <w:tcW w:w="366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Net revenue</w:t>
            </w:r>
            <w:r>
              <w:rPr>
                <w:rFonts w:ascii="Times New Roman" w:cs="Times New Roman" w:eastAsia="Times New Roman" w:hAnsi="Times New Roman"/>
                <w:sz w:val="22"/>
                <w:szCs w:val="22"/>
                <w:color w:val="auto"/>
                <w:vertAlign w:val="superscript"/>
              </w:rPr>
              <w:t>15</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1,538</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(8,584)</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(85)%</w:t>
            </w:r>
          </w:p>
        </w:tc>
      </w:tr>
      <w:tr>
        <w:trPr>
          <w:trHeight w:val="22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1,579</w:t>
            </w:r>
          </w:p>
        </w:tc>
        <w:tc>
          <w:tcPr>
            <w:tcW w:w="16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362</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(1,032)</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366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tcBorders>
              <w:bottom w:val="single" w:sz="8" w:color="828282"/>
            </w:tcBorders>
          </w:tcPr>
          <w:p>
            <w:pPr>
              <w:ind w:left="540"/>
              <w:spacing w:after="0"/>
              <w:rPr>
                <w:sz w:val="20"/>
                <w:szCs w:val="20"/>
                <w:color w:val="auto"/>
              </w:rPr>
            </w:pPr>
            <w:r>
              <w:rPr>
                <w:rFonts w:ascii="Times New Roman" w:cs="Times New Roman" w:eastAsia="Times New Roman" w:hAnsi="Times New Roman"/>
                <w:sz w:val="18"/>
                <w:szCs w:val="18"/>
                <w:color w:val="auto"/>
              </w:rPr>
              <w:t>400</w:t>
            </w:r>
          </w:p>
        </w:tc>
      </w:tr>
      <w:tr>
        <w:trPr>
          <w:trHeight w:val="218"/>
        </w:trPr>
        <w:tc>
          <w:tcPr>
            <w:tcW w:w="366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1,695</w:t>
            </w:r>
          </w:p>
        </w:tc>
        <w:tc>
          <w:tcPr>
            <w:tcW w:w="280" w:type="dxa"/>
            <w:vAlign w:val="bottom"/>
            <w:tcBorders>
              <w:bottom w:val="single" w:sz="8" w:color="828282"/>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828282"/>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6,779</w:t>
            </w:r>
          </w:p>
        </w:tc>
        <w:tc>
          <w:tcPr>
            <w:tcW w:w="1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tcPr>
          <w:p>
            <w:pPr>
              <w:jc w:val="right"/>
              <w:ind w:right="52"/>
              <w:spacing w:after="0"/>
              <w:rPr>
                <w:sz w:val="20"/>
                <w:szCs w:val="20"/>
                <w:color w:val="auto"/>
              </w:rPr>
            </w:pPr>
            <w:r>
              <w:rPr>
                <w:rFonts w:ascii="Times New Roman" w:cs="Times New Roman" w:eastAsia="Times New Roman" w:hAnsi="Times New Roman"/>
                <w:sz w:val="18"/>
                <w:szCs w:val="18"/>
                <w:color w:val="auto"/>
              </w:rPr>
              <w:t>(5,084)</w:t>
            </w:r>
          </w:p>
        </w:tc>
        <w:tc>
          <w:tcPr>
            <w:tcW w:w="1020" w:type="dxa"/>
            <w:vAlign w:val="bottom"/>
            <w:tcBorders>
              <w:bottom w:val="single" w:sz="8" w:color="828282"/>
            </w:tcBorders>
          </w:tcPr>
          <w:p>
            <w:pPr>
              <w:ind w:left="540"/>
              <w:spacing w:after="0"/>
              <w:rPr>
                <w:sz w:val="20"/>
                <w:szCs w:val="20"/>
                <w:color w:val="auto"/>
              </w:rPr>
            </w:pPr>
            <w:r>
              <w:rPr>
                <w:rFonts w:ascii="Times New Roman" w:cs="Times New Roman" w:eastAsia="Times New Roman" w:hAnsi="Times New Roman"/>
                <w:sz w:val="18"/>
                <w:szCs w:val="18"/>
                <w:color w:val="auto"/>
              </w:rPr>
              <w:t>(75)%</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$1.7 billion, down $5.1 billion.</w:t>
      </w:r>
    </w:p>
    <w:p>
      <w:pPr>
        <w:spacing w:after="0" w:line="1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Net revenue was $1.5 billion, down $8.6 billion. Net interest income was $1.5 billion, down $875 million, driven by the impact of changes in funds transfer pricing</w:t>
      </w:r>
      <w:r>
        <w:rPr>
          <w:rFonts w:ascii="Times New Roman" w:cs="Times New Roman" w:eastAsia="Times New Roman" w:hAnsi="Times New Roman"/>
          <w:sz w:val="22"/>
          <w:szCs w:val="22"/>
          <w:color w:val="auto"/>
          <w:vertAlign w:val="superscript"/>
        </w:rPr>
        <w:t>15</w:t>
      </w:r>
      <w:r>
        <w:rPr>
          <w:rFonts w:ascii="Times New Roman" w:cs="Times New Roman" w:eastAsia="Times New Roman" w:hAnsi="Times New Roman"/>
          <w:sz w:val="18"/>
          <w:szCs w:val="18"/>
          <w:color w:val="auto"/>
        </w:rPr>
        <w:t xml:space="preserve"> for consumer deposits as well as lower rates, partially offset by the impact of securities activity including activity in prior quarters. Noninterest revenue was $49 million, down $7.7 billion, driven by the absence of the $7.9 billion net gain related to Visa shares in the prior year, partially offset by lower net investment securities losses.</w:t>
      </w:r>
    </w:p>
    <w:p>
      <w:pPr>
        <w:spacing w:after="0" w:line="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Noninterest expense was $547 million, down $1.0 billion, driven by the absence of the $1.0 billion contribution of Visa shares to the JPMorgan Chase Foundation in the prior year.</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current quarter included a $774 million income tax benefit, driven by the resolution of certain tax audits and the impact of tax regulations finalized in 2024 related to foreign currency translation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Notes on non-GAAP financial measures:</w:t>
      </w:r>
    </w:p>
    <w:p>
      <w:pPr>
        <w:spacing w:after="0" w:line="352" w:lineRule="exact"/>
        <w:rPr>
          <w:sz w:val="20"/>
          <w:szCs w:val="20"/>
          <w:color w:val="auto"/>
        </w:rPr>
      </w:pPr>
    </w:p>
    <w:p>
      <w:pPr>
        <w:jc w:val="both"/>
        <w:ind w:left="320" w:hanging="314"/>
        <w:spacing w:after="0" w:line="248" w:lineRule="auto"/>
        <w:tabs>
          <w:tab w:leader="none" w:pos="3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 prepares its Consolidated Financial Statements in accordance with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the U.S. GAAP financial statements of other companies.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as a whole and for each of the reportable business segments and Corporate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lines of business and Corporate. For a reconciliation of the Firm’s results from a reported to managed basis, refer to page 7 of the Earnings Release Financial Supplement.</w:t>
      </w:r>
    </w:p>
    <w:p>
      <w:pPr>
        <w:spacing w:after="0" w:line="215" w:lineRule="exact"/>
        <w:rPr>
          <w:rFonts w:ascii="Times New Roman" w:cs="Times New Roman" w:eastAsia="Times New Roman" w:hAnsi="Times New Roman"/>
          <w:sz w:val="18"/>
          <w:szCs w:val="18"/>
          <w:color w:val="auto"/>
        </w:rPr>
      </w:pPr>
    </w:p>
    <w:p>
      <w:pPr>
        <w:jc w:val="both"/>
        <w:ind w:left="320" w:hanging="314"/>
        <w:spacing w:after="0" w:line="250"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For a reconciliation from common stockholders’ equity to TCE, refer to page 10 of the Earnings Release Financial Supplement. ROTCE measures the Firm’s net income applicable to common equity as a percentage of average TCE. TBVPS represents the Firm’s TCE at period-end divided by common shares at period-end. Book value per share was $122.51, $119.24 and $111.29 at June 30, 2025, March 31, 2025 and June 30, 2024, respectively. TCE, ROTCE and TBVPS are utilized by the Firm, as well as investors and analysts, in assessing the Firm’s use of equity.</w:t>
      </w:r>
    </w:p>
    <w:p>
      <w:pPr>
        <w:spacing w:after="0" w:line="213" w:lineRule="exact"/>
        <w:rPr>
          <w:rFonts w:ascii="Times New Roman" w:cs="Times New Roman" w:eastAsia="Times New Roman" w:hAnsi="Times New Roman"/>
          <w:sz w:val="18"/>
          <w:szCs w:val="18"/>
          <w:color w:val="auto"/>
        </w:rPr>
      </w:pPr>
    </w:p>
    <w:p>
      <w:pPr>
        <w:jc w:val="both"/>
        <w:ind w:left="320" w:hanging="314"/>
        <w:spacing w:after="0" w:line="249" w:lineRule="auto"/>
        <w:tabs>
          <w:tab w:leader="none" w:pos="3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reviewing net interest income (“NII”) and noninterest revenue (“NIR”) on a managed basis, management also reviews these metrics excluding Markets,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 reconciliation of NII and NIR from reported to excluding Markets, refer to page 28 of the Earnings Release Financial Supplement. For additional information on Markets revenue, refer to pages 81-82 of the Firm’s 2024 Form 10-K.</w:t>
      </w:r>
    </w:p>
    <w:p>
      <w:pPr>
        <w:spacing w:after="0" w:line="213"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Second-quarter 2025 net income and earnings per share excluding the $774 million income tax benefit are non-GAAP financial measures. Excluding this item resulted in a decrease of $774 million (after tax) to reported net income from $15.0 billion to $14.2 billion and a decrease of $0.28 per share to reported EPS from $5.24 to $4.96. Management believes these measures provide useful information to investors and analysts in assessing the Firm’s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338" w:lineRule="exact"/>
        <w:rPr>
          <w:sz w:val="20"/>
          <w:szCs w:val="20"/>
          <w:color w:val="auto"/>
        </w:rPr>
      </w:pPr>
    </w:p>
    <w:p>
      <w:pPr>
        <w:jc w:val="both"/>
        <w:ind w:left="320" w:hanging="314"/>
        <w:spacing w:after="0" w:line="244"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of January 1, 2025, the benefit from the Current Expected Credit Losses (“CECL”) capital transition provision had been fully phased-out. Refer to Note 21 of the Firm's Quarterly Report on Form 10-Q for the quarterly period ended March 31, 2025 and Note 27 of the Firm’s 2024 Form 10-K for additional information.</w:t>
      </w:r>
    </w:p>
    <w:p>
      <w:pPr>
        <w:spacing w:after="0" w:line="70" w:lineRule="exact"/>
        <w:rPr>
          <w:rFonts w:ascii="Times New Roman" w:cs="Times New Roman" w:eastAsia="Times New Roman" w:hAnsi="Times New Roman"/>
          <w:sz w:val="18"/>
          <w:szCs w:val="18"/>
          <w:color w:val="auto"/>
        </w:rPr>
      </w:pPr>
    </w:p>
    <w:p>
      <w:pPr>
        <w:jc w:val="both"/>
        <w:ind w:left="320" w:hanging="314"/>
        <w:spacing w:after="0" w:line="234"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Cash and marketable securities include end-of-period eligible high-quality liquid assets (“HQLA”), excluding regulatory prescribed haircuts under the liquidity coverage ratio (“LCR”) rule where applicable, for both the Firm and the excess HQLA-eligible securities included as part of the excess liquidity at JPMorgan Chase Bank, N.A., which are not transferable to non-bank affiliates and thus excluded from the Firm’s LCR. Also include other end-of-period unencumbered marketable securities, such as equity and debt securities. Does not include borrowing capacity at Federal Home Loan Banks and the discount window at the Federal Reserve Bank. Refer to Liquidity Risk Management on pages 40-46 of the Firm's Quarterly Report on Form 10-Q for the quarterly period ended March 31, 2025 and pages 108-115 of the Firm’s 2024 Form 10-K for additional information.</w:t>
      </w:r>
    </w:p>
    <w:p>
      <w:pPr>
        <w:spacing w:after="0" w:line="7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Commercial Card.</w:t>
      </w:r>
    </w:p>
    <w:p>
      <w:pPr>
        <w:spacing w:after="0" w:line="9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of all mobile platforms who have logged in within the past 90 days.</w:t>
      </w:r>
    </w:p>
    <w:p>
      <w:pPr>
        <w:spacing w:after="0" w:line="9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2025, $5.6 billion of loans were realigned from Global Corporate Banking to Fixed Income Markets.</w:t>
      </w:r>
    </w:p>
    <w:p>
      <w:pPr>
        <w:spacing w:after="0" w:line="9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deposits and other third party liabilities (“client deposits”) pertain to the Payments and Securities Services businesses.</w:t>
      </w:r>
    </w:p>
    <w:p>
      <w:pPr>
        <w:spacing w:after="0" w:line="9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 (“AUM”).</w:t>
      </w:r>
    </w:p>
    <w:p>
      <w:pPr>
        <w:spacing w:after="0" w:line="9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w:t>
      </w:r>
    </w:p>
    <w:p>
      <w:pPr>
        <w:spacing w:after="0" w:line="9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net impact of employee issuances. Excludes excise tax and commissions.</w:t>
      </w:r>
    </w:p>
    <w:p>
      <w:pPr>
        <w:spacing w:after="0" w:line="9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 months (“LTM”).</w:t>
      </w:r>
    </w:p>
    <w:p>
      <w:pPr>
        <w:spacing w:after="0" w:line="97" w:lineRule="exact"/>
        <w:rPr>
          <w:rFonts w:ascii="Times New Roman" w:cs="Times New Roman" w:eastAsia="Times New Roman" w:hAnsi="Times New Roman"/>
          <w:sz w:val="18"/>
          <w:szCs w:val="18"/>
          <w:color w:val="auto"/>
        </w:rPr>
      </w:pPr>
    </w:p>
    <w:p>
      <w:pPr>
        <w:jc w:val="both"/>
        <w:ind w:left="320" w:hanging="314"/>
        <w:spacing w:after="0" w:line="244"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provided to clients represents new and renewed credit, including loans and lending-related commitments, as well as unused amounts of advised uncommitted lines of credit where the Firm has discretion on whether or not to make a loan under these lines. Credit and capital for corporations and non-U.S. government entities includes Individuals and Individual Entities primarily consisting of Global Private Bank clients within AWM.</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39"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8, 2024, Visa Inc. announced the commencement of an exchange offer for Visa Class B-1 common stock. On May 6, 2024, the Firm announced that Visa accepted the Firm’s tender of its 37.2 million shares of Visa Class B-1 common stock in exchange for a combination of Visa Class B-2 common stock and Visa Class C common stock. Visa’s acceptance resulted in a gain for the Firm relating to the Visa Class C common stock, which is held at fair value. Refer to pages 54 and 200 of the Firm’s 2024 Form 10-K for additional information.</w:t>
      </w:r>
    </w:p>
    <w:p>
      <w:pPr>
        <w:spacing w:after="0" w:line="76" w:lineRule="exact"/>
        <w:rPr>
          <w:rFonts w:ascii="Times New Roman" w:cs="Times New Roman" w:eastAsia="Times New Roman" w:hAnsi="Times New Roman"/>
          <w:sz w:val="18"/>
          <w:szCs w:val="18"/>
          <w:color w:val="auto"/>
        </w:rPr>
      </w:pPr>
    </w:p>
    <w:p>
      <w:pPr>
        <w:jc w:val="both"/>
        <w:ind w:left="320" w:hanging="314"/>
        <w:spacing w:after="0" w:line="244"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the Firm made a change to its funds transfer pricing with respect to consumer deposits, resulting in an increase in the funding benefit reflected within CCB net interest income which is fully offset within Corporate net interest income. Refer to page 17 of the Firm's Quarterly Report on Form 10-Q for the quarterly period ended March 31, 2025 and page 71 of the Firm’s 2024 Form 10-K for additional information.</w:t>
      </w:r>
    </w:p>
    <w:p>
      <w:pPr>
        <w:spacing w:after="0" w:line="70"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Securitized Products Group is comprised of Securitized Products and tax-oriented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 (NYSE: JPM) is a leading financial services firm based in the United States of America (“U.S.”), with operations worldwide.</w:t>
      </w:r>
    </w:p>
    <w:p>
      <w:pPr>
        <w:spacing w:after="0" w:line="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JPMorganChase had $4.6 trillion in assets and $357 billion in stockholders’ equity as of June 30, 2025. The Firm is a leader in investment banking, financial services for consumers and small businesses, commercial banking, financial transaction processing and asset management. Under the J.P. Morgan and Chase brands, the Firm serves millions of customers predominantly in the U.S., and many of the world’s most prominent corporate, institutional and government clients globally. Information about JPMorgan Chase &amp; Co. is available at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JPMorgan Chase &amp; Co. will host a conference call today, July 15, 2025, at 8:30 a.m. (ET) to present second-quarter 2025 financial results. The general public can access the conference call by dialing the following numbers: 1 (888) 324-3618 in the U.S. and Canada; +1 (312) 470-7119 for international callers; use passcode 1364784#. Please dial in 15 minutes prior to the start of the call. The live audio webcast and presentation slides will be available on the Firm’s website,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 under Investor Relations, Events &amp; Presentations.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 replay of the conference call also will be available by telephone beginning at approximately 11:00 a.m. (ET) on July 15, 2025 through 11:59 p.m. (ET) on July 29, 2025 at 1 (800) 841-4034 (U.S. and Canada); +1 (203) 369-3360 (International); use passcode 67371#. The replay will be available via webcast on </w:t>
      </w:r>
      <w:r>
        <w:rPr>
          <w:rFonts w:ascii="Times New Roman" w:cs="Times New Roman" w:eastAsia="Times New Roman" w:hAnsi="Times New Roman"/>
          <w:sz w:val="18"/>
          <w:szCs w:val="18"/>
          <w:color w:val="4F81BD"/>
        </w:rPr>
        <w:t xml:space="preserve">www.jpmorganchase.com </w:t>
      </w:r>
      <w:r>
        <w:rPr>
          <w:rFonts w:ascii="Times New Roman" w:cs="Times New Roman" w:eastAsia="Times New Roman" w:hAnsi="Times New Roman"/>
          <w:sz w:val="18"/>
          <w:szCs w:val="18"/>
          <w:color w:val="000000"/>
        </w:rPr>
        <w:t>under Investor Relations, Events &amp; Presentations. Additional detailed financial, statistical and business-related information is</w:t>
      </w:r>
      <w:r>
        <w:rPr>
          <w:rFonts w:ascii="Times New Roman" w:cs="Times New Roman" w:eastAsia="Times New Roman" w:hAnsi="Times New Roman"/>
          <w:sz w:val="18"/>
          <w:szCs w:val="18"/>
          <w:color w:val="4F81BD"/>
        </w:rPr>
        <w:t xml:space="preserve"> </w:t>
      </w:r>
      <w:r>
        <w:rPr>
          <w:rFonts w:ascii="Times New Roman" w:cs="Times New Roman" w:eastAsia="Times New Roman" w:hAnsi="Times New Roman"/>
          <w:sz w:val="18"/>
          <w:szCs w:val="18"/>
          <w:color w:val="000000"/>
        </w:rPr>
        <w:t xml:space="preserve">included in a financial supplement. The earnings release and the financial supplement are available at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000000"/>
        </w:rPr>
        <w:t>.</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i w:val="1"/>
          <w:iCs w:val="1"/>
          <w:color w:val="auto"/>
        </w:rPr>
        <w:t>This earnings release contains forward-looking statements within the meaning of the Private Securities Litigation Reform Act of 1995. These statements are based on the current beliefs and expectations of JPMorgan Chase &amp; Co.’s management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2024 and Quarterly Report on Form 10-Q for the quarterly period ended March 31, 2025, which have been filed with the Securities and Exchange Commission and are available on JPMorgan Chase &amp; Co.’s website (</w:t>
      </w:r>
      <w:r>
        <w:rPr>
          <w:rFonts w:ascii="Times New Roman" w:cs="Times New Roman" w:eastAsia="Times New Roman" w:hAnsi="Times New Roman"/>
          <w:sz w:val="17"/>
          <w:szCs w:val="17"/>
          <w:i w:val="1"/>
          <w:iCs w:val="1"/>
          <w:color w:val="006EBF"/>
        </w:rPr>
        <w:t>https://jpmorganchaseco.gcs-web.com/ir/sec-other-filings/overview</w:t>
      </w:r>
      <w:r>
        <w:rPr>
          <w:rFonts w:ascii="Times New Roman" w:cs="Times New Roman" w:eastAsia="Times New Roman" w:hAnsi="Times New Roman"/>
          <w:sz w:val="17"/>
          <w:szCs w:val="17"/>
          <w:i w:val="1"/>
          <w:iCs w:val="1"/>
          <w:color w:val="auto"/>
        </w:rPr>
        <w:t>), and on the Securities and Exchange Commission’s website (</w:t>
      </w:r>
      <w:r>
        <w:rPr>
          <w:rFonts w:ascii="Times New Roman" w:cs="Times New Roman" w:eastAsia="Times New Roman" w:hAnsi="Times New Roman"/>
          <w:sz w:val="17"/>
          <w:szCs w:val="17"/>
          <w:i w:val="1"/>
          <w:iCs w:val="1"/>
          <w:color w:val="006EBF"/>
        </w:rPr>
        <w:t>www.sec.gov</w:t>
      </w:r>
      <w:r>
        <w:rPr>
          <w:rFonts w:ascii="Times New Roman" w:cs="Times New Roman" w:eastAsia="Times New Roman" w:hAnsi="Times New Roman"/>
          <w:sz w:val="17"/>
          <w:szCs w:val="17"/>
          <w:i w:val="1"/>
          <w:iCs w:val="1"/>
          <w:color w:val="auto"/>
        </w:rPr>
        <w:t>). JPMorgan Chase &amp; Co.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969010</wp:posOffset>
            </wp:positionV>
            <wp:extent cx="3062605" cy="429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62605"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20"/>
        <w:spacing w:after="0" w:line="409" w:lineRule="auto"/>
        <w:rPr>
          <w:sz w:val="20"/>
          <w:szCs w:val="20"/>
          <w:color w:val="auto"/>
        </w:rPr>
      </w:pPr>
      <w:r>
        <w:rPr>
          <w:rFonts w:ascii="Arial" w:cs="Arial" w:eastAsia="Arial" w:hAnsi="Arial"/>
          <w:sz w:val="46"/>
          <w:szCs w:val="46"/>
          <w:b w:val="1"/>
          <w:bCs w:val="1"/>
          <w:color w:val="auto"/>
        </w:rPr>
        <w:t>EARNINGS RELEASE FINANCIAL SUPPLEMENT SECOND QUARTER 2025</w:t>
      </w:r>
    </w:p>
    <w:p>
      <w:pPr>
        <w:sectPr>
          <w:pgSz w:w="11900" w:h="16838" w:orient="portrait"/>
          <w:cols w:equalWidth="0" w:num="1">
            <w:col w:w="10900"/>
          </w:cols>
          <w:pgMar w:left="660" w:top="979" w:right="339" w:bottom="1440" w:gutter="0" w:footer="0" w:header="0"/>
        </w:sectPr>
      </w:pPr>
    </w:p>
    <w:bookmarkStart w:id="12" w:name="page13"/>
    <w:bookmarkEnd w:id="12"/>
    <w:p>
      <w:pPr>
        <w:ind w:left="14"/>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5953760</wp:posOffset>
            </wp:positionH>
            <wp:positionV relativeFrom="page">
              <wp:posOffset>526415</wp:posOffset>
            </wp:positionV>
            <wp:extent cx="1371600" cy="193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93675"/>
                    </a:xfrm>
                    <a:prstGeom prst="rect">
                      <a:avLst/>
                    </a:prstGeom>
                    <a:noFill/>
                  </pic:spPr>
                </pic:pic>
              </a:graphicData>
            </a:graphic>
          </wp:anchor>
        </w:drawing>
        <w:t>JPMORGAN CHASE &amp; CO.</w:t>
      </w:r>
    </w:p>
    <w:p>
      <w:pPr>
        <w:spacing w:after="0" w:line="49" w:lineRule="exact"/>
        <w:rPr>
          <w:sz w:val="20"/>
          <w:szCs w:val="20"/>
          <w:color w:val="auto"/>
        </w:rPr>
      </w:pPr>
    </w:p>
    <w:p>
      <w:pPr>
        <w:ind w:left="14"/>
        <w:spacing w:after="0"/>
        <w:rPr>
          <w:sz w:val="20"/>
          <w:szCs w:val="20"/>
          <w:color w:val="auto"/>
        </w:rPr>
      </w:pPr>
      <w:r>
        <w:rPr>
          <w:rFonts w:ascii="Arial" w:cs="Arial" w:eastAsia="Arial" w:hAnsi="Arial"/>
          <w:sz w:val="19"/>
          <w:szCs w:val="19"/>
          <w:b w:val="1"/>
          <w:bCs w:val="1"/>
          <w:color w:val="auto"/>
        </w:rPr>
        <w:t>TABLE OF CONTENTS</w:t>
      </w:r>
    </w:p>
    <w:p>
      <w:pPr>
        <w:spacing w:after="0" w:line="229" w:lineRule="exact"/>
        <w:rPr>
          <w:sz w:val="20"/>
          <w:szCs w:val="20"/>
          <w:color w:val="auto"/>
        </w:rPr>
      </w:pPr>
    </w:p>
    <w:tbl>
      <w:tblPr>
        <w:tblLayout w:type="fixed"/>
        <w:tblInd w:w="14" w:type="dxa"/>
        <w:tblCellMar>
          <w:top w:w="0" w:type="dxa"/>
          <w:left w:w="0" w:type="dxa"/>
          <w:bottom w:w="0" w:type="dxa"/>
          <w:right w:w="0" w:type="dxa"/>
        </w:tblCellMar>
      </w:tblPr>
      <w:tr>
        <w:trPr>
          <w:trHeight w:val="268"/>
        </w:trPr>
        <w:tc>
          <w:tcPr>
            <w:tcW w:w="7800" w:type="dxa"/>
            <w:vAlign w:val="bottom"/>
            <w:vMerge w:val="restart"/>
          </w:tcPr>
          <w:p>
            <w:pPr>
              <w:spacing w:after="0"/>
              <w:rPr>
                <w:sz w:val="20"/>
                <w:szCs w:val="20"/>
                <w:color w:val="auto"/>
              </w:rPr>
            </w:pPr>
            <w:r>
              <w:rPr>
                <w:rFonts w:ascii="Arial" w:cs="Arial" w:eastAsia="Arial" w:hAnsi="Arial"/>
                <w:sz w:val="19"/>
                <w:szCs w:val="19"/>
                <w:b w:val="1"/>
                <w:bCs w:val="1"/>
                <w:color w:val="auto"/>
              </w:rPr>
              <w:t>Consolidated Results</w:t>
            </w:r>
          </w:p>
        </w:tc>
        <w:tc>
          <w:tcPr>
            <w:tcW w:w="3340" w:type="dxa"/>
            <w:vAlign w:val="bottom"/>
          </w:tcPr>
          <w:p>
            <w:pPr>
              <w:ind w:left="2640"/>
              <w:spacing w:after="0"/>
              <w:rPr>
                <w:sz w:val="20"/>
                <w:szCs w:val="20"/>
                <w:color w:val="auto"/>
              </w:rPr>
            </w:pPr>
            <w:r>
              <w:rPr>
                <w:rFonts w:ascii="Arial" w:cs="Arial" w:eastAsia="Arial" w:hAnsi="Arial"/>
                <w:sz w:val="19"/>
                <w:szCs w:val="19"/>
                <w:b w:val="1"/>
                <w:bCs w:val="1"/>
                <w:color w:val="auto"/>
                <w:w w:val="99"/>
              </w:rPr>
              <w:t>Page(s)</w:t>
            </w:r>
          </w:p>
        </w:tc>
        <w:tc>
          <w:tcPr>
            <w:tcW w:w="0" w:type="dxa"/>
            <w:vAlign w:val="bottom"/>
          </w:tcPr>
          <w:p>
            <w:pPr>
              <w:spacing w:after="0"/>
              <w:rPr>
                <w:sz w:val="1"/>
                <w:szCs w:val="1"/>
                <w:color w:val="auto"/>
              </w:rPr>
            </w:pPr>
          </w:p>
        </w:tc>
      </w:tr>
      <w:tr>
        <w:trPr>
          <w:trHeight w:val="238"/>
        </w:trPr>
        <w:tc>
          <w:tcPr>
            <w:tcW w:w="7800" w:type="dxa"/>
            <w:vAlign w:val="bottom"/>
            <w:vMerge w:val="continue"/>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Consolidated Financial Highlights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Consolidated Statements of Income</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Consolidated Balance Sheets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5</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Condensed Average Balance Sheets and Annualized Yields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6</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Reconciliation from Reported to Managed Basis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7</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Segment &amp; Corporate Results - Managed Basis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8</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Capital and Other Selected Balance Sheet Items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9"/>
              </w:rPr>
              <w:t>9–10</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0"/>
                <w:szCs w:val="20"/>
                <w:color w:val="auto"/>
              </w:rPr>
            </w:pPr>
            <w:r>
              <w:rPr>
                <w:rFonts w:ascii="Arial" w:cs="Arial" w:eastAsia="Arial" w:hAnsi="Arial"/>
                <w:sz w:val="19"/>
                <w:szCs w:val="19"/>
                <w:color w:val="auto"/>
              </w:rPr>
              <w:t>Earnings Per Share and Related Information</w:t>
            </w:r>
          </w:p>
        </w:tc>
        <w:tc>
          <w:tcPr>
            <w:tcW w:w="3340" w:type="dxa"/>
            <w:vAlign w:val="bottom"/>
          </w:tcPr>
          <w:p>
            <w:pPr>
              <w:jc w:val="center"/>
              <w:ind w:left="2563"/>
              <w:spacing w:after="0"/>
              <w:rPr>
                <w:sz w:val="20"/>
                <w:szCs w:val="20"/>
                <w:color w:val="auto"/>
              </w:rPr>
            </w:pPr>
            <w:r>
              <w:rPr>
                <w:rFonts w:ascii="Arial" w:cs="Arial" w:eastAsia="Arial" w:hAnsi="Arial"/>
                <w:sz w:val="19"/>
                <w:szCs w:val="19"/>
                <w:color w:val="auto"/>
                <w:w w:val="94"/>
              </w:rPr>
              <w:t>11</w:t>
            </w:r>
          </w:p>
        </w:tc>
        <w:tc>
          <w:tcPr>
            <w:tcW w:w="0" w:type="dxa"/>
            <w:vAlign w:val="bottom"/>
          </w:tcPr>
          <w:p>
            <w:pPr>
              <w:spacing w:after="0"/>
              <w:rPr>
                <w:sz w:val="1"/>
                <w:szCs w:val="1"/>
                <w:color w:val="auto"/>
              </w:rPr>
            </w:pPr>
          </w:p>
        </w:tc>
      </w:tr>
      <w:tr>
        <w:trPr>
          <w:trHeight w:val="460"/>
        </w:trPr>
        <w:tc>
          <w:tcPr>
            <w:tcW w:w="7800" w:type="dxa"/>
            <w:vAlign w:val="bottom"/>
          </w:tcPr>
          <w:p>
            <w:pPr>
              <w:spacing w:after="0"/>
              <w:rPr>
                <w:sz w:val="20"/>
                <w:szCs w:val="20"/>
                <w:color w:val="auto"/>
              </w:rPr>
            </w:pPr>
            <w:r>
              <w:rPr>
                <w:rFonts w:ascii="Arial" w:cs="Arial" w:eastAsia="Arial" w:hAnsi="Arial"/>
                <w:sz w:val="19"/>
                <w:szCs w:val="19"/>
                <w:b w:val="1"/>
                <w:bCs w:val="1"/>
                <w:color w:val="auto"/>
              </w:rPr>
              <w:t>Business Segment &amp; Corporate Results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Consumer &amp; Community Banking (“CCB”)</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12–15</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Commercial &amp; Investment Bank (“CIB”)</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16–19</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Asset &amp; Wealth Management (“AWM”)</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20–22</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0"/>
                <w:szCs w:val="20"/>
                <w:color w:val="auto"/>
              </w:rPr>
            </w:pPr>
            <w:r>
              <w:rPr>
                <w:rFonts w:ascii="Arial" w:cs="Arial" w:eastAsia="Arial" w:hAnsi="Arial"/>
                <w:sz w:val="19"/>
                <w:szCs w:val="19"/>
                <w:color w:val="auto"/>
              </w:rPr>
              <w:t>Corporate</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464"/>
        </w:trPr>
        <w:tc>
          <w:tcPr>
            <w:tcW w:w="7800" w:type="dxa"/>
            <w:vAlign w:val="bottom"/>
          </w:tcPr>
          <w:p>
            <w:pPr>
              <w:spacing w:after="0"/>
              <w:rPr>
                <w:sz w:val="20"/>
                <w:szCs w:val="20"/>
                <w:color w:val="auto"/>
              </w:rPr>
            </w:pPr>
            <w:r>
              <w:rPr>
                <w:rFonts w:ascii="Arial" w:cs="Arial" w:eastAsia="Arial" w:hAnsi="Arial"/>
                <w:sz w:val="19"/>
                <w:szCs w:val="19"/>
                <w:color w:val="auto"/>
              </w:rPr>
              <w:t>Credit-Related Information</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24-27</w:t>
            </w:r>
          </w:p>
        </w:tc>
        <w:tc>
          <w:tcPr>
            <w:tcW w:w="0" w:type="dxa"/>
            <w:vAlign w:val="bottom"/>
          </w:tcPr>
          <w:p>
            <w:pPr>
              <w:spacing w:after="0"/>
              <w:rPr>
                <w:sz w:val="1"/>
                <w:szCs w:val="1"/>
                <w:color w:val="auto"/>
              </w:rPr>
            </w:pPr>
          </w:p>
        </w:tc>
      </w:tr>
      <w:tr>
        <w:trPr>
          <w:trHeight w:val="460"/>
        </w:trPr>
        <w:tc>
          <w:tcPr>
            <w:tcW w:w="7800" w:type="dxa"/>
            <w:vAlign w:val="bottom"/>
          </w:tcPr>
          <w:p>
            <w:pPr>
              <w:spacing w:after="0"/>
              <w:rPr>
                <w:sz w:val="20"/>
                <w:szCs w:val="20"/>
                <w:color w:val="auto"/>
              </w:rPr>
            </w:pPr>
            <w:r>
              <w:rPr>
                <w:rFonts w:ascii="Arial" w:cs="Arial" w:eastAsia="Arial" w:hAnsi="Arial"/>
                <w:sz w:val="19"/>
                <w:szCs w:val="19"/>
                <w:color w:val="auto"/>
              </w:rPr>
              <w:t>Non-GAAP Financial Measures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0"/>
                <w:szCs w:val="20"/>
                <w:color w:val="auto"/>
              </w:rPr>
            </w:pPr>
            <w:r>
              <w:rPr>
                <w:rFonts w:ascii="Arial" w:cs="Arial" w:eastAsia="Arial" w:hAnsi="Arial"/>
                <w:sz w:val="19"/>
                <w:szCs w:val="19"/>
                <w:color w:val="auto"/>
              </w:rPr>
              <w:t>Glossary of Terms and Acronyms (a)</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314" w:right="180" w:hanging="314"/>
        <w:spacing w:after="0" w:line="274" w:lineRule="auto"/>
        <w:tabs>
          <w:tab w:leader="none" w:pos="325"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the Glossary of Terms and Acronyms on pages 327–333 of JPMorgan Chase &amp; Co.’s (the “Firm’s”) Annual Report on Form 10-K for the year ended December 31, 2024 (the “2024 Form 10-K”).</w:t>
      </w:r>
    </w:p>
    <w:p>
      <w:pPr>
        <w:sectPr>
          <w:pgSz w:w="11900" w:h="16838" w:orient="portrait"/>
          <w:cols w:equalWidth="0" w:num="1">
            <w:col w:w="11154"/>
          </w:cols>
          <w:pgMar w:left="326" w:top="845" w:right="419" w:bottom="1440" w:gutter="0" w:footer="0" w:header="0"/>
        </w:sectPr>
      </w:pPr>
    </w:p>
    <w:bookmarkStart w:id="13" w:name="page14"/>
    <w:bookmarkEnd w:id="1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-3810</wp:posOffset>
            </wp:positionV>
            <wp:extent cx="1371600" cy="193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ind w:left="20"/>
        <w:spacing w:after="0"/>
        <w:rPr>
          <w:sz w:val="20"/>
          <w:szCs w:val="20"/>
          <w:color w:val="auto"/>
        </w:rPr>
      </w:pPr>
      <w:r>
        <w:rPr>
          <w:rFonts w:ascii="Arial" w:cs="Arial" w:eastAsia="Arial" w:hAnsi="Arial"/>
          <w:sz w:val="14"/>
          <w:szCs w:val="14"/>
          <w:b w:val="1"/>
          <w:bCs w:val="1"/>
          <w:color w:val="auto"/>
        </w:rPr>
        <w:t>HIGHLIGHTS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right"/>
              <w:ind w:right="42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1"/>
                <w:szCs w:val="11"/>
                <w:b w:val="1"/>
                <w:bCs w:val="1"/>
                <w:color w:val="auto"/>
              </w:rPr>
              <w:t>2Q25 Change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2025 Change</w:t>
            </w:r>
          </w:p>
        </w:tc>
        <w:tc>
          <w:tcPr>
            <w:tcW w:w="0" w:type="dxa"/>
            <w:vAlign w:val="bottom"/>
          </w:tcPr>
          <w:p>
            <w:pPr>
              <w:spacing w:after="0"/>
              <w:rPr>
                <w:sz w:val="1"/>
                <w:szCs w:val="1"/>
                <w:color w:val="auto"/>
              </w:rPr>
            </w:pPr>
          </w:p>
        </w:tc>
      </w:tr>
      <w:tr>
        <w:trPr>
          <w:trHeight w:val="119"/>
        </w:trPr>
        <w:tc>
          <w:tcPr>
            <w:tcW w:w="2000" w:type="dxa"/>
            <w:vAlign w:val="bottom"/>
            <w:tcBorders>
              <w:bottom w:val="single" w:sz="8" w:color="auto"/>
            </w:tcBorders>
            <w:gridSpan w:val="4"/>
          </w:tcPr>
          <w:p>
            <w:pPr>
              <w:spacing w:after="0" w:line="120" w:lineRule="exact"/>
              <w:rPr>
                <w:sz w:val="20"/>
                <w:szCs w:val="20"/>
                <w:color w:val="auto"/>
              </w:rPr>
            </w:pPr>
            <w:r>
              <w:rPr>
                <w:rFonts w:ascii="Arial" w:cs="Arial" w:eastAsia="Arial" w:hAnsi="Arial"/>
                <w:sz w:val="11"/>
                <w:szCs w:val="11"/>
                <w:b w:val="1"/>
                <w:bCs w:val="1"/>
                <w:color w:val="auto"/>
                <w:w w:val="94"/>
              </w:rPr>
              <w:t>SELECTED INCOME STATEMENT DATA</w:t>
            </w:r>
          </w:p>
        </w:tc>
        <w:tc>
          <w:tcPr>
            <w:tcW w:w="2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2Q25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1Q25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0"/>
                <w:szCs w:val="10"/>
                <w:color w:val="auto"/>
              </w:rPr>
            </w:pPr>
          </w:p>
        </w:tc>
        <w:tc>
          <w:tcPr>
            <w:tcW w:w="7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3Q24</w:t>
            </w:r>
          </w:p>
        </w:tc>
        <w:tc>
          <w:tcPr>
            <w:tcW w:w="120" w:type="dxa"/>
            <w:vAlign w:val="bottom"/>
          </w:tcPr>
          <w:p>
            <w:pPr>
              <w:spacing w:after="0"/>
              <w:rPr>
                <w:sz w:val="10"/>
                <w:szCs w:val="10"/>
                <w:color w:val="auto"/>
              </w:rPr>
            </w:pPr>
          </w:p>
        </w:tc>
        <w:tc>
          <w:tcPr>
            <w:tcW w:w="56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2Q24</w:t>
            </w:r>
          </w:p>
        </w:tc>
        <w:tc>
          <w:tcPr>
            <w:tcW w:w="220" w:type="dxa"/>
            <w:vAlign w:val="bottom"/>
          </w:tcPr>
          <w:p>
            <w:pPr>
              <w:spacing w:after="0"/>
              <w:rPr>
                <w:sz w:val="10"/>
                <w:szCs w:val="10"/>
                <w:color w:val="auto"/>
              </w:rPr>
            </w:pPr>
          </w:p>
        </w:tc>
        <w:tc>
          <w:tcPr>
            <w:tcW w:w="7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1Q25</w:t>
            </w:r>
          </w:p>
        </w:tc>
        <w:tc>
          <w:tcPr>
            <w:tcW w:w="8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0"/>
                <w:szCs w:val="10"/>
                <w:color w:val="auto"/>
              </w:rPr>
            </w:pPr>
          </w:p>
        </w:tc>
        <w:tc>
          <w:tcPr>
            <w:tcW w:w="56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0"/>
                <w:szCs w:val="10"/>
                <w:color w:val="auto"/>
              </w:rPr>
            </w:pPr>
          </w:p>
        </w:tc>
        <w:tc>
          <w:tcPr>
            <w:tcW w:w="70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
        </w:trPr>
        <w:tc>
          <w:tcPr>
            <w:tcW w:w="226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Reported Basis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gridSpan w:val="6"/>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44,912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45,310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42,768</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42,654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50,200</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w:t>
            </w:r>
          </w:p>
        </w:tc>
        <w:tc>
          <w:tcPr>
            <w:tcW w:w="3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90,222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92,134</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Total noninterest expense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23,779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23,597</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22,762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22,565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23,713</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47,376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46,470</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Pre-provision profit (a)</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21,133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21,713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20,006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20,089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26,487</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42,846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45,664</w:t>
            </w: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3,305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2,631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3,111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3,052</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6,154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4,936</w:t>
            </w:r>
          </w:p>
        </w:tc>
        <w:tc>
          <w:tcPr>
            <w:tcW w:w="240" w:type="dxa"/>
            <w:vAlign w:val="bottom"/>
          </w:tcPr>
          <w:p>
            <w:pPr>
              <w:spacing w:after="0"/>
              <w:rPr>
                <w:sz w:val="13"/>
                <w:szCs w:val="13"/>
                <w:color w:val="auto"/>
              </w:rPr>
            </w:pP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3"/>
        </w:trPr>
        <w:tc>
          <w:tcPr>
            <w:tcW w:w="226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14,987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14,643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14,005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12,898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18,149</w:t>
            </w:r>
          </w:p>
        </w:tc>
        <w:tc>
          <w:tcPr>
            <w:tcW w:w="220" w:type="dxa"/>
            <w:vAlign w:val="bottom"/>
          </w:tcPr>
          <w:p>
            <w:pPr>
              <w:spacing w:after="0"/>
              <w:rPr>
                <w:sz w:val="14"/>
                <w:szCs w:val="1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29,630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31,568</w:t>
            </w:r>
          </w:p>
        </w:tc>
        <w:tc>
          <w:tcPr>
            <w:tcW w:w="24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18"/>
        </w:trPr>
        <w:tc>
          <w:tcPr>
            <w:tcW w:w="2260" w:type="dxa"/>
            <w:vAlign w:val="bottom"/>
            <w:gridSpan w:val="6"/>
          </w:tcPr>
          <w:p>
            <w:pPr>
              <w:spacing w:after="0"/>
              <w:rPr>
                <w:sz w:val="20"/>
                <w:szCs w:val="20"/>
                <w:color w:val="auto"/>
              </w:rPr>
            </w:pPr>
            <w:r>
              <w:rPr>
                <w:rFonts w:ascii="Arial" w:cs="Arial" w:eastAsia="Arial" w:hAnsi="Arial"/>
                <w:sz w:val="11"/>
                <w:szCs w:val="11"/>
                <w:b w:val="1"/>
                <w:bCs w:val="1"/>
                <w:color w:val="auto"/>
              </w:rPr>
              <w:t>Managed Basis (b)</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60" w:type="dxa"/>
            <w:vAlign w:val="bottom"/>
            <w:gridSpan w:val="6"/>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45,680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46,014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43,738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43,315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50,992</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91,694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93,540</w:t>
            </w: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Total noninterest expense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23,779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23,597</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22,762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22,565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23,713</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47,376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46,470</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Pre-provision profit (a)</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21,901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22,417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20,976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20,750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27,279</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44,318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47,070</w:t>
            </w: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3,305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2,631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3,111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3,052</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6,154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4,936</w:t>
            </w:r>
          </w:p>
        </w:tc>
        <w:tc>
          <w:tcPr>
            <w:tcW w:w="240" w:type="dxa"/>
            <w:vAlign w:val="bottom"/>
          </w:tcPr>
          <w:p>
            <w:pPr>
              <w:spacing w:after="0"/>
              <w:rPr>
                <w:sz w:val="13"/>
                <w:szCs w:val="13"/>
                <w:color w:val="auto"/>
              </w:rPr>
            </w:pP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3"/>
        </w:trPr>
        <w:tc>
          <w:tcPr>
            <w:tcW w:w="226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14,987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14,643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14,005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12,898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18,149</w:t>
            </w:r>
          </w:p>
        </w:tc>
        <w:tc>
          <w:tcPr>
            <w:tcW w:w="220" w:type="dxa"/>
            <w:vAlign w:val="bottom"/>
          </w:tcPr>
          <w:p>
            <w:pPr>
              <w:spacing w:after="0"/>
              <w:rPr>
                <w:sz w:val="14"/>
                <w:szCs w:val="1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29,630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31,568</w:t>
            </w:r>
          </w:p>
        </w:tc>
        <w:tc>
          <w:tcPr>
            <w:tcW w:w="24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93"/>
        </w:trPr>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4"/>
              </w:rPr>
              <w:t>EARNINGS PER SHARE DATA</w:t>
            </w:r>
          </w:p>
        </w:tc>
        <w:tc>
          <w:tcPr>
            <w:tcW w:w="7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60" w:type="dxa"/>
            <w:vAlign w:val="bottom"/>
            <w:gridSpan w:val="6"/>
          </w:tcPr>
          <w:p>
            <w:pPr>
              <w:spacing w:after="0"/>
              <w:rPr>
                <w:sz w:val="20"/>
                <w:szCs w:val="20"/>
                <w:color w:val="auto"/>
              </w:rPr>
            </w:pPr>
            <w:r>
              <w:rPr>
                <w:rFonts w:ascii="Arial" w:cs="Arial" w:eastAsia="Arial" w:hAnsi="Arial"/>
                <w:sz w:val="11"/>
                <w:szCs w:val="11"/>
                <w:color w:val="auto"/>
              </w:rPr>
              <w:t>Net income: 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5.25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5.08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4.82</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4.38</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6.13</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10.32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10.58</w:t>
            </w: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260" w:type="dxa"/>
            <w:vAlign w:val="bottom"/>
            <w:gridSpan w:val="6"/>
          </w:tcPr>
          <w:p>
            <w:pPr>
              <w:ind w:left="840"/>
              <w:spacing w:after="0"/>
              <w:rPr>
                <w:sz w:val="20"/>
                <w:szCs w:val="20"/>
                <w:color w:val="auto"/>
              </w:rPr>
            </w:pPr>
            <w:r>
              <w:rPr>
                <w:rFonts w:ascii="Arial" w:cs="Arial" w:eastAsia="Arial" w:hAnsi="Arial"/>
                <w:sz w:val="11"/>
                <w:szCs w:val="11"/>
                <w:color w:val="auto"/>
              </w:rPr>
              <w:t>Diluted</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5.07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4.81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4.37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6.12</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10.56</w:t>
            </w: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Average shares: Basic</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2,788.7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2,819.4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2,836.9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2,860.6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2,889.8</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2,804.0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2,899.1</w:t>
            </w: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260" w:type="dxa"/>
            <w:vAlign w:val="bottom"/>
            <w:gridSpan w:val="6"/>
          </w:tcPr>
          <w:p>
            <w:pPr>
              <w:ind w:left="840"/>
              <w:spacing w:after="0"/>
              <w:rPr>
                <w:sz w:val="20"/>
                <w:szCs w:val="20"/>
                <w:color w:val="auto"/>
              </w:rPr>
            </w:pPr>
            <w:r>
              <w:rPr>
                <w:rFonts w:ascii="Arial" w:cs="Arial" w:eastAsia="Arial" w:hAnsi="Arial"/>
                <w:sz w:val="11"/>
                <w:szCs w:val="11"/>
                <w:color w:val="auto"/>
              </w:rPr>
              <w:t>Diluted</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2,793.7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2,824.3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2,842.4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2,865.9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2,894.9</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2,809.0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2,903.9</w:t>
            </w: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97"/>
        </w:trPr>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5"/>
              </w:rPr>
              <w:t>MARKET AND PER COMMON SHARE DATA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60" w:type="dxa"/>
            <w:vAlign w:val="bottom"/>
            <w:gridSpan w:val="6"/>
          </w:tcPr>
          <w:p>
            <w:pPr>
              <w:spacing w:after="0"/>
              <w:rPr>
                <w:sz w:val="20"/>
                <w:szCs w:val="20"/>
                <w:color w:val="auto"/>
              </w:rPr>
            </w:pPr>
            <w:r>
              <w:rPr>
                <w:rFonts w:ascii="Arial" w:cs="Arial" w:eastAsia="Arial" w:hAnsi="Arial"/>
                <w:sz w:val="11"/>
                <w:szCs w:val="11"/>
                <w:color w:val="auto"/>
              </w:rPr>
              <w:t>Market capitalization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797,181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681,712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w w:val="95"/>
              </w:rPr>
              <w:t>670,618</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w w:val="95"/>
              </w:rPr>
              <w:t>593,643</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575,463</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39</w:t>
            </w:r>
          </w:p>
        </w:tc>
        <w:tc>
          <w:tcPr>
            <w:tcW w:w="3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797,181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575,463</w:t>
            </w:r>
          </w:p>
        </w:tc>
        <w:tc>
          <w:tcPr>
            <w:tcW w:w="240" w:type="dxa"/>
            <w:vAlign w:val="bottom"/>
          </w:tcPr>
          <w:p>
            <w:pPr>
              <w:spacing w:after="0"/>
              <w:rPr>
                <w:sz w:val="13"/>
                <w:szCs w:val="13"/>
                <w:color w:val="auto"/>
              </w:rPr>
            </w:pP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Common shares at period-end</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2,749.7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2,779.1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2,797.6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2,815.3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2,845.1</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2,749.7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2,845.1</w:t>
            </w: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Book value per share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122.51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119.24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116.07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115.15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111.29</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122.51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111.29</w:t>
            </w:r>
          </w:p>
        </w:tc>
        <w:tc>
          <w:tcPr>
            <w:tcW w:w="240" w:type="dxa"/>
            <w:vAlign w:val="bottom"/>
          </w:tcPr>
          <w:p>
            <w:pPr>
              <w:spacing w:after="0"/>
              <w:rPr>
                <w:sz w:val="13"/>
                <w:szCs w:val="13"/>
                <w:color w:val="auto"/>
              </w:rPr>
            </w:pP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Tangible book value per share (“TBVPS”) (a)</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103.40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100.36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97.30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96.42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92.77</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103.40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92.77</w:t>
            </w:r>
          </w:p>
        </w:tc>
        <w:tc>
          <w:tcPr>
            <w:tcW w:w="240" w:type="dxa"/>
            <w:vAlign w:val="bottom"/>
          </w:tcPr>
          <w:p>
            <w:pPr>
              <w:spacing w:after="0"/>
              <w:rPr>
                <w:sz w:val="13"/>
                <w:szCs w:val="13"/>
                <w:color w:val="auto"/>
              </w:rPr>
            </w:pP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Cash dividends declared per share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1.15</w:t>
            </w:r>
          </w:p>
        </w:tc>
        <w:tc>
          <w:tcPr>
            <w:tcW w:w="22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22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2.30</w:t>
            </w:r>
          </w:p>
        </w:tc>
        <w:tc>
          <w:tcPr>
            <w:tcW w:w="240" w:type="dxa"/>
            <w:vAlign w:val="bottom"/>
          </w:tcPr>
          <w:p>
            <w:pPr>
              <w:spacing w:after="0"/>
              <w:rPr>
                <w:sz w:val="13"/>
                <w:szCs w:val="13"/>
                <w:color w:val="auto"/>
              </w:rPr>
            </w:pP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9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FINANCIAL RATIOS (c)</w:t>
            </w:r>
          </w:p>
        </w:tc>
        <w:tc>
          <w:tcPr>
            <w:tcW w:w="11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60" w:type="dxa"/>
            <w:vAlign w:val="bottom"/>
            <w:gridSpan w:val="6"/>
          </w:tcPr>
          <w:p>
            <w:pPr>
              <w:spacing w:after="0"/>
              <w:rPr>
                <w:sz w:val="20"/>
                <w:szCs w:val="20"/>
                <w:color w:val="auto"/>
              </w:rPr>
            </w:pPr>
            <w:r>
              <w:rPr>
                <w:rFonts w:ascii="Arial" w:cs="Arial" w:eastAsia="Arial" w:hAnsi="Arial"/>
                <w:sz w:val="11"/>
                <w:szCs w:val="11"/>
                <w:color w:val="auto"/>
              </w:rPr>
              <w:t>Return on common equity (“ROE”)</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23 %</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20 %</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260" w:type="dxa"/>
            <w:vAlign w:val="bottom"/>
            <w:gridSpan w:val="6"/>
          </w:tcPr>
          <w:p>
            <w:pPr>
              <w:spacing w:after="0" w:line="125" w:lineRule="exact"/>
              <w:rPr>
                <w:sz w:val="20"/>
                <w:szCs w:val="20"/>
                <w:color w:val="auto"/>
              </w:rPr>
            </w:pPr>
            <w:r>
              <w:rPr>
                <w:rFonts w:ascii="Arial" w:cs="Arial" w:eastAsia="Arial" w:hAnsi="Arial"/>
                <w:sz w:val="11"/>
                <w:szCs w:val="11"/>
                <w:color w:val="auto"/>
              </w:rPr>
              <w:t>Return on tangible common equity (“ROTCE”)</w:t>
            </w: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0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260" w:type="dxa"/>
            <w:vAlign w:val="bottom"/>
            <w:gridSpan w:val="6"/>
          </w:tcPr>
          <w:p>
            <w:pPr>
              <w:spacing w:after="0"/>
              <w:rPr>
                <w:sz w:val="20"/>
                <w:szCs w:val="20"/>
                <w:color w:val="auto"/>
              </w:rPr>
            </w:pPr>
            <w:r>
              <w:rPr>
                <w:rFonts w:ascii="Arial" w:cs="Arial" w:eastAsia="Arial" w:hAnsi="Arial"/>
                <w:sz w:val="11"/>
                <w:szCs w:val="11"/>
                <w:color w:val="auto"/>
              </w:rPr>
              <w:t>(a)</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Return on assets</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1.35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1.79</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1.38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1.58</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260" w:type="dxa"/>
            <w:vAlign w:val="bottom"/>
            <w:gridSpan w:val="6"/>
          </w:tcPr>
          <w:p>
            <w:pPr>
              <w:spacing w:after="0"/>
              <w:rPr>
                <w:sz w:val="20"/>
                <w:szCs w:val="20"/>
                <w:color w:val="auto"/>
              </w:rPr>
            </w:pPr>
            <w:r>
              <w:rPr>
                <w:rFonts w:ascii="Arial" w:cs="Arial" w:eastAsia="Arial" w:hAnsi="Arial"/>
                <w:sz w:val="11"/>
                <w:szCs w:val="11"/>
                <w:b w:val="1"/>
                <w:bCs w:val="1"/>
                <w:color w:val="auto"/>
              </w:rPr>
              <w:t>CAPITAL RATIOS (d)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260" w:type="dxa"/>
            <w:vAlign w:val="bottom"/>
            <w:gridSpan w:val="6"/>
          </w:tcPr>
          <w:p>
            <w:pPr>
              <w:spacing w:after="0"/>
              <w:rPr>
                <w:sz w:val="20"/>
                <w:szCs w:val="20"/>
                <w:color w:val="auto"/>
              </w:rPr>
            </w:pPr>
            <w:r>
              <w:rPr>
                <w:rFonts w:ascii="Arial" w:cs="Arial" w:eastAsia="Arial" w:hAnsi="Arial"/>
                <w:sz w:val="11"/>
                <w:szCs w:val="11"/>
                <w:color w:val="auto"/>
                <w:w w:val="97"/>
              </w:rPr>
              <w:t>Common equity Tier 1 (“CET1”) capital ratio (e)</w:t>
            </w:r>
          </w:p>
        </w:tc>
        <w:tc>
          <w:tcPr>
            <w:tcW w:w="100" w:type="dxa"/>
            <w:vAlign w:val="bottom"/>
          </w:tcPr>
          <w:p>
            <w:pPr>
              <w:spacing w:after="0"/>
              <w:rPr>
                <w:sz w:val="13"/>
                <w:szCs w:val="13"/>
                <w:color w:val="auto"/>
              </w:rPr>
            </w:pPr>
          </w:p>
        </w:tc>
        <w:tc>
          <w:tcPr>
            <w:tcW w:w="780" w:type="dxa"/>
            <w:vAlign w:val="bottom"/>
            <w:gridSpan w:val="2"/>
          </w:tcPr>
          <w:p>
            <w:pPr>
              <w:jc w:val="right"/>
              <w:ind w:right="47"/>
              <w:spacing w:after="0"/>
              <w:rPr>
                <w:sz w:val="20"/>
                <w:szCs w:val="20"/>
                <w:color w:val="auto"/>
              </w:rPr>
            </w:pPr>
            <w:r>
              <w:rPr>
                <w:rFonts w:ascii="Arial" w:cs="Arial" w:eastAsia="Arial" w:hAnsi="Arial"/>
                <w:sz w:val="11"/>
                <w:szCs w:val="11"/>
                <w:color w:val="auto"/>
              </w:rPr>
              <w:t>15.0 % (f)</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15.4 %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15.7 %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15.3 %</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7"/>
              <w:spacing w:after="0"/>
              <w:rPr>
                <w:sz w:val="20"/>
                <w:szCs w:val="20"/>
                <w:color w:val="auto"/>
              </w:rPr>
            </w:pPr>
            <w:r>
              <w:rPr>
                <w:rFonts w:ascii="Arial" w:cs="Arial" w:eastAsia="Arial" w:hAnsi="Arial"/>
                <w:sz w:val="11"/>
                <w:szCs w:val="11"/>
                <w:color w:val="auto"/>
              </w:rPr>
              <w:t>15.0 % (f)</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15.3 %</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Tier 1 capital ratio (e)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16.1</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16.5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16.4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16.7</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16.1</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16.7</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Total capital ratio (e)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17.8</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18.2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17.8</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Tier 1 leverage ratio</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6.9</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7.2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7.1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7.2</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6.9</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7.2</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Supplementary leverage ratio (“SLR”)</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6.0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14389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251" w:lineRule="exact"/>
        <w:rPr>
          <w:sz w:val="20"/>
          <w:szCs w:val="20"/>
          <w:color w:val="auto"/>
        </w:rPr>
      </w:pPr>
    </w:p>
    <w:p>
      <w:pPr>
        <w:ind w:left="160" w:right="280" w:hanging="154"/>
        <w:spacing w:after="0" w:line="245" w:lineRule="auto"/>
        <w:tabs>
          <w:tab w:leader="none" w:pos="157" w:val="left"/>
        </w:tabs>
        <w:numPr>
          <w:ilvl w:val="0"/>
          <w:numId w:val="16"/>
        </w:numPr>
        <w:rPr>
          <w:rFonts w:ascii="Arial" w:cs="Arial" w:eastAsia="Arial" w:hAnsi="Arial"/>
          <w:sz w:val="11"/>
          <w:szCs w:val="11"/>
          <w:color w:val="auto"/>
        </w:rPr>
      </w:pPr>
      <w:r>
        <w:rPr>
          <w:rFonts w:ascii="Arial" w:cs="Arial" w:eastAsia="Arial" w:hAnsi="Arial"/>
          <w:sz w:val="11"/>
          <w:szCs w:val="11"/>
          <w:color w:val="auto"/>
        </w:rPr>
        <w:t>Pre-provision profit, TBVPS and ROTCE are each non-GAAP financial measures. Tangible common equity (“TCE”) is also a non-GAAP financial measure; refer to page 10 for a reconciliation of common stockholders’ equity to TCE. Refer to page 28 for a further discussion of these measures.</w:t>
      </w:r>
    </w:p>
    <w:p>
      <w:pPr>
        <w:ind w:left="160" w:hanging="154"/>
        <w:spacing w:after="0" w:line="231" w:lineRule="auto"/>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ind w:left="160" w:hanging="154"/>
        <w:spacing w:after="0" w:line="226" w:lineRule="auto"/>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Ratios are based upon annualized amounts.</w:t>
      </w:r>
    </w:p>
    <w:p>
      <w:pPr>
        <w:ind w:left="160" w:right="100" w:hanging="154"/>
        <w:spacing w:after="0" w:line="248" w:lineRule="auto"/>
        <w:tabs>
          <w:tab w:leader="none" w:pos="157"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 of January 1, 2025, the benefit from the Current Expected Credit Losses (“CECL”) capital transition provision had been fully phased-out. As of December 31, 2024, September 30, 2024, and June 30, 2024, CET1 capital reflected the remaining $720 million CECL benefit. Refer to Note 21 of the Firm’s Quarterly Report on Form 10-Q for the quarterly period ended March 31, 2025, and Note 27 of the Firm’s 2024 Form 10-K for additional information.</w:t>
      </w:r>
    </w:p>
    <w:p>
      <w:pPr>
        <w:ind w:left="160" w:hanging="154"/>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Reflects the Firm’s ratios under the Basel III Standardized approach. Refer to page 9 for further information on the Firm’s capital metrics.</w:t>
      </w:r>
    </w:p>
    <w:p>
      <w:pPr>
        <w:spacing w:after="0" w:line="3"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Estimated.</w:t>
      </w:r>
    </w:p>
    <w:p>
      <w:pPr>
        <w:ind w:left="160" w:right="120" w:hanging="154"/>
        <w:spacing w:after="0" w:line="248" w:lineRule="auto"/>
        <w:tabs>
          <w:tab w:leader="none" w:pos="157"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Included an FDIC special assessment accrual release of $323 million for the three months ended March 31, 2025, and an accrual increase of $725 million for the three months ended March 31, 2024. Refer to Note 6 on page 228 of the Firm’s 2024 Form 10-K for additional information.</w:t>
      </w:r>
    </w:p>
    <w:p>
      <w:pPr>
        <w:spacing w:after="0" w:line="1" w:lineRule="exact"/>
        <w:rPr>
          <w:rFonts w:ascii="Arial" w:cs="Arial" w:eastAsia="Arial" w:hAnsi="Arial"/>
          <w:sz w:val="11"/>
          <w:szCs w:val="11"/>
          <w:color w:val="auto"/>
        </w:rPr>
      </w:pPr>
    </w:p>
    <w:p>
      <w:pPr>
        <w:ind w:left="160" w:hanging="154"/>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Included a $7.9 billion net gain related to Visa shares. Refer to Note 2 of the Firm’s 2024 Form 10-K for additional information on the exchange offer for Visa Class B-1 common stock.</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240"/>
          </w:cols>
          <w:pgMar w:left="320" w:top="484"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-94615</wp:posOffset>
            </wp:positionV>
            <wp:extent cx="1371600" cy="193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CONTINUED</w:t>
      </w:r>
    </w:p>
    <w:p>
      <w:pPr>
        <w:ind w:left="20"/>
        <w:spacing w:after="0" w:line="232" w:lineRule="auto"/>
        <w:rPr>
          <w:sz w:val="20"/>
          <w:szCs w:val="20"/>
          <w:color w:val="auto"/>
        </w:rPr>
      </w:pPr>
      <w:r>
        <w:rPr>
          <w:rFonts w:ascii="Arial" w:cs="Arial" w:eastAsia="Arial" w:hAnsi="Arial"/>
          <w:sz w:val="11"/>
          <w:szCs w:val="11"/>
          <w:b w:val="1"/>
          <w:bCs w:val="1"/>
          <w:color w:val="auto"/>
        </w:rPr>
        <w:t>(in millions, except ratios, employee data and where</w:t>
      </w:r>
    </w:p>
    <w:p>
      <w:pPr>
        <w:ind w:left="20"/>
        <w:spacing w:after="0"/>
        <w:rPr>
          <w:sz w:val="20"/>
          <w:szCs w:val="20"/>
          <w:color w:val="auto"/>
        </w:rPr>
      </w:pPr>
      <w:r>
        <w:rPr>
          <w:rFonts w:ascii="Arial" w:cs="Arial" w:eastAsia="Arial" w:hAnsi="Arial"/>
          <w:sz w:val="11"/>
          <w:szCs w:val="11"/>
          <w:b w:val="1"/>
          <w:bCs w:val="1"/>
          <w:color w:val="auto"/>
        </w:rPr>
        <w:t>otherwise noted)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ind w:right="38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3"/>
            <w:vMerge w:val="restart"/>
          </w:tcPr>
          <w:p>
            <w:pPr>
              <w:jc w:val="right"/>
              <w:ind w:right="187"/>
              <w:spacing w:after="0"/>
              <w:rPr>
                <w:sz w:val="20"/>
                <w:szCs w:val="20"/>
                <w:color w:val="auto"/>
              </w:rPr>
            </w:pPr>
            <w:r>
              <w:rPr>
                <w:rFonts w:ascii="Arial" w:cs="Arial" w:eastAsia="Arial" w:hAnsi="Arial"/>
                <w:sz w:val="11"/>
                <w:szCs w:val="11"/>
                <w:b w:val="1"/>
                <w:bCs w:val="1"/>
                <w:color w:val="auto"/>
              </w:rPr>
              <w:t>2Q25 Change</w:t>
            </w:r>
          </w:p>
        </w:tc>
        <w:tc>
          <w:tcPr>
            <w:tcW w:w="4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gridSpan w:val="2"/>
          </w:tcPr>
          <w:p>
            <w:pPr>
              <w:jc w:val="right"/>
              <w:ind w:right="147"/>
              <w:spacing w:after="0" w:line="106" w:lineRule="exact"/>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2Q25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1Q25</w:t>
            </w:r>
          </w:p>
        </w:tc>
        <w:tc>
          <w:tcPr>
            <w:tcW w:w="8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4Q24</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10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2Q24</w:t>
            </w:r>
          </w:p>
        </w:tc>
        <w:tc>
          <w:tcPr>
            <w:tcW w:w="2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1Q25</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2Q24</w:t>
            </w:r>
          </w:p>
        </w:tc>
        <w:tc>
          <w:tcPr>
            <w:tcW w:w="8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800" w:type="dxa"/>
            <w:vAlign w:val="bottom"/>
            <w:gridSpan w:val="2"/>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00" w:type="dxa"/>
            <w:vAlign w:val="bottom"/>
            <w:gridSpan w:val="8"/>
          </w:tcPr>
          <w:p>
            <w:pPr>
              <w:spacing w:after="0" w:line="106" w:lineRule="exact"/>
              <w:rPr>
                <w:sz w:val="20"/>
                <w:szCs w:val="20"/>
                <w:color w:val="auto"/>
              </w:rPr>
            </w:pPr>
            <w:r>
              <w:rPr>
                <w:rFonts w:ascii="Arial" w:cs="Arial" w:eastAsia="Arial" w:hAnsi="Arial"/>
                <w:sz w:val="11"/>
                <w:szCs w:val="11"/>
                <w:b w:val="1"/>
                <w:bCs w:val="1"/>
                <w:color w:val="auto"/>
                <w:w w:val="97"/>
              </w:rPr>
              <w:t>SELECTED BALANCE SHEET DATA (period-</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Borders>
              <w:top w:val="single" w:sz="8" w:color="auto"/>
            </w:tcBorders>
            <w:gridSpan w:val="7"/>
          </w:tcPr>
          <w:p>
            <w:pPr>
              <w:spacing w:after="0" w:line="86" w:lineRule="exact"/>
              <w:rPr>
                <w:sz w:val="20"/>
                <w:szCs w:val="20"/>
                <w:color w:val="auto"/>
              </w:rPr>
            </w:pPr>
            <w:r>
              <w:rPr>
                <w:rFonts w:ascii="Arial" w:cs="Arial" w:eastAsia="Arial" w:hAnsi="Arial"/>
                <w:sz w:val="8"/>
                <w:szCs w:val="8"/>
                <w:b w:val="1"/>
                <w:bCs w:val="1"/>
                <w:color w:val="auto"/>
              </w:rPr>
              <w:t>end)</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4,552,482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4,357,856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4,002,814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4,210,048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4,143,003</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3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10 %</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4,552,482</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4,143,003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Consumer, excluding credit card loans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394,040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391,138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392,810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394,945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396,955</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394,040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396,955</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Credit card loans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232,943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223,384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232,860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219,542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216,100</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232,943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216,100</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Wholesale loans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785,009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741,173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722,318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725,524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707,645</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300" w:type="dxa"/>
            <w:vAlign w:val="bottom"/>
          </w:tcPr>
          <w:p>
            <w:pPr>
              <w:spacing w:after="0"/>
              <w:rPr>
                <w:sz w:val="14"/>
                <w:szCs w:val="14"/>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785,009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707,645</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1,411,992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w w:val="93"/>
              </w:rPr>
              <w:t>1,355,695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1,347,988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1,340,011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1,320,700</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300" w:type="dxa"/>
            <w:vAlign w:val="bottom"/>
          </w:tcPr>
          <w:p>
            <w:pPr>
              <w:spacing w:after="0"/>
              <w:rPr>
                <w:sz w:val="12"/>
                <w:szCs w:val="12"/>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1,411,992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w w:val="93"/>
              </w:rPr>
              <w:t>1,320,700</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U.S. offices: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color w:val="auto"/>
              </w:rPr>
              <w:t>Noninterest-bearing</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591,177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581,623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592,500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611,334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632,316</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591,177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632,316</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color w:val="auto"/>
              </w:rPr>
              <w:t>Interest-bearing</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1,441,905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1,416,585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1,345,914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1,326,489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1,291,737</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1,441,905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1,291,737</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Non-U.S. offices: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color w:val="auto"/>
              </w:rPr>
              <w:t>Noninterest-bearing</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29,976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29,856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26,806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31,607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26,362</w:t>
            </w:r>
          </w:p>
        </w:tc>
        <w:tc>
          <w:tcPr>
            <w:tcW w:w="26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29,976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26,362</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color w:val="auto"/>
              </w:rPr>
              <w:t>Interest-bearing</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499,322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467,813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440,812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461,342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446,115</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4"/>
                <w:szCs w:val="14"/>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499,322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446,115</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7"/>
          </w:tcPr>
          <w:p>
            <w:pPr>
              <w:ind w:left="100"/>
              <w:spacing w:after="0"/>
              <w:rPr>
                <w:sz w:val="20"/>
                <w:szCs w:val="20"/>
                <w:color w:val="auto"/>
              </w:rPr>
            </w:pPr>
            <w:r>
              <w:rPr>
                <w:rFonts w:ascii="Arial" w:cs="Arial" w:eastAsia="Arial" w:hAnsi="Arial"/>
                <w:sz w:val="11"/>
                <w:szCs w:val="11"/>
                <w:b w:val="1"/>
                <w:bCs w:val="1"/>
                <w:color w:val="auto"/>
              </w:rPr>
              <w:t>Total deposits</w:t>
            </w: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2,562,380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w w:val="93"/>
              </w:rPr>
              <w:t>2,495,877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2,406,032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2,430,772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2,396,530</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12"/>
                <w:szCs w:val="12"/>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2,562,380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w w:val="93"/>
              </w:rPr>
              <w:t>2,396,530</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419,802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407,224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401,418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410,157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394,028</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18"/>
                <w:szCs w:val="18"/>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419,802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394,028</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336,879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331,375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324,708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324,186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316,652</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336,879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316,652</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Total stockholders’ equity</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356,924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351,420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344,758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345,836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340,552</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356,924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340,552</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Loans-to-deposits ratio</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54 %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56 %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55 %</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Employees</w:t>
            </w: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317,160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318,477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317,233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316,043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313,206</w:t>
            </w:r>
          </w:p>
        </w:tc>
        <w:tc>
          <w:tcPr>
            <w:tcW w:w="26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317,160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313,206</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95% CONFIDENCE LEVEL - TOTAL VaR</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8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Average VaR (a)</w:t>
            </w:r>
          </w:p>
        </w:tc>
        <w:tc>
          <w:tcPr>
            <w:tcW w:w="320" w:type="dxa"/>
            <w:vAlign w:val="bottom"/>
            <w:gridSpan w:val="3"/>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56</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(16)</w:t>
            </w:r>
          </w:p>
        </w:tc>
        <w:tc>
          <w:tcPr>
            <w:tcW w:w="3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5"/>
              </w:rPr>
              <w:t>Earnings-at-Risk (in billions) (b)(c)</w:t>
            </w:r>
          </w:p>
        </w:tc>
        <w:tc>
          <w:tcPr>
            <w:tcW w:w="56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Parallel shift: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+100 bps shift in rates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2.0</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3.5</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(9)</w:t>
            </w:r>
          </w:p>
        </w:tc>
        <w:tc>
          <w:tcPr>
            <w:tcW w:w="3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(43)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-100 bps shift in rates</w:t>
            </w: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(2.3)</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(3.2)</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(5)</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28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LINE OF BUSINESS &amp; CORPORATE NET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40" w:type="dxa"/>
            <w:vAlign w:val="bottom"/>
            <w:tcBorders>
              <w:top w:val="single" w:sz="8" w:color="auto"/>
            </w:tcBorders>
            <w:gridSpan w:val="6"/>
          </w:tcPr>
          <w:p>
            <w:pPr>
              <w:spacing w:after="0" w:line="86" w:lineRule="exact"/>
              <w:rPr>
                <w:sz w:val="20"/>
                <w:szCs w:val="20"/>
                <w:color w:val="auto"/>
              </w:rPr>
            </w:pPr>
            <w:r>
              <w:rPr>
                <w:rFonts w:ascii="Arial" w:cs="Arial" w:eastAsia="Arial" w:hAnsi="Arial"/>
                <w:sz w:val="8"/>
                <w:szCs w:val="8"/>
                <w:b w:val="1"/>
                <w:bCs w:val="1"/>
                <w:color w:val="auto"/>
              </w:rPr>
              <w:t>REVENUE (d)</w:t>
            </w:r>
          </w:p>
        </w:tc>
        <w:tc>
          <w:tcPr>
            <w:tcW w:w="2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Consumer &amp; Community Banking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18,847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18,313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18,362</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17,791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17,701</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37,160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35,354</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Commercial &amp; Investment Bank</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19,535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19,666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17,598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17,015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17,917</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39,201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35,501</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Asset &amp; Wealth Management</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5,760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5,731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5,778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5,439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5,252</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11,491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10,361</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1,538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2,304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2,000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3,070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10,122</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(33)</w:t>
            </w:r>
          </w:p>
        </w:tc>
        <w:tc>
          <w:tcPr>
            <w:tcW w:w="300" w:type="dxa"/>
            <w:vAlign w:val="bottom"/>
          </w:tcPr>
          <w:p>
            <w:pPr>
              <w:spacing w:after="0"/>
              <w:rPr>
                <w:sz w:val="14"/>
                <w:szCs w:val="14"/>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(85)</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3,842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12,324</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45,680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46,014</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43,738</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43,315</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50,992</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4"/>
                <w:szCs w:val="14"/>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91,694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93,540</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LINE OF BUSINESS &amp; CORPORATE NET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40" w:type="dxa"/>
            <w:vAlign w:val="bottom"/>
            <w:tcBorders>
              <w:top w:val="single" w:sz="8" w:color="auto"/>
            </w:tcBorders>
            <w:gridSpan w:val="6"/>
          </w:tcPr>
          <w:p>
            <w:pPr>
              <w:spacing w:after="0" w:line="86" w:lineRule="exact"/>
              <w:rPr>
                <w:sz w:val="20"/>
                <w:szCs w:val="20"/>
                <w:color w:val="auto"/>
              </w:rPr>
            </w:pPr>
            <w:r>
              <w:rPr>
                <w:rFonts w:ascii="Arial" w:cs="Arial" w:eastAsia="Arial" w:hAnsi="Arial"/>
                <w:sz w:val="8"/>
                <w:szCs w:val="8"/>
                <w:b w:val="1"/>
                <w:bCs w:val="1"/>
                <w:color w:val="auto"/>
              </w:rPr>
              <w:t>INCOME</w:t>
            </w:r>
          </w:p>
        </w:tc>
        <w:tc>
          <w:tcPr>
            <w:tcW w:w="2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Consumer &amp; Community Banking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5,169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4,425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4,516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4,046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4,210</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17</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23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9,594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9,041</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Commercial &amp; Investment Bank</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6,650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6,942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6,636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5,691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5,897</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(4)</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13,592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12,519</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Asset &amp; Wealth Management</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1,473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1,583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1,517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1,351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1,263</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3"/>
                <w:szCs w:val="13"/>
                <w:color w:val="auto"/>
              </w:rPr>
            </w:pPr>
          </w:p>
        </w:tc>
        <w:tc>
          <w:tcPr>
            <w:tcW w:w="42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3,056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2,553</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1,695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1,693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1,336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1,810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6,779</w:t>
            </w:r>
          </w:p>
        </w:tc>
        <w:tc>
          <w:tcPr>
            <w:tcW w:w="26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(75)</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3,388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7,455</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14,987</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14,643</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14,005</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12,898</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18,149</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4"/>
                <w:szCs w:val="14"/>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29,630</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31,568</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93"/>
        </w:trPr>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60" w:hanging="154"/>
        <w:spacing w:after="0" w:line="249" w:lineRule="auto"/>
        <w:tabs>
          <w:tab w:leader="none" w:pos="157" w:val="left"/>
        </w:tabs>
        <w:numPr>
          <w:ilvl w:val="0"/>
          <w:numId w:val="17"/>
        </w:numPr>
        <w:rPr>
          <w:rFonts w:ascii="Arial" w:cs="Arial" w:eastAsia="Arial" w:hAnsi="Arial"/>
          <w:sz w:val="11"/>
          <w:szCs w:val="11"/>
          <w:color w:val="auto"/>
        </w:rPr>
      </w:pPr>
      <w:r>
        <w:rPr>
          <w:rFonts w:ascii="Arial" w:cs="Arial" w:eastAsia="Arial" w:hAnsi="Arial"/>
          <w:sz w:val="11"/>
          <w:szCs w:val="11"/>
          <w:color w:val="auto"/>
        </w:rPr>
        <w:t>Effective April 1, 2025, the Firm refined the historical proxy time series inputs to one of its VaR models to more appropriately reflect the risk exposure from certain securitization warehousing loan positions. With this refined time series, the average Total VaR for the three months ended March 31, 2025, December 31, 2024, September 30, 2024 and June 30, 2024 would have been lower by $(5) million, $(5) million, $(4) million and $(1) million, respectively. Refer to Commercial &amp; Investment Bank VaR on page 19 for further information.</w:t>
      </w:r>
    </w:p>
    <w:p>
      <w:pPr>
        <w:ind w:left="160" w:right="160" w:hanging="154"/>
        <w:spacing w:after="0" w:line="265" w:lineRule="auto"/>
        <w:tabs>
          <w:tab w:leader="none" w:pos="157" w:val="left"/>
        </w:tabs>
        <w:numPr>
          <w:ilvl w:val="0"/>
          <w:numId w:val="17"/>
        </w:numPr>
        <w:rPr>
          <w:rFonts w:ascii="Arial" w:cs="Arial" w:eastAsia="Arial" w:hAnsi="Arial"/>
          <w:sz w:val="10"/>
          <w:szCs w:val="10"/>
          <w:color w:val="auto"/>
        </w:rPr>
      </w:pPr>
      <w:r>
        <w:rPr>
          <w:rFonts w:ascii="Arial" w:cs="Arial" w:eastAsia="Arial" w:hAnsi="Arial"/>
          <w:sz w:val="10"/>
          <w:szCs w:val="10"/>
          <w:color w:val="auto"/>
        </w:rPr>
        <w:t>Earnings-at-risk estimates the Firm’s interest rate exposure for a given interest rate scenario. It is presented as a sensitivity to a baseline, which includes net interest income and certain interest rate sensitive fees. The baseline reflects certain assumptions relating to the Federal Reserve’s balance sheet policy (e.g., quantitative tightening and usage at the Reverse Repurchase Facility) that require management judgment. The Firm’s actual net interest income for the rate shifts presented may differ as the earnings-at-risk scenarios are modelled as instantaneous shifts and exclude any actions that could be taken by the Firm or its clients and customers in response to instantaneous rate changes.</w:t>
      </w:r>
    </w:p>
    <w:p>
      <w:pPr>
        <w:ind w:left="160" w:right="80"/>
        <w:spacing w:after="0" w:line="238" w:lineRule="auto"/>
        <w:rPr>
          <w:rFonts w:ascii="Arial" w:cs="Arial" w:eastAsia="Arial" w:hAnsi="Arial"/>
          <w:sz w:val="10"/>
          <w:szCs w:val="10"/>
          <w:color w:val="auto"/>
        </w:rPr>
      </w:pPr>
      <w:r>
        <w:rPr>
          <w:rFonts w:ascii="Arial" w:cs="Arial" w:eastAsia="Arial" w:hAnsi="Arial"/>
          <w:sz w:val="11"/>
          <w:szCs w:val="11"/>
          <w:color w:val="auto"/>
        </w:rPr>
        <w:t>Other significant assumptions in the earnings-at-risk scenarios may also differ from actual results, including mortgage prepayments and deposits rates paid. Refer to pages 147-148 of the Firm’s Annual Report on Form 10-K for the year ended December 31, 2024 for additional information.</w:t>
      </w:r>
    </w:p>
    <w:p>
      <w:pPr>
        <w:ind w:left="160" w:right="100" w:hanging="154"/>
        <w:spacing w:after="0" w:line="241" w:lineRule="auto"/>
        <w:tabs>
          <w:tab w:leader="none" w:pos="151"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Reflects the simultaneous shift of U.S. dollar and non-U.S. dollar rates. At September 30, 2024 and June 30, 2024, represents the total of the Firm’s U.S. dollar and non-U.S. dollar sensitivities as presented in Structural interest rate risk management of the Firm’s Quarterly Reports on Form 10-Q for the respective periods.</w:t>
      </w:r>
    </w:p>
    <w:p>
      <w:pPr>
        <w:ind w:left="160" w:hanging="154"/>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Estimated.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3</w:t>
      </w:r>
    </w:p>
    <w:p>
      <w:pPr>
        <w:sectPr>
          <w:pgSz w:w="11900" w:h="16838" w:orient="portrait"/>
          <w:cols w:equalWidth="0" w:num="1">
            <w:col w:w="11240"/>
          </w:cols>
          <w:pgMar w:left="320" w:top="484"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-94615</wp:posOffset>
            </wp:positionV>
            <wp:extent cx="1371600" cy="193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OF INCOME</w:t>
      </w:r>
    </w:p>
    <w:p>
      <w:pPr>
        <w:ind w:left="20"/>
        <w:spacing w:after="0" w:line="232" w:lineRule="auto"/>
        <w:rPr>
          <w:sz w:val="20"/>
          <w:szCs w:val="20"/>
          <w:color w:val="auto"/>
        </w:rPr>
      </w:pPr>
      <w:r>
        <w:rPr>
          <w:rFonts w:ascii="Arial" w:cs="Arial" w:eastAsia="Arial" w:hAnsi="Arial"/>
          <w:sz w:val="11"/>
          <w:szCs w:val="11"/>
          <w:b w:val="1"/>
          <w:bCs w:val="1"/>
          <w:color w:val="auto"/>
        </w:rPr>
        <w:t>(in millions, except per share and ratio</w:t>
      </w:r>
    </w:p>
    <w:p>
      <w:pPr>
        <w:ind w:left="20"/>
        <w:spacing w:after="0"/>
        <w:rPr>
          <w:sz w:val="20"/>
          <w:szCs w:val="20"/>
          <w:color w:val="auto"/>
        </w:rPr>
      </w:pPr>
      <w:r>
        <w:rPr>
          <w:rFonts w:ascii="Arial" w:cs="Arial" w:eastAsia="Arial" w:hAnsi="Arial"/>
          <w:sz w:val="11"/>
          <w:szCs w:val="11"/>
          <w:b w:val="1"/>
          <w:bCs w:val="1"/>
          <w:color w:val="auto"/>
        </w:rPr>
        <w:t>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50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2Q25 Change</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19"/>
        </w:trPr>
        <w:tc>
          <w:tcPr>
            <w:tcW w:w="520" w:type="dxa"/>
            <w:vAlign w:val="bottom"/>
            <w:tcBorders>
              <w:bottom w:val="single" w:sz="8" w:color="auto"/>
            </w:tcBorders>
            <w:gridSpan w:val="2"/>
          </w:tcPr>
          <w:p>
            <w:pPr>
              <w:spacing w:after="0" w:line="120" w:lineRule="exact"/>
              <w:rPr>
                <w:sz w:val="20"/>
                <w:szCs w:val="20"/>
                <w:color w:val="auto"/>
              </w:rPr>
            </w:pPr>
            <w:r>
              <w:rPr>
                <w:rFonts w:ascii="Arial" w:cs="Arial" w:eastAsia="Arial" w:hAnsi="Arial"/>
                <w:sz w:val="11"/>
                <w:szCs w:val="11"/>
                <w:b w:val="1"/>
                <w:bCs w:val="1"/>
                <w:color w:val="auto"/>
                <w:w w:val="93"/>
              </w:rPr>
              <w:t>REVENUE</w:t>
            </w:r>
          </w:p>
        </w:tc>
        <w:tc>
          <w:tcPr>
            <w:tcW w:w="1640" w:type="dxa"/>
            <w:vAlign w:val="bottom"/>
            <w:gridSpan w:val="4"/>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2Q25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1Q25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4Q24</w:t>
            </w:r>
          </w:p>
        </w:tc>
        <w:tc>
          <w:tcPr>
            <w:tcW w:w="140" w:type="dxa"/>
            <w:vAlign w:val="bottom"/>
          </w:tcPr>
          <w:p>
            <w:pPr>
              <w:spacing w:after="0"/>
              <w:rPr>
                <w:sz w:val="10"/>
                <w:szCs w:val="10"/>
                <w:color w:val="auto"/>
              </w:rPr>
            </w:pP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3Q24</w:t>
            </w:r>
          </w:p>
        </w:tc>
        <w:tc>
          <w:tcPr>
            <w:tcW w:w="14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2Q24</w:t>
            </w:r>
          </w:p>
        </w:tc>
        <w:tc>
          <w:tcPr>
            <w:tcW w:w="240" w:type="dxa"/>
            <w:vAlign w:val="bottom"/>
          </w:tcPr>
          <w:p>
            <w:pPr>
              <w:spacing w:after="0"/>
              <w:rPr>
                <w:sz w:val="10"/>
                <w:szCs w:val="10"/>
                <w:color w:val="auto"/>
              </w:rPr>
            </w:pPr>
          </w:p>
        </w:tc>
        <w:tc>
          <w:tcPr>
            <w:tcW w:w="74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1Q25</w:t>
            </w:r>
          </w:p>
        </w:tc>
        <w:tc>
          <w:tcPr>
            <w:tcW w:w="92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2Q24</w:t>
            </w:r>
          </w:p>
        </w:tc>
        <w:tc>
          <w:tcPr>
            <w:tcW w:w="140" w:type="dxa"/>
            <w:vAlign w:val="bottom"/>
          </w:tcPr>
          <w:p>
            <w:pPr>
              <w:spacing w:after="0"/>
              <w:rPr>
                <w:sz w:val="10"/>
                <w:szCs w:val="10"/>
                <w:color w:val="auto"/>
              </w:rPr>
            </w:pPr>
          </w:p>
        </w:tc>
        <w:tc>
          <w:tcPr>
            <w:tcW w:w="54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2024</w:t>
            </w:r>
          </w:p>
        </w:tc>
        <w:tc>
          <w:tcPr>
            <w:tcW w:w="300" w:type="dxa"/>
            <w:vAlign w:val="bottom"/>
          </w:tcPr>
          <w:p>
            <w:pPr>
              <w:spacing w:after="0"/>
              <w:rPr>
                <w:sz w:val="10"/>
                <w:szCs w:val="10"/>
                <w:color w:val="auto"/>
              </w:rPr>
            </w:pPr>
          </w:p>
        </w:tc>
        <w:tc>
          <w:tcPr>
            <w:tcW w:w="740" w:type="dxa"/>
            <w:vAlign w:val="bottom"/>
          </w:tcPr>
          <w:p>
            <w:pPr>
              <w:jc w:val="right"/>
              <w:ind w:right="207"/>
              <w:spacing w:after="0" w:line="120" w:lineRule="exact"/>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
        </w:trPr>
        <w:tc>
          <w:tcPr>
            <w:tcW w:w="2160" w:type="dxa"/>
            <w:vAlign w:val="bottom"/>
            <w:gridSpan w:val="6"/>
            <w:vMerge w:val="restart"/>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60" w:type="dxa"/>
            <w:vAlign w:val="bottom"/>
            <w:gridSpan w:val="6"/>
            <w:vMerge w:val="continue"/>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2,499</w:t>
            </w:r>
          </w:p>
        </w:tc>
        <w:tc>
          <w:tcPr>
            <w:tcW w:w="22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2,178</w:t>
            </w:r>
          </w:p>
        </w:tc>
        <w:tc>
          <w:tcPr>
            <w:tcW w:w="24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2,421</w:t>
            </w:r>
          </w:p>
        </w:tc>
        <w:tc>
          <w:tcPr>
            <w:tcW w:w="18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2,231</w:t>
            </w:r>
          </w:p>
        </w:tc>
        <w:tc>
          <w:tcPr>
            <w:tcW w:w="20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2,304</w:t>
            </w:r>
          </w:p>
        </w:tc>
        <w:tc>
          <w:tcPr>
            <w:tcW w:w="2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15 %</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8 %</w:t>
            </w:r>
          </w:p>
        </w:tc>
        <w:tc>
          <w:tcPr>
            <w:tcW w:w="40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4,677</w:t>
            </w:r>
          </w:p>
        </w:tc>
        <w:tc>
          <w:tcPr>
            <w:tcW w:w="240" w:type="dxa"/>
            <w:vAlign w:val="bottom"/>
          </w:tcPr>
          <w:p>
            <w:pPr>
              <w:spacing w:after="0"/>
              <w:rPr>
                <w:sz w:val="11"/>
                <w:szCs w:val="11"/>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4,258</w:t>
            </w: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7,149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7,614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5,195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5,988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6,814</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14,763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13,604</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2,248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2,132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1,952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1,924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1,828</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4,380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3,730</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Asset management fees</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4,806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4,700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4,874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4,479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4,302</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9,506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8,448</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Commissions and other fees</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2,194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2,033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1,865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1,936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1,924</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4,227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3,729</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Investment securities losses</w:t>
            </w:r>
          </w:p>
        </w:tc>
        <w:tc>
          <w:tcPr>
            <w:tcW w:w="1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(54)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(92)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(547)</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(46)</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47"/>
              <w:spacing w:after="0"/>
              <w:rPr>
                <w:sz w:val="20"/>
                <w:szCs w:val="20"/>
                <w:color w:val="auto"/>
              </w:rPr>
            </w:pPr>
            <w:r>
              <w:rPr>
                <w:rFonts w:ascii="Arial" w:cs="Arial" w:eastAsia="Arial" w:hAnsi="Arial"/>
                <w:sz w:val="11"/>
                <w:szCs w:val="11"/>
                <w:color w:val="auto"/>
              </w:rPr>
              <w:t>(91)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(913)</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Mortgage fees and related income</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363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278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376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402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348</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641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623</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1,344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1,216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1,602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1,345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1,332</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2,560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2,550</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2160" w:type="dxa"/>
            <w:vAlign w:val="bottom"/>
            <w:gridSpan w:val="6"/>
          </w:tcPr>
          <w:p>
            <w:pPr>
              <w:spacing w:after="0"/>
              <w:rPr>
                <w:sz w:val="20"/>
                <w:szCs w:val="20"/>
                <w:color w:val="auto"/>
              </w:rPr>
            </w:pPr>
            <w:r>
              <w:rPr>
                <w:rFonts w:ascii="Arial" w:cs="Arial" w:eastAsia="Arial" w:hAnsi="Arial"/>
                <w:sz w:val="11"/>
                <w:szCs w:val="11"/>
                <w:color w:val="auto"/>
              </w:rPr>
              <w:t>Other income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1,154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1,923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1,225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960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9,149</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3,077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10,277</w:t>
            </w:r>
          </w:p>
        </w:tc>
        <w:tc>
          <w:tcPr>
            <w:tcW w:w="300" w:type="dxa"/>
            <w:vAlign w:val="bottom"/>
          </w:tcPr>
          <w:p>
            <w:pPr>
              <w:ind w:left="20"/>
              <w:spacing w:after="0"/>
              <w:rPr>
                <w:sz w:val="20"/>
                <w:szCs w:val="20"/>
                <w:color w:val="auto"/>
              </w:rPr>
            </w:pPr>
            <w:r>
              <w:rPr>
                <w:rFonts w:ascii="Arial" w:cs="Arial" w:eastAsia="Arial" w:hAnsi="Arial"/>
                <w:sz w:val="11"/>
                <w:szCs w:val="11"/>
                <w:color w:val="auto"/>
              </w:rPr>
              <w:t>(f)</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44"/>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21,703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22,037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19,418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19,249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27,454</w:t>
            </w:r>
          </w:p>
        </w:tc>
        <w:tc>
          <w:tcPr>
            <w:tcW w:w="240" w:type="dxa"/>
            <w:vAlign w:val="bottom"/>
          </w:tcPr>
          <w:p>
            <w:pPr>
              <w:spacing w:after="0"/>
              <w:rPr>
                <w:sz w:val="12"/>
                <w:szCs w:val="12"/>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43,740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46,306</w:t>
            </w:r>
          </w:p>
        </w:tc>
        <w:tc>
          <w:tcPr>
            <w:tcW w:w="300" w:type="dxa"/>
            <w:vAlign w:val="bottom"/>
          </w:tcPr>
          <w:p>
            <w:pPr>
              <w:spacing w:after="0"/>
              <w:rPr>
                <w:sz w:val="12"/>
                <w:szCs w:val="12"/>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5"/>
        </w:trPr>
        <w:tc>
          <w:tcPr>
            <w:tcW w:w="2160" w:type="dxa"/>
            <w:vAlign w:val="bottom"/>
            <w:gridSpan w:val="6"/>
          </w:tcPr>
          <w:p>
            <w:pPr>
              <w:spacing w:after="0"/>
              <w:rPr>
                <w:sz w:val="20"/>
                <w:szCs w:val="20"/>
                <w:color w:val="auto"/>
              </w:rPr>
            </w:pPr>
            <w:r>
              <w:rPr>
                <w:rFonts w:ascii="Arial" w:cs="Arial" w:eastAsia="Arial" w:hAnsi="Arial"/>
                <w:sz w:val="11"/>
                <w:szCs w:val="11"/>
                <w:color w:val="auto"/>
              </w:rPr>
              <w:t>Interest income</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48,241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46,853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47,566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50,416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48,513</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95,094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95,951</w:t>
            </w:r>
          </w:p>
        </w:tc>
        <w:tc>
          <w:tcPr>
            <w:tcW w:w="300" w:type="dxa"/>
            <w:vAlign w:val="bottom"/>
          </w:tcPr>
          <w:p>
            <w:pPr>
              <w:spacing w:after="0"/>
              <w:rPr>
                <w:sz w:val="13"/>
                <w:szCs w:val="13"/>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1"/>
        </w:trPr>
        <w:tc>
          <w:tcPr>
            <w:tcW w:w="2160" w:type="dxa"/>
            <w:vAlign w:val="bottom"/>
            <w:gridSpan w:val="6"/>
          </w:tcPr>
          <w:p>
            <w:pPr>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25,032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23,580</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24,216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27,011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25,767</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48,612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50,123</w:t>
            </w:r>
          </w:p>
        </w:tc>
        <w:tc>
          <w:tcPr>
            <w:tcW w:w="3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2"/>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interest income</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23,209</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23,273</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23,350</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23,405</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22,746</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46,482</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45,828</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4"/>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44,912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45,310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42,768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42,654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50,200</w:t>
            </w:r>
          </w:p>
        </w:tc>
        <w:tc>
          <w:tcPr>
            <w:tcW w:w="240" w:type="dxa"/>
            <w:vAlign w:val="bottom"/>
          </w:tcPr>
          <w:p>
            <w:pPr>
              <w:spacing w:after="0"/>
              <w:rPr>
                <w:sz w:val="12"/>
                <w:szCs w:val="12"/>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90,222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92,134</w:t>
            </w:r>
          </w:p>
        </w:tc>
        <w:tc>
          <w:tcPr>
            <w:tcW w:w="300" w:type="dxa"/>
            <w:vAlign w:val="bottom"/>
          </w:tcPr>
          <w:p>
            <w:pPr>
              <w:spacing w:after="0"/>
              <w:rPr>
                <w:sz w:val="12"/>
                <w:szCs w:val="12"/>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14"/>
        </w:trPr>
        <w:tc>
          <w:tcPr>
            <w:tcW w:w="216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2,849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3,305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3,111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3,052</w:t>
            </w:r>
          </w:p>
        </w:tc>
        <w:tc>
          <w:tcPr>
            <w:tcW w:w="240" w:type="dxa"/>
            <w:vAlign w:val="bottom"/>
          </w:tcPr>
          <w:p>
            <w:pPr>
              <w:spacing w:after="0"/>
              <w:rPr>
                <w:sz w:val="24"/>
                <w:szCs w:val="2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24"/>
                <w:szCs w:val="2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6,154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4,936</w:t>
            </w:r>
          </w:p>
        </w:tc>
        <w:tc>
          <w:tcPr>
            <w:tcW w:w="30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97"/>
        </w:trPr>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5"/>
              </w:rPr>
              <w:t>NONINTEREST EXPENSE</w:t>
            </w:r>
          </w:p>
        </w:tc>
        <w:tc>
          <w:tcPr>
            <w:tcW w:w="8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60" w:type="dxa"/>
            <w:vAlign w:val="bottom"/>
            <w:gridSpan w:val="6"/>
          </w:tcPr>
          <w:p>
            <w:pPr>
              <w:spacing w:after="0"/>
              <w:rPr>
                <w:sz w:val="20"/>
                <w:szCs w:val="20"/>
                <w:color w:val="auto"/>
              </w:rPr>
            </w:pPr>
            <w:r>
              <w:rPr>
                <w:rFonts w:ascii="Arial" w:cs="Arial" w:eastAsia="Arial" w:hAnsi="Arial"/>
                <w:sz w:val="11"/>
                <w:szCs w:val="11"/>
                <w:color w:val="auto"/>
              </w:rPr>
              <w:t>Compensation expense</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13,710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14,093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12,469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12,817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12,953</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27,803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26,071</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Occupancy expense</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1,264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1,302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1,309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1,258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1,248</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2,566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2,459</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5"/>
        </w:trPr>
        <w:tc>
          <w:tcPr>
            <w:tcW w:w="2160" w:type="dxa"/>
            <w:vAlign w:val="bottom"/>
            <w:gridSpan w:val="6"/>
          </w:tcPr>
          <w:p>
            <w:pPr>
              <w:spacing w:after="0" w:line="125" w:lineRule="exact"/>
              <w:rPr>
                <w:sz w:val="20"/>
                <w:szCs w:val="20"/>
                <w:color w:val="auto"/>
              </w:rPr>
            </w:pPr>
            <w:r>
              <w:rPr>
                <w:rFonts w:ascii="Arial" w:cs="Arial" w:eastAsia="Arial" w:hAnsi="Arial"/>
                <w:sz w:val="11"/>
                <w:szCs w:val="11"/>
                <w:color w:val="auto"/>
                <w:w w:val="98"/>
              </w:rPr>
              <w:t>Technology, communications and equipment</w:t>
            </w:r>
          </w:p>
        </w:tc>
        <w:tc>
          <w:tcPr>
            <w:tcW w:w="14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2,704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2,578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2,516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2,447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2,447</w:t>
            </w:r>
          </w:p>
        </w:tc>
        <w:tc>
          <w:tcPr>
            <w:tcW w:w="24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5,282</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4,868</w:t>
            </w:r>
          </w:p>
        </w:tc>
        <w:tc>
          <w:tcPr>
            <w:tcW w:w="300" w:type="dxa"/>
            <w:vAlign w:val="bottom"/>
          </w:tcPr>
          <w:p>
            <w:pPr>
              <w:spacing w:after="0"/>
              <w:rPr>
                <w:sz w:val="10"/>
                <w:szCs w:val="10"/>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0"/>
        </w:trPr>
        <w:tc>
          <w:tcPr>
            <w:tcW w:w="2160" w:type="dxa"/>
            <w:vAlign w:val="bottom"/>
            <w:gridSpan w:val="6"/>
          </w:tcPr>
          <w:p>
            <w:pPr>
              <w:spacing w:after="0"/>
              <w:rPr>
                <w:sz w:val="20"/>
                <w:szCs w:val="20"/>
                <w:color w:val="auto"/>
              </w:rPr>
            </w:pPr>
            <w:r>
              <w:rPr>
                <w:rFonts w:ascii="Arial" w:cs="Arial" w:eastAsia="Arial" w:hAnsi="Arial"/>
                <w:sz w:val="11"/>
                <w:szCs w:val="11"/>
                <w:color w:val="auto"/>
              </w:rPr>
              <w:t>expense</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Professional and outside services</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3,006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2,839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3,007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2,780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2,722</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5,845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5,270</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Marketing</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1,279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1,304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1,335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1,258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1,221</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2,583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2,381</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1"/>
        </w:trPr>
        <w:tc>
          <w:tcPr>
            <w:tcW w:w="2160" w:type="dxa"/>
            <w:vAlign w:val="bottom"/>
            <w:gridSpan w:val="6"/>
          </w:tcPr>
          <w:p>
            <w:pPr>
              <w:spacing w:after="0"/>
              <w:rPr>
                <w:sz w:val="20"/>
                <w:szCs w:val="20"/>
                <w:color w:val="auto"/>
              </w:rPr>
            </w:pPr>
            <w:r>
              <w:rPr>
                <w:rFonts w:ascii="Arial" w:cs="Arial" w:eastAsia="Arial" w:hAnsi="Arial"/>
                <w:sz w:val="11"/>
                <w:szCs w:val="11"/>
                <w:color w:val="auto"/>
              </w:rPr>
              <w:t>Other expense (a)</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1,816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1,481</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2,126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2,005</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3,122</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(42)</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3,297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5,421</w:t>
            </w:r>
          </w:p>
        </w:tc>
        <w:tc>
          <w:tcPr>
            <w:tcW w:w="300" w:type="dxa"/>
            <w:vAlign w:val="bottom"/>
          </w:tcPr>
          <w:p>
            <w:pPr>
              <w:ind w:left="20"/>
              <w:spacing w:after="0"/>
              <w:rPr>
                <w:sz w:val="20"/>
                <w:szCs w:val="20"/>
                <w:color w:val="auto"/>
              </w:rPr>
            </w:pPr>
            <w:r>
              <w:rPr>
                <w:rFonts w:ascii="Arial" w:cs="Arial" w:eastAsia="Arial" w:hAnsi="Arial"/>
                <w:sz w:val="11"/>
                <w:szCs w:val="11"/>
                <w:color w:val="auto"/>
                <w:w w:val="96"/>
              </w:rPr>
              <w:t>(e)(g)</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2"/>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23,779</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23,597</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22,762</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22,565</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23,713</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47,376</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46,470</w:t>
            </w:r>
          </w:p>
        </w:tc>
        <w:tc>
          <w:tcPr>
            <w:tcW w:w="30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4"/>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18,284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18,408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17,375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16,978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23,435</w:t>
            </w:r>
          </w:p>
        </w:tc>
        <w:tc>
          <w:tcPr>
            <w:tcW w:w="240" w:type="dxa"/>
            <w:vAlign w:val="bottom"/>
          </w:tcPr>
          <w:p>
            <w:pPr>
              <w:spacing w:after="0"/>
              <w:rPr>
                <w:sz w:val="12"/>
                <w:szCs w:val="12"/>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36,692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40,728</w:t>
            </w:r>
          </w:p>
        </w:tc>
        <w:tc>
          <w:tcPr>
            <w:tcW w:w="300" w:type="dxa"/>
            <w:vAlign w:val="bottom"/>
          </w:tcPr>
          <w:p>
            <w:pPr>
              <w:spacing w:after="0"/>
              <w:rPr>
                <w:sz w:val="12"/>
                <w:szCs w:val="12"/>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7"/>
        </w:trPr>
        <w:tc>
          <w:tcPr>
            <w:tcW w:w="2160" w:type="dxa"/>
            <w:vAlign w:val="bottom"/>
            <w:gridSpan w:val="6"/>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3,297</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3,765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3,370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4,080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5,286</w:t>
            </w:r>
          </w:p>
        </w:tc>
        <w:tc>
          <w:tcPr>
            <w:tcW w:w="24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(38)</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7,062</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9,160</w:t>
            </w:r>
          </w:p>
        </w:tc>
        <w:tc>
          <w:tcPr>
            <w:tcW w:w="3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6"/>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14,987</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14,643</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14,005</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12,898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18,149</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29,630</w:t>
            </w: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31,568</w:t>
            </w:r>
          </w:p>
        </w:tc>
        <w:tc>
          <w:tcPr>
            <w:tcW w:w="3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424"/>
        </w:trPr>
        <w:tc>
          <w:tcPr>
            <w:tcW w:w="2160" w:type="dxa"/>
            <w:vAlign w:val="bottom"/>
            <w:gridSpan w:val="6"/>
          </w:tcPr>
          <w:p>
            <w:pPr>
              <w:spacing w:after="0"/>
              <w:rPr>
                <w:sz w:val="20"/>
                <w:szCs w:val="20"/>
                <w:color w:val="auto"/>
              </w:rPr>
            </w:pPr>
            <w:r>
              <w:rPr>
                <w:rFonts w:ascii="Arial" w:cs="Arial" w:eastAsia="Arial" w:hAnsi="Arial"/>
                <w:sz w:val="11"/>
                <w:szCs w:val="11"/>
                <w:b w:val="1"/>
                <w:bCs w:val="1"/>
                <w:color w:val="auto"/>
              </w:rPr>
              <w:t>NET INCOME PER COMMON SHARE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840" w:type="dxa"/>
            <w:vAlign w:val="bottom"/>
            <w:tcBorders>
              <w:top w:val="single" w:sz="8" w:color="auto"/>
            </w:tcBorders>
            <w:gridSpan w:val="5"/>
          </w:tcPr>
          <w:p>
            <w:pPr>
              <w:spacing w:after="0" w:line="86" w:lineRule="exact"/>
              <w:rPr>
                <w:sz w:val="20"/>
                <w:szCs w:val="20"/>
                <w:color w:val="auto"/>
              </w:rPr>
            </w:pPr>
            <w:r>
              <w:rPr>
                <w:rFonts w:ascii="Arial" w:cs="Arial" w:eastAsia="Arial" w:hAnsi="Arial"/>
                <w:sz w:val="8"/>
                <w:szCs w:val="8"/>
                <w:b w:val="1"/>
                <w:bCs w:val="1"/>
                <w:color w:val="auto"/>
              </w:rPr>
              <w:t>DATA</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60" w:type="dxa"/>
            <w:vAlign w:val="bottom"/>
            <w:gridSpan w:val="6"/>
          </w:tcPr>
          <w:p>
            <w:pPr>
              <w:spacing w:after="0"/>
              <w:rPr>
                <w:sz w:val="20"/>
                <w:szCs w:val="20"/>
                <w:color w:val="auto"/>
              </w:rPr>
            </w:pPr>
            <w:r>
              <w:rPr>
                <w:rFonts w:ascii="Arial" w:cs="Arial" w:eastAsia="Arial" w:hAnsi="Arial"/>
                <w:sz w:val="11"/>
                <w:szCs w:val="11"/>
                <w:color w:val="auto"/>
              </w:rPr>
              <w:t>Basic earnings per share</w:t>
            </w: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5.25</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5.08</w:t>
            </w: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4.82</w:t>
            </w:r>
          </w:p>
        </w:tc>
        <w:tc>
          <w:tcPr>
            <w:tcW w:w="18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4.38</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6.13</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10.32</w:t>
            </w:r>
          </w:p>
        </w:tc>
        <w:tc>
          <w:tcPr>
            <w:tcW w:w="240" w:type="dxa"/>
            <w:vAlign w:val="bottom"/>
          </w:tcPr>
          <w:p>
            <w:pPr>
              <w:spacing w:after="0"/>
              <w:rPr>
                <w:sz w:val="13"/>
                <w:szCs w:val="13"/>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10.58</w:t>
            </w:r>
          </w:p>
        </w:tc>
        <w:tc>
          <w:tcPr>
            <w:tcW w:w="300" w:type="dxa"/>
            <w:vAlign w:val="bottom"/>
          </w:tcPr>
          <w:p>
            <w:pPr>
              <w:spacing w:after="0"/>
              <w:rPr>
                <w:sz w:val="13"/>
                <w:szCs w:val="13"/>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Diluted earnings per share</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5.24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5.07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4.81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4.37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6.12</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10.31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10.56</w:t>
            </w:r>
          </w:p>
        </w:tc>
        <w:tc>
          <w:tcPr>
            <w:tcW w:w="300" w:type="dxa"/>
            <w:vAlign w:val="bottom"/>
          </w:tcPr>
          <w:p>
            <w:pPr>
              <w:spacing w:after="0"/>
              <w:rPr>
                <w:sz w:val="13"/>
                <w:szCs w:val="13"/>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97"/>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4"/>
              </w:rPr>
              <w:t>FINANCIAL RATIOS</w:t>
            </w:r>
          </w:p>
        </w:tc>
        <w:tc>
          <w:tcPr>
            <w:tcW w:w="1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60" w:type="dxa"/>
            <w:vAlign w:val="bottom"/>
            <w:gridSpan w:val="6"/>
          </w:tcPr>
          <w:p>
            <w:pPr>
              <w:spacing w:after="0"/>
              <w:rPr>
                <w:sz w:val="20"/>
                <w:szCs w:val="20"/>
                <w:color w:val="auto"/>
              </w:rPr>
            </w:pPr>
            <w:r>
              <w:rPr>
                <w:rFonts w:ascii="Arial" w:cs="Arial" w:eastAsia="Arial" w:hAnsi="Arial"/>
                <w:sz w:val="11"/>
                <w:szCs w:val="11"/>
                <w:color w:val="auto"/>
              </w:rPr>
              <w:t>Return on common equity (b)</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18 %</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18 %</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17 %</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23 %</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18 %</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20 %</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Return on tangible common equity (b)(c)</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25</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Return on assets (b)</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1.40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1.79</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1.58</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Effective income tax rate</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18.0</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20.5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24.0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22.6</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19.2</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22.5</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gridSpan w:val="6"/>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50</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3798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60" w:right="400" w:hanging="154"/>
        <w:spacing w:after="0" w:line="245" w:lineRule="auto"/>
        <w:tabs>
          <w:tab w:leader="none" w:pos="157"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Included Firmwide legal expense of $118 million, $121 million, $236 million, $259 million and $317 million for the three months ended June 30, 2025, March 31, 2025, December 31, 2024, September 30, 2024 and June 30, 2024, respectively, and $239 million and $245 million for the six months ended June 30, 2025 and June 30, 2024 respectively.</w:t>
      </w:r>
    </w:p>
    <w:p>
      <w:pPr>
        <w:ind w:left="160" w:hanging="154"/>
        <w:spacing w:after="0" w:line="231" w:lineRule="auto"/>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Ratios are based upon annualized amounts.</w:t>
      </w:r>
    </w:p>
    <w:p>
      <w:pPr>
        <w:ind w:left="160" w:hanging="154"/>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Refer to page 28 for a further discussion of ROTCE.</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Included a $774 million income tax benefit in Corporate driven by the resolution of certain tax audits and the impact of tax regulations finalized in 2024 related to foreign currency translation gains and losses.</w:t>
      </w:r>
    </w:p>
    <w:p>
      <w:pPr>
        <w:spacing w:after="0" w:line="6" w:lineRule="exact"/>
        <w:rPr>
          <w:rFonts w:ascii="Arial" w:cs="Arial" w:eastAsia="Arial" w:hAnsi="Arial"/>
          <w:sz w:val="11"/>
          <w:szCs w:val="11"/>
          <w:color w:val="auto"/>
        </w:rPr>
      </w:pPr>
    </w:p>
    <w:p>
      <w:pPr>
        <w:ind w:left="160" w:right="120" w:hanging="154"/>
        <w:spacing w:after="0" w:line="238" w:lineRule="auto"/>
        <w:tabs>
          <w:tab w:leader="none" w:pos="157"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Included an FDIC special assessment accrual release of $323 million for the three months ended March 31, 2025, and an accrual increase of $725 million for the three months ended March 31, 2024. Refer to Note 6 on page 228 of the Firm’s 2024 Form 10-K for additional information.</w:t>
      </w:r>
    </w:p>
    <w:p>
      <w:pPr>
        <w:ind w:left="160" w:hanging="154"/>
        <w:spacing w:after="0" w:line="231" w:lineRule="auto"/>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Included a $7.9 billion net gain related to Visa shares. Refer to footnote (h) on page 2 for further information.</w:t>
      </w:r>
    </w:p>
    <w:p>
      <w:pPr>
        <w:ind w:left="160" w:hanging="154"/>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Included a $1.0 billion contribution of Visa shares to the JPMorgan Chase Foundation.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4</w:t>
      </w:r>
    </w:p>
    <w:p>
      <w:pPr>
        <w:sectPr>
          <w:pgSz w:w="11900" w:h="16838" w:orient="portrait"/>
          <w:cols w:equalWidth="0" w:num="1">
            <w:col w:w="11240"/>
          </w:cols>
          <w:pgMar w:left="320" w:top="484"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-46355</wp:posOffset>
            </wp:positionV>
            <wp:extent cx="1371600" cy="193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ind w:right="267"/>
              <w:spacing w:after="0"/>
              <w:rPr>
                <w:sz w:val="20"/>
                <w:szCs w:val="20"/>
                <w:color w:val="auto"/>
              </w:rPr>
            </w:pPr>
            <w:r>
              <w:rPr>
                <w:rFonts w:ascii="Arial" w:cs="Arial" w:eastAsia="Arial" w:hAnsi="Arial"/>
                <w:sz w:val="11"/>
                <w:szCs w:val="11"/>
                <w:b w:val="1"/>
                <w:bCs w:val="1"/>
                <w:color w:val="auto"/>
              </w:rPr>
              <w:t>Jun 30, 2025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b w:val="1"/>
                <w:bCs w:val="1"/>
                <w:color w:val="auto"/>
              </w:rPr>
              <w:t>Jun 30,</w:t>
            </w:r>
          </w:p>
        </w:tc>
        <w:tc>
          <w:tcPr>
            <w:tcW w:w="22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Mar 31,</w:t>
            </w:r>
          </w:p>
        </w:tc>
        <w:tc>
          <w:tcPr>
            <w:tcW w:w="540" w:type="dxa"/>
            <w:vAlign w:val="bottom"/>
          </w:tcPr>
          <w:p>
            <w:pPr>
              <w:jc w:val="right"/>
              <w:ind w:right="27"/>
              <w:spacing w:after="0"/>
              <w:rPr>
                <w:sz w:val="20"/>
                <w:szCs w:val="20"/>
                <w:color w:val="auto"/>
              </w:rPr>
            </w:pPr>
            <w:r>
              <w:rPr>
                <w:rFonts w:ascii="Arial" w:cs="Arial" w:eastAsia="Arial" w:hAnsi="Arial"/>
                <w:sz w:val="11"/>
                <w:szCs w:val="11"/>
                <w:b w:val="1"/>
                <w:bCs w:val="1"/>
                <w:color w:val="auto"/>
              </w:rPr>
              <w:t>Jun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00" w:type="dxa"/>
            <w:vAlign w:val="bottom"/>
            <w:gridSpan w:val="4"/>
          </w:tcPr>
          <w:p>
            <w:pPr>
              <w:spacing w:after="0" w:line="106" w:lineRule="exact"/>
              <w:rPr>
                <w:sz w:val="20"/>
                <w:szCs w:val="20"/>
                <w:color w:val="auto"/>
              </w:rPr>
            </w:pPr>
            <w:r>
              <w:rPr>
                <w:rFonts w:ascii="Arial" w:cs="Arial" w:eastAsia="Arial" w:hAnsi="Arial"/>
                <w:sz w:val="11"/>
                <w:szCs w:val="11"/>
                <w:b w:val="1"/>
                <w:bCs w:val="1"/>
                <w:color w:val="auto"/>
              </w:rPr>
              <w:t>ASSETS</w:t>
            </w: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Cash and due from banks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23,759</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22,066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23,372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22,896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27,265</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8 %</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396,568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403,837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445,945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411,364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503,554</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Federal funds sold and securities purchased under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resale agreements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470,589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429,506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295,001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390,821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392,763</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223,976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238,702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219,546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252,434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199,062</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Trading assets: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829,510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814,664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576,817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734,928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679,209</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Derivative receivables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60,346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60,539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60,967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52,561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54,673</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Available-for-sale (“AFS”) securities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485,380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399,363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406,852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334,548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266,252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Held-to-maturity (”HTM”) securities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260,559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265,084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274,468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299,954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323,746</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00" w:type="dxa"/>
            <w:vAlign w:val="bottom"/>
            <w:gridSpan w:val="4"/>
          </w:tcPr>
          <w:p>
            <w:pPr>
              <w:ind w:left="120"/>
              <w:spacing w:after="0" w:line="93" w:lineRule="exact"/>
              <w:rPr>
                <w:sz w:val="20"/>
                <w:szCs w:val="20"/>
                <w:color w:val="auto"/>
              </w:rPr>
            </w:pPr>
            <w:r>
              <w:rPr>
                <w:rFonts w:ascii="Arial" w:cs="Arial" w:eastAsia="Arial" w:hAnsi="Arial"/>
                <w:sz w:val="10"/>
                <w:szCs w:val="10"/>
                <w:b w:val="1"/>
                <w:bCs w:val="1"/>
                <w:color w:val="auto"/>
              </w:rPr>
              <w:t>Investment securities, net of allowance for credit</w:t>
            </w:r>
          </w:p>
        </w:tc>
        <w:tc>
          <w:tcPr>
            <w:tcW w:w="80" w:type="dxa"/>
            <w:vAlign w:val="bottom"/>
          </w:tcPr>
          <w:p>
            <w:pPr>
              <w:spacing w:after="0"/>
              <w:rPr>
                <w:sz w:val="8"/>
                <w:szCs w:val="8"/>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745,939</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664,447</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681,320</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634,502</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589,998</w:t>
            </w:r>
          </w:p>
        </w:tc>
        <w:tc>
          <w:tcPr>
            <w:tcW w:w="74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losses</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1,411,992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1,355,695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1,347,988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1,340,011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1,320,700</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Less: Allowance for loan losses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24,953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25,208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24,345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23,949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22,991</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Loans, net of allowance for loan losses</w:t>
            </w: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1,387,039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1,330,487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1,323,643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1,316,062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1,297,709</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Accrued interest and accounts receivable</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124,463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117,845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101,223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122,565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135,692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Premises and equipment</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33,562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32,811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32,223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31,525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30,582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Goodwill, MSRs and other intangible assets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64,465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64,525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64,560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64,455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64,525</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Other assets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192,266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178,427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178,197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175,935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167,971</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4,552,482</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4,357,856</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4,002,814</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4,210,048</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4,143,003</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4"/>
          </w:tcPr>
          <w:p>
            <w:pPr>
              <w:spacing w:after="0"/>
              <w:rPr>
                <w:sz w:val="20"/>
                <w:szCs w:val="20"/>
                <w:color w:val="auto"/>
              </w:rPr>
            </w:pPr>
            <w:r>
              <w:rPr>
                <w:rFonts w:ascii="Arial" w:cs="Arial" w:eastAsia="Arial" w:hAnsi="Arial"/>
                <w:sz w:val="11"/>
                <w:szCs w:val="11"/>
                <w:b w:val="1"/>
                <w:bCs w:val="1"/>
                <w:color w:val="auto"/>
              </w:rPr>
              <w:t>LIABILITIES</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Deposits</w:t>
            </w:r>
          </w:p>
        </w:tc>
        <w:tc>
          <w:tcPr>
            <w:tcW w:w="2000" w:type="dxa"/>
            <w:vAlign w:val="bottom"/>
            <w:gridSpan w:val="2"/>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2,562,380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2,495,877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2,406,032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2,430,772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2,396,530</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w w:val="97"/>
              </w:rPr>
              <w:t>Federal funds purchased and securities loaned or sold</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under repurchase agreements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595,340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533,046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296,835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389,337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400,832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65,293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64,980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52,893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50,638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47,308</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Trading liabilities: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173,292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149,871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153,222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204,593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206,018</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Derivative payables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48,110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37,232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39,661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38,665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34,818</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Accounts payable and other liabilities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303,641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293,538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280,672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314,356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295,813</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27,700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24,668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27,323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25,694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27,104</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Long-term debt</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419,802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407,224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401,418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410,157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394,028</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LIABILITIES</w:t>
            </w: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4,195,558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w w:val="89"/>
              </w:rPr>
              <w:t>4,006,436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w w:val="89"/>
              </w:rPr>
              <w:t>3,658,056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w w:val="89"/>
              </w:rPr>
              <w:t>3,864,212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w w:val="89"/>
              </w:rPr>
              <w:t>3,802,451</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Arial" w:cs="Arial" w:eastAsia="Arial" w:hAnsi="Arial"/>
                <w:sz w:val="11"/>
                <w:szCs w:val="11"/>
                <w:b w:val="1"/>
                <w:bCs w:val="1"/>
                <w:color w:val="auto"/>
              </w:rPr>
              <w:t>STOCKHOLDERS’ EQUITY</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Preferred stock</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20,045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20,045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20,050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21,650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23,900</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Common stock</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Additional paid-in capital</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90,576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90,223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90,911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90,638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90,328</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Retained earnings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397,424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386,616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376,166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365,966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356,924</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Accumulated other comprehensive loss (“AOCI”)</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(7,243)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(9,111)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(12,456)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(6,784)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(11,338)</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Treasury stock, at cost</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(147,983)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(140,458)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(134,018)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(129,739)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(123,367)</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356,924</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351,420</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344,758</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345,836</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340,552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00" w:type="dxa"/>
            <w:vAlign w:val="bottom"/>
            <w:gridSpan w:val="4"/>
          </w:tcPr>
          <w:p>
            <w:pPr>
              <w:ind w:left="120"/>
              <w:spacing w:after="0" w:line="93" w:lineRule="exact"/>
              <w:rPr>
                <w:sz w:val="20"/>
                <w:szCs w:val="20"/>
                <w:color w:val="auto"/>
              </w:rPr>
            </w:pPr>
            <w:r>
              <w:rPr>
                <w:rFonts w:ascii="Arial" w:cs="Arial" w:eastAsia="Arial" w:hAnsi="Arial"/>
                <w:sz w:val="10"/>
                <w:szCs w:val="10"/>
                <w:b w:val="1"/>
                <w:bCs w:val="1"/>
                <w:color w:val="auto"/>
              </w:rPr>
              <w:t>TOTAL LIABILITIES AND STOCKHOLDERS’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4,552,482</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89"/>
              </w:rPr>
              <w:t>4,357,856</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89"/>
              </w:rPr>
              <w:t>4,002,814</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89"/>
              </w:rPr>
              <w:t>4,210,048</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89"/>
              </w:rPr>
              <w:t>4,143,003</w:t>
            </w:r>
          </w:p>
        </w:tc>
        <w:tc>
          <w:tcPr>
            <w:tcW w:w="74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EQUITY</w:t>
            </w: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5</w:t>
      </w:r>
    </w:p>
    <w:p>
      <w:pPr>
        <w:sectPr>
          <w:pgSz w:w="11900" w:h="16838" w:orient="portrait"/>
          <w:cols w:equalWidth="0" w:num="1">
            <w:col w:w="11240"/>
          </w:cols>
          <w:pgMar w:left="320" w:top="484"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-3810</wp:posOffset>
            </wp:positionV>
            <wp:extent cx="1371600" cy="193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AVERAGE BALANCE SHEETS AND</w:t>
      </w:r>
    </w:p>
    <w:p>
      <w:pPr>
        <w:ind w:left="20"/>
        <w:spacing w:after="0"/>
        <w:rPr>
          <w:sz w:val="20"/>
          <w:szCs w:val="20"/>
          <w:color w:val="auto"/>
        </w:rPr>
      </w:pPr>
      <w:r>
        <w:rPr>
          <w:rFonts w:ascii="Arial" w:cs="Arial" w:eastAsia="Arial" w:hAnsi="Arial"/>
          <w:sz w:val="14"/>
          <w:szCs w:val="14"/>
          <w:b w:val="1"/>
          <w:bCs w:val="1"/>
          <w:color w:val="auto"/>
        </w:rPr>
        <w:t>ANNUALIZED YIELDS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ind w:right="40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1"/>
                <w:szCs w:val="11"/>
                <w:b w:val="1"/>
                <w:bCs w:val="1"/>
                <w:color w:val="auto"/>
              </w:rPr>
              <w:t>2Q25 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Borders>
              <w:bottom w:val="single" w:sz="8" w:color="auto"/>
            </w:tcBorders>
            <w:gridSpan w:val="2"/>
          </w:tcPr>
          <w:p>
            <w:pPr>
              <w:spacing w:after="0" w:line="120" w:lineRule="exact"/>
              <w:rPr>
                <w:sz w:val="20"/>
                <w:szCs w:val="20"/>
                <w:color w:val="auto"/>
              </w:rPr>
            </w:pPr>
            <w:r>
              <w:rPr>
                <w:rFonts w:ascii="Arial" w:cs="Arial" w:eastAsia="Arial" w:hAnsi="Arial"/>
                <w:sz w:val="11"/>
                <w:szCs w:val="11"/>
                <w:b w:val="1"/>
                <w:bCs w:val="1"/>
                <w:color w:val="auto"/>
                <w:w w:val="94"/>
              </w:rPr>
              <w:t>AVERAGE BALANCES</w:t>
            </w: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2Q25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1Q25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4Q24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3Q24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2Q24</w:t>
            </w:r>
          </w:p>
        </w:tc>
        <w:tc>
          <w:tcPr>
            <w:tcW w:w="220" w:type="dxa"/>
            <w:vAlign w:val="bottom"/>
          </w:tcPr>
          <w:p>
            <w:pPr>
              <w:spacing w:after="0"/>
              <w:rPr>
                <w:sz w:val="10"/>
                <w:szCs w:val="10"/>
                <w:color w:val="auto"/>
              </w:rPr>
            </w:pPr>
          </w:p>
        </w:tc>
        <w:tc>
          <w:tcPr>
            <w:tcW w:w="780" w:type="dxa"/>
            <w:vAlign w:val="bottom"/>
            <w:gridSpan w:val="2"/>
          </w:tcPr>
          <w:p>
            <w:pPr>
              <w:jc w:val="right"/>
              <w:ind w:right="360"/>
              <w:spacing w:after="0" w:line="120" w:lineRule="exact"/>
              <w:rPr>
                <w:sz w:val="20"/>
                <w:szCs w:val="20"/>
                <w:color w:val="auto"/>
              </w:rPr>
            </w:pPr>
            <w:r>
              <w:rPr>
                <w:rFonts w:ascii="Arial" w:cs="Arial" w:eastAsia="Arial" w:hAnsi="Arial"/>
                <w:sz w:val="11"/>
                <w:szCs w:val="11"/>
                <w:b w:val="1"/>
                <w:bCs w:val="1"/>
                <w:color w:val="auto"/>
              </w:rPr>
              <w:t>1Q25</w:t>
            </w:r>
          </w:p>
        </w:tc>
        <w:tc>
          <w:tcPr>
            <w:tcW w:w="96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2Q24</w:t>
            </w:r>
          </w:p>
        </w:tc>
        <w:tc>
          <w:tcPr>
            <w:tcW w:w="10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2024</w:t>
            </w:r>
          </w:p>
        </w:tc>
        <w:tc>
          <w:tcPr>
            <w:tcW w:w="960" w:type="dxa"/>
            <w:vAlign w:val="bottom"/>
            <w:gridSpan w:val="2"/>
          </w:tcPr>
          <w:p>
            <w:pPr>
              <w:jc w:val="right"/>
              <w:ind w:right="187"/>
              <w:spacing w:after="0" w:line="120" w:lineRule="exact"/>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ASSETS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405,213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446,044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448,992</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464,704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512,150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425,516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523,929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gridSpan w:val="3"/>
          </w:tcPr>
          <w:p>
            <w:pPr>
              <w:spacing w:after="0" w:line="125" w:lineRule="exact"/>
              <w:rPr>
                <w:sz w:val="20"/>
                <w:szCs w:val="20"/>
                <w:color w:val="auto"/>
              </w:rPr>
            </w:pPr>
            <w:r>
              <w:rPr>
                <w:rFonts w:ascii="Arial" w:cs="Arial" w:eastAsia="Arial" w:hAnsi="Arial"/>
                <w:sz w:val="11"/>
                <w:szCs w:val="11"/>
                <w:color w:val="auto"/>
              </w:rPr>
              <w:t>Federal funds sold and securities purchased under</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432,714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377,998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337,553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404,174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370,817</w:t>
            </w:r>
          </w:p>
        </w:tc>
        <w:tc>
          <w:tcPr>
            <w:tcW w:w="78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0"/>
                <w:szCs w:val="10"/>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17</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405,507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347,402</w:t>
            </w:r>
          </w:p>
        </w:tc>
        <w:tc>
          <w:tcPr>
            <w:tcW w:w="96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resale agreements</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234,024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241,003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232,500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217,716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195,877</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237,494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194,211</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562,967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495,143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452,091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496,176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452,933</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529,242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437,725</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727,651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664,970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661,361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622,835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580,044</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696,484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580,045</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1,380,726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1,339,391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1,339,378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1,325,440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1,313,085</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1,360,173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1,312,332</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All other interest-earning assets (a)</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102,687</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103,835</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100,085</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90,721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84,819</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103,258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81,976</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interest-earning assets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3,845,982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3,668,384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3,571,960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3,621,766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3,509,725</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3,757,674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3,477,620</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Trading assets - equity and other instruments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239,996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225,468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204,126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217,790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221,382</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232,772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206,082</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Trading assets - derivative receivables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57,601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59,099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58,643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54,575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57,175</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58,345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57,405</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All other noninterest-earning assets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294,039</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282,363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290,438</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282,877</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283,161</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288,233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278,933</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4,437,618</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4,235,314</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4,125,167</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4,177,008</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4,071,443</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4,337,024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4,020,040</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Arial" w:cs="Arial" w:eastAsia="Arial" w:hAnsi="Arial"/>
                <w:sz w:val="11"/>
                <w:szCs w:val="11"/>
                <w:b w:val="1"/>
                <w:bCs w:val="1"/>
                <w:color w:val="auto"/>
              </w:rPr>
              <w:t>LIABILITIES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1,902,337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1,842,888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1,793,337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1,749,353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1,722,856</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1,872,777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1,724,499</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Federal funds purchased and securities loaned or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558,043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465,203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358,508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425,795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375,371</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511,880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335,177</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55,059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49,291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41,346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40,234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38,234</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52,190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38,381</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gridSpan w:val="3"/>
          </w:tcPr>
          <w:p>
            <w:pPr>
              <w:spacing w:after="0" w:line="125" w:lineRule="exact"/>
              <w:rPr>
                <w:sz w:val="20"/>
                <w:szCs w:val="20"/>
                <w:color w:val="auto"/>
              </w:rPr>
            </w:pPr>
            <w:r>
              <w:rPr>
                <w:rFonts w:ascii="Arial" w:cs="Arial" w:eastAsia="Arial" w:hAnsi="Arial"/>
                <w:sz w:val="11"/>
                <w:szCs w:val="11"/>
                <w:color w:val="auto"/>
                <w:w w:val="96"/>
              </w:rPr>
              <w:t>Trading liabilities - debt and all other interest-bearing</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300,126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288,140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304,599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329,850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318,703</w:t>
            </w:r>
          </w:p>
        </w:tc>
        <w:tc>
          <w:tcPr>
            <w:tcW w:w="78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0"/>
                <w:szCs w:val="10"/>
                <w:color w:val="auto"/>
              </w:rPr>
            </w:pPr>
          </w:p>
        </w:tc>
        <w:tc>
          <w:tcPr>
            <w:tcW w:w="540" w:type="dxa"/>
            <w:vAlign w:val="bottom"/>
            <w:vMerge w:val="restart"/>
          </w:tcPr>
          <w:p>
            <w:pPr>
              <w:jc w:val="right"/>
              <w:ind w:right="6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294,166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310,849</w:t>
            </w:r>
          </w:p>
        </w:tc>
        <w:tc>
          <w:tcPr>
            <w:tcW w:w="96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liabilities (b)</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26,185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25,775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25,881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26,556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26,222</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25,981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26,815</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348,372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344,945</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346,485</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347,910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342,516</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346,668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341,464</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3,190,122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3,016,242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2,870,156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2,919,698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2,823,902</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3,103,662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2,777,185</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Noninterest-bearing deposits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602,777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587,417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623,654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633,957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648,327</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595,140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648,486</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Trading liabilities - equity and other instruments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44,159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37,671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36,228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32,739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30,456</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40,933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29,539</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Trading liabilities - derivative payables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40,865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41,087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40,621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39,936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37,538</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40,976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38,707</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All other noninterest-bearing liabilities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209,853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208,539</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216,082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206,376</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196,590</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209,198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194,694</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LIABILITIES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4,087,776</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3,890,956</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3,786,741</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3,832,706</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3,736,813</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3,989,909</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3,688,611</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Preferred stock</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20,013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22,408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25,867</w:t>
            </w:r>
          </w:p>
        </w:tc>
        <w:tc>
          <w:tcPr>
            <w:tcW w:w="22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20,029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26,910</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329,797</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324,345</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318,376</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321,894</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308,763</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327,086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304,519</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349,842</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344,358</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338,426</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344,302</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334,630</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347,115</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331,429</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00" w:type="dxa"/>
            <w:vAlign w:val="bottom"/>
            <w:gridSpan w:val="3"/>
          </w:tcPr>
          <w:p>
            <w:pPr>
              <w:ind w:left="120"/>
              <w:spacing w:after="0" w:line="93" w:lineRule="exact"/>
              <w:rPr>
                <w:sz w:val="20"/>
                <w:szCs w:val="20"/>
                <w:color w:val="auto"/>
              </w:rPr>
            </w:pPr>
            <w:r>
              <w:rPr>
                <w:rFonts w:ascii="Arial" w:cs="Arial" w:eastAsia="Arial" w:hAnsi="Arial"/>
                <w:sz w:val="10"/>
                <w:szCs w:val="10"/>
                <w:b w:val="1"/>
                <w:bCs w:val="1"/>
                <w:color w:val="auto"/>
              </w:rPr>
              <w:t>TOTAL LIABILITIES AND STOCKHOLDERS’</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4,437,618</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4,235,314</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4,125,167</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4,177,008</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7"/>
              </w:rPr>
              <w:t>4,071,443</w:t>
            </w:r>
          </w:p>
        </w:tc>
        <w:tc>
          <w:tcPr>
            <w:tcW w:w="78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4,337,024</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4,020,040</w:t>
            </w:r>
          </w:p>
        </w:tc>
        <w:tc>
          <w:tcPr>
            <w:tcW w:w="96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b w:val="1"/>
                <w:bCs w:val="1"/>
                <w:color w:val="auto"/>
              </w:rPr>
              <w:t>EQUITY</w:t>
            </w: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3"/>
              </w:rPr>
              <w:t>AVERAGE RATES (c)</w:t>
            </w:r>
          </w:p>
        </w:tc>
        <w:tc>
          <w:tcPr>
            <w:tcW w:w="14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1"/>
                <w:szCs w:val="11"/>
                <w:b w:val="1"/>
                <w:bCs w:val="1"/>
                <w:color w:val="auto"/>
              </w:rPr>
              <w:t>INTEREST-EARNING ASSETS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3.36</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3.76</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3.97</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4.59</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4.76</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3.57</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4.78</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gridSpan w:val="3"/>
          </w:tcPr>
          <w:p>
            <w:pPr>
              <w:spacing w:after="0" w:line="125" w:lineRule="exact"/>
              <w:rPr>
                <w:sz w:val="20"/>
                <w:szCs w:val="20"/>
                <w:color w:val="auto"/>
              </w:rPr>
            </w:pPr>
            <w:r>
              <w:rPr>
                <w:rFonts w:ascii="Arial" w:cs="Arial" w:eastAsia="Arial" w:hAnsi="Arial"/>
                <w:sz w:val="11"/>
                <w:szCs w:val="11"/>
                <w:color w:val="auto"/>
              </w:rPr>
              <w:t>Federal funds sold and securities purchased under</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4.24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4.52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4.76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5.14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5.23</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4.37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5.23</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resale agreements</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4.47</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4.50</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4.44</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4.41</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3.80</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7.03</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7.03</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All other interest-earning assets (a)(d)</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7.63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8.26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10.14</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10.18</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1"/>
                <w:szCs w:val="11"/>
                <w:b w:val="1"/>
                <w:bCs w:val="1"/>
                <w:color w:val="auto"/>
              </w:rPr>
              <w:t>Total interest-earning assets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5.57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5.56</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1"/>
                <w:szCs w:val="11"/>
                <w:b w:val="1"/>
                <w:bCs w:val="1"/>
                <w:color w:val="auto"/>
              </w:rPr>
              <w:t>INTEREST-BEARING LIABILITIES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2.90</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2.88</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Federal funds purchased and securities loaned or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5.47</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5.45</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5.38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5.27</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gridSpan w:val="3"/>
          </w:tcPr>
          <w:p>
            <w:pPr>
              <w:spacing w:after="0" w:line="125" w:lineRule="exact"/>
              <w:rPr>
                <w:sz w:val="20"/>
                <w:szCs w:val="20"/>
                <w:color w:val="auto"/>
              </w:rPr>
            </w:pPr>
            <w:r>
              <w:rPr>
                <w:rFonts w:ascii="Arial" w:cs="Arial" w:eastAsia="Arial" w:hAnsi="Arial"/>
                <w:sz w:val="11"/>
                <w:szCs w:val="11"/>
                <w:color w:val="auto"/>
                <w:w w:val="96"/>
              </w:rPr>
              <w:t>Trading liabilities - debt and all other interest-bearing</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3.04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2.94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3.09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3.17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3.29</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3.39</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liabilities (b)</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5.40</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5.37</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5.38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5.61</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5.53</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3.36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3.68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3.67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3.63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1"/>
                <w:szCs w:val="11"/>
                <w:b w:val="1"/>
                <w:bCs w:val="1"/>
                <w:color w:val="auto"/>
              </w:rPr>
              <w:t>INTEREST RATE SPREAD</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1.87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1.90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1.93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1"/>
                <w:szCs w:val="11"/>
                <w:b w:val="1"/>
                <w:bCs w:val="1"/>
                <w:color w:val="auto"/>
              </w:rPr>
              <w:t>NET YIELD ON INTEREST-EARNING ASSETS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2.58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2.58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2.62</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2.51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2.66</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Memo: Net yield on interest-earning assets</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3.71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3.80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3.79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3.86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3.86</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3.75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3.85</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excluding Markets (e)</w:t>
            </w: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right="360" w:hanging="154"/>
        <w:spacing w:after="0" w:line="245" w:lineRule="auto"/>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brokerage-related held-for-investment customer receivables, which are classified in accrued interest and accounts receivable, and all other interest-earning assets, which are classified in other assets, on the Consolidated Balance Sheets.</w:t>
      </w:r>
    </w:p>
    <w:p>
      <w:pPr>
        <w:ind w:left="240" w:hanging="234"/>
        <w:spacing w:after="0" w:line="206" w:lineRule="auto"/>
        <w:tabs>
          <w:tab w:leader="none" w:pos="2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All other interest-bearing liabilities include brokerage-related customer payables.</w:t>
      </w:r>
    </w:p>
    <w:p>
      <w:pPr>
        <w:ind w:left="240" w:hanging="234"/>
        <w:spacing w:after="0"/>
        <w:tabs>
          <w:tab w:leader="none" w:pos="2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the effect of derivatives that qualify for hedge accounting. Taxable-equivalent amounts are used where applicable. Refer to Note 5 of the Firm’s 2024 Form 10-K for additional information on hedge accounting.</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rates reflect the impact of interest earned on cash collateral where the cash collateral has been netted against certain derivative payables.</w:t>
      </w:r>
    </w:p>
    <w:p>
      <w:pPr>
        <w:spacing w:after="0" w:line="6" w:lineRule="exact"/>
        <w:rPr>
          <w:rFonts w:ascii="Arial" w:cs="Arial" w:eastAsia="Arial" w:hAnsi="Arial"/>
          <w:sz w:val="11"/>
          <w:szCs w:val="11"/>
          <w:color w:val="auto"/>
        </w:rPr>
      </w:pPr>
    </w:p>
    <w:p>
      <w:pPr>
        <w:ind w:left="260" w:hanging="254"/>
        <w:spacing w:after="0"/>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yield on interest-earning assets excluding Markets is a non-GAAP financial measure. Refer to page 28 for a further discussion of this measure.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6</w:t>
      </w:r>
    </w:p>
    <w:p>
      <w:pPr>
        <w:sectPr>
          <w:pgSz w:w="11900" w:h="16838" w:orient="portrait"/>
          <w:cols w:equalWidth="0" w:num="1">
            <w:col w:w="11240"/>
          </w:cols>
          <w:pgMar w:left="320" w:top="484"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-46355</wp:posOffset>
            </wp:positionV>
            <wp:extent cx="1371600" cy="193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FROM REPORTED TO MANAGED BASIS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w:t>
      </w:r>
    </w:p>
    <w:p>
      <w:pPr>
        <w:spacing w:after="0" w:line="271" w:lineRule="exact"/>
        <w:rPr>
          <w:sz w:val="20"/>
          <w:szCs w:val="20"/>
          <w:color w:val="auto"/>
        </w:rPr>
      </w:pPr>
    </w:p>
    <w:p>
      <w:pPr>
        <w:ind w:right="20"/>
        <w:spacing w:after="0" w:line="270" w:lineRule="auto"/>
        <w:rPr>
          <w:sz w:val="20"/>
          <w:szCs w:val="20"/>
          <w:color w:val="auto"/>
        </w:rPr>
      </w:pPr>
      <w:r>
        <w:rPr>
          <w:rFonts w:ascii="Arial" w:cs="Arial" w:eastAsia="Arial" w:hAnsi="Arial"/>
          <w:sz w:val="10"/>
          <w:szCs w:val="10"/>
          <w:color w:val="auto"/>
        </w:rPr>
        <w:t>The Firm prepares its Consolidated Financial Statements using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other companies’ U.S. GAAP financial statements. In addition to analyzing the Firm’s results on a reported basis,</w:t>
      </w:r>
    </w:p>
    <w:p>
      <w:pPr>
        <w:ind w:right="60"/>
        <w:spacing w:after="0" w:line="238" w:lineRule="auto"/>
        <w:rPr>
          <w:sz w:val="20"/>
          <w:szCs w:val="20"/>
          <w:color w:val="auto"/>
        </w:rPr>
      </w:pPr>
      <w:r>
        <w:rPr>
          <w:rFonts w:ascii="Arial" w:cs="Arial" w:eastAsia="Arial" w:hAnsi="Arial"/>
          <w:sz w:val="11"/>
          <w:szCs w:val="11"/>
          <w:color w:val="auto"/>
        </w:rPr>
        <w:t>management reviews Firmwide results, including the overhead ratio, on a “managed” basis; these Firmwide managed basis results are non-GAAP financial measures. The Firm also reviews the results of the lines of business on a managed basis. Refer to the notes on Non-GAAP Financial Measures on page 28 for additional information on managed basis.</w:t>
      </w: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summary table provides a reconciliation from reported U.S. GAAP results to managed basis.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w w:val="95"/>
              </w:rPr>
              <w:t>QUARTERLY TRENDS</w:t>
            </w: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367"/>
              <w:spacing w:after="0"/>
              <w:rPr>
                <w:sz w:val="20"/>
                <w:szCs w:val="20"/>
                <w:color w:val="auto"/>
              </w:rPr>
            </w:pPr>
            <w:r>
              <w:rPr>
                <w:rFonts w:ascii="Arial" w:cs="Arial" w:eastAsia="Arial" w:hAnsi="Arial"/>
                <w:sz w:val="11"/>
                <w:szCs w:val="11"/>
                <w:b w:val="1"/>
                <w:bCs w:val="1"/>
                <w:color w:val="auto"/>
              </w:rPr>
              <w:t>SIX MONTHS ENDED JUNE 30,</w:t>
            </w:r>
          </w:p>
        </w:tc>
      </w:tr>
      <w:tr>
        <w:trPr>
          <w:trHeight w:val="152"/>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2Q25 Change</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r>
      <w:tr>
        <w:trPr>
          <w:trHeight w:val="152"/>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1Q25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4Q24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3Q24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1Q25</w:t>
            </w:r>
          </w:p>
        </w:tc>
        <w:tc>
          <w:tcPr>
            <w:tcW w:w="10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2Q24</w:t>
            </w:r>
          </w:p>
        </w:tc>
        <w:tc>
          <w:tcPr>
            <w:tcW w:w="140" w:type="dxa"/>
            <w:vAlign w:val="bottom"/>
          </w:tcPr>
          <w:p>
            <w:pPr>
              <w:spacing w:after="0"/>
              <w:rPr>
                <w:sz w:val="13"/>
                <w:szCs w:val="13"/>
                <w:color w:val="auto"/>
              </w:rPr>
            </w:pPr>
          </w:p>
        </w:tc>
        <w:tc>
          <w:tcPr>
            <w:tcW w:w="440" w:type="dxa"/>
            <w:vAlign w:val="bottom"/>
          </w:tcPr>
          <w:p>
            <w:pPr>
              <w:jc w:val="right"/>
              <w:ind w:right="107"/>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98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2024</w:t>
            </w:r>
          </w:p>
        </w:tc>
      </w:tr>
      <w:tr>
        <w:trPr>
          <w:trHeight w:val="106"/>
        </w:trPr>
        <w:tc>
          <w:tcPr>
            <w:tcW w:w="2520" w:type="dxa"/>
            <w:vAlign w:val="bottom"/>
            <w:gridSpan w:val="7"/>
          </w:tcPr>
          <w:p>
            <w:pPr>
              <w:spacing w:after="0" w:line="106" w:lineRule="exact"/>
              <w:rPr>
                <w:sz w:val="20"/>
                <w:szCs w:val="20"/>
                <w:color w:val="auto"/>
              </w:rPr>
            </w:pPr>
            <w:r>
              <w:rPr>
                <w:rFonts w:ascii="Arial" w:cs="Arial" w:eastAsia="Arial" w:hAnsi="Arial"/>
                <w:sz w:val="11"/>
                <w:szCs w:val="11"/>
                <w:b w:val="1"/>
                <w:bCs w:val="1"/>
                <w:color w:val="auto"/>
              </w:rPr>
              <w:t>OTHER INCOME</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Other income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1,154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1,923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1,225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960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9,149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3,077</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10,277</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(70)%</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602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849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677</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1,170</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r>
      <w:tr>
        <w:trPr>
          <w:trHeight w:val="166"/>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Other income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1,817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2,525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2,074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1,501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9,826</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(82)</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4,342</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11,447</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(62)</w:t>
            </w:r>
          </w:p>
        </w:tc>
      </w:tr>
      <w:tr>
        <w:trPr>
          <w:trHeight w:val="265"/>
        </w:trPr>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4"/>
              </w:rPr>
              <w:t>TOTAL NONINTEREST REVENUE</w:t>
            </w:r>
          </w:p>
        </w:tc>
        <w:tc>
          <w:tcPr>
            <w:tcW w:w="840" w:type="dxa"/>
            <w:vAlign w:val="bottom"/>
            <w:gridSpan w:val="2"/>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Total noninterest revenue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21,703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22,037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19,418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19,249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27,454</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43,740</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46,306</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602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849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677</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1,170</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r>
      <w:tr>
        <w:trPr>
          <w:trHeight w:val="166"/>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Total noninterest revenue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22,366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22,639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20,267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19,790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28,131</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45,005</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47,476</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(5)</w:t>
            </w:r>
          </w:p>
        </w:tc>
      </w:tr>
      <w:tr>
        <w:trPr>
          <w:trHeight w:val="2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Net interest income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23,209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23,273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23,350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23,405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22,746</w:t>
            </w:r>
          </w:p>
        </w:tc>
        <w:tc>
          <w:tcPr>
            <w:tcW w:w="3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46,482</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45,828</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115</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236</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(12)</w:t>
            </w:r>
          </w:p>
        </w:tc>
      </w:tr>
      <w:tr>
        <w:trPr>
          <w:trHeight w:val="1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Net interest income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23,314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23,375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23,471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23,525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22,861</w:t>
            </w:r>
          </w:p>
        </w:tc>
        <w:tc>
          <w:tcPr>
            <w:tcW w:w="3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46,689</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46,064</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r>
      <w:tr>
        <w:trPr>
          <w:trHeight w:val="265"/>
        </w:trPr>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4"/>
              </w:rPr>
              <w:t>TOTAL NET REVENUE</w:t>
            </w:r>
          </w:p>
        </w:tc>
        <w:tc>
          <w:tcPr>
            <w:tcW w:w="1380" w:type="dxa"/>
            <w:vAlign w:val="bottom"/>
            <w:gridSpan w:val="4"/>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Total net revenue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44,912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45,310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42,768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42,654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50,200</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90,222</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92,134</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768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704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792</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1,406</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r>
      <w:tr>
        <w:trPr>
          <w:trHeight w:val="166"/>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Total net revenue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45,680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46,014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43,738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43,315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50,992</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(10)</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91,694</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93,540</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r>
      <w:tr>
        <w:trPr>
          <w:trHeight w:val="2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900" w:type="dxa"/>
            <w:vAlign w:val="bottom"/>
            <w:tcBorders>
              <w:left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21,133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21,713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20,006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20,089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26,487</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42,846</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45,664</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768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704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792</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1,406</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r>
      <w:tr>
        <w:trPr>
          <w:trHeight w:val="1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21,901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22,417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20,976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20,750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27,279</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44,318</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47,070</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r>
      <w:tr>
        <w:trPr>
          <w:trHeight w:val="265"/>
        </w:trPr>
        <w:tc>
          <w:tcPr>
            <w:tcW w:w="212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5"/>
              </w:rPr>
              <w:t>INCOME BEFORE INCOME TAX EXPENSE</w:t>
            </w:r>
          </w:p>
        </w:tc>
        <w:tc>
          <w:tcPr>
            <w:tcW w:w="4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Income before income tax expense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18,284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18,408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17,375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16,978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23,435</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(22)</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36,692</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40,728</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(10)</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768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704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792</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1,406</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r>
      <w:tr>
        <w:trPr>
          <w:trHeight w:val="1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Income before income tax expense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19,052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19,112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18,345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17,639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24,227</w:t>
            </w:r>
          </w:p>
        </w:tc>
        <w:tc>
          <w:tcPr>
            <w:tcW w:w="3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38,164</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42,134</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(9)</w:t>
            </w:r>
          </w:p>
        </w:tc>
      </w:tr>
      <w:tr>
        <w:trPr>
          <w:trHeight w:val="265"/>
        </w:trPr>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5"/>
              </w:rPr>
              <w:t>INCOME TAX EXPENSE</w:t>
            </w:r>
          </w:p>
        </w:tc>
        <w:tc>
          <w:tcPr>
            <w:tcW w:w="130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Income tax expense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3,297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3,765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3,370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4,080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5,286</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(38)</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7,062</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9,160</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(23)</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768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704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792</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1,406</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r>
      <w:tr>
        <w:trPr>
          <w:trHeight w:val="1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Income tax expense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4,065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4,469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4,340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4,741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6,078</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(33)</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8,534</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10,566</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(19)</w:t>
            </w:r>
          </w:p>
        </w:tc>
      </w:tr>
      <w:tr>
        <w:trPr>
          <w:trHeight w:val="265"/>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OVERHEAD RATIO</w:t>
            </w:r>
          </w:p>
        </w:tc>
        <w:tc>
          <w:tcPr>
            <w:tcW w:w="1560" w:type="dxa"/>
            <w:vAlign w:val="bottom"/>
            <w:gridSpan w:val="5"/>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Overhead ratio - reported</w:t>
            </w:r>
          </w:p>
        </w:tc>
        <w:tc>
          <w:tcPr>
            <w:tcW w:w="1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53</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53</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47</w:t>
            </w:r>
          </w:p>
        </w:tc>
        <w:tc>
          <w:tcPr>
            <w:tcW w:w="380" w:type="dxa"/>
            <w:vAlign w:val="bottom"/>
          </w:tcPr>
          <w:p>
            <w:pPr>
              <w:jc w:val="right"/>
              <w:ind w:right="207"/>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53</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50</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r>
      <w:tr>
        <w:trPr>
          <w:trHeight w:val="159"/>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Overhead ratio - managed</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47</w:t>
            </w: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50</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1615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color w:val="auto"/>
        </w:rPr>
        <w:t>(a) Predominantly recognized in CIB and Corporate.</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7</w:t>
      </w:r>
    </w:p>
    <w:p>
      <w:pPr>
        <w:sectPr>
          <w:pgSz w:w="11900" w:h="16838" w:orient="portrait"/>
          <w:cols w:equalWidth="0" w:num="1">
            <w:col w:w="11240"/>
          </w:cols>
          <w:pgMar w:left="320" w:top="484"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-3810</wp:posOffset>
            </wp:positionV>
            <wp:extent cx="1371600" cy="193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&amp; CORPORATE RESULTS - MANAGED</w:t>
      </w:r>
    </w:p>
    <w:p>
      <w:pPr>
        <w:ind w:left="20"/>
        <w:spacing w:after="0"/>
        <w:rPr>
          <w:sz w:val="20"/>
          <w:szCs w:val="20"/>
          <w:color w:val="auto"/>
        </w:rPr>
      </w:pPr>
      <w:r>
        <w:rPr>
          <w:rFonts w:ascii="Arial" w:cs="Arial" w:eastAsia="Arial" w:hAnsi="Arial"/>
          <w:sz w:val="14"/>
          <w:szCs w:val="14"/>
          <w:b w:val="1"/>
          <w:bCs w:val="1"/>
          <w:color w:val="auto"/>
        </w:rPr>
        <w:t>BASIS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6"/>
          </w:tcPr>
          <w:p>
            <w:pPr>
              <w:jc w:val="center"/>
              <w:ind w:left="307"/>
              <w:spacing w:after="0"/>
              <w:rPr>
                <w:sz w:val="20"/>
                <w:szCs w:val="20"/>
                <w:color w:val="auto"/>
              </w:rPr>
            </w:pPr>
            <w:r>
              <w:rPr>
                <w:rFonts w:ascii="Arial" w:cs="Arial" w:eastAsia="Arial" w:hAnsi="Arial"/>
                <w:sz w:val="11"/>
                <w:szCs w:val="11"/>
                <w:b w:val="1"/>
                <w:bCs w:val="1"/>
                <w:color w:val="auto"/>
                <w:w w:val="95"/>
              </w:rPr>
              <w:t>QUARTERLY TRENDS</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ind w:right="367"/>
              <w:spacing w:after="0"/>
              <w:rPr>
                <w:sz w:val="20"/>
                <w:szCs w:val="20"/>
                <w:color w:val="auto"/>
              </w:rPr>
            </w:pPr>
            <w:r>
              <w:rPr>
                <w:rFonts w:ascii="Arial" w:cs="Arial" w:eastAsia="Arial" w:hAnsi="Arial"/>
                <w:sz w:val="11"/>
                <w:szCs w:val="11"/>
                <w:b w:val="1"/>
                <w:bCs w:val="1"/>
                <w:color w:val="auto"/>
              </w:rPr>
              <w:t>SIX MONTHS ENDED JUNE 30,</w:t>
            </w:r>
          </w:p>
        </w:tc>
      </w:tr>
      <w:tr>
        <w:trPr>
          <w:trHeight w:val="152"/>
        </w:trPr>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1"/>
                <w:szCs w:val="11"/>
                <w:b w:val="1"/>
                <w:bCs w:val="1"/>
                <w:color w:val="auto"/>
              </w:rPr>
              <w:t>2Q25 Change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r>
      <w:tr>
        <w:trPr>
          <w:trHeight w:val="152"/>
        </w:trPr>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2Q25</w:t>
            </w:r>
          </w:p>
        </w:tc>
        <w:tc>
          <w:tcPr>
            <w:tcW w:w="1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1Q25</w:t>
            </w: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3Q24</w:t>
            </w: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4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1Q25</w:t>
            </w: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3"/>
                <w:szCs w:val="13"/>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760" w:type="dxa"/>
            <w:vAlign w:val="bottom"/>
          </w:tcPr>
          <w:p>
            <w:pPr>
              <w:jc w:val="right"/>
              <w:ind w:right="207"/>
              <w:spacing w:after="0"/>
              <w:rPr>
                <w:sz w:val="20"/>
                <w:szCs w:val="20"/>
                <w:color w:val="auto"/>
              </w:rPr>
            </w:pPr>
            <w:r>
              <w:rPr>
                <w:rFonts w:ascii="Arial" w:cs="Arial" w:eastAsia="Arial" w:hAnsi="Arial"/>
                <w:sz w:val="11"/>
                <w:szCs w:val="11"/>
                <w:b w:val="1"/>
                <w:bCs w:val="1"/>
                <w:color w:val="auto"/>
              </w:rPr>
              <w:t>2024</w:t>
            </w:r>
          </w:p>
        </w:tc>
      </w:tr>
      <w:tr>
        <w:trPr>
          <w:trHeight w:val="106"/>
        </w:trPr>
        <w:tc>
          <w:tcPr>
            <w:tcW w:w="2680" w:type="dxa"/>
            <w:vAlign w:val="bottom"/>
            <w:gridSpan w:val="7"/>
          </w:tcPr>
          <w:p>
            <w:pPr>
              <w:spacing w:after="0" w:line="106" w:lineRule="exact"/>
              <w:rPr>
                <w:sz w:val="20"/>
                <w:szCs w:val="20"/>
                <w:color w:val="auto"/>
              </w:rPr>
            </w:pPr>
            <w:r>
              <w:rPr>
                <w:rFonts w:ascii="Arial" w:cs="Arial" w:eastAsia="Arial" w:hAnsi="Arial"/>
                <w:sz w:val="11"/>
                <w:szCs w:val="11"/>
                <w:b w:val="1"/>
                <w:bCs w:val="1"/>
                <w:color w:val="auto"/>
              </w:rPr>
              <w:t>TOTAL NET REVENUE (fully taxable-equivalent</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86"/>
        </w:trPr>
        <w:tc>
          <w:tcPr>
            <w:tcW w:w="420" w:type="dxa"/>
            <w:vAlign w:val="bottom"/>
            <w:tcBorders>
              <w:top w:val="single" w:sz="8" w:color="auto"/>
              <w:bottom w:val="single" w:sz="8" w:color="auto"/>
            </w:tcBorders>
          </w:tcPr>
          <w:p>
            <w:pPr>
              <w:spacing w:after="0" w:line="86" w:lineRule="exact"/>
              <w:rPr>
                <w:sz w:val="20"/>
                <w:szCs w:val="20"/>
                <w:color w:val="auto"/>
              </w:rPr>
            </w:pPr>
            <w:r>
              <w:rPr>
                <w:rFonts w:ascii="Arial" w:cs="Arial" w:eastAsia="Arial" w:hAnsi="Arial"/>
                <w:sz w:val="8"/>
                <w:szCs w:val="8"/>
                <w:b w:val="1"/>
                <w:bCs w:val="1"/>
                <w:color w:val="auto"/>
              </w:rPr>
              <w:t>(“FTE”))</w:t>
            </w:r>
          </w:p>
        </w:tc>
        <w:tc>
          <w:tcPr>
            <w:tcW w:w="1940" w:type="dxa"/>
            <w:vAlign w:val="bottom"/>
            <w:tcBorders>
              <w:top w:val="single" w:sz="8" w:color="auto"/>
            </w:tcBorders>
            <w:gridSpan w:val="5"/>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0"/>
        </w:trPr>
        <w:tc>
          <w:tcPr>
            <w:tcW w:w="26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18,847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18,313</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18,362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17,791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17,701</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3 %</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6 %</w:t>
            </w:r>
          </w:p>
        </w:tc>
        <w:tc>
          <w:tcPr>
            <w:tcW w:w="4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37,160</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35,354</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5 %</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19,535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19,666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17,598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17,015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17,917</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39,201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35,501</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10</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5,760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5,731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5,778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5,439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5,252</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11,491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10,361</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11</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1,538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2,000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3,070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10,122</w:t>
            </w:r>
          </w:p>
        </w:tc>
        <w:tc>
          <w:tcPr>
            <w:tcW w:w="240" w:type="dxa"/>
            <w:vAlign w:val="bottom"/>
          </w:tcPr>
          <w:p>
            <w:pPr>
              <w:spacing w:after="0"/>
              <w:rPr>
                <w:sz w:val="20"/>
                <w:szCs w:val="20"/>
                <w:color w:val="auto"/>
              </w:rPr>
            </w:pPr>
            <w:r>
              <w:rPr>
                <w:rFonts w:ascii="Arial" w:cs="Arial" w:eastAsia="Arial" w:hAnsi="Arial"/>
                <w:sz w:val="11"/>
                <w:szCs w:val="11"/>
                <w:color w:val="auto"/>
              </w:rPr>
              <w:t>(a)</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(85)</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3,842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12,324</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(69)</w:t>
            </w:r>
          </w:p>
        </w:tc>
      </w:tr>
      <w:tr>
        <w:trPr>
          <w:trHeight w:val="166"/>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45,680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46,014</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43,738</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43,315</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50,992</w:t>
            </w:r>
          </w:p>
        </w:tc>
        <w:tc>
          <w:tcPr>
            <w:tcW w:w="2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91,694</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93,540</w:t>
            </w:r>
          </w:p>
        </w:tc>
        <w:tc>
          <w:tcPr>
            <w:tcW w:w="2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w:t>
            </w:r>
          </w:p>
        </w:tc>
      </w:tr>
      <w:tr>
        <w:trPr>
          <w:trHeight w:val="265"/>
        </w:trPr>
        <w:tc>
          <w:tcPr>
            <w:tcW w:w="2680" w:type="dxa"/>
            <w:vAlign w:val="bottom"/>
            <w:gridSpan w:val="7"/>
          </w:tcPr>
          <w:p>
            <w:pPr>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166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Consumer &amp; Community Banking</w:t>
            </w:r>
          </w:p>
        </w:tc>
        <w:tc>
          <w:tcPr>
            <w:tcW w:w="1020" w:type="dxa"/>
            <w:vAlign w:val="bottom"/>
            <w:gridSpan w:val="3"/>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9,858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9,857</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9,728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9,586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9,425</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19,715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18,722</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5</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9,641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9,842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8,712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8,751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9,166</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19,483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17,890</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9</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3,713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3,639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3,543</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7,446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7,003</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6</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550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589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1,579</w:t>
            </w:r>
          </w:p>
        </w:tc>
        <w:tc>
          <w:tcPr>
            <w:tcW w:w="240" w:type="dxa"/>
            <w:vAlign w:val="bottom"/>
          </w:tcPr>
          <w:p>
            <w:pPr>
              <w:spacing w:after="0"/>
              <w:rPr>
                <w:sz w:val="20"/>
                <w:szCs w:val="20"/>
                <w:color w:val="auto"/>
              </w:rPr>
            </w:pPr>
            <w:r>
              <w:rPr>
                <w:rFonts w:ascii="Arial" w:cs="Arial" w:eastAsia="Arial" w:hAnsi="Arial"/>
                <w:sz w:val="11"/>
                <w:szCs w:val="11"/>
                <w:color w:val="auto"/>
              </w:rPr>
              <w:t>(b)</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196</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(65)</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2,855</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(74)</w:t>
            </w:r>
          </w:p>
        </w:tc>
      </w:tr>
      <w:tr>
        <w:trPr>
          <w:trHeight w:val="166"/>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23,779</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23,597</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22,762</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22,565</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23,713</w:t>
            </w:r>
          </w:p>
        </w:tc>
        <w:tc>
          <w:tcPr>
            <w:tcW w:w="24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47,376</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46,470</w:t>
            </w:r>
          </w:p>
        </w:tc>
        <w:tc>
          <w:tcPr>
            <w:tcW w:w="24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2</w:t>
            </w:r>
          </w:p>
        </w:tc>
      </w:tr>
      <w:tr>
        <w:trPr>
          <w:trHeight w:val="265"/>
        </w:trPr>
        <w:tc>
          <w:tcPr>
            <w:tcW w:w="268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26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8,989</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8,456</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8,634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8,205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8,276</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17,445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16,632</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5</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9,894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8,886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8,264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8,751</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19,718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17,611</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12</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2,027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2,018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2,006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1,709</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4,045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3,358</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20</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991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1,450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2,481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8,543</w:t>
            </w:r>
          </w:p>
        </w:tc>
        <w:tc>
          <w:tcPr>
            <w:tcW w:w="2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(53)</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(88)</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3,110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9,469</w:t>
            </w:r>
          </w:p>
        </w:tc>
        <w:tc>
          <w:tcPr>
            <w:tcW w:w="2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(67)</w:t>
            </w:r>
          </w:p>
        </w:tc>
      </w:tr>
      <w:tr>
        <w:trPr>
          <w:trHeight w:val="165"/>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21,901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22,417</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20,976</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20,750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27,279</w:t>
            </w:r>
          </w:p>
        </w:tc>
        <w:tc>
          <w:tcPr>
            <w:tcW w:w="2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44,318</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47,070</w:t>
            </w:r>
          </w:p>
        </w:tc>
        <w:tc>
          <w:tcPr>
            <w:tcW w:w="2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(6)</w:t>
            </w:r>
          </w:p>
        </w:tc>
      </w:tr>
      <w:tr>
        <w:trPr>
          <w:trHeight w:val="265"/>
        </w:trPr>
        <w:tc>
          <w:tcPr>
            <w:tcW w:w="2680" w:type="dxa"/>
            <w:vAlign w:val="bottom"/>
            <w:gridSpan w:val="7"/>
          </w:tcPr>
          <w:p>
            <w:pPr>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172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Consumer &amp; Community Banking</w:t>
            </w:r>
          </w:p>
        </w:tc>
        <w:tc>
          <w:tcPr>
            <w:tcW w:w="96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2,082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2,629</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2,623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2,795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2,643</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4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4,711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4,556</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3</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696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705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316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384</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81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1,401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385</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264</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3"/>
                <w:szCs w:val="13"/>
                <w:color w:val="auto"/>
              </w:rPr>
            </w:pP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130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400</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(81)</w:t>
            </w:r>
          </w:p>
        </w:tc>
      </w:tr>
      <w:tr>
        <w:trPr>
          <w:trHeight w:val="166"/>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2,849</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3,305</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2,631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3,111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3,052</w:t>
            </w:r>
          </w:p>
        </w:tc>
        <w:tc>
          <w:tcPr>
            <w:tcW w:w="2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6,154</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4,936</w:t>
            </w:r>
          </w:p>
        </w:tc>
        <w:tc>
          <w:tcPr>
            <w:tcW w:w="24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25</w:t>
            </w:r>
          </w:p>
        </w:tc>
      </w:tr>
      <w:tr>
        <w:trPr>
          <w:trHeight w:val="265"/>
        </w:trPr>
        <w:tc>
          <w:tcPr>
            <w:tcW w:w="2680" w:type="dxa"/>
            <w:vAlign w:val="bottom"/>
            <w:gridSpan w:val="7"/>
          </w:tcPr>
          <w:p>
            <w:pPr>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26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5,169</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4,425</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4,516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4,046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4,210</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4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9,594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9,041</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6</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6,650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6,942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6,636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5,691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5,897</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13,592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12,519</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9</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1,473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1,583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1,517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1,351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1,263</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3,056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2,553</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20</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1,695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1,336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1,810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6,779</w:t>
            </w:r>
          </w:p>
        </w:tc>
        <w:tc>
          <w:tcPr>
            <w:tcW w:w="2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(75)</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7,455</w:t>
            </w:r>
          </w:p>
        </w:tc>
        <w:tc>
          <w:tcPr>
            <w:tcW w:w="2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(55)</w:t>
            </w:r>
          </w:p>
        </w:tc>
      </w:tr>
      <w:tr>
        <w:trPr>
          <w:trHeight w:val="166"/>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14,987</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14,643</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14,005</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12,898</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18,149</w:t>
            </w:r>
          </w:p>
        </w:tc>
        <w:tc>
          <w:tcPr>
            <w:tcW w:w="24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29,630</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31,568</w:t>
            </w:r>
          </w:p>
        </w:tc>
        <w:tc>
          <w:tcPr>
            <w:tcW w:w="2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708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378" w:lineRule="exact"/>
        <w:rPr>
          <w:sz w:val="20"/>
          <w:szCs w:val="20"/>
          <w:color w:val="auto"/>
        </w:rPr>
      </w:pPr>
    </w:p>
    <w:p>
      <w:pPr>
        <w:ind w:left="160" w:hanging="154"/>
        <w:spacing w:after="0"/>
        <w:tabs>
          <w:tab w:leader="none" w:pos="1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Included a $7.9 billion net gain related to Visa shares. Refer to footnote (h) on page 2 for further information.</w:t>
      </w:r>
    </w:p>
    <w:p>
      <w:pPr>
        <w:spacing w:after="0" w:line="2" w:lineRule="exact"/>
        <w:rPr>
          <w:rFonts w:ascii="Arial" w:cs="Arial" w:eastAsia="Arial" w:hAnsi="Arial"/>
          <w:sz w:val="11"/>
          <w:szCs w:val="11"/>
          <w:color w:val="auto"/>
        </w:rPr>
      </w:pPr>
    </w:p>
    <w:p>
      <w:pPr>
        <w:ind w:left="160" w:hanging="154"/>
        <w:spacing w:after="0"/>
        <w:tabs>
          <w:tab w:leader="none" w:pos="1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Included a $1.0 billion contribution of Visa shares to the JPMorgan Chase Foundation.</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8</w:t>
      </w:r>
    </w:p>
    <w:p>
      <w:pPr>
        <w:sectPr>
          <w:pgSz w:w="11900" w:h="16838" w:orient="portrait"/>
          <w:cols w:equalWidth="0" w:num="1">
            <w:col w:w="11240"/>
          </w:cols>
          <w:pgMar w:left="320" w:top="484"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5649595</wp:posOffset>
            </wp:positionH>
            <wp:positionV relativeFrom="paragraph">
              <wp:posOffset>-46355</wp:posOffset>
            </wp:positionV>
            <wp:extent cx="1371600" cy="193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CAPITAL AND OTHER SELECTED BALANCE SHEET ITEMS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w w:val="97"/>
              </w:rPr>
              <w:t>Jun 30, 2025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gridSpan w:val="3"/>
          </w:tcPr>
          <w:p>
            <w:pPr>
              <w:jc w:val="center"/>
              <w:ind w:left="307"/>
              <w:spacing w:after="0"/>
              <w:rPr>
                <w:sz w:val="20"/>
                <w:szCs w:val="20"/>
                <w:color w:val="auto"/>
              </w:rPr>
            </w:pPr>
            <w:r>
              <w:rPr>
                <w:rFonts w:ascii="Arial" w:cs="Arial" w:eastAsia="Arial" w:hAnsi="Arial"/>
                <w:sz w:val="11"/>
                <w:szCs w:val="11"/>
                <w:b w:val="1"/>
                <w:bCs w:val="1"/>
                <w:color w:val="auto"/>
                <w:w w:val="99"/>
              </w:rPr>
              <w:t>Change</w:t>
            </w:r>
          </w:p>
        </w:tc>
        <w:tc>
          <w:tcPr>
            <w:tcW w:w="3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32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27"/>
              <w:spacing w:after="0"/>
              <w:rPr>
                <w:sz w:val="20"/>
                <w:szCs w:val="20"/>
                <w:color w:val="auto"/>
              </w:rPr>
            </w:pPr>
            <w:r>
              <w:rPr>
                <w:rFonts w:ascii="Arial" w:cs="Arial" w:eastAsia="Arial" w:hAnsi="Arial"/>
                <w:sz w:val="11"/>
                <w:szCs w:val="11"/>
                <w:b w:val="1"/>
                <w:bCs w:val="1"/>
                <w:color w:val="auto"/>
              </w:rPr>
              <w:t>Jun 30,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Jun 30,</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2025</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b w:val="1"/>
                <w:bCs w:val="1"/>
                <w:color w:val="auto"/>
              </w:rPr>
              <w:t>2024</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2025</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w w:val="89"/>
              </w:rPr>
              <w:t>2024</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620" w:type="dxa"/>
            <w:vAlign w:val="bottom"/>
            <w:tcBorders>
              <w:bottom w:val="single" w:sz="8" w:color="auto"/>
            </w:tcBorders>
          </w:tcPr>
          <w:p>
            <w:pPr>
              <w:spacing w:after="0" w:line="106" w:lineRule="exact"/>
              <w:rPr>
                <w:sz w:val="20"/>
                <w:szCs w:val="20"/>
                <w:color w:val="auto"/>
              </w:rPr>
            </w:pPr>
            <w:r>
              <w:rPr>
                <w:rFonts w:ascii="Arial" w:cs="Arial" w:eastAsia="Arial" w:hAnsi="Arial"/>
                <w:sz w:val="11"/>
                <w:szCs w:val="11"/>
                <w:b w:val="1"/>
                <w:bCs w:val="1"/>
                <w:color w:val="auto"/>
                <w:w w:val="93"/>
              </w:rPr>
              <w:t>CAPITAL (a)</w:t>
            </w: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Risk-based capital metrics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120"/>
              <w:spacing w:after="0"/>
              <w:rPr>
                <w:sz w:val="20"/>
                <w:szCs w:val="20"/>
                <w:color w:val="auto"/>
              </w:rPr>
            </w:pPr>
            <w:r>
              <w:rPr>
                <w:rFonts w:ascii="Arial" w:cs="Arial" w:eastAsia="Arial" w:hAnsi="Arial"/>
                <w:sz w:val="11"/>
                <w:szCs w:val="11"/>
                <w:b w:val="1"/>
                <w:bCs w:val="1"/>
                <w:color w:val="auto"/>
              </w:rPr>
              <w:t>Standardized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283,830</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279,791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275,513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272,964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267,196</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303,173</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299,132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294,881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292,333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290,442</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335,343</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330,533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325,589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324,585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322,175</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1,886,301</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1,815,045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1,757,460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1,782,722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1,743,481</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80" w:type="dxa"/>
            <w:vAlign w:val="bottom"/>
          </w:tcPr>
          <w:p>
            <w:pPr>
              <w:spacing w:after="0"/>
              <w:rPr>
                <w:sz w:val="13"/>
                <w:szCs w:val="13"/>
                <w:color w:val="auto"/>
              </w:rPr>
            </w:pP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15.0 % (c)</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15.4 %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15.7 %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15.3 %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15.3 %</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16.1</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16.5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16.8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16.4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16.7</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17.8</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18.2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18.2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120"/>
              <w:spacing w:after="0"/>
              <w:rPr>
                <w:sz w:val="20"/>
                <w:szCs w:val="20"/>
                <w:color w:val="auto"/>
              </w:rPr>
            </w:pPr>
            <w:r>
              <w:rPr>
                <w:rFonts w:ascii="Arial" w:cs="Arial" w:eastAsia="Arial" w:hAnsi="Arial"/>
                <w:sz w:val="11"/>
                <w:szCs w:val="11"/>
                <w:b w:val="1"/>
                <w:bCs w:val="1"/>
                <w:color w:val="auto"/>
              </w:rPr>
              <w:t>Advanced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283,830</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279,791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275,513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272,964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267,196</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303,173</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299,132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294,881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292,333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290,442</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320,820</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316,529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311,898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310,764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308,639</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1,875,953</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1,799,055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1,740,429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1,762,991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1,726,204</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80" w:type="dxa"/>
            <w:vAlign w:val="bottom"/>
          </w:tcPr>
          <w:p>
            <w:pPr>
              <w:spacing w:after="0"/>
              <w:rPr>
                <w:sz w:val="13"/>
                <w:szCs w:val="13"/>
                <w:color w:val="auto"/>
              </w:rPr>
            </w:pP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15.1 % (c)</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15.6 %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15.8 %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15.5 %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15.5 %</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16.2</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16.6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16.9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16.8</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17.1</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17.6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17.9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17.9</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Leverage-based capital metrics</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Adjusted average assets (b)</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4,382,204</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4,180,147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4,070,499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4,122,332</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4,016,654</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Tier 1 leverage ratio</w:t>
            </w:r>
          </w:p>
        </w:tc>
        <w:tc>
          <w:tcPr>
            <w:tcW w:w="80" w:type="dxa"/>
            <w:vAlign w:val="bottom"/>
          </w:tcPr>
          <w:p>
            <w:pPr>
              <w:spacing w:after="0"/>
              <w:rPr>
                <w:sz w:val="13"/>
                <w:szCs w:val="13"/>
                <w:color w:val="auto"/>
              </w:rPr>
            </w:pP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6.9 % (c)</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7.2 %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7.2 %</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Total leverage exposure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5,163,051</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4,953,480</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4,837,568</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4,893,662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4,768,202</w:t>
            </w:r>
          </w:p>
        </w:tc>
        <w:tc>
          <w:tcPr>
            <w:tcW w:w="200" w:type="dxa"/>
            <w:vAlign w:val="bottom"/>
          </w:tcPr>
          <w:p>
            <w:pPr>
              <w:spacing w:after="0"/>
              <w:rPr>
                <w:sz w:val="24"/>
                <w:szCs w:val="24"/>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SLR</w:t>
            </w:r>
          </w:p>
        </w:tc>
        <w:tc>
          <w:tcPr>
            <w:tcW w:w="80" w:type="dxa"/>
            <w:vAlign w:val="bottom"/>
          </w:tcPr>
          <w:p>
            <w:pPr>
              <w:spacing w:after="0"/>
              <w:rPr>
                <w:sz w:val="13"/>
                <w:szCs w:val="13"/>
                <w:color w:val="auto"/>
              </w:rPr>
            </w:pP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5.9 % (c)</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6.0 %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6.1 %</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Loss-Absorbing Capacity (“TLAC”)</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Eligible external TLAC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559,922</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558,303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546,564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543,616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533,949</w:t>
            </w:r>
          </w:p>
        </w:tc>
        <w:tc>
          <w:tcPr>
            <w:tcW w:w="20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MEMO: CET1 CAPITAL ROLLFORWARD</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42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Standardized/Advanced CET1 capital,</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rPr>
              <w:t>279,791</w:t>
            </w:r>
          </w:p>
        </w:tc>
        <w:tc>
          <w:tcPr>
            <w:tcW w:w="2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color w:val="auto"/>
              </w:rPr>
              <w:t>275,513</w:t>
            </w: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rPr>
              <w:t>272,964</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267,196</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color w:val="auto"/>
              </w:rPr>
              <w:t>257,569</w:t>
            </w:r>
          </w:p>
        </w:tc>
        <w:tc>
          <w:tcPr>
            <w:tcW w:w="200" w:type="dxa"/>
            <w:vAlign w:val="bottom"/>
          </w:tcPr>
          <w:p>
            <w:pPr>
              <w:spacing w:after="0"/>
              <w:rPr>
                <w:sz w:val="10"/>
                <w:szCs w:val="10"/>
                <w:color w:val="auto"/>
              </w:rPr>
            </w:pPr>
          </w:p>
        </w:tc>
        <w:tc>
          <w:tcPr>
            <w:tcW w:w="460" w:type="dxa"/>
            <w:vAlign w:val="bottom"/>
            <w:vMerge w:val="restart"/>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restart"/>
          </w:tcPr>
          <w:p>
            <w:pPr>
              <w:jc w:val="right"/>
              <w:ind w:right="87"/>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275,513</w:t>
            </w:r>
          </w:p>
        </w:tc>
        <w:tc>
          <w:tcPr>
            <w:tcW w:w="2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250,585</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0"/>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beginning balance</w:t>
            </w: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Net income applicable to common equity</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14,705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14,388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13,746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12,612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17,832</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67"/>
              <w:spacing w:after="0"/>
              <w:rPr>
                <w:sz w:val="20"/>
                <w:szCs w:val="20"/>
                <w:color w:val="auto"/>
              </w:rPr>
            </w:pPr>
            <w:r>
              <w:rPr>
                <w:rFonts w:ascii="Arial" w:cs="Arial" w:eastAsia="Arial" w:hAnsi="Arial"/>
                <w:sz w:val="11"/>
                <w:szCs w:val="11"/>
                <w:color w:val="auto"/>
              </w:rPr>
              <w:t>(18)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29,093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30,854</w:t>
            </w:r>
          </w:p>
        </w:tc>
        <w:tc>
          <w:tcPr>
            <w:tcW w:w="20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Dividends declared on common stock</w:t>
            </w: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(3,897)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(3,938)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(3,546)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(3,570)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47"/>
              <w:spacing w:after="0"/>
              <w:rPr>
                <w:sz w:val="20"/>
                <w:szCs w:val="20"/>
                <w:color w:val="auto"/>
              </w:rPr>
            </w:pPr>
            <w:r>
              <w:rPr>
                <w:rFonts w:ascii="Arial" w:cs="Arial" w:eastAsia="Arial" w:hAnsi="Arial"/>
                <w:sz w:val="11"/>
                <w:szCs w:val="11"/>
                <w:color w:val="auto"/>
              </w:rPr>
              <w:t>(3,322)</w:t>
            </w:r>
          </w:p>
        </w:tc>
        <w:tc>
          <w:tcPr>
            <w:tcW w:w="2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(7,835)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(6,670)</w:t>
            </w:r>
          </w:p>
        </w:tc>
        <w:tc>
          <w:tcPr>
            <w:tcW w:w="20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Net purchase of treasury stock</w:t>
            </w: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(7,525)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(6,440)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(4,279)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(6,372)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47"/>
              <w:spacing w:after="0"/>
              <w:rPr>
                <w:sz w:val="20"/>
                <w:szCs w:val="20"/>
                <w:color w:val="auto"/>
              </w:rPr>
            </w:pPr>
            <w:r>
              <w:rPr>
                <w:rFonts w:ascii="Arial" w:cs="Arial" w:eastAsia="Arial" w:hAnsi="Arial"/>
                <w:sz w:val="11"/>
                <w:szCs w:val="11"/>
                <w:color w:val="auto"/>
              </w:rPr>
              <w:t>(5,321)</w:t>
            </w:r>
          </w:p>
        </w:tc>
        <w:tc>
          <w:tcPr>
            <w:tcW w:w="200" w:type="dxa"/>
            <w:vAlign w:val="bottom"/>
          </w:tcPr>
          <w:p>
            <w:pPr>
              <w:spacing w:after="0"/>
              <w:rPr>
                <w:sz w:val="13"/>
                <w:szCs w:val="13"/>
                <w:color w:val="auto"/>
              </w:rPr>
            </w:pPr>
          </w:p>
        </w:tc>
        <w:tc>
          <w:tcPr>
            <w:tcW w:w="46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67"/>
              <w:spacing w:after="0"/>
              <w:rPr>
                <w:sz w:val="20"/>
                <w:szCs w:val="20"/>
                <w:color w:val="auto"/>
              </w:rPr>
            </w:pPr>
            <w:r>
              <w:rPr>
                <w:rFonts w:ascii="Arial" w:cs="Arial" w:eastAsia="Arial" w:hAnsi="Arial"/>
                <w:sz w:val="11"/>
                <w:szCs w:val="11"/>
                <w:color w:val="auto"/>
              </w:rPr>
              <w:t>(41)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(13,965)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(7,150)</w:t>
            </w:r>
          </w:p>
        </w:tc>
        <w:tc>
          <w:tcPr>
            <w:tcW w:w="20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59"/>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Changes in additional paid-in capital</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353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(688)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273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425</w:t>
            </w:r>
          </w:p>
        </w:tc>
        <w:tc>
          <w:tcPr>
            <w:tcW w:w="20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3"/>
                <w:szCs w:val="13"/>
                <w:color w:val="auto"/>
              </w:rPr>
            </w:pPr>
          </w:p>
        </w:tc>
        <w:tc>
          <w:tcPr>
            <w:tcW w:w="36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200</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Changes related to AOCI applicable to capital:</w:t>
      </w:r>
    </w:p>
    <w:p>
      <w:pPr>
        <w:spacing w:after="0" w:line="12" w:lineRule="exact"/>
        <w:rPr>
          <w:sz w:val="20"/>
          <w:szCs w:val="20"/>
          <w:color w:val="auto"/>
        </w:rPr>
      </w:pPr>
    </w:p>
    <w:tbl>
      <w:tblPr>
        <w:tblLayout w:type="fixed"/>
        <w:tblInd w:w="140" w:type="dxa"/>
        <w:tblCellMar>
          <w:top w:w="0" w:type="dxa"/>
          <w:left w:w="0" w:type="dxa"/>
          <w:bottom w:w="0" w:type="dxa"/>
          <w:right w:w="0" w:type="dxa"/>
        </w:tblCellMar>
      </w:tblPr>
      <w:tr>
        <w:trPr>
          <w:trHeight w:val="126"/>
        </w:trPr>
        <w:tc>
          <w:tcPr>
            <w:tcW w:w="2300" w:type="dxa"/>
            <w:vAlign w:val="bottom"/>
          </w:tcPr>
          <w:p>
            <w:pPr>
              <w:ind w:left="80"/>
              <w:spacing w:after="0"/>
              <w:rPr>
                <w:sz w:val="20"/>
                <w:szCs w:val="20"/>
                <w:color w:val="auto"/>
              </w:rPr>
            </w:pPr>
            <w:r>
              <w:rPr>
                <w:rFonts w:ascii="Arial" w:cs="Arial" w:eastAsia="Arial" w:hAnsi="Arial"/>
                <w:sz w:val="11"/>
                <w:szCs w:val="11"/>
                <w:color w:val="auto"/>
              </w:rPr>
              <w:t>Unrealized gains/(losses) on investment</w:t>
            </w: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(188)</w:t>
            </w:r>
          </w:p>
        </w:tc>
        <w:tc>
          <w:tcPr>
            <w:tcW w:w="280" w:type="dxa"/>
            <w:vAlign w:val="bottom"/>
          </w:tcPr>
          <w:p>
            <w:pPr>
              <w:spacing w:after="0"/>
              <w:rPr>
                <w:sz w:val="10"/>
                <w:szCs w:val="10"/>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953</w:t>
            </w:r>
          </w:p>
        </w:tc>
        <w:tc>
          <w:tcPr>
            <w:tcW w:w="200" w:type="dxa"/>
            <w:vAlign w:val="bottom"/>
          </w:tcPr>
          <w:p>
            <w:pPr>
              <w:spacing w:after="0"/>
              <w:rPr>
                <w:sz w:val="10"/>
                <w:szCs w:val="10"/>
                <w:color w:val="auto"/>
              </w:rPr>
            </w:pP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(2,633)</w:t>
            </w:r>
          </w:p>
        </w:tc>
        <w:tc>
          <w:tcPr>
            <w:tcW w:w="180" w:type="dxa"/>
            <w:vAlign w:val="bottom"/>
          </w:tcPr>
          <w:p>
            <w:pPr>
              <w:spacing w:after="0"/>
              <w:rPr>
                <w:sz w:val="10"/>
                <w:szCs w:val="10"/>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2,297</w:t>
            </w:r>
          </w:p>
        </w:tc>
        <w:tc>
          <w:tcPr>
            <w:tcW w:w="180" w:type="dxa"/>
            <w:vAlign w:val="bottom"/>
          </w:tcPr>
          <w:p>
            <w:pPr>
              <w:spacing w:after="0"/>
              <w:rPr>
                <w:sz w:val="10"/>
                <w:szCs w:val="10"/>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108</w:t>
            </w:r>
          </w:p>
        </w:tc>
        <w:tc>
          <w:tcPr>
            <w:tcW w:w="820" w:type="dxa"/>
            <w:vAlign w:val="bottom"/>
            <w:vMerge w:val="restart"/>
          </w:tcPr>
          <w:p>
            <w:pPr>
              <w:jc w:val="right"/>
              <w:ind w:right="127"/>
              <w:spacing w:after="0"/>
              <w:rPr>
                <w:sz w:val="20"/>
                <w:szCs w:val="20"/>
                <w:color w:val="auto"/>
              </w:rPr>
            </w:pPr>
            <w:r>
              <w:rPr>
                <w:rFonts w:ascii="Arial" w:cs="Arial" w:eastAsia="Arial" w:hAnsi="Arial"/>
                <w:sz w:val="11"/>
                <w:szCs w:val="11"/>
                <w:color w:val="auto"/>
              </w:rPr>
              <w:t>NM</w:t>
            </w:r>
          </w:p>
        </w:tc>
        <w:tc>
          <w:tcPr>
            <w:tcW w:w="880" w:type="dxa"/>
            <w:vAlign w:val="bottom"/>
            <w:vMerge w:val="restart"/>
          </w:tcPr>
          <w:p>
            <w:pPr>
              <w:jc w:val="right"/>
              <w:ind w:right="347"/>
              <w:spacing w:after="0"/>
              <w:rPr>
                <w:sz w:val="20"/>
                <w:szCs w:val="20"/>
                <w:color w:val="auto"/>
              </w:rPr>
            </w:pPr>
            <w:r>
              <w:rPr>
                <w:rFonts w:ascii="Arial" w:cs="Arial" w:eastAsia="Arial" w:hAnsi="Arial"/>
                <w:sz w:val="11"/>
                <w:szCs w:val="11"/>
                <w:color w:val="auto"/>
              </w:rPr>
              <w:t>NM</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765</w:t>
            </w:r>
          </w:p>
        </w:tc>
        <w:tc>
          <w:tcPr>
            <w:tcW w:w="2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249</w:t>
            </w:r>
          </w:p>
        </w:tc>
        <w:tc>
          <w:tcPr>
            <w:tcW w:w="900" w:type="dxa"/>
            <w:vAlign w:val="bottom"/>
            <w:vMerge w:val="restart"/>
          </w:tcPr>
          <w:p>
            <w:pPr>
              <w:jc w:val="right"/>
              <w:ind w:right="67"/>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40"/>
        </w:trPr>
        <w:tc>
          <w:tcPr>
            <w:tcW w:w="2300" w:type="dxa"/>
            <w:vAlign w:val="bottom"/>
          </w:tcPr>
          <w:p>
            <w:pPr>
              <w:ind w:left="80"/>
              <w:spacing w:after="0"/>
              <w:rPr>
                <w:sz w:val="20"/>
                <w:szCs w:val="20"/>
                <w:color w:val="auto"/>
              </w:rPr>
            </w:pPr>
            <w:r>
              <w:rPr>
                <w:rFonts w:ascii="Arial" w:cs="Arial" w:eastAsia="Arial" w:hAnsi="Arial"/>
                <w:sz w:val="11"/>
                <w:szCs w:val="11"/>
                <w:color w:val="auto"/>
              </w:rPr>
              <w:t>securities</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00" w:type="dxa"/>
            <w:vAlign w:val="bottom"/>
          </w:tcPr>
          <w:p>
            <w:pPr>
              <w:ind w:left="80"/>
              <w:spacing w:after="0"/>
              <w:rPr>
                <w:sz w:val="20"/>
                <w:szCs w:val="20"/>
                <w:color w:val="auto"/>
              </w:rPr>
            </w:pPr>
            <w:r>
              <w:rPr>
                <w:rFonts w:ascii="Arial" w:cs="Arial" w:eastAsia="Arial" w:hAnsi="Arial"/>
                <w:sz w:val="11"/>
                <w:szCs w:val="11"/>
                <w:color w:val="auto"/>
              </w:rPr>
              <w:t>Translation adjustments, net of hedges</w:t>
            </w: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868</w:t>
            </w:r>
          </w:p>
        </w:tc>
        <w:tc>
          <w:tcPr>
            <w:tcW w:w="28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489</w:t>
            </w:r>
          </w:p>
        </w:tc>
        <w:tc>
          <w:tcPr>
            <w:tcW w:w="20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(887)</w:t>
            </w:r>
          </w:p>
        </w:tc>
        <w:tc>
          <w:tcPr>
            <w:tcW w:w="18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389</w:t>
            </w:r>
          </w:p>
        </w:tc>
        <w:tc>
          <w:tcPr>
            <w:tcW w:w="180" w:type="dxa"/>
            <w:vAlign w:val="bottom"/>
          </w:tcPr>
          <w:p>
            <w:pPr>
              <w:spacing w:after="0"/>
              <w:rPr>
                <w:sz w:val="13"/>
                <w:szCs w:val="13"/>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(156)</w:t>
            </w:r>
          </w:p>
        </w:tc>
        <w:tc>
          <w:tcPr>
            <w:tcW w:w="820" w:type="dxa"/>
            <w:vAlign w:val="bottom"/>
          </w:tcPr>
          <w:p>
            <w:pPr>
              <w:jc w:val="right"/>
              <w:ind w:right="247"/>
              <w:spacing w:after="0"/>
              <w:rPr>
                <w:sz w:val="20"/>
                <w:szCs w:val="20"/>
                <w:color w:val="auto"/>
              </w:rPr>
            </w:pPr>
            <w:r>
              <w:rPr>
                <w:rFonts w:ascii="Arial" w:cs="Arial" w:eastAsia="Arial" w:hAnsi="Arial"/>
                <w:sz w:val="11"/>
                <w:szCs w:val="11"/>
                <w:color w:val="auto"/>
              </w:rPr>
              <w:t>78</w:t>
            </w:r>
          </w:p>
        </w:tc>
        <w:tc>
          <w:tcPr>
            <w:tcW w:w="880" w:type="dxa"/>
            <w:vAlign w:val="bottom"/>
          </w:tcPr>
          <w:p>
            <w:pPr>
              <w:jc w:val="right"/>
              <w:ind w:right="347"/>
              <w:spacing w:after="0"/>
              <w:rPr>
                <w:sz w:val="20"/>
                <w:szCs w:val="20"/>
                <w:color w:val="auto"/>
              </w:rPr>
            </w:pPr>
            <w:r>
              <w:rPr>
                <w:rFonts w:ascii="Arial" w:cs="Arial" w:eastAsia="Arial" w:hAnsi="Arial"/>
                <w:sz w:val="11"/>
                <w:szCs w:val="11"/>
                <w:color w:val="auto"/>
              </w:rPr>
              <w:t>NM</w:t>
            </w:r>
          </w:p>
        </w:tc>
        <w:tc>
          <w:tcPr>
            <w:tcW w:w="580" w:type="dxa"/>
            <w:vAlign w:val="bottom"/>
          </w:tcPr>
          <w:p>
            <w:pPr>
              <w:jc w:val="right"/>
              <w:spacing w:after="0"/>
              <w:rPr>
                <w:sz w:val="20"/>
                <w:szCs w:val="20"/>
                <w:color w:val="auto"/>
              </w:rPr>
            </w:pPr>
            <w:r>
              <w:rPr>
                <w:rFonts w:ascii="Arial" w:cs="Arial" w:eastAsia="Arial" w:hAnsi="Arial"/>
                <w:sz w:val="11"/>
                <w:szCs w:val="11"/>
                <w:color w:val="auto"/>
              </w:rPr>
              <w:t>1,357</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(360)</w:t>
            </w:r>
          </w:p>
        </w:tc>
        <w:tc>
          <w:tcPr>
            <w:tcW w:w="9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9"/>
        </w:trPr>
        <w:tc>
          <w:tcPr>
            <w:tcW w:w="2300" w:type="dxa"/>
            <w:vAlign w:val="bottom"/>
          </w:tcPr>
          <w:p>
            <w:pPr>
              <w:ind w:left="80"/>
              <w:spacing w:after="0"/>
              <w:rPr>
                <w:sz w:val="20"/>
                <w:szCs w:val="20"/>
                <w:color w:val="auto"/>
              </w:rPr>
            </w:pPr>
            <w:r>
              <w:rPr>
                <w:rFonts w:ascii="Arial" w:cs="Arial" w:eastAsia="Arial" w:hAnsi="Arial"/>
                <w:sz w:val="11"/>
                <w:szCs w:val="11"/>
                <w:color w:val="auto"/>
              </w:rPr>
              <w:t>Fair value hedges</w:t>
            </w: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3"/>
                <w:szCs w:val="13"/>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820" w:type="dxa"/>
            <w:vAlign w:val="bottom"/>
          </w:tcPr>
          <w:p>
            <w:pPr>
              <w:jc w:val="right"/>
              <w:ind w:right="127"/>
              <w:spacing w:after="0"/>
              <w:rPr>
                <w:sz w:val="20"/>
                <w:szCs w:val="20"/>
                <w:color w:val="auto"/>
              </w:rPr>
            </w:pPr>
            <w:r>
              <w:rPr>
                <w:rFonts w:ascii="Arial" w:cs="Arial" w:eastAsia="Arial" w:hAnsi="Arial"/>
                <w:sz w:val="11"/>
                <w:szCs w:val="11"/>
                <w:color w:val="auto"/>
              </w:rPr>
              <w:t>NM</w:t>
            </w:r>
          </w:p>
        </w:tc>
        <w:tc>
          <w:tcPr>
            <w:tcW w:w="880" w:type="dxa"/>
            <w:vAlign w:val="bottom"/>
          </w:tcPr>
          <w:p>
            <w:pPr>
              <w:jc w:val="right"/>
              <w:ind w:right="347"/>
              <w:spacing w:after="0"/>
              <w:rPr>
                <w:sz w:val="20"/>
                <w:szCs w:val="20"/>
                <w:color w:val="auto"/>
              </w:rPr>
            </w:pPr>
            <w:r>
              <w:rPr>
                <w:rFonts w:ascii="Arial" w:cs="Arial" w:eastAsia="Arial" w:hAnsi="Arial"/>
                <w:sz w:val="11"/>
                <w:szCs w:val="11"/>
                <w:color w:val="auto"/>
              </w:rPr>
              <w:t>NM</w:t>
            </w:r>
          </w:p>
        </w:tc>
        <w:tc>
          <w:tcPr>
            <w:tcW w:w="580" w:type="dxa"/>
            <w:vAlign w:val="bottom"/>
          </w:tcPr>
          <w:p>
            <w:pPr>
              <w:jc w:val="right"/>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w:t>
            </w:r>
          </w:p>
        </w:tc>
        <w:tc>
          <w:tcPr>
            <w:tcW w:w="9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25"/>
        </w:trPr>
        <w:tc>
          <w:tcPr>
            <w:tcW w:w="2300" w:type="dxa"/>
            <w:vAlign w:val="bottom"/>
          </w:tcPr>
          <w:p>
            <w:pPr>
              <w:ind w:left="80"/>
              <w:spacing w:after="0" w:line="125" w:lineRule="exact"/>
              <w:rPr>
                <w:sz w:val="20"/>
                <w:szCs w:val="20"/>
                <w:color w:val="auto"/>
              </w:rPr>
            </w:pPr>
            <w:r>
              <w:rPr>
                <w:rFonts w:ascii="Arial" w:cs="Arial" w:eastAsia="Arial" w:hAnsi="Arial"/>
                <w:sz w:val="11"/>
                <w:szCs w:val="11"/>
                <w:color w:val="auto"/>
              </w:rPr>
              <w:t>Defined benefit pension and other</w:t>
            </w: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(28)</w:t>
            </w:r>
          </w:p>
        </w:tc>
        <w:tc>
          <w:tcPr>
            <w:tcW w:w="280" w:type="dxa"/>
            <w:vAlign w:val="bottom"/>
          </w:tcPr>
          <w:p>
            <w:pPr>
              <w:spacing w:after="0"/>
              <w:rPr>
                <w:sz w:val="10"/>
                <w:szCs w:val="10"/>
                <w:color w:val="auto"/>
              </w:rPr>
            </w:pP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0"/>
                <w:szCs w:val="10"/>
                <w:color w:val="auto"/>
              </w:rPr>
            </w:pP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(58)</w:t>
            </w:r>
          </w:p>
        </w:tc>
        <w:tc>
          <w:tcPr>
            <w:tcW w:w="180" w:type="dxa"/>
            <w:vAlign w:val="bottom"/>
          </w:tcPr>
          <w:p>
            <w:pPr>
              <w:spacing w:after="0"/>
              <w:rPr>
                <w:sz w:val="10"/>
                <w:szCs w:val="10"/>
                <w:color w:val="auto"/>
              </w:rPr>
            </w:pPr>
          </w:p>
        </w:tc>
        <w:tc>
          <w:tcPr>
            <w:tcW w:w="740" w:type="dxa"/>
            <w:vAlign w:val="bottom"/>
            <w:vMerge w:val="restart"/>
          </w:tcPr>
          <w:p>
            <w:pPr>
              <w:jc w:val="right"/>
              <w:ind w:right="67"/>
              <w:spacing w:after="0"/>
              <w:rPr>
                <w:sz w:val="20"/>
                <w:szCs w:val="20"/>
                <w:color w:val="auto"/>
              </w:rPr>
            </w:pPr>
            <w:r>
              <w:rPr>
                <w:rFonts w:ascii="Arial" w:cs="Arial" w:eastAsia="Arial" w:hAnsi="Arial"/>
                <w:sz w:val="11"/>
                <w:szCs w:val="11"/>
                <w:color w:val="auto"/>
              </w:rPr>
              <w:t>(28)</w:t>
            </w:r>
          </w:p>
        </w:tc>
        <w:tc>
          <w:tcPr>
            <w:tcW w:w="180" w:type="dxa"/>
            <w:vAlign w:val="bottom"/>
          </w:tcPr>
          <w:p>
            <w:pPr>
              <w:spacing w:after="0"/>
              <w:rPr>
                <w:sz w:val="10"/>
                <w:szCs w:val="10"/>
                <w:color w:val="auto"/>
              </w:rPr>
            </w:pPr>
          </w:p>
        </w:tc>
        <w:tc>
          <w:tcPr>
            <w:tcW w:w="720" w:type="dxa"/>
            <w:vAlign w:val="bottom"/>
            <w:vMerge w:val="restart"/>
          </w:tcPr>
          <w:p>
            <w:pPr>
              <w:jc w:val="right"/>
              <w:ind w:right="47"/>
              <w:spacing w:after="0"/>
              <w:rPr>
                <w:sz w:val="20"/>
                <w:szCs w:val="20"/>
                <w:color w:val="auto"/>
              </w:rPr>
            </w:pPr>
            <w:r>
              <w:rPr>
                <w:rFonts w:ascii="Arial" w:cs="Arial" w:eastAsia="Arial" w:hAnsi="Arial"/>
                <w:sz w:val="11"/>
                <w:szCs w:val="11"/>
                <w:color w:val="auto"/>
              </w:rPr>
              <w:t>(3)</w:t>
            </w:r>
          </w:p>
        </w:tc>
        <w:tc>
          <w:tcPr>
            <w:tcW w:w="820" w:type="dxa"/>
            <w:vAlign w:val="bottom"/>
            <w:vMerge w:val="restart"/>
          </w:tcPr>
          <w:p>
            <w:pPr>
              <w:jc w:val="right"/>
              <w:ind w:right="227"/>
              <w:spacing w:after="0"/>
              <w:rPr>
                <w:sz w:val="20"/>
                <w:szCs w:val="20"/>
                <w:color w:val="auto"/>
              </w:rPr>
            </w:pPr>
            <w:r>
              <w:rPr>
                <w:rFonts w:ascii="Arial" w:cs="Arial" w:eastAsia="Arial" w:hAnsi="Arial"/>
                <w:sz w:val="11"/>
                <w:szCs w:val="11"/>
                <w:color w:val="auto"/>
              </w:rPr>
              <w:t>(75)</w:t>
            </w:r>
          </w:p>
        </w:tc>
        <w:tc>
          <w:tcPr>
            <w:tcW w:w="880" w:type="dxa"/>
            <w:vAlign w:val="bottom"/>
            <w:vMerge w:val="restart"/>
          </w:tcPr>
          <w:p>
            <w:pPr>
              <w:jc w:val="right"/>
              <w:ind w:right="347"/>
              <w:spacing w:after="0"/>
              <w:rPr>
                <w:sz w:val="20"/>
                <w:szCs w:val="20"/>
                <w:color w:val="auto"/>
              </w:rPr>
            </w:pPr>
            <w:r>
              <w:rPr>
                <w:rFonts w:ascii="Arial" w:cs="Arial" w:eastAsia="Arial" w:hAnsi="Arial"/>
                <w:sz w:val="11"/>
                <w:szCs w:val="11"/>
                <w:color w:val="auto"/>
              </w:rPr>
              <w:t>NM</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(44)</w:t>
            </w:r>
          </w:p>
        </w:tc>
        <w:tc>
          <w:tcPr>
            <w:tcW w:w="2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23</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0"/>
        </w:trPr>
        <w:tc>
          <w:tcPr>
            <w:tcW w:w="2300" w:type="dxa"/>
            <w:vAlign w:val="bottom"/>
          </w:tcPr>
          <w:p>
            <w:pPr>
              <w:ind w:left="80"/>
              <w:spacing w:after="0"/>
              <w:rPr>
                <w:sz w:val="20"/>
                <w:szCs w:val="20"/>
                <w:color w:val="auto"/>
              </w:rPr>
            </w:pPr>
            <w:r>
              <w:rPr>
                <w:rFonts w:ascii="Arial" w:cs="Arial" w:eastAsia="Arial" w:hAnsi="Arial"/>
                <w:sz w:val="11"/>
                <w:szCs w:val="11"/>
                <w:color w:val="auto"/>
              </w:rPr>
              <w:t>postretirement employee benefit plans</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300" w:type="dxa"/>
            <w:vAlign w:val="bottom"/>
          </w:tcPr>
          <w:p>
            <w:pPr>
              <w:spacing w:after="0" w:line="125" w:lineRule="exact"/>
              <w:rPr>
                <w:sz w:val="20"/>
                <w:szCs w:val="20"/>
                <w:color w:val="auto"/>
              </w:rPr>
            </w:pPr>
            <w:r>
              <w:rPr>
                <w:rFonts w:ascii="Arial" w:cs="Arial" w:eastAsia="Arial" w:hAnsi="Arial"/>
                <w:sz w:val="11"/>
                <w:szCs w:val="11"/>
                <w:color w:val="auto"/>
              </w:rPr>
              <w:t>Changes related to other CET1 capital</w:t>
            </w: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(241)</w:t>
            </w:r>
          </w:p>
        </w:tc>
        <w:tc>
          <w:tcPr>
            <w:tcW w:w="28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(498)</w:t>
            </w:r>
          </w:p>
        </w:tc>
        <w:tc>
          <w:tcPr>
            <w:tcW w:w="200" w:type="dxa"/>
            <w:vAlign w:val="bottom"/>
          </w:tcPr>
          <w:p>
            <w:pPr>
              <w:spacing w:after="0"/>
              <w:rPr>
                <w:sz w:val="10"/>
                <w:szCs w:val="10"/>
                <w:color w:val="auto"/>
              </w:rPr>
            </w:pP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0"/>
                <w:szCs w:val="10"/>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10"/>
                <w:szCs w:val="10"/>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56</w:t>
            </w:r>
          </w:p>
        </w:tc>
        <w:tc>
          <w:tcPr>
            <w:tcW w:w="820" w:type="dxa"/>
            <w:vAlign w:val="bottom"/>
            <w:vMerge w:val="restart"/>
          </w:tcPr>
          <w:p>
            <w:pPr>
              <w:jc w:val="right"/>
              <w:ind w:right="247"/>
              <w:spacing w:after="0"/>
              <w:rPr>
                <w:sz w:val="20"/>
                <w:szCs w:val="20"/>
                <w:color w:val="auto"/>
              </w:rPr>
            </w:pPr>
            <w:r>
              <w:rPr>
                <w:rFonts w:ascii="Arial" w:cs="Arial" w:eastAsia="Arial" w:hAnsi="Arial"/>
                <w:sz w:val="11"/>
                <w:szCs w:val="11"/>
                <w:color w:val="auto"/>
              </w:rPr>
              <w:t>52</w:t>
            </w:r>
          </w:p>
        </w:tc>
        <w:tc>
          <w:tcPr>
            <w:tcW w:w="880" w:type="dxa"/>
            <w:vAlign w:val="bottom"/>
            <w:vMerge w:val="restart"/>
          </w:tcPr>
          <w:p>
            <w:pPr>
              <w:jc w:val="right"/>
              <w:ind w:right="347"/>
              <w:spacing w:after="0"/>
              <w:rPr>
                <w:sz w:val="20"/>
                <w:szCs w:val="20"/>
                <w:color w:val="auto"/>
              </w:rPr>
            </w:pPr>
            <w:r>
              <w:rPr>
                <w:rFonts w:ascii="Arial" w:cs="Arial" w:eastAsia="Arial" w:hAnsi="Arial"/>
                <w:sz w:val="11"/>
                <w:szCs w:val="11"/>
                <w:color w:val="auto"/>
              </w:rPr>
              <w:t>NM</w:t>
            </w:r>
          </w:p>
        </w:tc>
        <w:tc>
          <w:tcPr>
            <w:tcW w:w="820" w:type="dxa"/>
            <w:vAlign w:val="bottom"/>
            <w:gridSpan w:val="2"/>
            <w:vMerge w:val="restart"/>
          </w:tcPr>
          <w:p>
            <w:pPr>
              <w:jc w:val="right"/>
              <w:ind w:right="47"/>
              <w:spacing w:after="0"/>
              <w:rPr>
                <w:sz w:val="20"/>
                <w:szCs w:val="20"/>
                <w:color w:val="auto"/>
              </w:rPr>
            </w:pPr>
            <w:r>
              <w:rPr>
                <w:rFonts w:ascii="Arial" w:cs="Arial" w:eastAsia="Arial" w:hAnsi="Arial"/>
                <w:sz w:val="11"/>
                <w:szCs w:val="11"/>
                <w:color w:val="auto"/>
              </w:rPr>
              <w:t>(739) (c)</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(522)</w:t>
            </w:r>
          </w:p>
        </w:tc>
        <w:tc>
          <w:tcPr>
            <w:tcW w:w="900" w:type="dxa"/>
            <w:vAlign w:val="bottom"/>
            <w:vMerge w:val="restart"/>
          </w:tcPr>
          <w:p>
            <w:pPr>
              <w:jc w:val="right"/>
              <w:ind w:right="47"/>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52"/>
        </w:trPr>
        <w:tc>
          <w:tcPr>
            <w:tcW w:w="2300" w:type="dxa"/>
            <w:vAlign w:val="bottom"/>
          </w:tcPr>
          <w:p>
            <w:pPr>
              <w:spacing w:after="0"/>
              <w:rPr>
                <w:sz w:val="20"/>
                <w:szCs w:val="20"/>
                <w:color w:val="auto"/>
              </w:rPr>
            </w:pPr>
            <w:r>
              <w:rPr>
                <w:rFonts w:ascii="Arial" w:cs="Arial" w:eastAsia="Arial" w:hAnsi="Arial"/>
                <w:sz w:val="11"/>
                <w:szCs w:val="11"/>
                <w:color w:val="auto"/>
              </w:rPr>
              <w:t>adjustments</w:t>
            </w:r>
          </w:p>
        </w:tc>
        <w:tc>
          <w:tcPr>
            <w:tcW w:w="7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300" w:type="dxa"/>
            <w:vAlign w:val="bottom"/>
          </w:tcPr>
          <w:p>
            <w:pPr>
              <w:spacing w:after="0" w:line="93" w:lineRule="exact"/>
              <w:rPr>
                <w:sz w:val="20"/>
                <w:szCs w:val="20"/>
                <w:color w:val="auto"/>
              </w:rPr>
            </w:pPr>
            <w:r>
              <w:rPr>
                <w:rFonts w:ascii="Arial" w:cs="Arial" w:eastAsia="Arial" w:hAnsi="Arial"/>
                <w:sz w:val="10"/>
                <w:szCs w:val="10"/>
                <w:color w:val="auto"/>
              </w:rPr>
              <w:t>Change in Standardized/Advanced CET1</w:t>
            </w:r>
          </w:p>
        </w:tc>
        <w:tc>
          <w:tcPr>
            <w:tcW w:w="72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1"/>
                <w:szCs w:val="11"/>
                <w:color w:val="auto"/>
              </w:rPr>
              <w:t>4,039</w:t>
            </w:r>
          </w:p>
        </w:tc>
        <w:tc>
          <w:tcPr>
            <w:tcW w:w="28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72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1"/>
                <w:szCs w:val="11"/>
                <w:color w:val="auto"/>
              </w:rPr>
              <w:t>4,278</w:t>
            </w:r>
          </w:p>
        </w:tc>
        <w:tc>
          <w:tcPr>
            <w:tcW w:w="200" w:type="dxa"/>
            <w:vAlign w:val="bottom"/>
          </w:tcPr>
          <w:p>
            <w:pPr>
              <w:spacing w:after="0"/>
              <w:rPr>
                <w:sz w:val="8"/>
                <w:szCs w:val="8"/>
                <w:color w:val="auto"/>
              </w:rPr>
            </w:pPr>
          </w:p>
        </w:tc>
        <w:tc>
          <w:tcPr>
            <w:tcW w:w="72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1"/>
                <w:szCs w:val="11"/>
                <w:color w:val="auto"/>
              </w:rPr>
              <w:t>2,549</w:t>
            </w:r>
          </w:p>
        </w:tc>
        <w:tc>
          <w:tcPr>
            <w:tcW w:w="180" w:type="dxa"/>
            <w:vAlign w:val="bottom"/>
          </w:tcPr>
          <w:p>
            <w:pPr>
              <w:spacing w:after="0"/>
              <w:rPr>
                <w:sz w:val="8"/>
                <w:szCs w:val="8"/>
                <w:color w:val="auto"/>
              </w:rPr>
            </w:pPr>
          </w:p>
        </w:tc>
        <w:tc>
          <w:tcPr>
            <w:tcW w:w="740" w:type="dxa"/>
            <w:vAlign w:val="bottom"/>
            <w:tcBorders>
              <w:top w:val="single" w:sz="8" w:color="auto"/>
            </w:tcBorders>
            <w:vMerge w:val="restart"/>
          </w:tcPr>
          <w:p>
            <w:pPr>
              <w:jc w:val="right"/>
              <w:ind w:right="107"/>
              <w:spacing w:after="0"/>
              <w:rPr>
                <w:sz w:val="20"/>
                <w:szCs w:val="20"/>
                <w:color w:val="auto"/>
              </w:rPr>
            </w:pPr>
            <w:r>
              <w:rPr>
                <w:rFonts w:ascii="Arial" w:cs="Arial" w:eastAsia="Arial" w:hAnsi="Arial"/>
                <w:sz w:val="11"/>
                <w:szCs w:val="11"/>
                <w:color w:val="auto"/>
              </w:rPr>
              <w:t>5,768</w:t>
            </w:r>
          </w:p>
        </w:tc>
        <w:tc>
          <w:tcPr>
            <w:tcW w:w="180" w:type="dxa"/>
            <w:vAlign w:val="bottom"/>
          </w:tcPr>
          <w:p>
            <w:pPr>
              <w:spacing w:after="0"/>
              <w:rPr>
                <w:sz w:val="8"/>
                <w:szCs w:val="8"/>
                <w:color w:val="auto"/>
              </w:rPr>
            </w:pPr>
          </w:p>
        </w:tc>
        <w:tc>
          <w:tcPr>
            <w:tcW w:w="72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1"/>
                <w:szCs w:val="11"/>
                <w:color w:val="auto"/>
              </w:rPr>
              <w:t>9,627</w:t>
            </w:r>
          </w:p>
        </w:tc>
        <w:tc>
          <w:tcPr>
            <w:tcW w:w="820" w:type="dxa"/>
            <w:vAlign w:val="bottom"/>
            <w:vMerge w:val="restart"/>
          </w:tcPr>
          <w:p>
            <w:pPr>
              <w:jc w:val="right"/>
              <w:ind w:right="227"/>
              <w:spacing w:after="0"/>
              <w:rPr>
                <w:sz w:val="20"/>
                <w:szCs w:val="20"/>
                <w:color w:val="auto"/>
              </w:rPr>
            </w:pPr>
            <w:r>
              <w:rPr>
                <w:rFonts w:ascii="Arial" w:cs="Arial" w:eastAsia="Arial" w:hAnsi="Arial"/>
                <w:sz w:val="11"/>
                <w:szCs w:val="11"/>
                <w:color w:val="auto"/>
              </w:rPr>
              <w:t>(6)</w:t>
            </w:r>
          </w:p>
        </w:tc>
        <w:tc>
          <w:tcPr>
            <w:tcW w:w="880" w:type="dxa"/>
            <w:vAlign w:val="bottom"/>
            <w:vMerge w:val="restart"/>
          </w:tcPr>
          <w:p>
            <w:pPr>
              <w:jc w:val="right"/>
              <w:ind w:right="447"/>
              <w:spacing w:after="0"/>
              <w:rPr>
                <w:sz w:val="20"/>
                <w:szCs w:val="20"/>
                <w:color w:val="auto"/>
              </w:rPr>
            </w:pPr>
            <w:r>
              <w:rPr>
                <w:rFonts w:ascii="Arial" w:cs="Arial" w:eastAsia="Arial" w:hAnsi="Arial"/>
                <w:sz w:val="11"/>
                <w:szCs w:val="11"/>
                <w:color w:val="auto"/>
              </w:rPr>
              <w:t>(58)</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8,317</w:t>
            </w:r>
          </w:p>
        </w:tc>
        <w:tc>
          <w:tcPr>
            <w:tcW w:w="240" w:type="dxa"/>
            <w:vAlign w:val="bottom"/>
            <w:vMerge w:val="restart"/>
          </w:tcPr>
          <w:p>
            <w:pPr>
              <w:jc w:val="right"/>
              <w:ind w:right="47"/>
              <w:spacing w:after="0"/>
              <w:rPr>
                <w:sz w:val="20"/>
                <w:szCs w:val="20"/>
                <w:color w:val="auto"/>
              </w:rPr>
            </w:pPr>
            <w:r>
              <w:rPr>
                <w:rFonts w:ascii="Arial" w:cs="Arial" w:eastAsia="Arial" w:hAnsi="Arial"/>
                <w:sz w:val="11"/>
                <w:szCs w:val="11"/>
                <w:color w:val="auto"/>
                <w:w w:val="93"/>
              </w:rPr>
              <w:t>(c)</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16,611</w:t>
            </w:r>
          </w:p>
        </w:tc>
        <w:tc>
          <w:tcPr>
            <w:tcW w:w="900" w:type="dxa"/>
            <w:vAlign w:val="bottom"/>
            <w:vMerge w:val="restart"/>
          </w:tcPr>
          <w:p>
            <w:pPr>
              <w:jc w:val="right"/>
              <w:ind w:right="47"/>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57"/>
        </w:trPr>
        <w:tc>
          <w:tcPr>
            <w:tcW w:w="2300" w:type="dxa"/>
            <w:vAlign w:val="bottom"/>
          </w:tcPr>
          <w:p>
            <w:pPr>
              <w:spacing w:after="0"/>
              <w:rPr>
                <w:sz w:val="20"/>
                <w:szCs w:val="20"/>
                <w:color w:val="auto"/>
              </w:rPr>
            </w:pPr>
            <w:r>
              <w:rPr>
                <w:rFonts w:ascii="Arial" w:cs="Arial" w:eastAsia="Arial" w:hAnsi="Arial"/>
                <w:sz w:val="11"/>
                <w:szCs w:val="11"/>
                <w:color w:val="auto"/>
              </w:rPr>
              <w:t>capital</w:t>
            </w:r>
          </w:p>
        </w:tc>
        <w:tc>
          <w:tcPr>
            <w:tcW w:w="72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300" w:type="dxa"/>
            <w:vAlign w:val="bottom"/>
          </w:tcPr>
          <w:p>
            <w:pPr>
              <w:spacing w:after="0" w:line="93" w:lineRule="exact"/>
              <w:rPr>
                <w:sz w:val="20"/>
                <w:szCs w:val="20"/>
                <w:color w:val="auto"/>
              </w:rPr>
            </w:pPr>
            <w:r>
              <w:rPr>
                <w:rFonts w:ascii="Arial" w:cs="Arial" w:eastAsia="Arial" w:hAnsi="Arial"/>
                <w:sz w:val="10"/>
                <w:szCs w:val="10"/>
                <w:b w:val="1"/>
                <w:bCs w:val="1"/>
                <w:color w:val="auto"/>
              </w:rPr>
              <w:t>Standardized/Advanced CET1 capital,</w:t>
            </w: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  283,830</w:t>
            </w:r>
          </w:p>
        </w:tc>
        <w:tc>
          <w:tcPr>
            <w:tcW w:w="28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  279,791</w:t>
            </w:r>
          </w:p>
        </w:tc>
        <w:tc>
          <w:tcPr>
            <w:tcW w:w="20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  275,513</w:t>
            </w:r>
          </w:p>
        </w:tc>
        <w:tc>
          <w:tcPr>
            <w:tcW w:w="180" w:type="dxa"/>
            <w:vAlign w:val="bottom"/>
          </w:tcPr>
          <w:p>
            <w:pPr>
              <w:spacing w:after="0"/>
              <w:rPr>
                <w:sz w:val="8"/>
                <w:szCs w:val="8"/>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  272,964</w:t>
            </w:r>
          </w:p>
        </w:tc>
        <w:tc>
          <w:tcPr>
            <w:tcW w:w="18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  267,196</w:t>
            </w:r>
          </w:p>
        </w:tc>
        <w:tc>
          <w:tcPr>
            <w:tcW w:w="820" w:type="dxa"/>
            <w:vAlign w:val="bottom"/>
            <w:vMerge w:val="restart"/>
          </w:tcPr>
          <w:p>
            <w:pPr>
              <w:jc w:val="right"/>
              <w:ind w:right="267"/>
              <w:spacing w:after="0"/>
              <w:rPr>
                <w:sz w:val="20"/>
                <w:szCs w:val="20"/>
                <w:color w:val="auto"/>
              </w:rPr>
            </w:pPr>
            <w:r>
              <w:rPr>
                <w:rFonts w:ascii="Arial" w:cs="Arial" w:eastAsia="Arial" w:hAnsi="Arial"/>
                <w:sz w:val="11"/>
                <w:szCs w:val="11"/>
                <w:color w:val="auto"/>
              </w:rPr>
              <w:t>1</w:t>
            </w:r>
          </w:p>
        </w:tc>
        <w:tc>
          <w:tcPr>
            <w:tcW w:w="880" w:type="dxa"/>
            <w:vAlign w:val="bottom"/>
            <w:vMerge w:val="restart"/>
          </w:tcPr>
          <w:p>
            <w:pPr>
              <w:jc w:val="right"/>
              <w:ind w:right="467"/>
              <w:spacing w:after="0"/>
              <w:rPr>
                <w:sz w:val="20"/>
                <w:szCs w:val="20"/>
                <w:color w:val="auto"/>
              </w:rPr>
            </w:pPr>
            <w:r>
              <w:rPr>
                <w:rFonts w:ascii="Arial" w:cs="Arial" w:eastAsia="Arial" w:hAnsi="Arial"/>
                <w:sz w:val="11"/>
                <w:szCs w:val="11"/>
                <w:color w:val="auto"/>
              </w:rPr>
              <w:t>6</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99"/>
              </w:rPr>
              <w:t>$  283,830</w:t>
            </w:r>
          </w:p>
        </w:tc>
        <w:tc>
          <w:tcPr>
            <w:tcW w:w="240" w:type="dxa"/>
            <w:vAlign w:val="bottom"/>
            <w:vMerge w:val="restart"/>
          </w:tcPr>
          <w:p>
            <w:pPr>
              <w:jc w:val="right"/>
              <w:ind w:right="47"/>
              <w:spacing w:after="0"/>
              <w:rPr>
                <w:sz w:val="20"/>
                <w:szCs w:val="20"/>
                <w:color w:val="auto"/>
              </w:rPr>
            </w:pPr>
            <w:r>
              <w:rPr>
                <w:rFonts w:ascii="Arial" w:cs="Arial" w:eastAsia="Arial" w:hAnsi="Arial"/>
                <w:sz w:val="11"/>
                <w:szCs w:val="11"/>
                <w:color w:val="auto"/>
                <w:w w:val="93"/>
              </w:rPr>
              <w:t>(c)</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99"/>
              </w:rPr>
              <w:t>$  267,196</w:t>
            </w:r>
          </w:p>
        </w:tc>
        <w:tc>
          <w:tcPr>
            <w:tcW w:w="900" w:type="dxa"/>
            <w:vAlign w:val="bottom"/>
            <w:vMerge w:val="restart"/>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7"/>
        </w:trPr>
        <w:tc>
          <w:tcPr>
            <w:tcW w:w="2300" w:type="dxa"/>
            <w:vAlign w:val="bottom"/>
          </w:tcPr>
          <w:p>
            <w:pPr>
              <w:spacing w:after="0"/>
              <w:rPr>
                <w:sz w:val="20"/>
                <w:szCs w:val="20"/>
                <w:color w:val="auto"/>
              </w:rPr>
            </w:pPr>
            <w:r>
              <w:rPr>
                <w:rFonts w:ascii="Arial" w:cs="Arial" w:eastAsia="Arial" w:hAnsi="Arial"/>
                <w:sz w:val="11"/>
                <w:szCs w:val="11"/>
                <w:b w:val="1"/>
                <w:bCs w:val="1"/>
                <w:color w:val="auto"/>
              </w:rPr>
              <w:t>ending balance</w:t>
            </w:r>
          </w:p>
        </w:tc>
        <w:tc>
          <w:tcPr>
            <w:tcW w:w="72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15398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351" w:lineRule="exact"/>
        <w:rPr>
          <w:sz w:val="20"/>
          <w:szCs w:val="20"/>
          <w:color w:val="auto"/>
        </w:rPr>
      </w:pPr>
    </w:p>
    <w:p>
      <w:pPr>
        <w:ind w:left="160" w:right="360" w:hanging="154"/>
        <w:spacing w:after="0" w:line="245" w:lineRule="auto"/>
        <w:tabs>
          <w:tab w:leader="none" w:pos="157" w:val="left"/>
        </w:tabs>
        <w:numPr>
          <w:ilvl w:val="0"/>
          <w:numId w:val="21"/>
        </w:numPr>
        <w:rPr>
          <w:rFonts w:ascii="Arial" w:cs="Arial" w:eastAsia="Arial" w:hAnsi="Arial"/>
          <w:sz w:val="11"/>
          <w:szCs w:val="11"/>
          <w:color w:val="auto"/>
        </w:rPr>
      </w:pPr>
      <w:r>
        <w:rPr>
          <w:rFonts w:ascii="Arial" w:cs="Arial" w:eastAsia="Arial" w:hAnsi="Arial"/>
          <w:sz w:val="11"/>
          <w:szCs w:val="11"/>
          <w:color w:val="auto"/>
        </w:rPr>
        <w:t>As of January 1, 2025, the benefit from the CECL capital transition provision had been fully phased-out. As of December 31, 2024, September 30, 2024, and June 30, 2024, CET1 capital reflected the remaining $720 million CECL benefit. Refer to Note 21 of the Firm’s Quarterly Report on Form 10-Q for the quarterly period ended March 31, 2025, and Note 27 of the Firm’s 2024 Form 10-K for additional information.</w:t>
      </w:r>
    </w:p>
    <w:p>
      <w:pPr>
        <w:ind w:left="160" w:right="360" w:hanging="154"/>
        <w:spacing w:after="0" w:line="238" w:lineRule="auto"/>
        <w:tabs>
          <w:tab w:leader="none" w:pos="157" w:val="left"/>
        </w:tabs>
        <w:numPr>
          <w:ilvl w:val="0"/>
          <w:numId w:val="21"/>
        </w:numPr>
        <w:rPr>
          <w:rFonts w:ascii="Arial" w:cs="Arial" w:eastAsia="Arial" w:hAnsi="Arial"/>
          <w:sz w:val="11"/>
          <w:szCs w:val="11"/>
          <w:color w:val="auto"/>
        </w:rPr>
      </w:pPr>
      <w:r>
        <w:rPr>
          <w:rFonts w:ascii="Arial" w:cs="Arial" w:eastAsia="Arial" w:hAnsi="Arial"/>
          <w:sz w:val="11"/>
          <w:szCs w:val="11"/>
          <w:color w:val="auto"/>
        </w:rPr>
        <w:t>Adjusted average assets, for purposes of calculating the leverage ratios, includes quarterly average assets adjusted for on-balance sheet assets that are subject to deduction from Tier 1 capital, predominantly goodwill, inclusive of estimated equity method goodwill, and other intangible assets.</w:t>
      </w:r>
    </w:p>
    <w:p>
      <w:pPr>
        <w:ind w:left="160" w:hanging="154"/>
        <w:spacing w:after="0"/>
        <w:tabs>
          <w:tab w:leader="none" w:pos="1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9</w:t>
      </w:r>
    </w:p>
    <w:p>
      <w:pPr>
        <w:sectPr>
          <w:pgSz w:w="11900" w:h="16838" w:orient="portrait"/>
          <w:cols w:equalWidth="0" w:num="1">
            <w:col w:w="11240"/>
          </w:cols>
          <w:pgMar w:left="320" w:top="484"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5649595</wp:posOffset>
            </wp:positionH>
            <wp:positionV relativeFrom="paragraph">
              <wp:posOffset>-3810</wp:posOffset>
            </wp:positionV>
            <wp:extent cx="1371600" cy="193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CAPITAL AND OTHER SELECTED BALANCE SHEET ITEMS,</w:t>
      </w:r>
    </w:p>
    <w:p>
      <w:pPr>
        <w:ind w:left="20"/>
        <w:spacing w:after="0"/>
        <w:rPr>
          <w:sz w:val="20"/>
          <w:szCs w:val="20"/>
          <w:color w:val="auto"/>
        </w:rPr>
      </w:pPr>
      <w:r>
        <w:rPr>
          <w:rFonts w:ascii="Arial" w:cs="Arial" w:eastAsia="Arial" w:hAnsi="Arial"/>
          <w:sz w:val="14"/>
          <w:szCs w:val="14"/>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6"/>
          </w:tcPr>
          <w:p>
            <w:pPr>
              <w:jc w:val="center"/>
              <w:ind w:right="460"/>
              <w:spacing w:after="0"/>
              <w:rPr>
                <w:sz w:val="20"/>
                <w:szCs w:val="20"/>
                <w:color w:val="auto"/>
              </w:rPr>
            </w:pPr>
            <w:r>
              <w:rPr>
                <w:rFonts w:ascii="Arial" w:cs="Arial" w:eastAsia="Arial" w:hAnsi="Arial"/>
                <w:sz w:val="11"/>
                <w:szCs w:val="11"/>
                <w:b w:val="1"/>
                <w:bCs w:val="1"/>
                <w:color w:val="auto"/>
                <w:w w:val="94"/>
              </w:rPr>
              <w:t>Jun 30, 2025</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4"/>
              </w:rPr>
              <w:t>Change</w:t>
            </w:r>
          </w:p>
        </w:tc>
        <w:tc>
          <w:tcPr>
            <w:tcW w:w="4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367"/>
              <w:spacing w:after="0"/>
              <w:rPr>
                <w:sz w:val="20"/>
                <w:szCs w:val="20"/>
                <w:color w:val="auto"/>
              </w:rPr>
            </w:pPr>
            <w:r>
              <w:rPr>
                <w:rFonts w:ascii="Arial" w:cs="Arial" w:eastAsia="Arial" w:hAnsi="Arial"/>
                <w:sz w:val="11"/>
                <w:szCs w:val="11"/>
                <w:b w:val="1"/>
                <w:bCs w:val="1"/>
                <w:color w:val="auto"/>
              </w:rPr>
              <w:t>SIX MONTHS ENDED JUNE 30,</w:t>
            </w:r>
          </w:p>
        </w:tc>
      </w:tr>
      <w:tr>
        <w:trPr>
          <w:trHeight w:val="152"/>
        </w:trPr>
        <w:tc>
          <w:tcPr>
            <w:tcW w:w="1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b w:val="1"/>
                <w:bCs w:val="1"/>
                <w:color w:val="auto"/>
                <w:w w:val="94"/>
              </w:rPr>
              <w:t>Jun 30,</w:t>
            </w: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2025 Change</w:t>
            </w:r>
          </w:p>
        </w:tc>
      </w:tr>
      <w:tr>
        <w:trPr>
          <w:trHeight w:val="152"/>
        </w:trPr>
        <w:tc>
          <w:tcPr>
            <w:tcW w:w="1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660" w:type="dxa"/>
            <w:vAlign w:val="bottom"/>
            <w:gridSpan w:val="2"/>
          </w:tcPr>
          <w:p>
            <w:pPr>
              <w:jc w:val="right"/>
              <w:ind w:right="7"/>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2024</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98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2024</w:t>
            </w:r>
          </w:p>
        </w:tc>
      </w:tr>
      <w:tr>
        <w:trPr>
          <w:trHeight w:val="106"/>
        </w:trPr>
        <w:tc>
          <w:tcPr>
            <w:tcW w:w="2300" w:type="dxa"/>
            <w:vAlign w:val="bottom"/>
            <w:tcBorders>
              <w:bottom w:val="single" w:sz="8" w:color="auto"/>
            </w:tcBorders>
            <w:gridSpan w:val="3"/>
          </w:tcPr>
          <w:p>
            <w:pPr>
              <w:spacing w:after="0" w:line="106" w:lineRule="exact"/>
              <w:rPr>
                <w:sz w:val="20"/>
                <w:szCs w:val="20"/>
                <w:color w:val="auto"/>
              </w:rPr>
            </w:pPr>
            <w:r>
              <w:rPr>
                <w:rFonts w:ascii="Arial" w:cs="Arial" w:eastAsia="Arial" w:hAnsi="Arial"/>
                <w:sz w:val="11"/>
                <w:szCs w:val="11"/>
                <w:b w:val="1"/>
                <w:bCs w:val="1"/>
                <w:color w:val="auto"/>
                <w:w w:val="95"/>
              </w:rPr>
              <w:t>TANGIBLE COMMON EQUITY (period-end) (a)</w:t>
            </w: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0"/>
        </w:trPr>
        <w:tc>
          <w:tcPr>
            <w:tcW w:w="2680" w:type="dxa"/>
            <w:vAlign w:val="bottom"/>
            <w:gridSpan w:val="4"/>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336,879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331,375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324,708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324,186</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316,652</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6 %</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680" w:type="dxa"/>
            <w:vAlign w:val="bottom"/>
            <w:gridSpan w:val="4"/>
          </w:tcPr>
          <w:p>
            <w:pPr>
              <w:spacing w:after="0"/>
              <w:rPr>
                <w:sz w:val="20"/>
                <w:szCs w:val="20"/>
                <w:color w:val="auto"/>
              </w:rPr>
            </w:pPr>
            <w:r>
              <w:rPr>
                <w:rFonts w:ascii="Arial" w:cs="Arial" w:eastAsia="Arial" w:hAnsi="Arial"/>
                <w:sz w:val="11"/>
                <w:szCs w:val="11"/>
                <w:color w:val="auto"/>
              </w:rPr>
              <w:t>Less: Goodwill</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52,747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52,565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52,711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52,620</w:t>
            </w:r>
          </w:p>
        </w:tc>
        <w:tc>
          <w:tcPr>
            <w:tcW w:w="220" w:type="dxa"/>
            <w:vAlign w:val="bottom"/>
          </w:tcPr>
          <w:p>
            <w:pPr>
              <w:spacing w:after="0"/>
              <w:rPr>
                <w:sz w:val="13"/>
                <w:szCs w:val="13"/>
                <w:color w:val="auto"/>
              </w:rPr>
            </w:pPr>
          </w:p>
        </w:tc>
        <w:tc>
          <w:tcPr>
            <w:tcW w:w="4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680" w:type="dxa"/>
            <w:vAlign w:val="bottom"/>
            <w:gridSpan w:val="4"/>
          </w:tcPr>
          <w:p>
            <w:pPr>
              <w:spacing w:after="0"/>
              <w:rPr>
                <w:sz w:val="20"/>
                <w:szCs w:val="20"/>
                <w:color w:val="auto"/>
              </w:rPr>
            </w:pPr>
            <w:r>
              <w:rPr>
                <w:rFonts w:ascii="Arial" w:cs="Arial" w:eastAsia="Arial" w:hAnsi="Arial"/>
                <w:sz w:val="11"/>
                <w:szCs w:val="11"/>
                <w:color w:val="auto"/>
              </w:rPr>
              <w:t>Less: Other intangible assets</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2,722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2,777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2,874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2,991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3,058</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2680" w:type="dxa"/>
            <w:vAlign w:val="bottom"/>
            <w:gridSpan w:val="4"/>
          </w:tcPr>
          <w:p>
            <w:pPr>
              <w:spacing w:after="0"/>
              <w:rPr>
                <w:sz w:val="20"/>
                <w:szCs w:val="20"/>
                <w:color w:val="auto"/>
              </w:rPr>
            </w:pPr>
            <w:r>
              <w:rPr>
                <w:rFonts w:ascii="Arial" w:cs="Arial" w:eastAsia="Arial" w:hAnsi="Arial"/>
                <w:sz w:val="11"/>
                <w:szCs w:val="11"/>
                <w:color w:val="auto"/>
              </w:rPr>
              <w:t>Add: Certain deferred tax liabilities (b)</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2,923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2,928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2,943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2,969</w:t>
            </w:r>
          </w:p>
        </w:tc>
        <w:tc>
          <w:tcPr>
            <w:tcW w:w="22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284,333</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278,905</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272,212</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271,446</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263,943</w:t>
            </w:r>
          </w:p>
        </w:tc>
        <w:tc>
          <w:tcPr>
            <w:tcW w:w="660" w:type="dxa"/>
            <w:vAlign w:val="bottom"/>
            <w:gridSpan w:val="2"/>
          </w:tcPr>
          <w:p>
            <w:pPr>
              <w:jc w:val="right"/>
              <w:ind w:right="2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9"/>
        </w:trPr>
        <w:tc>
          <w:tcPr>
            <w:tcW w:w="2680" w:type="dxa"/>
            <w:vAlign w:val="bottom"/>
            <w:gridSpan w:val="4"/>
          </w:tcPr>
          <w:p>
            <w:pPr>
              <w:spacing w:after="0"/>
              <w:rPr>
                <w:sz w:val="20"/>
                <w:szCs w:val="20"/>
                <w:color w:val="auto"/>
              </w:rPr>
            </w:pPr>
            <w:r>
              <w:rPr>
                <w:rFonts w:ascii="Arial" w:cs="Arial" w:eastAsia="Arial" w:hAnsi="Arial"/>
                <w:sz w:val="11"/>
                <w:szCs w:val="11"/>
                <w:b w:val="1"/>
                <w:bCs w:val="1"/>
                <w:color w:val="auto"/>
              </w:rPr>
              <w:t>TANGIBLE COMMON EQUITY (average) (a)</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Common stockholders’ equity</w:t>
            </w:r>
          </w:p>
        </w:tc>
        <w:tc>
          <w:tcPr>
            <w:tcW w:w="54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329,797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324,345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318,376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321,894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308,763</w:t>
            </w:r>
          </w:p>
        </w:tc>
        <w:tc>
          <w:tcPr>
            <w:tcW w:w="660" w:type="dxa"/>
            <w:vAlign w:val="bottom"/>
            <w:gridSpan w:val="2"/>
          </w:tcPr>
          <w:p>
            <w:pPr>
              <w:jc w:val="right"/>
              <w:ind w:right="2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327,086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304,519</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7 %</w:t>
            </w:r>
          </w:p>
        </w:tc>
      </w:tr>
      <w:tr>
        <w:trPr>
          <w:trHeight w:val="159"/>
        </w:trPr>
        <w:tc>
          <w:tcPr>
            <w:tcW w:w="2680" w:type="dxa"/>
            <w:vAlign w:val="bottom"/>
            <w:gridSpan w:val="4"/>
          </w:tcPr>
          <w:p>
            <w:pPr>
              <w:spacing w:after="0"/>
              <w:rPr>
                <w:sz w:val="20"/>
                <w:szCs w:val="20"/>
                <w:color w:val="auto"/>
              </w:rPr>
            </w:pPr>
            <w:r>
              <w:rPr>
                <w:rFonts w:ascii="Arial" w:cs="Arial" w:eastAsia="Arial" w:hAnsi="Arial"/>
                <w:sz w:val="11"/>
                <w:szCs w:val="11"/>
                <w:color w:val="auto"/>
              </w:rPr>
              <w:t>Less: Goodwill</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52,581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52,658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52,618</w:t>
            </w:r>
          </w:p>
        </w:tc>
        <w:tc>
          <w:tcPr>
            <w:tcW w:w="220" w:type="dxa"/>
            <w:vAlign w:val="bottom"/>
          </w:tcPr>
          <w:p>
            <w:pPr>
              <w:spacing w:after="0"/>
              <w:rPr>
                <w:sz w:val="13"/>
                <w:szCs w:val="13"/>
                <w:color w:val="auto"/>
              </w:rPr>
            </w:pPr>
          </w:p>
        </w:tc>
        <w:tc>
          <w:tcPr>
            <w:tcW w:w="4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52,637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52,616</w:t>
            </w:r>
          </w:p>
        </w:tc>
        <w:tc>
          <w:tcPr>
            <w:tcW w:w="22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w:t>
            </w:r>
          </w:p>
        </w:tc>
      </w:tr>
      <w:tr>
        <w:trPr>
          <w:trHeight w:val="159"/>
        </w:trPr>
        <w:tc>
          <w:tcPr>
            <w:tcW w:w="2680" w:type="dxa"/>
            <w:vAlign w:val="bottom"/>
            <w:gridSpan w:val="4"/>
          </w:tcPr>
          <w:p>
            <w:pPr>
              <w:spacing w:after="0"/>
              <w:rPr>
                <w:sz w:val="20"/>
                <w:szCs w:val="20"/>
                <w:color w:val="auto"/>
              </w:rPr>
            </w:pPr>
            <w:r>
              <w:rPr>
                <w:rFonts w:ascii="Arial" w:cs="Arial" w:eastAsia="Arial" w:hAnsi="Arial"/>
                <w:sz w:val="11"/>
                <w:szCs w:val="11"/>
                <w:color w:val="auto"/>
              </w:rPr>
              <w:t>Less: Other intangible assets</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2,741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2,830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2,921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3,007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3,086</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2,785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3,122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(11)</w:t>
            </w:r>
          </w:p>
        </w:tc>
      </w:tr>
      <w:tr>
        <w:trPr>
          <w:trHeight w:val="171"/>
        </w:trPr>
        <w:tc>
          <w:tcPr>
            <w:tcW w:w="2680" w:type="dxa"/>
            <w:vAlign w:val="bottom"/>
            <w:gridSpan w:val="4"/>
          </w:tcPr>
          <w:p>
            <w:pPr>
              <w:spacing w:after="0"/>
              <w:rPr>
                <w:sz w:val="20"/>
                <w:szCs w:val="20"/>
                <w:color w:val="auto"/>
              </w:rPr>
            </w:pPr>
            <w:r>
              <w:rPr>
                <w:rFonts w:ascii="Arial" w:cs="Arial" w:eastAsia="Arial" w:hAnsi="Arial"/>
                <w:sz w:val="11"/>
                <w:szCs w:val="11"/>
                <w:color w:val="auto"/>
              </w:rPr>
              <w:t>Add: Certain deferred tax liabilities (b)</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2,926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2,938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2,952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2,975</w:t>
            </w:r>
          </w:p>
        </w:tc>
        <w:tc>
          <w:tcPr>
            <w:tcW w:w="22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2,932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2,982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r>
      <w:tr>
        <w:trPr>
          <w:trHeight w:val="166"/>
        </w:trPr>
        <w:tc>
          <w:tcPr>
            <w:tcW w:w="26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277,290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271,872</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265,790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269,192</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256,034</w:t>
            </w:r>
          </w:p>
        </w:tc>
        <w:tc>
          <w:tcPr>
            <w:tcW w:w="660" w:type="dxa"/>
            <w:vAlign w:val="bottom"/>
            <w:gridSpan w:val="2"/>
          </w:tcPr>
          <w:p>
            <w:pPr>
              <w:jc w:val="right"/>
              <w:ind w:right="2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274,596</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251,763</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r>
      <w:tr>
        <w:trPr>
          <w:trHeight w:val="159"/>
        </w:trPr>
        <w:tc>
          <w:tcPr>
            <w:tcW w:w="2680" w:type="dxa"/>
            <w:vAlign w:val="bottom"/>
            <w:gridSpan w:val="4"/>
          </w:tcPr>
          <w:p>
            <w:pPr>
              <w:spacing w:after="0"/>
              <w:rPr>
                <w:sz w:val="20"/>
                <w:szCs w:val="20"/>
                <w:color w:val="auto"/>
              </w:rPr>
            </w:pPr>
            <w:r>
              <w:rPr>
                <w:rFonts w:ascii="Arial" w:cs="Arial" w:eastAsia="Arial" w:hAnsi="Arial"/>
                <w:sz w:val="11"/>
                <w:szCs w:val="11"/>
                <w:b w:val="1"/>
                <w:bCs w:val="1"/>
                <w:color w:val="auto"/>
              </w:rPr>
              <w:t>INTANGIBLE ASSETS (period-end)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17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Goodwill</w:t>
            </w:r>
          </w:p>
        </w:tc>
        <w:tc>
          <w:tcPr>
            <w:tcW w:w="940" w:type="dxa"/>
            <w:vAlign w:val="bottom"/>
            <w:gridSpan w:val="3"/>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52,747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52,621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52,565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52,711</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52,620</w:t>
            </w:r>
          </w:p>
        </w:tc>
        <w:tc>
          <w:tcPr>
            <w:tcW w:w="220" w:type="dxa"/>
            <w:vAlign w:val="bottom"/>
          </w:tcPr>
          <w:p>
            <w:pPr>
              <w:spacing w:after="0"/>
              <w:rPr>
                <w:sz w:val="13"/>
                <w:szCs w:val="13"/>
                <w:color w:val="auto"/>
              </w:rPr>
            </w:pPr>
          </w:p>
        </w:tc>
        <w:tc>
          <w:tcPr>
            <w:tcW w:w="4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680" w:type="dxa"/>
            <w:vAlign w:val="bottom"/>
            <w:gridSpan w:val="4"/>
          </w:tcPr>
          <w:p>
            <w:pPr>
              <w:spacing w:after="0"/>
              <w:rPr>
                <w:sz w:val="20"/>
                <w:szCs w:val="20"/>
                <w:color w:val="auto"/>
              </w:rPr>
            </w:pPr>
            <w:r>
              <w:rPr>
                <w:rFonts w:ascii="Arial" w:cs="Arial" w:eastAsia="Arial" w:hAnsi="Arial"/>
                <w:sz w:val="11"/>
                <w:szCs w:val="11"/>
                <w:color w:val="auto"/>
              </w:rPr>
              <w:t>Mortgage servicing rights</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8,996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9,127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9,121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8,753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8,847</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2680" w:type="dxa"/>
            <w:vAlign w:val="bottom"/>
            <w:gridSpan w:val="4"/>
          </w:tcPr>
          <w:p>
            <w:pPr>
              <w:spacing w:after="0"/>
              <w:rPr>
                <w:sz w:val="20"/>
                <w:szCs w:val="20"/>
                <w:color w:val="auto"/>
              </w:rPr>
            </w:pPr>
            <w:r>
              <w:rPr>
                <w:rFonts w:ascii="Arial" w:cs="Arial" w:eastAsia="Arial" w:hAnsi="Arial"/>
                <w:sz w:val="11"/>
                <w:szCs w:val="11"/>
                <w:color w:val="auto"/>
              </w:rPr>
              <w:t>Other intangible assets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2,777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2,874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3,058</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intangible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64,465</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64,525</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64,560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64,455</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64,525</w:t>
            </w:r>
          </w:p>
        </w:tc>
        <w:tc>
          <w:tcPr>
            <w:tcW w:w="22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716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6405" cy="8255"/>
                    </a:xfrm>
                    <a:prstGeom prst="rect">
                      <a:avLst/>
                    </a:prstGeom>
                    <a:noFill/>
                  </pic:spPr>
                </pic:pic>
              </a:graphicData>
            </a:graphic>
          </wp:anchor>
        </w:drawing>
      </w:r>
    </w:p>
    <w:p>
      <w:pPr>
        <w:spacing w:after="0" w:line="378" w:lineRule="exact"/>
        <w:rPr>
          <w:sz w:val="20"/>
          <w:szCs w:val="20"/>
          <w:color w:val="auto"/>
        </w:rPr>
      </w:pPr>
    </w:p>
    <w:p>
      <w:pPr>
        <w:ind w:left="160" w:hanging="154"/>
        <w:spacing w:after="0"/>
        <w:tabs>
          <w:tab w:leader="none" w:pos="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Refer to page 28 for further discussion of TCE.</w:t>
      </w:r>
    </w:p>
    <w:p>
      <w:pPr>
        <w:spacing w:after="0" w:line="2" w:lineRule="exact"/>
        <w:rPr>
          <w:rFonts w:ascii="Arial" w:cs="Arial" w:eastAsia="Arial" w:hAnsi="Arial"/>
          <w:sz w:val="11"/>
          <w:szCs w:val="11"/>
          <w:color w:val="auto"/>
        </w:rPr>
      </w:pPr>
    </w:p>
    <w:p>
      <w:pPr>
        <w:ind w:left="160" w:hanging="154"/>
        <w:spacing w:after="0"/>
        <w:tabs>
          <w:tab w:leader="none" w:pos="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deferred tax liabilities related to tax-deductible goodwill and to identifiable intangibles created in nontaxable transactions, which are netted against goodwill and other intangibles when calculating TCE.</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10</w:t>
      </w:r>
    </w:p>
    <w:p>
      <w:pPr>
        <w:sectPr>
          <w:pgSz w:w="11900" w:h="16838" w:orient="portrait"/>
          <w:cols w:equalWidth="0" w:num="1">
            <w:col w:w="11240"/>
          </w:cols>
          <w:pgMar w:left="320" w:top="484"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EARNINGS PER SHARE AND RELATED INFORMATION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 data)</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ind w:right="40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2Q25 Change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2Q25</w:t>
            </w:r>
          </w:p>
        </w:tc>
        <w:tc>
          <w:tcPr>
            <w:tcW w:w="12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1Q25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3Q24</w:t>
            </w:r>
          </w:p>
        </w:tc>
        <w:tc>
          <w:tcPr>
            <w:tcW w:w="12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2Q24</w:t>
            </w:r>
          </w:p>
        </w:tc>
        <w:tc>
          <w:tcPr>
            <w:tcW w:w="20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1Q25</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2Q24</w:t>
            </w:r>
          </w:p>
        </w:tc>
        <w:tc>
          <w:tcPr>
            <w:tcW w:w="140" w:type="dxa"/>
            <w:vAlign w:val="bottom"/>
          </w:tcPr>
          <w:p>
            <w:pPr>
              <w:spacing w:after="0"/>
              <w:rPr>
                <w:sz w:val="13"/>
                <w:szCs w:val="13"/>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94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1220" w:type="dxa"/>
            <w:vAlign w:val="bottom"/>
            <w:tcBorders>
              <w:bottom w:val="single" w:sz="8" w:color="auto"/>
            </w:tcBorders>
            <w:gridSpan w:val="3"/>
          </w:tcPr>
          <w:p>
            <w:pPr>
              <w:spacing w:after="0" w:line="106" w:lineRule="exact"/>
              <w:rPr>
                <w:sz w:val="20"/>
                <w:szCs w:val="20"/>
                <w:color w:val="auto"/>
              </w:rPr>
            </w:pPr>
            <w:r>
              <w:rPr>
                <w:rFonts w:ascii="Arial" w:cs="Arial" w:eastAsia="Arial" w:hAnsi="Arial"/>
                <w:sz w:val="11"/>
                <w:szCs w:val="11"/>
                <w:b w:val="1"/>
                <w:bCs w:val="1"/>
                <w:color w:val="auto"/>
                <w:w w:val="95"/>
              </w:rPr>
              <w:t>EARNINGS PER SHARE</w:t>
            </w:r>
          </w:p>
        </w:tc>
        <w:tc>
          <w:tcPr>
            <w:tcW w:w="1240" w:type="dxa"/>
            <w:vAlign w:val="bottom"/>
            <w:gridSpan w:val="2"/>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60" w:type="dxa"/>
            <w:vAlign w:val="bottom"/>
            <w:gridSpan w:val="5"/>
          </w:tcPr>
          <w:p>
            <w:pPr>
              <w:spacing w:after="0"/>
              <w:rPr>
                <w:sz w:val="20"/>
                <w:szCs w:val="20"/>
                <w:color w:val="auto"/>
              </w:rPr>
            </w:pPr>
            <w:r>
              <w:rPr>
                <w:rFonts w:ascii="Arial" w:cs="Arial" w:eastAsia="Arial" w:hAnsi="Arial"/>
                <w:sz w:val="11"/>
                <w:szCs w:val="11"/>
                <w:b w:val="1"/>
                <w:bCs w:val="1"/>
                <w:color w:val="auto"/>
              </w:rPr>
              <w:t>Basic earnings per share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14,987</w:t>
            </w:r>
          </w:p>
        </w:tc>
        <w:tc>
          <w:tcPr>
            <w:tcW w:w="2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14,643</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14,005</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12,898</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18,149</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w:t>
            </w:r>
          </w:p>
        </w:tc>
        <w:tc>
          <w:tcPr>
            <w:tcW w:w="4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29,630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31,568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1"/>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Less: Preferred stock dividends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282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255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259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286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317</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537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714</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4"/>
        </w:trPr>
        <w:tc>
          <w:tcPr>
            <w:tcW w:w="2460" w:type="dxa"/>
            <w:vAlign w:val="bottom"/>
            <w:gridSpan w:val="5"/>
          </w:tcPr>
          <w:p>
            <w:pPr>
              <w:ind w:left="200"/>
              <w:spacing w:after="0"/>
              <w:rPr>
                <w:sz w:val="20"/>
                <w:szCs w:val="20"/>
                <w:color w:val="auto"/>
              </w:rPr>
            </w:pPr>
            <w:r>
              <w:rPr>
                <w:rFonts w:ascii="Arial" w:cs="Arial" w:eastAsia="Arial" w:hAnsi="Arial"/>
                <w:sz w:val="11"/>
                <w:szCs w:val="11"/>
                <w:b w:val="1"/>
                <w:bCs w:val="1"/>
                <w:color w:val="auto"/>
              </w:rPr>
              <w:t>Net income applicable to common equity</w:t>
            </w:r>
          </w:p>
        </w:tc>
        <w:tc>
          <w:tcPr>
            <w:tcW w:w="10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14,705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14,388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13,746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12,612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17,832</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(18)</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29,093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30,854</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1"/>
        </w:trPr>
        <w:tc>
          <w:tcPr>
            <w:tcW w:w="2460" w:type="dxa"/>
            <w:vAlign w:val="bottom"/>
            <w:gridSpan w:val="5"/>
          </w:tcPr>
          <w:p>
            <w:pPr>
              <w:ind w:left="120"/>
              <w:spacing w:after="0" w:line="121" w:lineRule="exact"/>
              <w:rPr>
                <w:sz w:val="20"/>
                <w:szCs w:val="20"/>
                <w:color w:val="auto"/>
              </w:rPr>
            </w:pPr>
            <w:r>
              <w:rPr>
                <w:rFonts w:ascii="Arial" w:cs="Arial" w:eastAsia="Arial" w:hAnsi="Arial"/>
                <w:sz w:val="11"/>
                <w:szCs w:val="11"/>
                <w:color w:val="auto"/>
              </w:rPr>
              <w:t>Less: Dividends and undistributed earnings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allocated to</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5"/>
          </w:tcPr>
          <w:p>
            <w:pPr>
              <w:ind w:left="200"/>
              <w:spacing w:after="0"/>
              <w:rPr>
                <w:sz w:val="20"/>
                <w:szCs w:val="20"/>
                <w:color w:val="auto"/>
              </w:rPr>
            </w:pPr>
            <w:r>
              <w:rPr>
                <w:rFonts w:ascii="Arial" w:cs="Arial" w:eastAsia="Arial" w:hAnsi="Arial"/>
                <w:sz w:val="11"/>
                <w:szCs w:val="11"/>
                <w:color w:val="auto"/>
              </w:rPr>
              <w:t>participating securities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114</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(34)</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193</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93"/>
        </w:trPr>
        <w:tc>
          <w:tcPr>
            <w:tcW w:w="2460" w:type="dxa"/>
            <w:vAlign w:val="bottom"/>
            <w:gridSpan w:val="5"/>
          </w:tcPr>
          <w:p>
            <w:pPr>
              <w:ind w:left="200"/>
              <w:spacing w:after="0" w:line="93" w:lineRule="exact"/>
              <w:rPr>
                <w:sz w:val="20"/>
                <w:szCs w:val="20"/>
                <w:color w:val="auto"/>
              </w:rPr>
            </w:pPr>
            <w:r>
              <w:rPr>
                <w:rFonts w:ascii="Arial" w:cs="Arial" w:eastAsia="Arial" w:hAnsi="Arial"/>
                <w:sz w:val="10"/>
                <w:szCs w:val="10"/>
                <w:b w:val="1"/>
                <w:bCs w:val="1"/>
                <w:color w:val="auto"/>
              </w:rPr>
              <w:t>Net income applicable to common</w:t>
            </w: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14,630</w:t>
            </w:r>
          </w:p>
        </w:tc>
        <w:tc>
          <w:tcPr>
            <w:tcW w:w="200" w:type="dxa"/>
            <w:vAlign w:val="bottom"/>
          </w:tcPr>
          <w:p>
            <w:pPr>
              <w:spacing w:after="0"/>
              <w:rPr>
                <w:sz w:val="8"/>
                <w:szCs w:val="8"/>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14,317</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13,669</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12,537</w:t>
            </w:r>
          </w:p>
        </w:tc>
        <w:tc>
          <w:tcPr>
            <w:tcW w:w="2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17,718</w:t>
            </w:r>
          </w:p>
        </w:tc>
        <w:tc>
          <w:tcPr>
            <w:tcW w:w="74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8"/>
                <w:szCs w:val="8"/>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(17)</w:t>
            </w:r>
          </w:p>
        </w:tc>
        <w:tc>
          <w:tcPr>
            <w:tcW w:w="420" w:type="dxa"/>
            <w:vAlign w:val="bottom"/>
          </w:tcPr>
          <w:p>
            <w:pPr>
              <w:spacing w:after="0"/>
              <w:rPr>
                <w:sz w:val="8"/>
                <w:szCs w:val="8"/>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28,948</w:t>
            </w:r>
          </w:p>
        </w:tc>
        <w:tc>
          <w:tcPr>
            <w:tcW w:w="2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30,661</w:t>
            </w:r>
          </w:p>
        </w:tc>
        <w:tc>
          <w:tcPr>
            <w:tcW w:w="940" w:type="dxa"/>
            <w:vAlign w:val="bottom"/>
            <w:gridSpan w:val="2"/>
            <w:vMerge w:val="restart"/>
          </w:tcPr>
          <w:p>
            <w:pPr>
              <w:jc w:val="right"/>
              <w:ind w:right="4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2"/>
        </w:trPr>
        <w:tc>
          <w:tcPr>
            <w:tcW w:w="2460" w:type="dxa"/>
            <w:vAlign w:val="bottom"/>
            <w:gridSpan w:val="5"/>
          </w:tcPr>
          <w:p>
            <w:pPr>
              <w:ind w:left="200"/>
              <w:spacing w:after="0"/>
              <w:rPr>
                <w:sz w:val="20"/>
                <w:szCs w:val="20"/>
                <w:color w:val="auto"/>
              </w:rPr>
            </w:pPr>
            <w:r>
              <w:rPr>
                <w:rFonts w:ascii="Arial" w:cs="Arial" w:eastAsia="Arial" w:hAnsi="Arial"/>
                <w:sz w:val="11"/>
                <w:szCs w:val="11"/>
                <w:b w:val="1"/>
                <w:bCs w:val="1"/>
                <w:color w:val="auto"/>
              </w:rPr>
              <w:t>stockholders</w:t>
            </w:r>
          </w:p>
        </w:tc>
        <w:tc>
          <w:tcPr>
            <w:tcW w:w="1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460" w:type="dxa"/>
            <w:vAlign w:val="bottom"/>
            <w:gridSpan w:val="5"/>
          </w:tcPr>
          <w:p>
            <w:pPr>
              <w:ind w:left="120"/>
              <w:spacing w:after="0"/>
              <w:rPr>
                <w:sz w:val="20"/>
                <w:szCs w:val="20"/>
                <w:color w:val="auto"/>
              </w:rPr>
            </w:pPr>
            <w:r>
              <w:rPr>
                <w:rFonts w:ascii="Arial" w:cs="Arial" w:eastAsia="Arial" w:hAnsi="Arial"/>
                <w:sz w:val="11"/>
                <w:szCs w:val="11"/>
                <w:color w:val="auto"/>
                <w:w w:val="96"/>
              </w:rPr>
              <w:t>Total weighted-average basic shares outstanding</w:t>
            </w: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color w:val="auto"/>
              </w:rPr>
              <w:t>2,788.7</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color w:val="auto"/>
                <w:w w:val="97"/>
              </w:rPr>
              <w:t>2,819.4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2,836.9</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2,860.6</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2,889.8</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1"/>
                <w:szCs w:val="21"/>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2,804.0</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2,899.1</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6"/>
        </w:trPr>
        <w:tc>
          <w:tcPr>
            <w:tcW w:w="246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 per share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5.25</w:t>
            </w:r>
          </w:p>
        </w:tc>
        <w:tc>
          <w:tcPr>
            <w:tcW w:w="20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5.08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4.82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4.38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6.13</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10.32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10.58</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90"/>
        </w:trPr>
        <w:tc>
          <w:tcPr>
            <w:tcW w:w="2460" w:type="dxa"/>
            <w:vAlign w:val="bottom"/>
            <w:gridSpan w:val="5"/>
          </w:tcPr>
          <w:p>
            <w:pPr>
              <w:spacing w:after="0"/>
              <w:rPr>
                <w:sz w:val="20"/>
                <w:szCs w:val="20"/>
                <w:color w:val="auto"/>
              </w:rPr>
            </w:pPr>
            <w:r>
              <w:rPr>
                <w:rFonts w:ascii="Arial" w:cs="Arial" w:eastAsia="Arial" w:hAnsi="Arial"/>
                <w:sz w:val="11"/>
                <w:szCs w:val="11"/>
                <w:b w:val="1"/>
                <w:bCs w:val="1"/>
                <w:color w:val="auto"/>
              </w:rPr>
              <w:t>Diluted earnings per share</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46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Net income applicable to common</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14,630</w:t>
            </w:r>
          </w:p>
        </w:tc>
        <w:tc>
          <w:tcPr>
            <w:tcW w:w="200" w:type="dxa"/>
            <w:vAlign w:val="bottom"/>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14,317</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13,669</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12,537</w:t>
            </w:r>
          </w:p>
        </w:tc>
        <w:tc>
          <w:tcPr>
            <w:tcW w:w="2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17,718</w:t>
            </w:r>
          </w:p>
        </w:tc>
        <w:tc>
          <w:tcPr>
            <w:tcW w:w="74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0"/>
                <w:szCs w:val="10"/>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(17)</w:t>
            </w:r>
          </w:p>
        </w:tc>
        <w:tc>
          <w:tcPr>
            <w:tcW w:w="42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28,948</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30,661</w:t>
            </w:r>
          </w:p>
        </w:tc>
        <w:tc>
          <w:tcPr>
            <w:tcW w:w="940" w:type="dxa"/>
            <w:vAlign w:val="bottom"/>
            <w:gridSpan w:val="2"/>
            <w:vMerge w:val="restart"/>
          </w:tcPr>
          <w:p>
            <w:pPr>
              <w:jc w:val="right"/>
              <w:ind w:right="4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2460" w:type="dxa"/>
            <w:vAlign w:val="bottom"/>
            <w:gridSpan w:val="5"/>
          </w:tcPr>
          <w:p>
            <w:pPr>
              <w:ind w:left="120"/>
              <w:spacing w:after="0"/>
              <w:rPr>
                <w:sz w:val="20"/>
                <w:szCs w:val="20"/>
                <w:color w:val="auto"/>
              </w:rPr>
            </w:pPr>
            <w:r>
              <w:rPr>
                <w:rFonts w:ascii="Arial" w:cs="Arial" w:eastAsia="Arial" w:hAnsi="Arial"/>
                <w:sz w:val="11"/>
                <w:szCs w:val="11"/>
                <w:b w:val="1"/>
                <w:bCs w:val="1"/>
                <w:color w:val="auto"/>
              </w:rPr>
              <w:t>stockholders</w:t>
            </w: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60" w:type="dxa"/>
            <w:vAlign w:val="bottom"/>
            <w:gridSpan w:val="5"/>
          </w:tcPr>
          <w:p>
            <w:pPr>
              <w:ind w:left="120"/>
              <w:spacing w:after="0"/>
              <w:rPr>
                <w:sz w:val="20"/>
                <w:szCs w:val="20"/>
                <w:color w:val="auto"/>
              </w:rPr>
            </w:pPr>
            <w:r>
              <w:rPr>
                <w:rFonts w:ascii="Arial" w:cs="Arial" w:eastAsia="Arial" w:hAnsi="Arial"/>
                <w:sz w:val="11"/>
                <w:szCs w:val="11"/>
                <w:color w:val="auto"/>
                <w:w w:val="96"/>
              </w:rPr>
              <w:t>Total weighted-average basic shares outstanding</w:t>
            </w: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2,788.7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w w:val="97"/>
              </w:rPr>
              <w:t>2,819.4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2,836.9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2,860.6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2,889.8</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2,804.0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2,899.1</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5"/>
        </w:trPr>
        <w:tc>
          <w:tcPr>
            <w:tcW w:w="2460" w:type="dxa"/>
            <w:vAlign w:val="bottom"/>
            <w:gridSpan w:val="5"/>
          </w:tcPr>
          <w:p>
            <w:pPr>
              <w:ind w:left="120"/>
              <w:spacing w:after="0" w:line="125" w:lineRule="exact"/>
              <w:rPr>
                <w:sz w:val="20"/>
                <w:szCs w:val="20"/>
                <w:color w:val="auto"/>
              </w:rPr>
            </w:pPr>
            <w:r>
              <w:rPr>
                <w:rFonts w:ascii="Arial" w:cs="Arial" w:eastAsia="Arial" w:hAnsi="Arial"/>
                <w:sz w:val="11"/>
                <w:szCs w:val="11"/>
                <w:color w:val="auto"/>
              </w:rPr>
              <w:t>Add: Dilutive impact of unvested performance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460" w:type="dxa"/>
            <w:vAlign w:val="bottom"/>
            <w:gridSpan w:val="5"/>
          </w:tcPr>
          <w:p>
            <w:pPr>
              <w:ind w:left="120"/>
              <w:spacing w:after="0" w:line="106" w:lineRule="exact"/>
              <w:rPr>
                <w:sz w:val="20"/>
                <w:szCs w:val="20"/>
                <w:color w:val="auto"/>
              </w:rPr>
            </w:pPr>
            <w:r>
              <w:rPr>
                <w:rFonts w:ascii="Arial" w:cs="Arial" w:eastAsia="Arial" w:hAnsi="Arial"/>
                <w:sz w:val="11"/>
                <w:szCs w:val="11"/>
                <w:color w:val="auto"/>
              </w:rPr>
              <w:t>share units</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gridSpan w:val="5"/>
          </w:tcPr>
          <w:p>
            <w:pPr>
              <w:ind w:left="240"/>
              <w:spacing w:after="0" w:line="106" w:lineRule="exact"/>
              <w:rPr>
                <w:sz w:val="20"/>
                <w:szCs w:val="20"/>
                <w:color w:val="auto"/>
              </w:rPr>
            </w:pPr>
            <w:r>
              <w:rPr>
                <w:rFonts w:ascii="Arial" w:cs="Arial" w:eastAsia="Arial" w:hAnsi="Arial"/>
                <w:sz w:val="11"/>
                <w:szCs w:val="11"/>
                <w:color w:val="auto"/>
                <w:w w:val="97"/>
              </w:rPr>
              <w:t>(“PSUs”), nondividend-earning restricted stock</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gridSpan w:val="5"/>
          </w:tcPr>
          <w:p>
            <w:pPr>
              <w:ind w:left="120"/>
              <w:spacing w:after="0" w:line="106" w:lineRule="exact"/>
              <w:rPr>
                <w:sz w:val="20"/>
                <w:szCs w:val="20"/>
                <w:color w:val="auto"/>
              </w:rPr>
            </w:pPr>
            <w:r>
              <w:rPr>
                <w:rFonts w:ascii="Arial" w:cs="Arial" w:eastAsia="Arial" w:hAnsi="Arial"/>
                <w:sz w:val="11"/>
                <w:szCs w:val="11"/>
                <w:color w:val="auto"/>
              </w:rPr>
              <w:t>units</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gridSpan w:val="5"/>
          </w:tcPr>
          <w:p>
            <w:pPr>
              <w:ind w:left="240"/>
              <w:spacing w:after="0" w:line="106" w:lineRule="exact"/>
              <w:rPr>
                <w:sz w:val="20"/>
                <w:szCs w:val="20"/>
                <w:color w:val="auto"/>
              </w:rPr>
            </w:pPr>
            <w:r>
              <w:rPr>
                <w:rFonts w:ascii="Arial" w:cs="Arial" w:eastAsia="Arial" w:hAnsi="Arial"/>
                <w:sz w:val="11"/>
                <w:szCs w:val="11"/>
                <w:color w:val="auto"/>
              </w:rPr>
              <w:t>(“RSUs”) and stock appreciation rights</w:t>
            </w:r>
          </w:p>
        </w:tc>
        <w:tc>
          <w:tcPr>
            <w:tcW w:w="100" w:type="dxa"/>
            <w:vAlign w:val="bottom"/>
          </w:tcPr>
          <w:p>
            <w:pPr>
              <w:spacing w:after="0"/>
              <w:rPr>
                <w:sz w:val="9"/>
                <w:szCs w:val="9"/>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4.9</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5.3</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5.1</w:t>
            </w:r>
          </w:p>
        </w:tc>
        <w:tc>
          <w:tcPr>
            <w:tcW w:w="74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9"/>
                <w:szCs w:val="9"/>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4.9</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4.8</w:t>
            </w:r>
          </w:p>
        </w:tc>
        <w:tc>
          <w:tcPr>
            <w:tcW w:w="94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2"/>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(“SARs”)</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460" w:type="dxa"/>
            <w:vAlign w:val="bottom"/>
            <w:gridSpan w:val="5"/>
          </w:tcPr>
          <w:p>
            <w:pPr>
              <w:ind w:left="200"/>
              <w:spacing w:after="0" w:line="93" w:lineRule="exact"/>
              <w:rPr>
                <w:sz w:val="20"/>
                <w:szCs w:val="20"/>
                <w:color w:val="auto"/>
              </w:rPr>
            </w:pPr>
            <w:r>
              <w:rPr>
                <w:rFonts w:ascii="Arial" w:cs="Arial" w:eastAsia="Arial" w:hAnsi="Arial"/>
                <w:sz w:val="10"/>
                <w:szCs w:val="10"/>
                <w:b w:val="1"/>
                <w:bCs w:val="1"/>
                <w:color w:val="auto"/>
              </w:rPr>
              <w:t>Total weighted-average diluted shares</w:t>
            </w:r>
          </w:p>
        </w:tc>
        <w:tc>
          <w:tcPr>
            <w:tcW w:w="100" w:type="dxa"/>
            <w:vAlign w:val="bottom"/>
          </w:tcPr>
          <w:p>
            <w:pPr>
              <w:spacing w:after="0"/>
              <w:rPr>
                <w:sz w:val="8"/>
                <w:szCs w:val="8"/>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2,793.7</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7"/>
              </w:rPr>
              <w:t>2,824.3</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2,842.4</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2,865.9</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2,894.9</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8"/>
                <w:szCs w:val="8"/>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2,809.0</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2,903.9</w:t>
            </w:r>
          </w:p>
        </w:tc>
        <w:tc>
          <w:tcPr>
            <w:tcW w:w="940" w:type="dxa"/>
            <w:vAlign w:val="bottom"/>
            <w:gridSpan w:val="2"/>
            <w:vMerge w:val="restart"/>
          </w:tcPr>
          <w:p>
            <w:pPr>
              <w:jc w:val="right"/>
              <w:ind w:right="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2"/>
        </w:trPr>
        <w:tc>
          <w:tcPr>
            <w:tcW w:w="2460" w:type="dxa"/>
            <w:vAlign w:val="bottom"/>
            <w:gridSpan w:val="5"/>
          </w:tcPr>
          <w:p>
            <w:pPr>
              <w:ind w:left="200"/>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60" w:type="dxa"/>
            <w:vAlign w:val="bottom"/>
            <w:gridSpan w:val="5"/>
          </w:tcPr>
          <w:p>
            <w:pPr>
              <w:ind w:left="200"/>
              <w:spacing w:after="0"/>
              <w:rPr>
                <w:sz w:val="20"/>
                <w:szCs w:val="20"/>
                <w:color w:val="auto"/>
              </w:rPr>
            </w:pPr>
            <w:r>
              <w:rPr>
                <w:rFonts w:ascii="Arial" w:cs="Arial" w:eastAsia="Arial" w:hAnsi="Arial"/>
                <w:sz w:val="11"/>
                <w:szCs w:val="11"/>
                <w:b w:val="1"/>
                <w:bCs w:val="1"/>
                <w:color w:val="auto"/>
              </w:rPr>
              <w:t>Net income per share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5.24</w:t>
            </w:r>
          </w:p>
        </w:tc>
        <w:tc>
          <w:tcPr>
            <w:tcW w:w="20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5.07</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4.81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4.37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6.12</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10.31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10.56</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65"/>
        </w:trPr>
        <w:tc>
          <w:tcPr>
            <w:tcW w:w="2460" w:type="dxa"/>
            <w:vAlign w:val="bottom"/>
            <w:gridSpan w:val="5"/>
          </w:tcPr>
          <w:p>
            <w:pPr>
              <w:spacing w:after="0"/>
              <w:rPr>
                <w:sz w:val="20"/>
                <w:szCs w:val="20"/>
                <w:color w:val="auto"/>
              </w:rPr>
            </w:pPr>
            <w:r>
              <w:rPr>
                <w:rFonts w:ascii="Arial" w:cs="Arial" w:eastAsia="Arial" w:hAnsi="Arial"/>
                <w:sz w:val="11"/>
                <w:szCs w:val="11"/>
                <w:b w:val="1"/>
                <w:bCs w:val="1"/>
                <w:color w:val="auto"/>
              </w:rPr>
              <w:t>COMMON DIVIDENDS</w:t>
            </w: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60" w:type="dxa"/>
            <w:vAlign w:val="bottom"/>
            <w:gridSpan w:val="5"/>
          </w:tcPr>
          <w:p>
            <w:pPr>
              <w:spacing w:after="0"/>
              <w:rPr>
                <w:sz w:val="20"/>
                <w:szCs w:val="20"/>
                <w:color w:val="auto"/>
              </w:rPr>
            </w:pPr>
            <w:r>
              <w:rPr>
                <w:rFonts w:ascii="Arial" w:cs="Arial" w:eastAsia="Arial" w:hAnsi="Arial"/>
                <w:sz w:val="11"/>
                <w:szCs w:val="11"/>
                <w:color w:val="auto"/>
              </w:rPr>
              <w:t>Cash dividends declared per share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1.40</w:t>
            </w:r>
          </w:p>
        </w:tc>
        <w:tc>
          <w:tcPr>
            <w:tcW w:w="2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1.40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(c)  $</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1.25</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180"/>
              <w:spacing w:after="0"/>
              <w:rPr>
                <w:sz w:val="20"/>
                <w:szCs w:val="20"/>
                <w:color w:val="auto"/>
              </w:rPr>
            </w:pPr>
            <w:r>
              <w:rPr>
                <w:rFonts w:ascii="Arial" w:cs="Arial" w:eastAsia="Arial" w:hAnsi="Arial"/>
                <w:sz w:val="11"/>
                <w:szCs w:val="11"/>
                <w:color w:val="auto"/>
              </w:rPr>
              <w:t>1.25   (d)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1.15</w:t>
            </w:r>
          </w:p>
        </w:tc>
        <w:tc>
          <w:tcPr>
            <w:tcW w:w="20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4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2.30</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460" w:type="dxa"/>
            <w:vAlign w:val="bottom"/>
            <w:gridSpan w:val="5"/>
          </w:tcPr>
          <w:p>
            <w:pPr>
              <w:spacing w:after="0"/>
              <w:rPr>
                <w:sz w:val="20"/>
                <w:szCs w:val="20"/>
                <w:color w:val="auto"/>
              </w:rPr>
            </w:pPr>
            <w:r>
              <w:rPr>
                <w:rFonts w:ascii="Arial" w:cs="Arial" w:eastAsia="Arial" w:hAnsi="Arial"/>
                <w:sz w:val="11"/>
                <w:szCs w:val="11"/>
                <w:color w:val="auto"/>
              </w:rPr>
              <w:t>Dividend payout ratio</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28 %</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19 %</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22 %</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42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COMMON SHARE REPURCHASE PROGRAM (a)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60" w:type="dxa"/>
            <w:vAlign w:val="bottom"/>
            <w:gridSpan w:val="5"/>
          </w:tcPr>
          <w:p>
            <w:pPr>
              <w:spacing w:after="0"/>
              <w:rPr>
                <w:sz w:val="20"/>
                <w:szCs w:val="20"/>
                <w:color w:val="auto"/>
              </w:rPr>
            </w:pPr>
            <w:r>
              <w:rPr>
                <w:rFonts w:ascii="Arial" w:cs="Arial" w:eastAsia="Arial" w:hAnsi="Arial"/>
                <w:sz w:val="11"/>
                <w:szCs w:val="11"/>
                <w:color w:val="auto"/>
              </w:rPr>
              <w:t>Total shares of common stock repurchased</w:t>
            </w: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29.8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30.3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27.0</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59.8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42.9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9"/>
        </w:trPr>
        <w:tc>
          <w:tcPr>
            <w:tcW w:w="2460" w:type="dxa"/>
            <w:vAlign w:val="bottom"/>
            <w:gridSpan w:val="5"/>
          </w:tcPr>
          <w:p>
            <w:pPr>
              <w:spacing w:after="0"/>
              <w:rPr>
                <w:sz w:val="20"/>
                <w:szCs w:val="20"/>
                <w:color w:val="auto"/>
              </w:rPr>
            </w:pPr>
            <w:r>
              <w:rPr>
                <w:rFonts w:ascii="Arial" w:cs="Arial" w:eastAsia="Arial" w:hAnsi="Arial"/>
                <w:sz w:val="11"/>
                <w:szCs w:val="11"/>
                <w:color w:val="auto"/>
              </w:rPr>
              <w:t>Average price paid per share of common stock</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251.67</w:t>
            </w:r>
          </w:p>
        </w:tc>
        <w:tc>
          <w:tcPr>
            <w:tcW w:w="2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252.50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233.37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209.61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196.83</w:t>
            </w:r>
          </w:p>
        </w:tc>
        <w:tc>
          <w:tcPr>
            <w:tcW w:w="20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28</w:t>
            </w:r>
          </w:p>
        </w:tc>
        <w:tc>
          <w:tcPr>
            <w:tcW w:w="4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252.09</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190.42</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9"/>
        </w:trPr>
        <w:tc>
          <w:tcPr>
            <w:tcW w:w="2460" w:type="dxa"/>
            <w:vAlign w:val="bottom"/>
            <w:gridSpan w:val="5"/>
          </w:tcPr>
          <w:p>
            <w:pPr>
              <w:spacing w:after="0"/>
              <w:rPr>
                <w:sz w:val="20"/>
                <w:szCs w:val="20"/>
                <w:color w:val="auto"/>
              </w:rPr>
            </w:pPr>
            <w:r>
              <w:rPr>
                <w:rFonts w:ascii="Arial" w:cs="Arial" w:eastAsia="Arial" w:hAnsi="Arial"/>
                <w:sz w:val="11"/>
                <w:szCs w:val="11"/>
                <w:color w:val="auto"/>
              </w:rPr>
              <w:t>Aggregate repurchases of common stock</w:t>
            </w: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7,500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7,563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4,313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6,361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5,318</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15,063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8,167</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297"/>
        </w:trPr>
        <w:tc>
          <w:tcPr>
            <w:tcW w:w="2460" w:type="dxa"/>
            <w:vAlign w:val="bottom"/>
            <w:gridSpan w:val="5"/>
          </w:tcPr>
          <w:p>
            <w:pPr>
              <w:spacing w:after="0"/>
              <w:rPr>
                <w:sz w:val="20"/>
                <w:szCs w:val="20"/>
                <w:color w:val="auto"/>
              </w:rPr>
            </w:pPr>
            <w:r>
              <w:rPr>
                <w:rFonts w:ascii="Arial" w:cs="Arial" w:eastAsia="Arial" w:hAnsi="Arial"/>
                <w:sz w:val="11"/>
                <w:szCs w:val="11"/>
                <w:b w:val="1"/>
                <w:bCs w:val="1"/>
                <w:color w:val="auto"/>
              </w:rPr>
              <w:t>EMPLOYEE ISSUANCE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460" w:type="dxa"/>
            <w:vAlign w:val="bottom"/>
            <w:gridSpan w:val="5"/>
          </w:tcPr>
          <w:p>
            <w:pPr>
              <w:spacing w:after="0"/>
              <w:rPr>
                <w:sz w:val="20"/>
                <w:szCs w:val="20"/>
                <w:color w:val="auto"/>
              </w:rPr>
            </w:pPr>
            <w:r>
              <w:rPr>
                <w:rFonts w:ascii="Arial" w:cs="Arial" w:eastAsia="Arial" w:hAnsi="Arial"/>
                <w:sz w:val="11"/>
                <w:szCs w:val="11"/>
                <w:color w:val="auto"/>
              </w:rPr>
              <w:t>Shares issued from treasury stock related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60" w:type="dxa"/>
            <w:vAlign w:val="bottom"/>
            <w:gridSpan w:val="5"/>
          </w:tcPr>
          <w:p>
            <w:pPr>
              <w:spacing w:after="0"/>
              <w:rPr>
                <w:sz w:val="20"/>
                <w:szCs w:val="20"/>
                <w:color w:val="auto"/>
              </w:rPr>
            </w:pPr>
            <w:r>
              <w:rPr>
                <w:rFonts w:ascii="Arial" w:cs="Arial" w:eastAsia="Arial" w:hAnsi="Arial"/>
                <w:sz w:val="11"/>
                <w:szCs w:val="11"/>
                <w:color w:val="auto"/>
              </w:rPr>
              <w:t>employee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60" w:type="dxa"/>
            <w:vAlign w:val="bottom"/>
            <w:gridSpan w:val="5"/>
          </w:tcPr>
          <w:p>
            <w:pPr>
              <w:ind w:left="120"/>
              <w:spacing w:after="0" w:line="125" w:lineRule="exact"/>
              <w:rPr>
                <w:sz w:val="20"/>
                <w:szCs w:val="20"/>
                <w:color w:val="auto"/>
              </w:rPr>
            </w:pPr>
            <w:r>
              <w:rPr>
                <w:rFonts w:ascii="Arial" w:cs="Arial" w:eastAsia="Arial" w:hAnsi="Arial"/>
                <w:sz w:val="11"/>
                <w:szCs w:val="11"/>
                <w:color w:val="auto"/>
              </w:rPr>
              <w:t>stock-based compensation awards and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employee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purchase plans</w:t>
            </w: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0.4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0.5</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(97)</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11.4</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5"/>
        </w:trPr>
        <w:tc>
          <w:tcPr>
            <w:tcW w:w="2460" w:type="dxa"/>
            <w:vAlign w:val="bottom"/>
            <w:gridSpan w:val="5"/>
          </w:tcPr>
          <w:p>
            <w:pPr>
              <w:spacing w:after="0" w:line="125" w:lineRule="exact"/>
              <w:rPr>
                <w:sz w:val="20"/>
                <w:szCs w:val="20"/>
                <w:color w:val="auto"/>
              </w:rPr>
            </w:pPr>
            <w:r>
              <w:rPr>
                <w:rFonts w:ascii="Arial" w:cs="Arial" w:eastAsia="Arial" w:hAnsi="Arial"/>
                <w:sz w:val="11"/>
                <w:szCs w:val="11"/>
                <w:color w:val="auto"/>
                <w:w w:val="97"/>
              </w:rPr>
              <w:t>Net impact of employee issuances on stockholders’</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419</w:t>
            </w:r>
          </w:p>
        </w:tc>
        <w:tc>
          <w:tcPr>
            <w:tcW w:w="200" w:type="dxa"/>
            <w:vAlign w:val="bottom"/>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476</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343</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354</w:t>
            </w:r>
          </w:p>
        </w:tc>
        <w:tc>
          <w:tcPr>
            <w:tcW w:w="2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459</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0"/>
                <w:szCs w:val="10"/>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895</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1,260</w:t>
            </w:r>
          </w:p>
        </w:tc>
        <w:tc>
          <w:tcPr>
            <w:tcW w:w="940" w:type="dxa"/>
            <w:vAlign w:val="bottom"/>
            <w:gridSpan w:val="2"/>
            <w:vMerge w:val="restart"/>
          </w:tcPr>
          <w:p>
            <w:pPr>
              <w:jc w:val="right"/>
              <w:ind w:right="47"/>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0"/>
        </w:trPr>
        <w:tc>
          <w:tcPr>
            <w:tcW w:w="2460" w:type="dxa"/>
            <w:vAlign w:val="bottom"/>
            <w:gridSpan w:val="5"/>
          </w:tcPr>
          <w:p>
            <w:pPr>
              <w:spacing w:after="0"/>
              <w:rPr>
                <w:sz w:val="20"/>
                <w:szCs w:val="20"/>
                <w:color w:val="auto"/>
              </w:rPr>
            </w:pPr>
            <w:r>
              <w:rPr>
                <w:rFonts w:ascii="Arial" w:cs="Arial" w:eastAsia="Arial" w:hAnsi="Arial"/>
                <w:sz w:val="11"/>
                <w:szCs w:val="11"/>
                <w:color w:val="auto"/>
              </w:rPr>
              <w:t>equity (b)</w:t>
            </w: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5646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60" w:right="20" w:hanging="154"/>
        <w:spacing w:after="0" w:line="245" w:lineRule="auto"/>
        <w:tabs>
          <w:tab w:leader="none" w:pos="157"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Firm’s Board of Directors authorized a new common share repurchase program of up to $50 billion effective July 1, 2025, which replaces the previous program that commenced in the third quarter of 2024 and authorized repurchases of up to $30 billion.</w:t>
      </w:r>
    </w:p>
    <w:p>
      <w:pPr>
        <w:ind w:left="160" w:right="40" w:hanging="154"/>
        <w:spacing w:after="0" w:line="238" w:lineRule="auto"/>
        <w:tabs>
          <w:tab w:leader="none" w:pos="157"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net impact of employee issuances on stockholders’ equity is driven by the cost of equity compensation awards that is recognized over the applicable vesting periods. The cost is partially offset by tax impacts related to the distribution of shares.</w:t>
      </w:r>
    </w:p>
    <w:p>
      <w:pPr>
        <w:ind w:left="160" w:hanging="154"/>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On March 18, 2025, the Board of Directors declared a quarterly common stock dividend of $1.40 per share.</w:t>
      </w:r>
    </w:p>
    <w:p>
      <w:pPr>
        <w:spacing w:after="0" w:line="6" w:lineRule="exact"/>
        <w:rPr>
          <w:rFonts w:ascii="Arial" w:cs="Arial" w:eastAsia="Arial" w:hAnsi="Arial"/>
          <w:sz w:val="11"/>
          <w:szCs w:val="11"/>
          <w:color w:val="auto"/>
        </w:rPr>
      </w:pPr>
    </w:p>
    <w:p>
      <w:pPr>
        <w:ind w:left="160" w:hanging="154"/>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On September 17, 2024, the Board of Directors declared a quarterly common stock dividend of $1.25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11</w:t>
      </w:r>
    </w:p>
    <w:p>
      <w:pPr>
        <w:sectPr>
          <w:pgSz w:w="11900" w:h="16838" w:orient="portrait"/>
          <w:cols w:equalWidth="0" w:num="1">
            <w:col w:w="11240"/>
          </w:cols>
          <w:pgMar w:left="320" w:top="564"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5102225</wp:posOffset>
            </wp:positionH>
            <wp:positionV relativeFrom="paragraph">
              <wp:posOffset>-3810</wp:posOffset>
            </wp:positionV>
            <wp:extent cx="1371600" cy="193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ind w:left="20"/>
        <w:spacing w:after="0"/>
        <w:rPr>
          <w:sz w:val="20"/>
          <w:szCs w:val="20"/>
          <w:color w:val="auto"/>
        </w:rPr>
      </w:pPr>
      <w:r>
        <w:rPr>
          <w:rFonts w:ascii="Arial" w:cs="Arial" w:eastAsia="Arial" w:hAnsi="Arial"/>
          <w:sz w:val="14"/>
          <w:szCs w:val="14"/>
          <w:b w:val="1"/>
          <w:bCs w:val="1"/>
          <w:color w:val="auto"/>
        </w:rPr>
        <w:t>BANKING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w w:val="99"/>
              </w:rPr>
              <w:t>QUARTERLY TRENDS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right"/>
              <w:ind w:right="30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3"/>
            <w:vMerge w:val="restart"/>
          </w:tcPr>
          <w:p>
            <w:pPr>
              <w:jc w:val="right"/>
              <w:ind w:right="207"/>
              <w:spacing w:after="0"/>
              <w:rPr>
                <w:sz w:val="20"/>
                <w:szCs w:val="20"/>
                <w:color w:val="auto"/>
              </w:rPr>
            </w:pPr>
            <w:r>
              <w:rPr>
                <w:rFonts w:ascii="Arial" w:cs="Arial" w:eastAsia="Arial" w:hAnsi="Arial"/>
                <w:sz w:val="11"/>
                <w:szCs w:val="11"/>
                <w:b w:val="1"/>
                <w:bCs w:val="1"/>
                <w:color w:val="auto"/>
              </w:rPr>
              <w:t>2Q25 Change</w:t>
            </w:r>
          </w:p>
        </w:tc>
        <w:tc>
          <w:tcPr>
            <w:tcW w:w="36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2"/>
          </w:tcPr>
          <w:p>
            <w:pPr>
              <w:jc w:val="right"/>
              <w:ind w:right="167"/>
              <w:spacing w:after="0" w:line="106" w:lineRule="exact"/>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2Q25</w:t>
            </w:r>
          </w:p>
        </w:tc>
        <w:tc>
          <w:tcPr>
            <w:tcW w:w="1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1Q25</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4Q24</w:t>
            </w:r>
          </w:p>
        </w:tc>
        <w:tc>
          <w:tcPr>
            <w:tcW w:w="1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3Q24</w:t>
            </w:r>
          </w:p>
        </w:tc>
        <w:tc>
          <w:tcPr>
            <w:tcW w:w="12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2Q24</w:t>
            </w:r>
          </w:p>
        </w:tc>
        <w:tc>
          <w:tcPr>
            <w:tcW w:w="18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1Q25</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840" w:type="dxa"/>
            <w:vAlign w:val="bottom"/>
            <w:gridSpan w:val="2"/>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140" w:type="dxa"/>
            <w:vAlign w:val="bottom"/>
            <w:gridSpan w:val="6"/>
          </w:tcPr>
          <w:p>
            <w:pPr>
              <w:spacing w:after="0" w:line="106" w:lineRule="exact"/>
              <w:rPr>
                <w:sz w:val="20"/>
                <w:szCs w:val="20"/>
                <w:color w:val="auto"/>
              </w:rPr>
            </w:pPr>
            <w:r>
              <w:rPr>
                <w:rFonts w:ascii="Arial" w:cs="Arial" w:eastAsia="Arial" w:hAnsi="Arial"/>
                <w:sz w:val="11"/>
                <w:szCs w:val="11"/>
                <w:b w:val="1"/>
                <w:bCs w:val="1"/>
                <w:color w:val="auto"/>
              </w:rPr>
              <w:t>INCOME STATEMENT</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80" w:type="dxa"/>
            <w:vAlign w:val="bottom"/>
            <w:tcBorders>
              <w:top w:val="single" w:sz="8" w:color="auto"/>
            </w:tcBorders>
            <w:gridSpan w:val="3"/>
          </w:tcPr>
          <w:p>
            <w:pPr>
              <w:spacing w:after="0"/>
              <w:rPr>
                <w:sz w:val="20"/>
                <w:szCs w:val="20"/>
                <w:color w:val="auto"/>
              </w:rPr>
            </w:pPr>
            <w:r>
              <w:rPr>
                <w:rFonts w:ascii="Arial" w:cs="Arial" w:eastAsia="Arial" w:hAnsi="Arial"/>
                <w:sz w:val="11"/>
                <w:szCs w:val="11"/>
                <w:b w:val="1"/>
                <w:bCs w:val="1"/>
                <w:color w:val="auto"/>
              </w:rPr>
              <w:t>REVENUE</w:t>
            </w:r>
          </w:p>
        </w:tc>
        <w:tc>
          <w:tcPr>
            <w:tcW w:w="10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40" w:type="dxa"/>
            <w:vAlign w:val="bottom"/>
            <w:gridSpan w:val="6"/>
          </w:tcPr>
          <w:p>
            <w:pPr>
              <w:spacing w:after="0"/>
              <w:rPr>
                <w:sz w:val="20"/>
                <w:szCs w:val="20"/>
                <w:color w:val="auto"/>
              </w:rPr>
            </w:pPr>
            <w:r>
              <w:rPr>
                <w:rFonts w:ascii="Arial" w:cs="Arial" w:eastAsia="Arial" w:hAnsi="Arial"/>
                <w:sz w:val="11"/>
                <w:szCs w:val="11"/>
                <w:color w:val="auto"/>
              </w:rPr>
              <w:t>Lending- and deposit-related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888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839</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872</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863</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830</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7 %</w:t>
            </w:r>
          </w:p>
        </w:tc>
        <w:tc>
          <w:tcPr>
            <w:tcW w:w="3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1,727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1,652</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59"/>
        </w:trPr>
        <w:tc>
          <w:tcPr>
            <w:tcW w:w="2140" w:type="dxa"/>
            <w:vAlign w:val="bottom"/>
            <w:gridSpan w:val="6"/>
          </w:tcPr>
          <w:p>
            <w:pPr>
              <w:spacing w:after="0"/>
              <w:rPr>
                <w:sz w:val="20"/>
                <w:szCs w:val="20"/>
                <w:color w:val="auto"/>
              </w:rPr>
            </w:pPr>
            <w:r>
              <w:rPr>
                <w:rFonts w:ascii="Arial" w:cs="Arial" w:eastAsia="Arial" w:hAnsi="Arial"/>
                <w:sz w:val="11"/>
                <w:szCs w:val="11"/>
                <w:color w:val="auto"/>
              </w:rPr>
              <w:t>Asset management fees</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1,110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1,093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1,067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1,022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978</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2,203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1,925</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9"/>
        </w:trPr>
        <w:tc>
          <w:tcPr>
            <w:tcW w:w="2140" w:type="dxa"/>
            <w:vAlign w:val="bottom"/>
            <w:gridSpan w:val="6"/>
          </w:tcPr>
          <w:p>
            <w:pPr>
              <w:spacing w:after="0"/>
              <w:rPr>
                <w:sz w:val="20"/>
                <w:szCs w:val="20"/>
                <w:color w:val="auto"/>
              </w:rPr>
            </w:pPr>
            <w:r>
              <w:rPr>
                <w:rFonts w:ascii="Arial" w:cs="Arial" w:eastAsia="Arial" w:hAnsi="Arial"/>
                <w:sz w:val="11"/>
                <w:szCs w:val="11"/>
                <w:color w:val="auto"/>
              </w:rPr>
              <w:t>Mortgage fees and related income</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347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263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368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346</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32</w:t>
            </w:r>
          </w:p>
        </w:tc>
        <w:tc>
          <w:tcPr>
            <w:tcW w:w="180" w:type="dxa"/>
            <w:vAlign w:val="bottom"/>
          </w:tcPr>
          <w:p>
            <w:pPr>
              <w:spacing w:after="0"/>
              <w:rPr>
                <w:sz w:val="13"/>
                <w:szCs w:val="13"/>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610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620</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140" w:type="dxa"/>
            <w:vAlign w:val="bottom"/>
            <w:gridSpan w:val="6"/>
          </w:tcPr>
          <w:p>
            <w:pPr>
              <w:spacing w:after="0"/>
              <w:rPr>
                <w:sz w:val="20"/>
                <w:szCs w:val="20"/>
                <w:color w:val="auto"/>
              </w:rPr>
            </w:pPr>
            <w:r>
              <w:rPr>
                <w:rFonts w:ascii="Arial" w:cs="Arial" w:eastAsia="Arial" w:hAnsi="Arial"/>
                <w:sz w:val="11"/>
                <w:szCs w:val="11"/>
                <w:color w:val="auto"/>
              </w:rPr>
              <w:t>Card income</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973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743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741</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1,340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1,423</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1"/>
        </w:trPr>
        <w:tc>
          <w:tcPr>
            <w:tcW w:w="2140" w:type="dxa"/>
            <w:vAlign w:val="bottom"/>
            <w:gridSpan w:val="6"/>
          </w:tcPr>
          <w:p>
            <w:pPr>
              <w:spacing w:after="0"/>
              <w:rPr>
                <w:sz w:val="20"/>
                <w:szCs w:val="20"/>
                <w:color w:val="auto"/>
              </w:rPr>
            </w:pPr>
            <w:r>
              <w:rPr>
                <w:rFonts w:ascii="Arial" w:cs="Arial" w:eastAsia="Arial" w:hAnsi="Arial"/>
                <w:sz w:val="11"/>
                <w:szCs w:val="11"/>
                <w:color w:val="auto"/>
              </w:rPr>
              <w:t>All other income (a)</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1,323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1,214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1,196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1,101</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29</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2,743</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2,321</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4"/>
        </w:trPr>
        <w:tc>
          <w:tcPr>
            <w:tcW w:w="2140" w:type="dxa"/>
            <w:vAlign w:val="bottom"/>
            <w:gridSpan w:val="6"/>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4,452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4,171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4,494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4,214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3,996</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2"/>
                <w:szCs w:val="12"/>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8,623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7,941</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7"/>
        </w:trPr>
        <w:tc>
          <w:tcPr>
            <w:tcW w:w="2140" w:type="dxa"/>
            <w:vAlign w:val="bottom"/>
            <w:gridSpan w:val="6"/>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14,395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14,142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13,868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13,577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13,705</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28,537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27,413</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4"/>
        </w:trPr>
        <w:tc>
          <w:tcPr>
            <w:tcW w:w="214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18,847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18,313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18,362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17,791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17,701</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2"/>
                <w:szCs w:val="12"/>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37,160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35,354</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14"/>
        </w:trPr>
        <w:tc>
          <w:tcPr>
            <w:tcW w:w="214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2,082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2,629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2,623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2,795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2,643</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(21)</w:t>
            </w:r>
          </w:p>
        </w:tc>
        <w:tc>
          <w:tcPr>
            <w:tcW w:w="180" w:type="dxa"/>
            <w:vAlign w:val="bottom"/>
          </w:tcPr>
          <w:p>
            <w:pPr>
              <w:spacing w:after="0"/>
              <w:rPr>
                <w:sz w:val="24"/>
                <w:szCs w:val="2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4,711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4,556</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322"/>
        </w:trPr>
        <w:tc>
          <w:tcPr>
            <w:tcW w:w="2140" w:type="dxa"/>
            <w:vAlign w:val="bottom"/>
            <w:gridSpan w:val="6"/>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140" w:type="dxa"/>
            <w:vAlign w:val="bottom"/>
            <w:gridSpan w:val="6"/>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4,336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4,448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4,301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4,275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4,240</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8,784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8,469</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2140" w:type="dxa"/>
            <w:vAlign w:val="bottom"/>
            <w:gridSpan w:val="6"/>
          </w:tcPr>
          <w:p>
            <w:pPr>
              <w:spacing w:after="0"/>
              <w:rPr>
                <w:sz w:val="20"/>
                <w:szCs w:val="20"/>
                <w:color w:val="auto"/>
              </w:rPr>
            </w:pPr>
            <w:r>
              <w:rPr>
                <w:rFonts w:ascii="Arial" w:cs="Arial" w:eastAsia="Arial" w:hAnsi="Arial"/>
                <w:sz w:val="11"/>
                <w:szCs w:val="11"/>
                <w:color w:val="auto"/>
              </w:rPr>
              <w:t>Noncompensation expense (b)</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5,522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5,409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5,427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5,311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5,185</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10,931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10,253</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2"/>
        </w:trPr>
        <w:tc>
          <w:tcPr>
            <w:tcW w:w="214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9,858</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9,857</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9,728</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9,586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9,425</w:t>
            </w:r>
          </w:p>
        </w:tc>
        <w:tc>
          <w:tcPr>
            <w:tcW w:w="18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19,715</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18,722</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90"/>
        </w:trPr>
        <w:tc>
          <w:tcPr>
            <w:tcW w:w="2140" w:type="dxa"/>
            <w:vAlign w:val="bottom"/>
            <w:gridSpan w:val="6"/>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6,907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5,827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6,011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5,410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5,633</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19</w:t>
            </w:r>
          </w:p>
        </w:tc>
        <w:tc>
          <w:tcPr>
            <w:tcW w:w="180" w:type="dxa"/>
            <w:vAlign w:val="bottom"/>
          </w:tcPr>
          <w:p>
            <w:pPr>
              <w:spacing w:after="0"/>
              <w:rPr>
                <w:sz w:val="24"/>
                <w:szCs w:val="24"/>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23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12,734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12,076</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7"/>
        </w:trPr>
        <w:tc>
          <w:tcPr>
            <w:tcW w:w="2140" w:type="dxa"/>
            <w:vAlign w:val="bottom"/>
            <w:gridSpan w:val="6"/>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1,738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1,402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1,495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1,364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1,423</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24</w:t>
            </w:r>
          </w:p>
        </w:tc>
        <w:tc>
          <w:tcPr>
            <w:tcW w:w="180" w:type="dxa"/>
            <w:vAlign w:val="bottom"/>
          </w:tcPr>
          <w:p>
            <w:pPr>
              <w:spacing w:after="0"/>
              <w:rPr>
                <w:sz w:val="14"/>
                <w:szCs w:val="14"/>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22</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3,140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3,035</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6"/>
        </w:trPr>
        <w:tc>
          <w:tcPr>
            <w:tcW w:w="214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5,169</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4,425</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4,516</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4,046</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4,210</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17</w:t>
            </w:r>
          </w:p>
        </w:tc>
        <w:tc>
          <w:tcPr>
            <w:tcW w:w="180" w:type="dxa"/>
            <w:vAlign w:val="bottom"/>
          </w:tcPr>
          <w:p>
            <w:pPr>
              <w:spacing w:after="0"/>
              <w:rPr>
                <w:sz w:val="14"/>
                <w:szCs w:val="14"/>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23</w:t>
            </w:r>
          </w:p>
        </w:tc>
        <w:tc>
          <w:tcPr>
            <w:tcW w:w="3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9,594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9,041</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65"/>
        </w:trPr>
        <w:tc>
          <w:tcPr>
            <w:tcW w:w="2140" w:type="dxa"/>
            <w:vAlign w:val="bottom"/>
            <w:gridSpan w:val="6"/>
          </w:tcPr>
          <w:p>
            <w:pPr>
              <w:spacing w:after="0"/>
              <w:rPr>
                <w:sz w:val="20"/>
                <w:szCs w:val="20"/>
                <w:color w:val="auto"/>
              </w:rPr>
            </w:pPr>
            <w:r>
              <w:rPr>
                <w:rFonts w:ascii="Arial" w:cs="Arial" w:eastAsia="Arial" w:hAnsi="Arial"/>
                <w:sz w:val="11"/>
                <w:szCs w:val="11"/>
                <w:b w:val="1"/>
                <w:bCs w:val="1"/>
                <w:color w:val="auto"/>
              </w:rPr>
              <w:t>REVENUE BY BUSINESS</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gridSpan w:val="6"/>
          </w:tcPr>
          <w:p>
            <w:pPr>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10,698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10,254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10,154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10,090</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10,375</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20,952</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20,699</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140" w:type="dxa"/>
            <w:vAlign w:val="bottom"/>
            <w:gridSpan w:val="6"/>
          </w:tcPr>
          <w:p>
            <w:pPr>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1,250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1,207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1,297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1,295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1,319</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2,457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2,505</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140" w:type="dxa"/>
            <w:vAlign w:val="bottom"/>
            <w:gridSpan w:val="6"/>
          </w:tcPr>
          <w:p>
            <w:pPr>
              <w:spacing w:after="0"/>
              <w:rPr>
                <w:sz w:val="20"/>
                <w:szCs w:val="20"/>
                <w:color w:val="auto"/>
              </w:rPr>
            </w:pPr>
            <w:r>
              <w:rPr>
                <w:rFonts w:ascii="Arial" w:cs="Arial" w:eastAsia="Arial" w:hAnsi="Arial"/>
                <w:sz w:val="11"/>
                <w:szCs w:val="11"/>
                <w:color w:val="auto"/>
              </w:rPr>
              <w:t>Card Services &amp; Auto</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6,899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6,852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6,911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6,406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6,007</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13,751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12,150</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97"/>
        </w:trPr>
        <w:tc>
          <w:tcPr>
            <w:tcW w:w="2140" w:type="dxa"/>
            <w:vAlign w:val="bottom"/>
            <w:gridSpan w:val="6"/>
          </w:tcPr>
          <w:p>
            <w:pPr>
              <w:spacing w:after="0"/>
              <w:rPr>
                <w:sz w:val="20"/>
                <w:szCs w:val="20"/>
                <w:color w:val="auto"/>
              </w:rPr>
            </w:pPr>
            <w:r>
              <w:rPr>
                <w:rFonts w:ascii="Arial" w:cs="Arial" w:eastAsia="Arial" w:hAnsi="Arial"/>
                <w:sz w:val="11"/>
                <w:szCs w:val="11"/>
                <w:b w:val="1"/>
                <w:bCs w:val="1"/>
                <w:color w:val="auto"/>
              </w:rPr>
              <w:t>MORTGAGE FEES AND RELATED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720" w:type="dxa"/>
            <w:vAlign w:val="bottom"/>
            <w:tcBorders>
              <w:top w:val="single" w:sz="8" w:color="auto"/>
            </w:tcBorders>
            <w:gridSpan w:val="5"/>
          </w:tcPr>
          <w:p>
            <w:pPr>
              <w:spacing w:after="0" w:line="86" w:lineRule="exact"/>
              <w:rPr>
                <w:sz w:val="20"/>
                <w:szCs w:val="20"/>
                <w:color w:val="auto"/>
              </w:rPr>
            </w:pPr>
            <w:r>
              <w:rPr>
                <w:rFonts w:ascii="Arial" w:cs="Arial" w:eastAsia="Arial" w:hAnsi="Arial"/>
                <w:sz w:val="8"/>
                <w:szCs w:val="8"/>
                <w:b w:val="1"/>
                <w:bCs w:val="1"/>
                <w:color w:val="auto"/>
              </w:rPr>
              <w:t>INCOME DETAILS</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gridSpan w:val="6"/>
          </w:tcPr>
          <w:p>
            <w:pPr>
              <w:spacing w:after="0"/>
              <w:rPr>
                <w:sz w:val="20"/>
                <w:szCs w:val="20"/>
                <w:color w:val="auto"/>
              </w:rPr>
            </w:pPr>
            <w:r>
              <w:rPr>
                <w:rFonts w:ascii="Arial" w:cs="Arial" w:eastAsia="Arial" w:hAnsi="Arial"/>
                <w:sz w:val="11"/>
                <w:szCs w:val="11"/>
                <w:color w:val="auto"/>
              </w:rPr>
              <w:t>Production revenue</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110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186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154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157</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37</w:t>
            </w:r>
          </w:p>
        </w:tc>
        <w:tc>
          <w:tcPr>
            <w:tcW w:w="18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261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287</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71"/>
        </w:trPr>
        <w:tc>
          <w:tcPr>
            <w:tcW w:w="2140" w:type="dxa"/>
            <w:vAlign w:val="bottom"/>
            <w:gridSpan w:val="6"/>
          </w:tcPr>
          <w:p>
            <w:pPr>
              <w:spacing w:after="0"/>
              <w:rPr>
                <w:sz w:val="20"/>
                <w:szCs w:val="20"/>
                <w:color w:val="auto"/>
              </w:rPr>
            </w:pPr>
            <w:r>
              <w:rPr>
                <w:rFonts w:ascii="Arial" w:cs="Arial" w:eastAsia="Arial" w:hAnsi="Arial"/>
                <w:sz w:val="11"/>
                <w:szCs w:val="11"/>
                <w:color w:val="auto"/>
              </w:rPr>
              <w:t>Net mortgage servicing revenue (c)</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196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153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182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236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189</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28</w:t>
            </w:r>
          </w:p>
        </w:tc>
        <w:tc>
          <w:tcPr>
            <w:tcW w:w="180" w:type="dxa"/>
            <w:vAlign w:val="bottom"/>
          </w:tcPr>
          <w:p>
            <w:pPr>
              <w:spacing w:after="0"/>
              <w:rPr>
                <w:sz w:val="14"/>
                <w:szCs w:val="14"/>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349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333</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5"/>
        </w:trPr>
        <w:tc>
          <w:tcPr>
            <w:tcW w:w="2140" w:type="dxa"/>
            <w:vAlign w:val="bottom"/>
            <w:gridSpan w:val="6"/>
          </w:tcPr>
          <w:p>
            <w:pPr>
              <w:spacing w:after="0"/>
              <w:rPr>
                <w:sz w:val="20"/>
                <w:szCs w:val="20"/>
                <w:color w:val="auto"/>
              </w:rPr>
            </w:pPr>
            <w:r>
              <w:rPr>
                <w:rFonts w:ascii="Arial" w:cs="Arial" w:eastAsia="Arial" w:hAnsi="Arial"/>
                <w:sz w:val="11"/>
                <w:szCs w:val="11"/>
                <w:b w:val="1"/>
                <w:bCs w:val="1"/>
                <w:color w:val="auto"/>
              </w:rPr>
              <w:t>Mortgage fees and related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347</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263</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368</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390</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346</w:t>
            </w:r>
          </w:p>
        </w:tc>
        <w:tc>
          <w:tcPr>
            <w:tcW w:w="680" w:type="dxa"/>
            <w:vAlign w:val="bottom"/>
            <w:gridSpan w:val="2"/>
          </w:tcPr>
          <w:p>
            <w:pPr>
              <w:jc w:val="right"/>
              <w:ind w:right="107"/>
              <w:spacing w:after="0"/>
              <w:rPr>
                <w:sz w:val="20"/>
                <w:szCs w:val="20"/>
                <w:color w:val="auto"/>
              </w:rPr>
            </w:pPr>
            <w:r>
              <w:rPr>
                <w:rFonts w:ascii="Arial" w:cs="Arial" w:eastAsia="Arial" w:hAnsi="Arial"/>
                <w:sz w:val="11"/>
                <w:szCs w:val="11"/>
                <w:color w:val="auto"/>
              </w:rPr>
              <w:t>32</w:t>
            </w:r>
          </w:p>
        </w:tc>
        <w:tc>
          <w:tcPr>
            <w:tcW w:w="18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610</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620</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65"/>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FINANCIAL RATIOS</w:t>
            </w:r>
          </w:p>
        </w:tc>
        <w:tc>
          <w:tcPr>
            <w:tcW w:w="1140" w:type="dxa"/>
            <w:vAlign w:val="bottom"/>
            <w:gridSpan w:val="4"/>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140" w:type="dxa"/>
            <w:vAlign w:val="bottom"/>
            <w:gridSpan w:val="6"/>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31 %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30 %</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33 %</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40" w:type="dxa"/>
            <w:vAlign w:val="bottom"/>
            <w:gridSpan w:val="6"/>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53</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371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60" w:right="80" w:hanging="154"/>
        <w:spacing w:after="0" w:line="245" w:lineRule="auto"/>
        <w:tabs>
          <w:tab w:leader="none" w:pos="157" w:val="left"/>
        </w:tabs>
        <w:numPr>
          <w:ilvl w:val="0"/>
          <w:numId w:val="24"/>
        </w:numPr>
        <w:rPr>
          <w:rFonts w:ascii="Arial" w:cs="Arial" w:eastAsia="Arial" w:hAnsi="Arial"/>
          <w:sz w:val="11"/>
          <w:szCs w:val="11"/>
          <w:color w:val="auto"/>
        </w:rPr>
      </w:pPr>
      <w:r>
        <w:rPr>
          <w:rFonts w:ascii="Arial" w:cs="Arial" w:eastAsia="Arial" w:hAnsi="Arial"/>
          <w:sz w:val="11"/>
          <w:szCs w:val="11"/>
          <w:color w:val="auto"/>
        </w:rPr>
        <w:t>Primarily includes operating lease income and commissions and other fees. Operating lease income was $896 million, $824 million, $722 million, $699 million and $682 million for the three months ended June 30, 2025, March 31, 2025, December 31, 2024, September 30, 2024 and June 30, 2024, respectively, and $1.7 billion and $1.3 billion for the six months ended June 30, 2025 and 2024, respectively.</w:t>
      </w:r>
    </w:p>
    <w:p>
      <w:pPr>
        <w:ind w:left="160" w:right="160" w:hanging="154"/>
        <w:spacing w:after="0" w:line="238" w:lineRule="auto"/>
        <w:tabs>
          <w:tab w:leader="none" w:pos="157"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Included depreciation expense on leased assets of $577 million, $499 million, $410 million, $387 million and $430 million for the three months ended June 30, 2025, March 31, 2025, December 31, 2024, September 30, 2024 and June 30, 2024, respectively, and $1.1 billion and $857 million for the six months ended June 30, 2025 and 2024, respectively.</w:t>
      </w:r>
    </w:p>
    <w:p>
      <w:pPr>
        <w:ind w:left="160" w:right="400" w:hanging="154"/>
        <w:spacing w:after="0" w:line="262" w:lineRule="auto"/>
        <w:tabs>
          <w:tab w:leader="none" w:pos="151"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Included MSR risk management results of $47 million, $9 million, $21 million, $100 million and $39 million for the three months ended June 30, 2025, March 31, 2025, December 31, 2024, September 30, 2024 and June 30, 2024, respectively, and $56 million and $38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12</w:t>
      </w:r>
    </w:p>
    <w:p>
      <w:pPr>
        <w:sectPr>
          <w:pgSz w:w="11900" w:h="16838" w:orient="portrait"/>
          <w:cols w:equalWidth="0" w:num="1">
            <w:col w:w="11240"/>
          </w:cols>
          <w:pgMar w:left="320" w:top="564"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-46355</wp:posOffset>
            </wp:positionV>
            <wp:extent cx="1371600" cy="193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 BANKING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employee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ind w:left="400"/>
              <w:spacing w:after="0"/>
              <w:rPr>
                <w:sz w:val="20"/>
                <w:szCs w:val="20"/>
                <w:color w:val="auto"/>
              </w:rPr>
            </w:pPr>
            <w:r>
              <w:rPr>
                <w:rFonts w:ascii="Arial" w:cs="Arial" w:eastAsia="Arial" w:hAnsi="Arial"/>
                <w:sz w:val="11"/>
                <w:szCs w:val="11"/>
                <w:b w:val="1"/>
                <w:bCs w:val="1"/>
                <w:color w:val="auto"/>
                <w:w w:val="94"/>
              </w:rPr>
              <w:t>QUARTERLY TRENDS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jc w:val="right"/>
              <w:ind w:right="387"/>
              <w:spacing w:after="0"/>
              <w:rPr>
                <w:sz w:val="20"/>
                <w:szCs w:val="20"/>
                <w:color w:val="auto"/>
              </w:rPr>
            </w:pPr>
            <w:r>
              <w:rPr>
                <w:rFonts w:ascii="Arial" w:cs="Arial" w:eastAsia="Arial" w:hAnsi="Arial"/>
                <w:sz w:val="11"/>
                <w:szCs w:val="11"/>
                <w:b w:val="1"/>
                <w:bCs w:val="1"/>
                <w:color w:val="auto"/>
              </w:rPr>
              <w:t>SIX MONTHS ENDED JUNE 30,</w:t>
            </w:r>
          </w:p>
        </w:tc>
      </w:t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2Q25 Change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2025 Change</w:t>
            </w:r>
          </w:p>
        </w:tc>
      </w:t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2Q25</w:t>
            </w: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1Q25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3Q24</w:t>
            </w: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4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1Q25</w:t>
            </w:r>
          </w:p>
        </w:tc>
        <w:tc>
          <w:tcPr>
            <w:tcW w:w="10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98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2024</w:t>
            </w:r>
          </w:p>
        </w:tc>
      </w:tr>
      <w:tr>
        <w:trPr>
          <w:trHeight w:val="106"/>
        </w:trPr>
        <w:tc>
          <w:tcPr>
            <w:tcW w:w="2460" w:type="dxa"/>
            <w:vAlign w:val="bottom"/>
            <w:tcBorders>
              <w:bottom w:val="single" w:sz="8" w:color="auto"/>
            </w:tcBorders>
            <w:gridSpan w:val="2"/>
          </w:tcPr>
          <w:p>
            <w:pPr>
              <w:spacing w:after="0" w:line="106" w:lineRule="exact"/>
              <w:rPr>
                <w:sz w:val="20"/>
                <w:szCs w:val="20"/>
                <w:color w:val="auto"/>
              </w:rPr>
            </w:pPr>
            <w:r>
              <w:rPr>
                <w:rFonts w:ascii="Arial" w:cs="Arial" w:eastAsia="Arial" w:hAnsi="Arial"/>
                <w:sz w:val="11"/>
                <w:szCs w:val="11"/>
                <w:b w:val="1"/>
                <w:bCs w:val="1"/>
                <w:color w:val="auto"/>
                <w:w w:val="95"/>
              </w:rPr>
              <w:t>SELECTED BALANCE SHEET DATA (period-end)</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0"/>
        </w:trPr>
        <w:tc>
          <w:tcPr>
            <w:tcW w:w="2600" w:type="dxa"/>
            <w:vAlign w:val="bottom"/>
            <w:gridSpan w:val="3"/>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652,379</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636,105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650,268</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633,038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638,493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2 %</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652,379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638,493</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2 %</w:t>
            </w:r>
          </w:p>
        </w:tc>
      </w:tr>
      <w:tr>
        <w:trPr>
          <w:trHeight w:val="318"/>
        </w:trPr>
        <w:tc>
          <w:tcPr>
            <w:tcW w:w="2600" w:type="dxa"/>
            <w:vAlign w:val="bottom"/>
            <w:gridSpan w:val="3"/>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33,749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33,098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33,221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31,614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31,078</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33,749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31,078</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Home Lending (a)</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241,618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241,427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246,498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247,663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250,032</w:t>
            </w:r>
          </w:p>
        </w:tc>
        <w:tc>
          <w:tcPr>
            <w:tcW w:w="24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241,618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250,032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233,051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223,517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233,016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219,671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216,213</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233,051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216,213</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r>
      <w:tr>
        <w:trPr>
          <w:trHeight w:val="171"/>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72,182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72,116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73,619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73,215</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75,310</w:t>
            </w:r>
          </w:p>
        </w:tc>
        <w:tc>
          <w:tcPr>
            <w:tcW w:w="2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72,182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75,310</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(4)</w:t>
            </w:r>
          </w:p>
        </w:tc>
      </w:tr>
      <w:tr>
        <w:trPr>
          <w:trHeight w:val="144"/>
        </w:trPr>
        <w:tc>
          <w:tcPr>
            <w:tcW w:w="2600" w:type="dxa"/>
            <w:vAlign w:val="bottom"/>
            <w:gridSpan w:val="3"/>
          </w:tcPr>
          <w:p>
            <w:pPr>
              <w:ind w:left="32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580,600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570,158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586,354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572,163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572,633</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580,600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572,633</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r>
      <w:tr>
        <w:trPr>
          <w:trHeight w:val="314"/>
        </w:trPr>
        <w:tc>
          <w:tcPr>
            <w:tcW w:w="2600" w:type="dxa"/>
            <w:vAlign w:val="bottom"/>
            <w:gridSpan w:val="3"/>
          </w:tcPr>
          <w:p>
            <w:pPr>
              <w:spacing w:after="0"/>
              <w:rPr>
                <w:sz w:val="20"/>
                <w:szCs w:val="20"/>
                <w:color w:val="auto"/>
              </w:rPr>
            </w:pPr>
            <w:r>
              <w:rPr>
                <w:rFonts w:ascii="Arial" w:cs="Arial" w:eastAsia="Arial" w:hAnsi="Arial"/>
                <w:sz w:val="11"/>
                <w:szCs w:val="11"/>
                <w:color w:val="auto"/>
              </w:rPr>
              <w:t>Deposits</w:t>
            </w: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1,063,137</w:t>
            </w:r>
          </w:p>
        </w:tc>
        <w:tc>
          <w:tcPr>
            <w:tcW w:w="20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1,080,138</w:t>
            </w:r>
          </w:p>
        </w:tc>
        <w:tc>
          <w:tcPr>
            <w:tcW w:w="2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1,056,652</w:t>
            </w:r>
          </w:p>
        </w:tc>
        <w:tc>
          <w:tcPr>
            <w:tcW w:w="20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1,054,027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7"/>
              <w:spacing w:after="0"/>
              <w:rPr>
                <w:sz w:val="20"/>
                <w:szCs w:val="20"/>
                <w:color w:val="auto"/>
              </w:rPr>
            </w:pPr>
            <w:r>
              <w:rPr>
                <w:rFonts w:ascii="Arial" w:cs="Arial" w:eastAsia="Arial" w:hAnsi="Arial"/>
                <w:sz w:val="11"/>
                <w:szCs w:val="11"/>
                <w:color w:val="auto"/>
              </w:rPr>
              <w:t>1,069,753</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24"/>
                <w:szCs w:val="2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1,063,137</w:t>
            </w:r>
          </w:p>
        </w:tc>
        <w:tc>
          <w:tcPr>
            <w:tcW w:w="2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1,069,753</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r>
      <w:tr>
        <w:trPr>
          <w:trHeight w:val="159"/>
        </w:trPr>
        <w:tc>
          <w:tcPr>
            <w:tcW w:w="2600" w:type="dxa"/>
            <w:vAlign w:val="bottom"/>
            <w:gridSpan w:val="3"/>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4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r>
      <w:tr>
        <w:trPr>
          <w:trHeight w:val="297"/>
        </w:trPr>
        <w:tc>
          <w:tcPr>
            <w:tcW w:w="2600" w:type="dxa"/>
            <w:vAlign w:val="bottom"/>
            <w:gridSpan w:val="3"/>
          </w:tcPr>
          <w:p>
            <w:pPr>
              <w:spacing w:after="0"/>
              <w:rPr>
                <w:sz w:val="20"/>
                <w:szCs w:val="20"/>
                <w:color w:val="auto"/>
              </w:rPr>
            </w:pPr>
            <w:r>
              <w:rPr>
                <w:rFonts w:ascii="Arial" w:cs="Arial" w:eastAsia="Arial" w:hAnsi="Arial"/>
                <w:sz w:val="11"/>
                <w:szCs w:val="11"/>
                <w:b w:val="1"/>
                <w:bCs w:val="1"/>
                <w:color w:val="auto"/>
              </w:rPr>
              <w:t>SELECTED BALANCE SHEET DATA (average)</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23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Total assets</w:t>
            </w:r>
          </w:p>
        </w:tc>
        <w:tc>
          <w:tcPr>
            <w:tcW w:w="30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642,284</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639,664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638,783</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631,117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628,757</w:t>
            </w:r>
          </w:p>
        </w:tc>
        <w:tc>
          <w:tcPr>
            <w:tcW w:w="24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640,981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628,309</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r>
      <w:tr>
        <w:trPr>
          <w:trHeight w:val="318"/>
        </w:trPr>
        <w:tc>
          <w:tcPr>
            <w:tcW w:w="2600" w:type="dxa"/>
            <w:vAlign w:val="bottom"/>
            <w:gridSpan w:val="3"/>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33,536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33,160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32,599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30,910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31,419</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33,349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31,330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Home Lending (b)</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242,665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244,282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247,415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250,581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254,385</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243,469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256,126</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(5)</w:t>
            </w: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228,446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224,493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224,263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217,327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210,119</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226,480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207,410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r>
      <w:tr>
        <w:trPr>
          <w:trHeight w:val="171"/>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71,410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72,462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73,323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73,675</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75,804</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71,933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76,535</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r>
      <w:tr>
        <w:trPr>
          <w:trHeight w:val="144"/>
        </w:trPr>
        <w:tc>
          <w:tcPr>
            <w:tcW w:w="2600" w:type="dxa"/>
            <w:vAlign w:val="bottom"/>
            <w:gridSpan w:val="3"/>
          </w:tcPr>
          <w:p>
            <w:pPr>
              <w:ind w:left="32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576,057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574,397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577,600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572,493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571,727</w:t>
            </w:r>
          </w:p>
        </w:tc>
        <w:tc>
          <w:tcPr>
            <w:tcW w:w="24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575,231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571,401</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r>
      <w:tr>
        <w:trPr>
          <w:trHeight w:val="314"/>
        </w:trPr>
        <w:tc>
          <w:tcPr>
            <w:tcW w:w="2600" w:type="dxa"/>
            <w:vAlign w:val="bottom"/>
            <w:gridSpan w:val="3"/>
          </w:tcPr>
          <w:p>
            <w:pPr>
              <w:spacing w:after="0"/>
              <w:rPr>
                <w:sz w:val="20"/>
                <w:szCs w:val="20"/>
                <w:color w:val="auto"/>
              </w:rPr>
            </w:pPr>
            <w:r>
              <w:rPr>
                <w:rFonts w:ascii="Arial" w:cs="Arial" w:eastAsia="Arial" w:hAnsi="Arial"/>
                <w:sz w:val="11"/>
                <w:szCs w:val="11"/>
                <w:color w:val="auto"/>
              </w:rPr>
              <w:t>Deposits</w:t>
            </w: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1,060,363</w:t>
            </w:r>
          </w:p>
        </w:tc>
        <w:tc>
          <w:tcPr>
            <w:tcW w:w="20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1,053,677</w:t>
            </w:r>
          </w:p>
        </w:tc>
        <w:tc>
          <w:tcPr>
            <w:tcW w:w="2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1,050,636</w:t>
            </w:r>
          </w:p>
        </w:tc>
        <w:tc>
          <w:tcPr>
            <w:tcW w:w="20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1,053,701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7"/>
              <w:spacing w:after="0"/>
              <w:rPr>
                <w:sz w:val="20"/>
                <w:szCs w:val="20"/>
                <w:color w:val="auto"/>
              </w:rPr>
            </w:pPr>
            <w:r>
              <w:rPr>
                <w:rFonts w:ascii="Arial" w:cs="Arial" w:eastAsia="Arial" w:hAnsi="Arial"/>
                <w:sz w:val="11"/>
                <w:szCs w:val="11"/>
                <w:color w:val="auto"/>
              </w:rPr>
              <w:t>1,073,544</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1,057,038</w:t>
            </w:r>
          </w:p>
        </w:tc>
        <w:tc>
          <w:tcPr>
            <w:tcW w:w="2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1,076,393</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r>
      <w:tr>
        <w:trPr>
          <w:trHeight w:val="159"/>
        </w:trPr>
        <w:tc>
          <w:tcPr>
            <w:tcW w:w="2600" w:type="dxa"/>
            <w:vAlign w:val="bottom"/>
            <w:gridSpan w:val="3"/>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4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r>
      <w:tr>
        <w:trPr>
          <w:trHeight w:val="322"/>
        </w:trPr>
        <w:tc>
          <w:tcPr>
            <w:tcW w:w="2600" w:type="dxa"/>
            <w:vAlign w:val="bottom"/>
            <w:gridSpan w:val="3"/>
          </w:tcPr>
          <w:p>
            <w:pPr>
              <w:spacing w:after="0"/>
              <w:rPr>
                <w:sz w:val="20"/>
                <w:szCs w:val="20"/>
                <w:color w:val="auto"/>
              </w:rPr>
            </w:pPr>
            <w:r>
              <w:rPr>
                <w:rFonts w:ascii="Arial" w:cs="Arial" w:eastAsia="Arial" w:hAnsi="Arial"/>
                <w:sz w:val="11"/>
                <w:szCs w:val="11"/>
                <w:b w:val="1"/>
                <w:bCs w:val="1"/>
                <w:color w:val="auto"/>
              </w:rPr>
              <w:t>Employees</w:t>
            </w: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144,898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145,530</w:t>
            </w: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144,989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143,964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143,412</w:t>
            </w:r>
          </w:p>
        </w:tc>
        <w:tc>
          <w:tcPr>
            <w:tcW w:w="24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144,898</w:t>
            </w: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143,412</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16573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60" w:right="580" w:hanging="154"/>
        <w:spacing w:after="0" w:line="245" w:lineRule="auto"/>
        <w:tabs>
          <w:tab w:leader="none" w:pos="157" w:val="left"/>
        </w:tabs>
        <w:numPr>
          <w:ilvl w:val="0"/>
          <w:numId w:val="25"/>
        </w:numPr>
        <w:rPr>
          <w:rFonts w:ascii="Arial" w:cs="Arial" w:eastAsia="Arial" w:hAnsi="Arial"/>
          <w:sz w:val="11"/>
          <w:szCs w:val="11"/>
          <w:color w:val="auto"/>
        </w:rPr>
      </w:pPr>
      <w:r>
        <w:rPr>
          <w:rFonts w:ascii="Arial" w:cs="Arial" w:eastAsia="Arial" w:hAnsi="Arial"/>
          <w:sz w:val="11"/>
          <w:szCs w:val="11"/>
          <w:color w:val="auto"/>
        </w:rPr>
        <w:t>At June 30, 2025, March 31, 2025, December 31, 2024, September 30, 2024 and June 30, 2024, Home Lending loans held-for-sale and loans at fair value were $8.9 billion, $6.4 billion, $8.1 billion, $6.9 billion and $5.9 billion, respectively.</w:t>
      </w:r>
    </w:p>
    <w:p>
      <w:pPr>
        <w:ind w:left="160" w:right="220" w:hanging="154"/>
        <w:spacing w:after="0" w:line="238" w:lineRule="auto"/>
        <w:tabs>
          <w:tab w:leader="none" w:pos="157" w:val="left"/>
        </w:tabs>
        <w:numPr>
          <w:ilvl w:val="0"/>
          <w:numId w:val="25"/>
        </w:numPr>
        <w:rPr>
          <w:rFonts w:ascii="Arial" w:cs="Arial" w:eastAsia="Arial" w:hAnsi="Arial"/>
          <w:sz w:val="11"/>
          <w:szCs w:val="11"/>
          <w:color w:val="auto"/>
        </w:rPr>
      </w:pPr>
      <w:r>
        <w:rPr>
          <w:rFonts w:ascii="Arial" w:cs="Arial" w:eastAsia="Arial" w:hAnsi="Arial"/>
          <w:sz w:val="11"/>
          <w:szCs w:val="11"/>
          <w:color w:val="auto"/>
        </w:rPr>
        <w:t>Average Home Lending loans held-for sale and loans at fair value were $8.9 billion, $7.5 billion, $7.8 billion, $8.4 billion and $7.7 billion for the three months ended June 30, 2025, March 31, 2025, December 31, 2024, September 30, 2024 and June 30, 2024, respectively, and $8.2 billion and $6.2 billion for the six months ended June 30, 2025 and 2024, respectively.</w:t>
      </w:r>
    </w:p>
    <w:p>
      <w:pPr>
        <w:ind w:left="160" w:hanging="154"/>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 the first quarter of 2025, 419 employees were transferred to Corporate as a result of the centralization of certain functions.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13</w:t>
      </w:r>
    </w:p>
    <w:p>
      <w:pPr>
        <w:sectPr>
          <w:pgSz w:w="11900" w:h="16838" w:orient="portrait"/>
          <w:cols w:equalWidth="0" w:num="1">
            <w:col w:w="11240"/>
          </w:cols>
          <w:pgMar w:left="320" w:top="564"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5683250</wp:posOffset>
            </wp:positionH>
            <wp:positionV relativeFrom="paragraph">
              <wp:posOffset>-46355</wp:posOffset>
            </wp:positionV>
            <wp:extent cx="1371600" cy="193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 BANKING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9"/>
              </w:rPr>
              <w:t>QUARTERLY TRENDS</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ind w:right="367"/>
              <w:spacing w:after="0"/>
              <w:rPr>
                <w:sz w:val="20"/>
                <w:szCs w:val="20"/>
                <w:color w:val="auto"/>
              </w:rPr>
            </w:pPr>
            <w:r>
              <w:rPr>
                <w:rFonts w:ascii="Arial" w:cs="Arial" w:eastAsia="Arial" w:hAnsi="Arial"/>
                <w:sz w:val="11"/>
                <w:szCs w:val="11"/>
                <w:b w:val="1"/>
                <w:bCs w:val="1"/>
                <w:color w:val="auto"/>
              </w:rPr>
              <w:t>SIX MONTHS ENDED JUNE 30,</w:t>
            </w:r>
          </w:p>
        </w:tc>
      </w:tr>
      <w:tr>
        <w:trPr>
          <w:trHeight w:val="152"/>
        </w:trPr>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2Q25 Change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r>
      <w:tr>
        <w:trPr>
          <w:trHeight w:val="152"/>
        </w:trPr>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1Q25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4Q24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3Q24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4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1Q25</w:t>
            </w:r>
          </w:p>
        </w:tc>
        <w:tc>
          <w:tcPr>
            <w:tcW w:w="96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3"/>
                <w:szCs w:val="13"/>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100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2024</w:t>
            </w:r>
          </w:p>
        </w:tc>
      </w:tr>
      <w:tr>
        <w:trPr>
          <w:trHeight w:val="106"/>
        </w:trPr>
        <w:tc>
          <w:tcPr>
            <w:tcW w:w="2100" w:type="dxa"/>
            <w:vAlign w:val="bottom"/>
            <w:tcBorders>
              <w:bottom w:val="single" w:sz="8" w:color="auto"/>
            </w:tcBorders>
          </w:tcPr>
          <w:p>
            <w:pPr>
              <w:spacing w:after="0" w:line="106" w:lineRule="exact"/>
              <w:rPr>
                <w:sz w:val="20"/>
                <w:szCs w:val="20"/>
                <w:color w:val="auto"/>
              </w:rPr>
            </w:pPr>
            <w:r>
              <w:rPr>
                <w:rFonts w:ascii="Arial" w:cs="Arial" w:eastAsia="Arial" w:hAnsi="Arial"/>
                <w:sz w:val="11"/>
                <w:szCs w:val="11"/>
                <w:b w:val="1"/>
                <w:bCs w:val="1"/>
                <w:color w:val="auto"/>
                <w:w w:val="94"/>
              </w:rPr>
              <w:t>CREDIT DATA AND QUALITY STATISTICS</w:t>
            </w:r>
          </w:p>
        </w:tc>
        <w:tc>
          <w:tcPr>
            <w:tcW w:w="6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0"/>
        </w:trPr>
        <w:tc>
          <w:tcPr>
            <w:tcW w:w="2720" w:type="dxa"/>
            <w:vAlign w:val="bottom"/>
            <w:gridSpan w:val="2"/>
          </w:tcPr>
          <w:p>
            <w:pPr>
              <w:spacing w:after="0"/>
              <w:rPr>
                <w:sz w:val="20"/>
                <w:szCs w:val="20"/>
                <w:color w:val="auto"/>
              </w:rPr>
            </w:pPr>
            <w:r>
              <w:rPr>
                <w:rFonts w:ascii="Arial" w:cs="Arial" w:eastAsia="Arial" w:hAnsi="Arial"/>
                <w:sz w:val="11"/>
                <w:szCs w:val="11"/>
                <w:color w:val="auto"/>
              </w:rPr>
              <w:t>Nonaccrual loans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3,891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3,266</w:t>
            </w:r>
          </w:p>
        </w:tc>
        <w:tc>
          <w:tcPr>
            <w:tcW w:w="18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3,366</w:t>
            </w:r>
          </w:p>
        </w:tc>
        <w:tc>
          <w:tcPr>
            <w:tcW w:w="560" w:type="dxa"/>
            <w:vAlign w:val="bottom"/>
            <w:gridSpan w:val="2"/>
          </w:tcPr>
          <w:p>
            <w:pPr>
              <w:jc w:val="right"/>
              <w:ind w:right="12"/>
              <w:spacing w:after="0"/>
              <w:rPr>
                <w:sz w:val="20"/>
                <w:szCs w:val="20"/>
                <w:color w:val="auto"/>
              </w:rPr>
            </w:pPr>
            <w:r>
              <w:rPr>
                <w:rFonts w:ascii="Arial" w:cs="Arial" w:eastAsia="Arial" w:hAnsi="Arial"/>
                <w:sz w:val="11"/>
                <w:szCs w:val="11"/>
                <w:color w:val="auto"/>
              </w:rPr>
              <w:t>(c)  $</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3,252</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3,413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14 %</w:t>
            </w:r>
          </w:p>
        </w:tc>
        <w:tc>
          <w:tcPr>
            <w:tcW w:w="4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3,891</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3,413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14 %</w:t>
            </w:r>
          </w:p>
        </w:tc>
      </w:tr>
      <w:tr>
        <w:trPr>
          <w:trHeight w:val="212"/>
        </w:trPr>
        <w:tc>
          <w:tcPr>
            <w:tcW w:w="2720" w:type="dxa"/>
            <w:vAlign w:val="bottom"/>
            <w:gridSpan w:val="2"/>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176</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(42)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255</w:t>
            </w:r>
          </w:p>
        </w:tc>
        <w:tc>
          <w:tcPr>
            <w:tcW w:w="1000" w:type="dxa"/>
            <w:vAlign w:val="bottom"/>
            <w:gridSpan w:val="2"/>
          </w:tcPr>
          <w:p>
            <w:pPr>
              <w:jc w:val="right"/>
              <w:ind w:right="67"/>
              <w:spacing w:after="0"/>
              <w:rPr>
                <w:sz w:val="20"/>
                <w:szCs w:val="20"/>
                <w:color w:val="auto"/>
              </w:rPr>
            </w:pPr>
            <w:r>
              <w:rPr>
                <w:rFonts w:ascii="Arial" w:cs="Arial" w:eastAsia="Arial" w:hAnsi="Arial"/>
                <w:sz w:val="11"/>
                <w:szCs w:val="11"/>
                <w:color w:val="auto"/>
              </w:rPr>
              <w:t>(22)</w:t>
            </w: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(40)</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w:t>
            </w: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1,938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1,983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1,862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1,768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1,830</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3,921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3,518</w:t>
            </w:r>
          </w:p>
        </w:tc>
        <w:tc>
          <w:tcPr>
            <w:tcW w:w="100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r>
      <w:tr>
        <w:trPr>
          <w:trHeight w:val="171"/>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114</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98</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(32)</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w:t>
            </w:r>
          </w:p>
        </w:tc>
        <w:tc>
          <w:tcPr>
            <w:tcW w:w="1000" w:type="dxa"/>
            <w:vAlign w:val="bottom"/>
            <w:gridSpan w:val="2"/>
          </w:tcPr>
          <w:p>
            <w:pPr>
              <w:jc w:val="right"/>
              <w:ind w:right="67"/>
              <w:spacing w:after="0"/>
              <w:rPr>
                <w:sz w:val="20"/>
                <w:szCs w:val="20"/>
                <w:color w:val="auto"/>
              </w:rPr>
            </w:pPr>
            <w:r>
              <w:rPr>
                <w:rFonts w:ascii="Arial" w:cs="Arial" w:eastAsia="Arial" w:hAnsi="Arial"/>
                <w:sz w:val="11"/>
                <w:szCs w:val="11"/>
                <w:color w:val="auto"/>
              </w:rPr>
              <w:t>(23)</w:t>
            </w:r>
          </w:p>
        </w:tc>
      </w:tr>
      <w:tr>
        <w:trPr>
          <w:trHeight w:val="144"/>
        </w:trPr>
        <w:tc>
          <w:tcPr>
            <w:tcW w:w="2720" w:type="dxa"/>
            <w:vAlign w:val="bottom"/>
            <w:gridSpan w:val="2"/>
          </w:tcPr>
          <w:p>
            <w:pPr>
              <w:ind w:left="320"/>
              <w:spacing w:after="0"/>
              <w:rPr>
                <w:sz w:val="20"/>
                <w:szCs w:val="20"/>
                <w:color w:val="auto"/>
              </w:rPr>
            </w:pPr>
            <w:r>
              <w:rPr>
                <w:rFonts w:ascii="Arial" w:cs="Arial" w:eastAsia="Arial" w:hAnsi="Arial"/>
                <w:sz w:val="11"/>
                <w:szCs w:val="11"/>
                <w:b w:val="1"/>
                <w:bCs w:val="1"/>
                <w:color w:val="auto"/>
              </w:rPr>
              <w:t>Total net charge-offs/(recoveries)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2,086</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2,154</w:t>
            </w:r>
          </w:p>
        </w:tc>
        <w:tc>
          <w:tcPr>
            <w:tcW w:w="18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2,066</w:t>
            </w:r>
          </w:p>
        </w:tc>
        <w:tc>
          <w:tcPr>
            <w:tcW w:w="560" w:type="dxa"/>
            <w:vAlign w:val="bottom"/>
            <w:gridSpan w:val="2"/>
          </w:tcPr>
          <w:p>
            <w:pPr>
              <w:jc w:val="right"/>
              <w:ind w:right="12"/>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1,919</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2,064</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4,240</w:t>
            </w:r>
          </w:p>
        </w:tc>
        <w:tc>
          <w:tcPr>
            <w:tcW w:w="24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3,943</w:t>
            </w:r>
          </w:p>
        </w:tc>
        <w:tc>
          <w:tcPr>
            <w:tcW w:w="100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r>
      <w:tr>
        <w:trPr>
          <w:trHeight w:val="155"/>
        </w:trPr>
        <w:tc>
          <w:tcPr>
            <w:tcW w:w="2720" w:type="dxa"/>
            <w:vAlign w:val="bottom"/>
            <w:gridSpan w:val="2"/>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1.22</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1.19</w:t>
            </w:r>
          </w:p>
        </w:tc>
        <w:tc>
          <w:tcPr>
            <w:tcW w:w="1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1.28</w:t>
            </w:r>
          </w:p>
        </w:tc>
        <w:tc>
          <w:tcPr>
            <w:tcW w:w="4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1.06</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2.25</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w w:val="81"/>
              </w:rPr>
              <w:t>%</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1.20</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1.64</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(0.07)</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(0.04)</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3.50</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3.41</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0.56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0.62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0.52</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0.47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0.57</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2720" w:type="dxa"/>
            <w:vAlign w:val="bottom"/>
            <w:gridSpan w:val="2"/>
          </w:tcPr>
          <w:p>
            <w:pPr>
              <w:ind w:left="320"/>
              <w:spacing w:after="0"/>
              <w:rPr>
                <w:sz w:val="20"/>
                <w:szCs w:val="20"/>
                <w:color w:val="auto"/>
              </w:rPr>
            </w:pPr>
            <w:r>
              <w:rPr>
                <w:rFonts w:ascii="Arial" w:cs="Arial" w:eastAsia="Arial" w:hAnsi="Arial"/>
                <w:sz w:val="11"/>
                <w:szCs w:val="11"/>
                <w:b w:val="1"/>
                <w:bCs w:val="1"/>
                <w:color w:val="auto"/>
              </w:rPr>
              <w:t>Total net charge-off/(recovery) rate</w:t>
            </w:r>
          </w:p>
        </w:tc>
        <w:tc>
          <w:tcPr>
            <w:tcW w:w="1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1.54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1.44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1.47</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1.40</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8"/>
        </w:trPr>
        <w:tc>
          <w:tcPr>
            <w:tcW w:w="2720" w:type="dxa"/>
            <w:vAlign w:val="bottom"/>
            <w:gridSpan w:val="2"/>
          </w:tcPr>
          <w:p>
            <w:pPr>
              <w:spacing w:after="0"/>
              <w:rPr>
                <w:sz w:val="20"/>
                <w:szCs w:val="20"/>
                <w:color w:val="auto"/>
              </w:rPr>
            </w:pPr>
            <w:r>
              <w:rPr>
                <w:rFonts w:ascii="Arial" w:cs="Arial" w:eastAsia="Arial" w:hAnsi="Arial"/>
                <w:sz w:val="11"/>
                <w:szCs w:val="11"/>
                <w:color w:val="auto"/>
              </w:rPr>
              <w:t>30+ day delinquency rate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Home Lending (b)</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0.93</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1.04</w:t>
            </w:r>
          </w:p>
        </w:tc>
        <w:tc>
          <w:tcPr>
            <w:tcW w:w="1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0.78</w:t>
            </w:r>
          </w:p>
        </w:tc>
        <w:tc>
          <w:tcPr>
            <w:tcW w:w="560" w:type="dxa"/>
            <w:vAlign w:val="bottom"/>
            <w:gridSpan w:val="2"/>
          </w:tcPr>
          <w:p>
            <w:pPr>
              <w:ind w:left="20"/>
              <w:spacing w:after="0"/>
              <w:rPr>
                <w:sz w:val="20"/>
                <w:szCs w:val="20"/>
                <w:color w:val="auto"/>
              </w:rPr>
            </w:pPr>
            <w:r>
              <w:rPr>
                <w:rFonts w:ascii="Arial" w:cs="Arial" w:eastAsia="Arial" w:hAnsi="Arial"/>
                <w:sz w:val="11"/>
                <w:szCs w:val="11"/>
                <w:color w:val="auto"/>
              </w:rPr>
              <w:t>%  (c)</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0.77</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0.70</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w w:val="81"/>
              </w:rPr>
              <w:t>%</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0.93</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0.70</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2.17</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2.08</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2.08</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1.12</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1.12</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12"/>
        </w:trPr>
        <w:tc>
          <w:tcPr>
            <w:tcW w:w="2720" w:type="dxa"/>
            <w:vAlign w:val="bottom"/>
            <w:gridSpan w:val="2"/>
          </w:tcPr>
          <w:p>
            <w:pPr>
              <w:spacing w:after="0"/>
              <w:rPr>
                <w:sz w:val="20"/>
                <w:szCs w:val="20"/>
                <w:color w:val="auto"/>
              </w:rPr>
            </w:pPr>
            <w:r>
              <w:rPr>
                <w:rFonts w:ascii="Arial" w:cs="Arial" w:eastAsia="Arial" w:hAnsi="Arial"/>
                <w:sz w:val="11"/>
                <w:szCs w:val="11"/>
                <w:color w:val="auto"/>
              </w:rPr>
              <w:t>90+ day delinquency rate - Card Services</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2720" w:type="dxa"/>
            <w:vAlign w:val="bottom"/>
            <w:gridSpan w:val="2"/>
          </w:tcPr>
          <w:p>
            <w:pPr>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790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794</w:t>
            </w:r>
          </w:p>
        </w:tc>
        <w:tc>
          <w:tcPr>
            <w:tcW w:w="18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764</w:t>
            </w:r>
          </w:p>
        </w:tc>
        <w:tc>
          <w:tcPr>
            <w:tcW w:w="560" w:type="dxa"/>
            <w:vAlign w:val="bottom"/>
            <w:gridSpan w:val="2"/>
          </w:tcPr>
          <w:p>
            <w:pPr>
              <w:jc w:val="right"/>
              <w:ind w:right="12"/>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709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685</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790</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685</w:t>
            </w:r>
          </w:p>
        </w:tc>
        <w:tc>
          <w:tcPr>
            <w:tcW w:w="1000" w:type="dxa"/>
            <w:vAlign w:val="bottom"/>
            <w:gridSpan w:val="2"/>
          </w:tcPr>
          <w:p>
            <w:pPr>
              <w:jc w:val="right"/>
              <w:ind w:right="87"/>
              <w:spacing w:after="0"/>
              <w:rPr>
                <w:sz w:val="20"/>
                <w:szCs w:val="20"/>
                <w:color w:val="auto"/>
              </w:rPr>
            </w:pPr>
            <w:r>
              <w:rPr>
                <w:rFonts w:ascii="Arial" w:cs="Arial" w:eastAsia="Arial" w:hAnsi="Arial"/>
                <w:sz w:val="11"/>
                <w:szCs w:val="11"/>
                <w:color w:val="auto"/>
              </w:rPr>
              <w:t>15</w:t>
            </w: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557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447</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447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437</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547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437</w:t>
            </w:r>
          </w:p>
        </w:tc>
        <w:tc>
          <w:tcPr>
            <w:tcW w:w="1000" w:type="dxa"/>
            <w:vAlign w:val="bottom"/>
            <w:gridSpan w:val="2"/>
          </w:tcPr>
          <w:p>
            <w:pPr>
              <w:jc w:val="right"/>
              <w:ind w:right="87"/>
              <w:spacing w:after="0"/>
              <w:rPr>
                <w:sz w:val="20"/>
                <w:szCs w:val="20"/>
                <w:color w:val="auto"/>
              </w:rPr>
            </w:pPr>
            <w:r>
              <w:rPr>
                <w:rFonts w:ascii="Arial" w:cs="Arial" w:eastAsia="Arial" w:hAnsi="Arial"/>
                <w:sz w:val="11"/>
                <w:szCs w:val="11"/>
                <w:color w:val="auto"/>
              </w:rPr>
              <w:t>25</w:t>
            </w: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15,008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15,008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14,608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14,106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13,206</w:t>
            </w:r>
          </w:p>
        </w:tc>
        <w:tc>
          <w:tcPr>
            <w:tcW w:w="24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15,008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13,206</w:t>
            </w:r>
          </w:p>
        </w:tc>
        <w:tc>
          <w:tcPr>
            <w:tcW w:w="100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r>
      <w:tr>
        <w:trPr>
          <w:trHeight w:val="171"/>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637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637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692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692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637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742</w:t>
            </w:r>
          </w:p>
        </w:tc>
        <w:tc>
          <w:tcPr>
            <w:tcW w:w="1000" w:type="dxa"/>
            <w:vAlign w:val="bottom"/>
            <w:gridSpan w:val="2"/>
          </w:tcPr>
          <w:p>
            <w:pPr>
              <w:jc w:val="right"/>
              <w:ind w:right="67"/>
              <w:spacing w:after="0"/>
              <w:rPr>
                <w:sz w:val="20"/>
                <w:szCs w:val="20"/>
                <w:color w:val="auto"/>
              </w:rPr>
            </w:pPr>
            <w:r>
              <w:rPr>
                <w:rFonts w:ascii="Arial" w:cs="Arial" w:eastAsia="Arial" w:hAnsi="Arial"/>
                <w:sz w:val="11"/>
                <w:szCs w:val="11"/>
                <w:color w:val="auto"/>
              </w:rPr>
              <w:t>(14)</w:t>
            </w:r>
          </w:p>
        </w:tc>
      </w:tr>
      <w:tr>
        <w:trPr>
          <w:trHeight w:val="152"/>
        </w:trPr>
        <w:tc>
          <w:tcPr>
            <w:tcW w:w="272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16,982</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16,996</w:t>
            </w: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16,511</w:t>
            </w: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15,954</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15,070</w:t>
            </w:r>
          </w:p>
        </w:tc>
        <w:tc>
          <w:tcPr>
            <w:tcW w:w="24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16,982</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15,070</w:t>
            </w:r>
          </w:p>
        </w:tc>
        <w:tc>
          <w:tcPr>
            <w:tcW w:w="100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7418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364" w:lineRule="exact"/>
        <w:rPr>
          <w:sz w:val="20"/>
          <w:szCs w:val="20"/>
          <w:color w:val="auto"/>
        </w:rPr>
      </w:pPr>
    </w:p>
    <w:p>
      <w:pPr>
        <w:ind w:left="160" w:right="120" w:hanging="154"/>
        <w:spacing w:after="0" w:line="247" w:lineRule="auto"/>
        <w:tabs>
          <w:tab w:leader="none" w:pos="157" w:val="left"/>
        </w:tabs>
        <w:numPr>
          <w:ilvl w:val="0"/>
          <w:numId w:val="26"/>
        </w:numPr>
        <w:rPr>
          <w:rFonts w:ascii="Arial" w:cs="Arial" w:eastAsia="Arial" w:hAnsi="Arial"/>
          <w:sz w:val="11"/>
          <w:szCs w:val="11"/>
          <w:color w:val="auto"/>
        </w:rPr>
      </w:pPr>
      <w:r>
        <w:rPr>
          <w:rFonts w:ascii="Arial" w:cs="Arial" w:eastAsia="Arial" w:hAnsi="Arial"/>
          <w:sz w:val="11"/>
          <w:szCs w:val="11"/>
          <w:color w:val="auto"/>
        </w:rPr>
        <w:t>Excludes mortgage loans past due and insured by U.S. government agencies, which are primarily 90 or more days past due. These loans have been excluded based upon the government guarantee. At June 30, 2025, March 31, 2025, December 31, 2024, September 30, 2024 and June 30, 2024, mortgage loans 90 or more days past due and insured by U.S. government agencies were $68 million, $81 million, $84 million, $88 million and $96 million, respectively. In addition, the Firm’s policy is generally to exempt credit card loans from being placed on nonaccrual status as permitted by regulatory guidance.</w:t>
      </w:r>
    </w:p>
    <w:p>
      <w:pPr>
        <w:spacing w:after="0" w:line="1" w:lineRule="exact"/>
        <w:rPr>
          <w:rFonts w:ascii="Arial" w:cs="Arial" w:eastAsia="Arial" w:hAnsi="Arial"/>
          <w:sz w:val="11"/>
          <w:szCs w:val="11"/>
          <w:color w:val="auto"/>
        </w:rPr>
      </w:pPr>
    </w:p>
    <w:p>
      <w:pPr>
        <w:ind w:left="160" w:right="160" w:hanging="154"/>
        <w:spacing w:after="0" w:line="241" w:lineRule="auto"/>
        <w:tabs>
          <w:tab w:leader="none" w:pos="157" w:val="left"/>
        </w:tabs>
        <w:numPr>
          <w:ilvl w:val="0"/>
          <w:numId w:val="26"/>
        </w:numPr>
        <w:rPr>
          <w:rFonts w:ascii="Arial" w:cs="Arial" w:eastAsia="Arial" w:hAnsi="Arial"/>
          <w:sz w:val="11"/>
          <w:szCs w:val="11"/>
          <w:color w:val="auto"/>
        </w:rPr>
      </w:pPr>
      <w:r>
        <w:rPr>
          <w:rFonts w:ascii="Arial" w:cs="Arial" w:eastAsia="Arial" w:hAnsi="Arial"/>
          <w:sz w:val="11"/>
          <w:szCs w:val="11"/>
          <w:color w:val="auto"/>
        </w:rPr>
        <w:t>At June 30, 2025, March 31, 2025, December 31, 2024, September 30, 2024 and June 30, 2024, excluded mortgage loans 30 or more days past due and insured by U.S. government agencies of $99 million, $114 million, $122 million, $126 million and $137 million, respectively. These amounts have been excluded based upon the government guarantee.</w:t>
      </w:r>
    </w:p>
    <w:p>
      <w:pPr>
        <w:ind w:left="160" w:hanging="154"/>
        <w:spacing w:after="0"/>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Prior-period amount and rate have been revised to conform with the presentation in the Firm’s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14</w:t>
      </w:r>
    </w:p>
    <w:p>
      <w:pPr>
        <w:sectPr>
          <w:pgSz w:w="11900" w:h="16838" w:orient="portrait"/>
          <w:cols w:equalWidth="0" w:num="1">
            <w:col w:w="11240"/>
          </w:cols>
          <w:pgMar w:left="320" w:top="656" w:right="339" w:bottom="1440" w:gutter="0" w:footer="0" w:header="0"/>
        </w:sectPr>
      </w:pPr>
    </w:p>
    <w:bookmarkStart w:id="26" w:name="page27"/>
    <w:bookmarkEnd w:id="26"/>
    <w:p>
      <w:pPr>
        <w:ind w:left="334"/>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-3810</wp:posOffset>
            </wp:positionV>
            <wp:extent cx="1240155" cy="193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40155" cy="193675"/>
                    </a:xfrm>
                    <a:prstGeom prst="rect">
                      <a:avLst/>
                    </a:prstGeom>
                    <a:noFill/>
                  </pic:spPr>
                </pic:pic>
              </a:graphicData>
            </a:graphic>
          </wp:anchor>
        </w:drawing>
      </w:r>
    </w:p>
    <w:p>
      <w:pPr>
        <w:spacing w:after="0" w:line="15" w:lineRule="exact"/>
        <w:rPr>
          <w:sz w:val="20"/>
          <w:szCs w:val="20"/>
          <w:color w:val="auto"/>
        </w:rPr>
      </w:pPr>
    </w:p>
    <w:p>
      <w:pPr>
        <w:ind w:left="334"/>
        <w:spacing w:after="0"/>
        <w:rPr>
          <w:sz w:val="20"/>
          <w:szCs w:val="20"/>
          <w:color w:val="auto"/>
        </w:rPr>
      </w:pPr>
      <w:r>
        <w:rPr>
          <w:rFonts w:ascii="Arial" w:cs="Arial" w:eastAsia="Arial" w:hAnsi="Arial"/>
          <w:sz w:val="14"/>
          <w:szCs w:val="14"/>
          <w:b w:val="1"/>
          <w:bCs w:val="1"/>
          <w:color w:val="auto"/>
        </w:rPr>
        <w:t>CONSUMER &amp; COMMUNITY</w:t>
      </w:r>
    </w:p>
    <w:p>
      <w:pPr>
        <w:ind w:left="334"/>
        <w:spacing w:after="0"/>
        <w:rPr>
          <w:sz w:val="20"/>
          <w:szCs w:val="20"/>
          <w:color w:val="auto"/>
        </w:rPr>
      </w:pPr>
      <w:r>
        <w:rPr>
          <w:rFonts w:ascii="Arial" w:cs="Arial" w:eastAsia="Arial" w:hAnsi="Arial"/>
          <w:sz w:val="14"/>
          <w:szCs w:val="14"/>
          <w:b w:val="1"/>
          <w:bCs w:val="1"/>
          <w:color w:val="auto"/>
        </w:rPr>
        <w:t>BANKING</w:t>
      </w:r>
    </w:p>
    <w:p>
      <w:pPr>
        <w:spacing w:after="0" w:line="17" w:lineRule="exact"/>
        <w:rPr>
          <w:sz w:val="20"/>
          <w:szCs w:val="20"/>
          <w:color w:val="auto"/>
        </w:rPr>
      </w:pPr>
    </w:p>
    <w:p>
      <w:pPr>
        <w:ind w:left="334"/>
        <w:spacing w:after="0"/>
        <w:rPr>
          <w:sz w:val="20"/>
          <w:szCs w:val="20"/>
          <w:color w:val="auto"/>
        </w:rPr>
      </w:pPr>
      <w:r>
        <w:rPr>
          <w:rFonts w:ascii="Arial" w:cs="Arial" w:eastAsia="Arial" w:hAnsi="Arial"/>
          <w:sz w:val="11"/>
          <w:szCs w:val="11"/>
          <w:b w:val="1"/>
          <w:bCs w:val="1"/>
          <w:color w:val="auto"/>
        </w:rPr>
        <w:t>FINANCIAL HIGHLIGHTS, CONTINUED</w:t>
      </w:r>
    </w:p>
    <w:p>
      <w:pPr>
        <w:spacing w:after="0" w:line="12" w:lineRule="exact"/>
        <w:rPr>
          <w:sz w:val="20"/>
          <w:szCs w:val="20"/>
          <w:color w:val="auto"/>
        </w:rPr>
      </w:pPr>
    </w:p>
    <w:p>
      <w:pPr>
        <w:ind w:left="334"/>
        <w:spacing w:after="0"/>
        <w:rPr>
          <w:sz w:val="20"/>
          <w:szCs w:val="20"/>
          <w:color w:val="auto"/>
        </w:rPr>
      </w:pPr>
      <w:r>
        <w:rPr>
          <w:rFonts w:ascii="Arial" w:cs="Arial" w:eastAsia="Arial" w:hAnsi="Arial"/>
          <w:sz w:val="11"/>
          <w:szCs w:val="11"/>
          <w:b w:val="1"/>
          <w:bCs w:val="1"/>
          <w:color w:val="auto"/>
        </w:rPr>
        <w:t>(in millions, except ratio data and where</w:t>
      </w:r>
    </w:p>
    <w:p>
      <w:pPr>
        <w:ind w:left="334"/>
        <w:spacing w:after="0"/>
        <w:rPr>
          <w:sz w:val="20"/>
          <w:szCs w:val="20"/>
          <w:color w:val="auto"/>
        </w:rPr>
      </w:pPr>
      <w:r>
        <w:rPr>
          <w:rFonts w:ascii="Arial" w:cs="Arial" w:eastAsia="Arial" w:hAnsi="Arial"/>
          <w:sz w:val="11"/>
          <w:szCs w:val="11"/>
          <w:b w:val="1"/>
          <w:bCs w:val="1"/>
          <w:color w:val="auto"/>
        </w:rPr>
        <w:t>otherwise noted)</w:t>
      </w:r>
    </w:p>
    <w:p>
      <w:pPr>
        <w:spacing w:after="0" w:line="129" w:lineRule="exact"/>
        <w:rPr>
          <w:sz w:val="20"/>
          <w:szCs w:val="20"/>
          <w:color w:val="auto"/>
        </w:rPr>
      </w:pPr>
    </w:p>
    <w:tbl>
      <w:tblPr>
        <w:tblLayout w:type="fixed"/>
        <w:tblInd w:w="334" w:type="dxa"/>
        <w:tblCellMar>
          <w:top w:w="0" w:type="dxa"/>
          <w:left w:w="0" w:type="dxa"/>
          <w:bottom w:w="0" w:type="dxa"/>
          <w:right w:w="0" w:type="dxa"/>
        </w:tblCellMar>
      </w:tblPr>
      <w:tr>
        <w:trPr>
          <w:trHeight w:val="152"/>
        </w:trPr>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1"/>
                <w:szCs w:val="11"/>
                <w:b w:val="1"/>
                <w:bCs w:val="1"/>
                <w:color w:val="auto"/>
                <w:w w:val="94"/>
              </w:rPr>
              <w:t>QUARTERLY TRENDS</w:t>
            </w: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46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Borders>
              <w:bottom w:val="single" w:sz="8" w:color="auto"/>
            </w:tcBorders>
            <w:gridSpan w:val="3"/>
          </w:tcPr>
          <w:p>
            <w:pPr>
              <w:ind w:left="320"/>
              <w:spacing w:after="0"/>
              <w:rPr>
                <w:sz w:val="20"/>
                <w:szCs w:val="20"/>
                <w:color w:val="auto"/>
              </w:rPr>
            </w:pPr>
            <w:r>
              <w:rPr>
                <w:rFonts w:ascii="Arial" w:cs="Arial" w:eastAsia="Arial" w:hAnsi="Arial"/>
                <w:sz w:val="11"/>
                <w:szCs w:val="11"/>
                <w:b w:val="1"/>
                <w:bCs w:val="1"/>
                <w:color w:val="auto"/>
              </w:rPr>
              <w:t>2Q25 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2Q25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1Q25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b w:val="1"/>
                <w:bCs w:val="1"/>
                <w:color w:val="auto"/>
              </w:rPr>
              <w:t>4Q24</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3Q24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2Q24</w:t>
            </w:r>
          </w:p>
        </w:tc>
        <w:tc>
          <w:tcPr>
            <w:tcW w:w="40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1Q25</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2Q24</w:t>
            </w: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112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280" w:type="dxa"/>
            <w:vAlign w:val="bottom"/>
            <w:gridSpan w:val="2"/>
          </w:tcPr>
          <w:p>
            <w:pPr>
              <w:spacing w:after="0" w:line="106" w:lineRule="exact"/>
              <w:rPr>
                <w:sz w:val="20"/>
                <w:szCs w:val="20"/>
                <w:color w:val="auto"/>
              </w:rPr>
            </w:pPr>
            <w:r>
              <w:rPr>
                <w:rFonts w:ascii="Arial" w:cs="Arial" w:eastAsia="Arial" w:hAnsi="Arial"/>
                <w:sz w:val="11"/>
                <w:szCs w:val="11"/>
                <w:b w:val="1"/>
                <w:bCs w:val="1"/>
                <w:color w:val="auto"/>
              </w:rPr>
              <w:t>BUSINESS METRICS</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Number of:</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120"/>
              <w:spacing w:after="0"/>
              <w:rPr>
                <w:sz w:val="20"/>
                <w:szCs w:val="20"/>
                <w:color w:val="auto"/>
              </w:rPr>
            </w:pPr>
            <w:r>
              <w:rPr>
                <w:rFonts w:ascii="Arial" w:cs="Arial" w:eastAsia="Arial" w:hAnsi="Arial"/>
                <w:sz w:val="11"/>
                <w:szCs w:val="11"/>
                <w:color w:val="auto"/>
              </w:rPr>
              <w:t>Branches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4,994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4,972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4,966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4,906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4,884</w:t>
            </w:r>
          </w:p>
        </w:tc>
        <w:tc>
          <w:tcPr>
            <w:tcW w:w="40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auto"/>
              </w:rPr>
              <w:t>— %</w:t>
            </w:r>
          </w:p>
        </w:tc>
        <w:tc>
          <w:tcPr>
            <w:tcW w:w="520" w:type="dxa"/>
            <w:vAlign w:val="bottom"/>
          </w:tcPr>
          <w:p>
            <w:pPr>
              <w:jc w:val="right"/>
              <w:spacing w:after="0"/>
              <w:rPr>
                <w:sz w:val="20"/>
                <w:szCs w:val="20"/>
                <w:color w:val="auto"/>
              </w:rPr>
            </w:pPr>
            <w:r>
              <w:rPr>
                <w:rFonts w:ascii="Arial" w:cs="Arial" w:eastAsia="Arial" w:hAnsi="Arial"/>
                <w:sz w:val="11"/>
                <w:szCs w:val="11"/>
                <w:color w:val="auto"/>
              </w:rPr>
              <w:t>2 %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4,994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4,884</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59"/>
        </w:trPr>
        <w:tc>
          <w:tcPr>
            <w:tcW w:w="2280" w:type="dxa"/>
            <w:vAlign w:val="bottom"/>
            <w:gridSpan w:val="2"/>
          </w:tcPr>
          <w:p>
            <w:pPr>
              <w:ind w:left="120"/>
              <w:spacing w:after="0"/>
              <w:rPr>
                <w:sz w:val="20"/>
                <w:szCs w:val="20"/>
                <w:color w:val="auto"/>
              </w:rPr>
            </w:pPr>
            <w:r>
              <w:rPr>
                <w:rFonts w:ascii="Arial" w:cs="Arial" w:eastAsia="Arial" w:hAnsi="Arial"/>
                <w:sz w:val="11"/>
                <w:szCs w:val="11"/>
                <w:color w:val="auto"/>
              </w:rPr>
              <w:t>Active digital customers (in thousands) (a)</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73,014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72,480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70,813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70,063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69,011</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73,014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69,011</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280" w:type="dxa"/>
            <w:vAlign w:val="bottom"/>
            <w:gridSpan w:val="2"/>
          </w:tcPr>
          <w:p>
            <w:pPr>
              <w:ind w:left="120"/>
              <w:spacing w:after="0"/>
              <w:rPr>
                <w:sz w:val="20"/>
                <w:szCs w:val="20"/>
                <w:color w:val="auto"/>
              </w:rPr>
            </w:pPr>
            <w:r>
              <w:rPr>
                <w:rFonts w:ascii="Arial" w:cs="Arial" w:eastAsia="Arial" w:hAnsi="Arial"/>
                <w:sz w:val="11"/>
                <w:szCs w:val="11"/>
                <w:color w:val="auto"/>
              </w:rPr>
              <w:t>Active mobile customers (in thousands) (b)</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59,898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59,036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57,821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56,985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55,564</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59,898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55,564</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318"/>
        </w:trPr>
        <w:tc>
          <w:tcPr>
            <w:tcW w:w="2280" w:type="dxa"/>
            <w:vAlign w:val="bottom"/>
            <w:gridSpan w:val="2"/>
          </w:tcPr>
          <w:p>
            <w:pPr>
              <w:spacing w:after="0"/>
              <w:rPr>
                <w:sz w:val="20"/>
                <w:szCs w:val="20"/>
                <w:color w:val="auto"/>
              </w:rPr>
            </w:pPr>
            <w:r>
              <w:rPr>
                <w:rFonts w:ascii="Arial" w:cs="Arial" w:eastAsia="Arial" w:hAnsi="Arial"/>
                <w:sz w:val="11"/>
                <w:szCs w:val="11"/>
                <w:color w:val="auto"/>
              </w:rPr>
              <w:t>Debit and credit card sales volume (in billions)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487.2</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448.7</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477.6</w:t>
            </w:r>
          </w:p>
        </w:tc>
        <w:tc>
          <w:tcPr>
            <w:tcW w:w="3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453.4</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453.7</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24"/>
                <w:szCs w:val="2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935.9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874.4</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25"/>
        </w:trPr>
        <w:tc>
          <w:tcPr>
            <w:tcW w:w="2280" w:type="dxa"/>
            <w:vAlign w:val="bottom"/>
            <w:gridSpan w:val="2"/>
          </w:tcPr>
          <w:p>
            <w:pPr>
              <w:spacing w:after="0" w:line="125" w:lineRule="exact"/>
              <w:rPr>
                <w:sz w:val="20"/>
                <w:szCs w:val="20"/>
                <w:color w:val="auto"/>
              </w:rPr>
            </w:pPr>
            <w:r>
              <w:rPr>
                <w:rFonts w:ascii="Arial" w:cs="Arial" w:eastAsia="Arial" w:hAnsi="Arial"/>
                <w:sz w:val="11"/>
                <w:szCs w:val="11"/>
                <w:color w:val="auto"/>
                <w:w w:val="99"/>
              </w:rPr>
              <w:t>Total payments transaction volume (in trillions)</w:t>
            </w: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1.6</w:t>
            </w:r>
          </w:p>
        </w:tc>
        <w:tc>
          <w:tcPr>
            <w:tcW w:w="96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w:t>
            </w:r>
          </w:p>
        </w:tc>
        <w:tc>
          <w:tcPr>
            <w:tcW w:w="112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Arial" w:cs="Arial" w:eastAsia="Arial" w:hAnsi="Arial"/>
                <w:sz w:val="11"/>
                <w:szCs w:val="11"/>
                <w:color w:val="auto"/>
              </w:rPr>
              <w:t>(c)</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280" w:type="dxa"/>
            <w:vAlign w:val="bottom"/>
            <w:gridSpan w:val="2"/>
          </w:tcPr>
          <w:p>
            <w:pPr>
              <w:spacing w:after="0"/>
              <w:rPr>
                <w:sz w:val="20"/>
                <w:szCs w:val="20"/>
                <w:color w:val="auto"/>
              </w:rPr>
            </w:pPr>
            <w:r>
              <w:rPr>
                <w:rFonts w:ascii="Arial" w:cs="Arial" w:eastAsia="Arial" w:hAnsi="Arial"/>
                <w:sz w:val="11"/>
                <w:szCs w:val="11"/>
                <w:b w:val="1"/>
                <w:bCs w:val="1"/>
                <w:color w:val="auto"/>
              </w:rPr>
              <w:t>Banking &amp; Wealth Management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spacing w:after="0"/>
              <w:rPr>
                <w:sz w:val="20"/>
                <w:szCs w:val="20"/>
                <w:color w:val="auto"/>
              </w:rPr>
            </w:pPr>
            <w:r>
              <w:rPr>
                <w:rFonts w:ascii="Arial" w:cs="Arial" w:eastAsia="Arial" w:hAnsi="Arial"/>
                <w:sz w:val="11"/>
                <w:szCs w:val="11"/>
                <w:color w:val="auto"/>
              </w:rPr>
              <w:t>Average deposits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1,044,158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1,038,964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1,035,184</w:t>
            </w:r>
          </w:p>
        </w:tc>
        <w:tc>
          <w:tcPr>
            <w:tcW w:w="3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1,037,953</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1,058,914</w:t>
            </w:r>
          </w:p>
        </w:tc>
        <w:tc>
          <w:tcPr>
            <w:tcW w:w="4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1,041,576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1,062,238</w:t>
            </w:r>
          </w:p>
        </w:tc>
        <w:tc>
          <w:tcPr>
            <w:tcW w:w="112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Deposit margin</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2.76</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2.69</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2.61</w:t>
            </w: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2.60</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2.72</w:t>
            </w:r>
          </w:p>
        </w:tc>
        <w:tc>
          <w:tcPr>
            <w:tcW w:w="400" w:type="dxa"/>
            <w:vAlign w:val="bottom"/>
          </w:tcPr>
          <w:p>
            <w:pPr>
              <w:jc w:val="right"/>
              <w:ind w:right="227"/>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2.72</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2.71</w:t>
            </w:r>
          </w:p>
        </w:tc>
        <w:tc>
          <w:tcPr>
            <w:tcW w:w="400" w:type="dxa"/>
            <w:vAlign w:val="bottom"/>
          </w:tcPr>
          <w:p>
            <w:pPr>
              <w:jc w:val="right"/>
              <w:ind w:right="227"/>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Business Banking average loans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19,217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19,474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19,538</w:t>
            </w:r>
          </w:p>
        </w:tc>
        <w:tc>
          <w:tcPr>
            <w:tcW w:w="3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19,472</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19,461</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19,345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19,454</w:t>
            </w:r>
          </w:p>
        </w:tc>
        <w:tc>
          <w:tcPr>
            <w:tcW w:w="112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Business Banking origination volume</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893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985</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1,312</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1,708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2,442</w:t>
            </w:r>
          </w:p>
        </w:tc>
        <w:tc>
          <w:tcPr>
            <w:tcW w:w="1120" w:type="dxa"/>
            <w:vAlign w:val="bottom"/>
            <w:gridSpan w:val="2"/>
          </w:tcPr>
          <w:p>
            <w:pPr>
              <w:jc w:val="right"/>
              <w:ind w:right="67"/>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Client investment assets (d)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1,155,017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1,079,833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1,087,608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1,067,931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1,013,680</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1,155,017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1,013,680</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Number of client advisors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5,948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5,860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5,755</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5,775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5,672</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5,948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5,672</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22"/>
        </w:trPr>
        <w:tc>
          <w:tcPr>
            <w:tcW w:w="2280" w:type="dxa"/>
            <w:vAlign w:val="bottom"/>
            <w:gridSpan w:val="2"/>
          </w:tcPr>
          <w:p>
            <w:pPr>
              <w:spacing w:after="0"/>
              <w:rPr>
                <w:sz w:val="20"/>
                <w:szCs w:val="20"/>
                <w:color w:val="auto"/>
              </w:rPr>
            </w:pPr>
            <w:r>
              <w:rPr>
                <w:rFonts w:ascii="Arial" w:cs="Arial" w:eastAsia="Arial" w:hAnsi="Arial"/>
                <w:sz w:val="11"/>
                <w:szCs w:val="11"/>
                <w:b w:val="1"/>
                <w:bCs w:val="1"/>
                <w:color w:val="auto"/>
              </w:rPr>
              <w:t>Home Lending (in billions)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spacing w:after="0"/>
              <w:rPr>
                <w:sz w:val="20"/>
                <w:szCs w:val="20"/>
                <w:color w:val="auto"/>
              </w:rPr>
            </w:pPr>
            <w:r>
              <w:rPr>
                <w:rFonts w:ascii="Arial" w:cs="Arial" w:eastAsia="Arial" w:hAnsi="Arial"/>
                <w:sz w:val="11"/>
                <w:szCs w:val="11"/>
                <w:color w:val="auto"/>
              </w:rPr>
              <w:t>Mortgage origination volume by channel</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ind w:left="120"/>
              <w:spacing w:after="0"/>
              <w:rPr>
                <w:sz w:val="20"/>
                <w:szCs w:val="20"/>
                <w:color w:val="auto"/>
              </w:rPr>
            </w:pPr>
            <w:r>
              <w:rPr>
                <w:rFonts w:ascii="Arial" w:cs="Arial" w:eastAsia="Arial" w:hAnsi="Arial"/>
                <w:sz w:val="11"/>
                <w:szCs w:val="11"/>
                <w:color w:val="auto"/>
              </w:rPr>
              <w:t>Retail</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7.7</w:t>
            </w:r>
          </w:p>
        </w:tc>
        <w:tc>
          <w:tcPr>
            <w:tcW w:w="3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6.5</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6.9</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58</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11.3</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71"/>
        </w:trPr>
        <w:tc>
          <w:tcPr>
            <w:tcW w:w="2280" w:type="dxa"/>
            <w:vAlign w:val="bottom"/>
            <w:gridSpan w:val="2"/>
          </w:tcPr>
          <w:p>
            <w:pPr>
              <w:ind w:left="120"/>
              <w:spacing w:after="0"/>
              <w:rPr>
                <w:sz w:val="20"/>
                <w:szCs w:val="20"/>
                <w:color w:val="auto"/>
              </w:rPr>
            </w:pPr>
            <w:r>
              <w:rPr>
                <w:rFonts w:ascii="Arial" w:cs="Arial" w:eastAsia="Arial" w:hAnsi="Arial"/>
                <w:sz w:val="11"/>
                <w:szCs w:val="11"/>
                <w:color w:val="auto"/>
              </w:rPr>
              <w:t>Correspondent</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3.8</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23</w:t>
            </w:r>
          </w:p>
        </w:tc>
        <w:tc>
          <w:tcPr>
            <w:tcW w:w="22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6.0</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44"/>
        </w:trPr>
        <w:tc>
          <w:tcPr>
            <w:tcW w:w="228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mortgage origination volume (e)</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13.5</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9.4</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12.1</w:t>
            </w:r>
          </w:p>
        </w:tc>
        <w:tc>
          <w:tcPr>
            <w:tcW w:w="32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11.4</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10.7</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22.9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17.3</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21"/>
        </w:trPr>
        <w:tc>
          <w:tcPr>
            <w:tcW w:w="2280" w:type="dxa"/>
            <w:vAlign w:val="bottom"/>
            <w:gridSpan w:val="2"/>
          </w:tcPr>
          <w:p>
            <w:pPr>
              <w:spacing w:after="0" w:line="121" w:lineRule="exact"/>
              <w:rPr>
                <w:sz w:val="20"/>
                <w:szCs w:val="20"/>
                <w:color w:val="auto"/>
              </w:rPr>
            </w:pPr>
            <w:r>
              <w:rPr>
                <w:rFonts w:ascii="Arial" w:cs="Arial" w:eastAsia="Arial" w:hAnsi="Arial"/>
                <w:sz w:val="11"/>
                <w:szCs w:val="11"/>
                <w:color w:val="auto"/>
              </w:rPr>
              <w:t>Third-party mortgage loans serviced (period-</w:t>
            </w: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653.3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661.6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648.0</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656.1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642.8</w:t>
            </w:r>
          </w:p>
        </w:tc>
        <w:tc>
          <w:tcPr>
            <w:tcW w:w="96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653.3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642.8</w:t>
            </w:r>
          </w:p>
        </w:tc>
        <w:tc>
          <w:tcPr>
            <w:tcW w:w="112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Arial" w:cs="Arial" w:eastAsia="Arial" w:hAnsi="Arial"/>
                <w:sz w:val="11"/>
                <w:szCs w:val="11"/>
                <w:color w:val="auto"/>
              </w:rPr>
              <w:t>end)</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MSR carrying value (period-end)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8.8</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8.8</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22"/>
        </w:trPr>
        <w:tc>
          <w:tcPr>
            <w:tcW w:w="2280" w:type="dxa"/>
            <w:vAlign w:val="bottom"/>
            <w:gridSpan w:val="2"/>
          </w:tcPr>
          <w:p>
            <w:pPr>
              <w:spacing w:after="0"/>
              <w:rPr>
                <w:sz w:val="20"/>
                <w:szCs w:val="20"/>
                <w:color w:val="auto"/>
              </w:rPr>
            </w:pPr>
            <w:r>
              <w:rPr>
                <w:rFonts w:ascii="Arial" w:cs="Arial" w:eastAsia="Arial" w:hAnsi="Arial"/>
                <w:sz w:val="11"/>
                <w:szCs w:val="11"/>
                <w:b w:val="1"/>
                <w:bCs w:val="1"/>
                <w:color w:val="auto"/>
              </w:rPr>
              <w:t>Card Services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280" w:type="dxa"/>
            <w:vAlign w:val="bottom"/>
            <w:gridSpan w:val="2"/>
          </w:tcPr>
          <w:p>
            <w:pPr>
              <w:spacing w:after="0" w:line="121" w:lineRule="exact"/>
              <w:rPr>
                <w:sz w:val="20"/>
                <w:szCs w:val="20"/>
                <w:color w:val="auto"/>
              </w:rPr>
            </w:pPr>
            <w:r>
              <w:rPr>
                <w:rFonts w:ascii="Arial" w:cs="Arial" w:eastAsia="Arial" w:hAnsi="Arial"/>
                <w:sz w:val="11"/>
                <w:szCs w:val="11"/>
                <w:color w:val="auto"/>
              </w:rPr>
              <w:t>Sales volume, excluding commercial card (in</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340.0</w:t>
            </w:r>
          </w:p>
        </w:tc>
        <w:tc>
          <w:tcPr>
            <w:tcW w:w="2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310.6</w:t>
            </w:r>
          </w:p>
        </w:tc>
        <w:tc>
          <w:tcPr>
            <w:tcW w:w="2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335.1</w:t>
            </w:r>
          </w:p>
        </w:tc>
        <w:tc>
          <w:tcPr>
            <w:tcW w:w="320" w:type="dxa"/>
            <w:vAlign w:val="bottom"/>
            <w:gridSpan w:val="3"/>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316.6</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316.6</w:t>
            </w:r>
          </w:p>
        </w:tc>
        <w:tc>
          <w:tcPr>
            <w:tcW w:w="96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650.6</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607.6</w:t>
            </w:r>
          </w:p>
        </w:tc>
        <w:tc>
          <w:tcPr>
            <w:tcW w:w="112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Arial" w:cs="Arial" w:eastAsia="Arial" w:hAnsi="Arial"/>
                <w:sz w:val="11"/>
                <w:szCs w:val="11"/>
                <w:color w:val="auto"/>
              </w:rPr>
              <w:t>billions)</w:t>
            </w: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Net revenue rate</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10.06</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10.38</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10.47</w:t>
            </w: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9.91</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9.61</w:t>
            </w:r>
          </w:p>
        </w:tc>
        <w:tc>
          <w:tcPr>
            <w:tcW w:w="400" w:type="dxa"/>
            <w:vAlign w:val="bottom"/>
          </w:tcPr>
          <w:p>
            <w:pPr>
              <w:jc w:val="right"/>
              <w:ind w:right="227"/>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10.22</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9.85</w:t>
            </w:r>
          </w:p>
        </w:tc>
        <w:tc>
          <w:tcPr>
            <w:tcW w:w="400" w:type="dxa"/>
            <w:vAlign w:val="bottom"/>
          </w:tcPr>
          <w:p>
            <w:pPr>
              <w:jc w:val="right"/>
              <w:ind w:right="227"/>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Net yield on average loans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10.04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9.86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9.71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9.46</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10.17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9.67</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280" w:type="dxa"/>
            <w:vAlign w:val="bottom"/>
            <w:gridSpan w:val="2"/>
          </w:tcPr>
          <w:p>
            <w:pPr>
              <w:spacing w:after="0"/>
              <w:rPr>
                <w:sz w:val="20"/>
                <w:szCs w:val="20"/>
                <w:color w:val="auto"/>
              </w:rPr>
            </w:pPr>
            <w:r>
              <w:rPr>
                <w:rFonts w:ascii="Arial" w:cs="Arial" w:eastAsia="Arial" w:hAnsi="Arial"/>
                <w:sz w:val="11"/>
                <w:szCs w:val="11"/>
                <w:b w:val="1"/>
                <w:bCs w:val="1"/>
                <w:color w:val="auto"/>
              </w:rPr>
              <w:t>Auto</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spacing w:after="0"/>
              <w:rPr>
                <w:sz w:val="20"/>
                <w:szCs w:val="20"/>
                <w:color w:val="auto"/>
              </w:rPr>
            </w:pPr>
            <w:r>
              <w:rPr>
                <w:rFonts w:ascii="Arial" w:cs="Arial" w:eastAsia="Arial" w:hAnsi="Arial"/>
                <w:sz w:val="11"/>
                <w:szCs w:val="11"/>
                <w:color w:val="auto"/>
              </w:rPr>
              <w:t>Loan and lease origination volume (in billions)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11.3</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10.6</w:t>
            </w:r>
          </w:p>
        </w:tc>
        <w:tc>
          <w:tcPr>
            <w:tcW w:w="3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10.0</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10.8</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19.7</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rPr>
                <w:sz w:val="20"/>
                <w:szCs w:val="20"/>
                <w:color w:val="auto"/>
              </w:rPr>
            </w:pPr>
            <w:r>
              <w:rPr>
                <w:rFonts w:ascii="Arial" w:cs="Arial" w:eastAsia="Arial" w:hAnsi="Arial"/>
                <w:sz w:val="11"/>
                <w:szCs w:val="11"/>
                <w:color w:val="auto"/>
              </w:rPr>
              <w:t>Average auto operating lease assets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15,218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13,641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11,967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11,192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10,693</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14,434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10,564</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213995</wp:posOffset>
            </wp:positionV>
            <wp:extent cx="14636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54" w:hanging="154"/>
        <w:spacing w:after="0"/>
        <w:tabs>
          <w:tab w:leader="none" w:pos="154" w:val="left"/>
        </w:tabs>
        <w:numPr>
          <w:ilvl w:val="0"/>
          <w:numId w:val="27"/>
        </w:numPr>
        <w:rPr>
          <w:rFonts w:ascii="Arial" w:cs="Arial" w:eastAsia="Arial" w:hAnsi="Arial"/>
          <w:sz w:val="11"/>
          <w:szCs w:val="11"/>
          <w:color w:val="auto"/>
        </w:rPr>
      </w:pPr>
      <w:r>
        <w:rPr>
          <w:rFonts w:ascii="Arial" w:cs="Arial" w:eastAsia="Arial" w:hAnsi="Arial"/>
          <w:sz w:val="11"/>
          <w:szCs w:val="11"/>
          <w:color w:val="auto"/>
        </w:rPr>
        <w:t>Users of all web and/or mobile platforms who have logged in within the past 90 days.</w:t>
      </w:r>
    </w:p>
    <w:p>
      <w:pPr>
        <w:spacing w:after="0" w:line="2" w:lineRule="exact"/>
        <w:rPr>
          <w:rFonts w:ascii="Arial" w:cs="Arial" w:eastAsia="Arial" w:hAnsi="Arial"/>
          <w:sz w:val="11"/>
          <w:szCs w:val="11"/>
          <w:color w:val="auto"/>
        </w:rPr>
      </w:pPr>
    </w:p>
    <w:p>
      <w:pPr>
        <w:ind w:left="154" w:hanging="154"/>
        <w:spacing w:after="0"/>
        <w:tabs>
          <w:tab w:leader="none" w:pos="154" w:val="left"/>
        </w:tabs>
        <w:numPr>
          <w:ilvl w:val="0"/>
          <w:numId w:val="27"/>
        </w:numPr>
        <w:rPr>
          <w:rFonts w:ascii="Arial" w:cs="Arial" w:eastAsia="Arial" w:hAnsi="Arial"/>
          <w:sz w:val="11"/>
          <w:szCs w:val="11"/>
          <w:color w:val="auto"/>
        </w:rPr>
      </w:pPr>
      <w:r>
        <w:rPr>
          <w:rFonts w:ascii="Arial" w:cs="Arial" w:eastAsia="Arial" w:hAnsi="Arial"/>
          <w:sz w:val="11"/>
          <w:szCs w:val="11"/>
          <w:color w:val="auto"/>
        </w:rPr>
        <w:t>Users of all mobile platforms who have logged in within the past 90 days.</w:t>
      </w:r>
    </w:p>
    <w:p>
      <w:pPr>
        <w:spacing w:after="0" w:line="3" w:lineRule="exact"/>
        <w:rPr>
          <w:rFonts w:ascii="Arial" w:cs="Arial" w:eastAsia="Arial" w:hAnsi="Arial"/>
          <w:sz w:val="11"/>
          <w:szCs w:val="11"/>
          <w:color w:val="auto"/>
        </w:rPr>
      </w:pPr>
    </w:p>
    <w:p>
      <w:pPr>
        <w:ind w:left="154" w:hanging="154"/>
        <w:spacing w:after="0" w:line="231" w:lineRule="auto"/>
        <w:tabs>
          <w:tab w:leader="none" w:pos="154" w:val="left"/>
        </w:tabs>
        <w:numPr>
          <w:ilvl w:val="0"/>
          <w:numId w:val="27"/>
        </w:numPr>
        <w:rPr>
          <w:rFonts w:ascii="Arial" w:cs="Arial" w:eastAsia="Arial" w:hAnsi="Arial"/>
          <w:sz w:val="11"/>
          <w:szCs w:val="11"/>
          <w:color w:val="auto"/>
        </w:rPr>
      </w:pPr>
      <w:r>
        <w:rPr>
          <w:rFonts w:ascii="Arial" w:cs="Arial" w:eastAsia="Arial" w:hAnsi="Arial"/>
          <w:sz w:val="11"/>
          <w:szCs w:val="11"/>
          <w:color w:val="auto"/>
        </w:rPr>
        <w:t>Total payments transaction volume includes debit and credit card sales volume and gross outflows of ACH, ATM, teller, wires, BillPay, PayChase, Zelle, person-to-person and checks.</w:t>
      </w:r>
    </w:p>
    <w:p>
      <w:pPr>
        <w:ind w:left="154" w:hanging="154"/>
        <w:spacing w:after="0"/>
        <w:tabs>
          <w:tab w:leader="none" w:pos="154"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Includes assets invested in managed accounts and J.P. Morgan mutual funds where AWM is the investment manager. Refer to AWM segment results on pages 20-22 for additional information.</w:t>
      </w:r>
    </w:p>
    <w:p>
      <w:pPr>
        <w:spacing w:after="0" w:line="3" w:lineRule="exact"/>
        <w:rPr>
          <w:rFonts w:ascii="Arial" w:cs="Arial" w:eastAsia="Arial" w:hAnsi="Arial"/>
          <w:sz w:val="11"/>
          <w:szCs w:val="11"/>
          <w:color w:val="auto"/>
        </w:rPr>
      </w:pPr>
    </w:p>
    <w:p>
      <w:pPr>
        <w:ind w:left="154" w:right="160" w:hanging="154"/>
        <w:spacing w:after="0" w:line="262" w:lineRule="auto"/>
        <w:tabs>
          <w:tab w:leader="none" w:pos="151" w:val="left"/>
        </w:tabs>
        <w:numPr>
          <w:ilvl w:val="0"/>
          <w:numId w:val="27"/>
        </w:numPr>
        <w:rPr>
          <w:rFonts w:ascii="Arial" w:cs="Arial" w:eastAsia="Arial" w:hAnsi="Arial"/>
          <w:sz w:val="11"/>
          <w:szCs w:val="11"/>
          <w:color w:val="auto"/>
        </w:rPr>
      </w:pPr>
      <w:r>
        <w:rPr>
          <w:rFonts w:ascii="Arial" w:cs="Arial" w:eastAsia="Arial" w:hAnsi="Arial"/>
          <w:sz w:val="11"/>
          <w:szCs w:val="11"/>
          <w:color w:val="auto"/>
        </w:rPr>
        <w:t>Firmwide mortgage origination volume was $16.3 billion, $11.2 billion, $14.2 billion, $13.3 billion and $12.3 billion for the three months ended June 30, 2025, March 31, 2025, December 31, 2024, September 30, 2024 and June 30, 2024, respectively, and $27.5 billion and $19.9 billion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834"/>
        <w:spacing w:after="0"/>
        <w:rPr>
          <w:sz w:val="20"/>
          <w:szCs w:val="20"/>
          <w:color w:val="auto"/>
        </w:rPr>
      </w:pPr>
      <w:r>
        <w:rPr>
          <w:rFonts w:ascii="Arial" w:cs="Arial" w:eastAsia="Arial" w:hAnsi="Arial"/>
          <w:sz w:val="11"/>
          <w:szCs w:val="11"/>
          <w:color w:val="auto"/>
        </w:rPr>
        <w:t>Page 15</w:t>
      </w:r>
    </w:p>
    <w:p>
      <w:pPr>
        <w:sectPr>
          <w:pgSz w:w="11900" w:h="16838" w:orient="portrait"/>
          <w:cols w:equalWidth="0" w:num="1">
            <w:col w:w="11334"/>
          </w:cols>
          <w:pgMar w:left="326" w:top="564" w:right="239" w:bottom="1440" w:gutter="0" w:footer="0" w:header="0"/>
        </w:sectPr>
      </w:pPr>
    </w:p>
    <w:bookmarkStart w:id="27" w:name="page28"/>
    <w:bookmarkEnd w:id="2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-3810</wp:posOffset>
            </wp:positionV>
            <wp:extent cx="1371600" cy="193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w:t>
      </w:r>
    </w:p>
    <w:p>
      <w:pPr>
        <w:ind w:left="20"/>
        <w:spacing w:after="0"/>
        <w:rPr>
          <w:sz w:val="20"/>
          <w:szCs w:val="20"/>
          <w:color w:val="auto"/>
        </w:rPr>
      </w:pPr>
      <w:r>
        <w:rPr>
          <w:rFonts w:ascii="Arial" w:cs="Arial" w:eastAsia="Arial" w:hAnsi="Arial"/>
          <w:sz w:val="14"/>
          <w:szCs w:val="14"/>
          <w:b w:val="1"/>
          <w:bCs w:val="1"/>
          <w:color w:val="auto"/>
        </w:rPr>
        <w:t>BANK</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ind w:right="40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2Q25 Change</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2Q25</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1Q25</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4Q24</w:t>
            </w:r>
          </w:p>
        </w:tc>
        <w:tc>
          <w:tcPr>
            <w:tcW w:w="14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3Q24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2Q24</w:t>
            </w:r>
          </w:p>
        </w:tc>
        <w:tc>
          <w:tcPr>
            <w:tcW w:w="22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1Q25</w:t>
            </w:r>
          </w:p>
        </w:tc>
        <w:tc>
          <w:tcPr>
            <w:tcW w:w="920" w:type="dxa"/>
            <w:vAlign w:val="bottom"/>
            <w:gridSpan w:val="2"/>
          </w:tcPr>
          <w:p>
            <w:pPr>
              <w:ind w:left="140"/>
              <w:spacing w:after="0"/>
              <w:rPr>
                <w:sz w:val="20"/>
                <w:szCs w:val="20"/>
                <w:color w:val="auto"/>
              </w:rPr>
            </w:pPr>
            <w:r>
              <w:rPr>
                <w:rFonts w:ascii="Arial" w:cs="Arial" w:eastAsia="Arial" w:hAnsi="Arial"/>
                <w:sz w:val="11"/>
                <w:szCs w:val="11"/>
                <w:b w:val="1"/>
                <w:bCs w:val="1"/>
                <w:color w:val="auto"/>
              </w:rPr>
              <w:t>2Q24</w:t>
            </w:r>
          </w:p>
        </w:tc>
        <w:tc>
          <w:tcPr>
            <w:tcW w:w="14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720" w:type="dxa"/>
            <w:vAlign w:val="bottom"/>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480" w:type="dxa"/>
            <w:vAlign w:val="bottom"/>
            <w:gridSpan w:val="4"/>
          </w:tcPr>
          <w:p>
            <w:pPr>
              <w:spacing w:after="0" w:line="106" w:lineRule="exact"/>
              <w:rPr>
                <w:sz w:val="20"/>
                <w:szCs w:val="20"/>
                <w:color w:val="auto"/>
              </w:rPr>
            </w:pPr>
            <w:r>
              <w:rPr>
                <w:rFonts w:ascii="Arial" w:cs="Arial" w:eastAsia="Arial" w:hAnsi="Arial"/>
                <w:sz w:val="11"/>
                <w:szCs w:val="11"/>
                <w:b w:val="1"/>
                <w:bCs w:val="1"/>
                <w:color w:val="auto"/>
              </w:rPr>
              <w:t>INCOME STATEMENT</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REVENUE</w:t>
            </w:r>
          </w:p>
        </w:tc>
        <w:tc>
          <w:tcPr>
            <w:tcW w:w="14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80" w:type="dxa"/>
            <w:vAlign w:val="bottom"/>
            <w:gridSpan w:val="4"/>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2,513</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2,248</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2,479</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2,267</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2,356</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12 %</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7 %</w:t>
            </w:r>
          </w:p>
        </w:tc>
        <w:tc>
          <w:tcPr>
            <w:tcW w:w="4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4,761</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4,370</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7,109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7,608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5,158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5,899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6,691</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14,717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13,325</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1,296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997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924</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2,526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1,897</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Commissions and other fees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1,493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1,437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1,349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1,337</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2,930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2,609</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645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551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579</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1,196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1,104</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1"/>
        </w:trPr>
        <w:tc>
          <w:tcPr>
            <w:tcW w:w="248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736</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748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1,132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521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857</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1,484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1,600</w:t>
            </w:r>
          </w:p>
        </w:tc>
        <w:tc>
          <w:tcPr>
            <w:tcW w:w="220" w:type="dxa"/>
            <w:vAlign w:val="bottom"/>
          </w:tcPr>
          <w:p>
            <w:pPr>
              <w:spacing w:after="0"/>
              <w:rPr>
                <w:sz w:val="14"/>
                <w:szCs w:val="14"/>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248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13,792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13,822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11,726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11,622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12,744</w:t>
            </w:r>
          </w:p>
        </w:tc>
        <w:tc>
          <w:tcPr>
            <w:tcW w:w="22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27,614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24,905</w:t>
            </w: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7"/>
        </w:trPr>
        <w:tc>
          <w:tcPr>
            <w:tcW w:w="248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5,743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5,844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5,872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5,393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5,173</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11,587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10,596</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4"/>
        </w:trPr>
        <w:tc>
          <w:tcPr>
            <w:tcW w:w="24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19,535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19,666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17,598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17,015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17,917</w:t>
            </w:r>
          </w:p>
        </w:tc>
        <w:tc>
          <w:tcPr>
            <w:tcW w:w="220" w:type="dxa"/>
            <w:vAlign w:val="bottom"/>
          </w:tcPr>
          <w:p>
            <w:pPr>
              <w:spacing w:after="0"/>
              <w:rPr>
                <w:sz w:val="12"/>
                <w:szCs w:val="12"/>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39,201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35,501</w:t>
            </w: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48"/>
        </w:trPr>
        <w:tc>
          <w:tcPr>
            <w:tcW w:w="248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696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705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384</w:t>
            </w:r>
          </w:p>
        </w:tc>
        <w:tc>
          <w:tcPr>
            <w:tcW w:w="220" w:type="dxa"/>
            <w:vAlign w:val="bottom"/>
          </w:tcPr>
          <w:p>
            <w:pPr>
              <w:spacing w:after="0"/>
              <w:rPr>
                <w:sz w:val="21"/>
                <w:szCs w:val="21"/>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81</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385</w:t>
            </w:r>
          </w:p>
        </w:tc>
        <w:tc>
          <w:tcPr>
            <w:tcW w:w="220" w:type="dxa"/>
            <w:vAlign w:val="bottom"/>
          </w:tcPr>
          <w:p>
            <w:pPr>
              <w:spacing w:after="0"/>
              <w:rPr>
                <w:sz w:val="21"/>
                <w:szCs w:val="21"/>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264</w:t>
            </w:r>
          </w:p>
        </w:tc>
        <w:tc>
          <w:tcPr>
            <w:tcW w:w="0" w:type="dxa"/>
            <w:vAlign w:val="bottom"/>
          </w:tcPr>
          <w:p>
            <w:pPr>
              <w:spacing w:after="0"/>
              <w:rPr>
                <w:sz w:val="1"/>
                <w:szCs w:val="1"/>
                <w:color w:val="auto"/>
              </w:rPr>
            </w:pPr>
          </w:p>
        </w:tc>
      </w:tr>
      <w:tr>
        <w:trPr>
          <w:trHeight w:val="256"/>
        </w:trPr>
        <w:tc>
          <w:tcPr>
            <w:tcW w:w="248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48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5,330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4,033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4,510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4,752</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10,344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9,648</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71"/>
        </w:trPr>
        <w:tc>
          <w:tcPr>
            <w:tcW w:w="248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4,627</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4,512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4,679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4,241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4,414</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9,139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8,242</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2"/>
        </w:trPr>
        <w:tc>
          <w:tcPr>
            <w:tcW w:w="24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9,641</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9,842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8,712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8,751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9,166</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19,483</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17,890</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4"/>
        </w:trPr>
        <w:tc>
          <w:tcPr>
            <w:tcW w:w="248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9,198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9,119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8,825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7,948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8,367</w:t>
            </w:r>
          </w:p>
        </w:tc>
        <w:tc>
          <w:tcPr>
            <w:tcW w:w="220" w:type="dxa"/>
            <w:vAlign w:val="bottom"/>
          </w:tcPr>
          <w:p>
            <w:pPr>
              <w:spacing w:after="0"/>
              <w:rPr>
                <w:sz w:val="19"/>
                <w:szCs w:val="19"/>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18,317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17,226</w:t>
            </w:r>
          </w:p>
        </w:tc>
        <w:tc>
          <w:tcPr>
            <w:tcW w:w="22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7"/>
        </w:trPr>
        <w:tc>
          <w:tcPr>
            <w:tcW w:w="248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2,548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2,177</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2,189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2,257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2,470</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4,725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4,707</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2480" w:type="dxa"/>
            <w:vAlign w:val="bottom"/>
            <w:gridSpan w:val="4"/>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6,650</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6,942</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6,636</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5,691</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5,897</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13,592</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12,519</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99"/>
        </w:trPr>
        <w:tc>
          <w:tcPr>
            <w:tcW w:w="1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FINANCIAL RATIOS</w:t>
            </w:r>
          </w:p>
        </w:tc>
        <w:tc>
          <w:tcPr>
            <w:tcW w:w="14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80" w:type="dxa"/>
            <w:vAlign w:val="bottom"/>
            <w:gridSpan w:val="4"/>
          </w:tcPr>
          <w:p>
            <w:pPr>
              <w:spacing w:after="0"/>
              <w:rPr>
                <w:sz w:val="20"/>
                <w:szCs w:val="20"/>
                <w:color w:val="auto"/>
              </w:rPr>
            </w:pPr>
            <w:r>
              <w:rPr>
                <w:rFonts w:ascii="Arial" w:cs="Arial" w:eastAsia="Arial" w:hAnsi="Arial"/>
                <w:sz w:val="11"/>
                <w:szCs w:val="11"/>
                <w:color w:val="auto"/>
              </w:rPr>
              <w:t>ROE</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17 %</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17 %</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18 %</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18 %</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80" w:type="dxa"/>
            <w:vAlign w:val="bottom"/>
            <w:gridSpan w:val="4"/>
          </w:tcPr>
          <w:p>
            <w:pPr>
              <w:spacing w:after="0" w:line="125" w:lineRule="exact"/>
              <w:rPr>
                <w:sz w:val="20"/>
                <w:szCs w:val="20"/>
                <w:color w:val="auto"/>
              </w:rPr>
            </w:pPr>
            <w:r>
              <w:rPr>
                <w:rFonts w:ascii="Arial" w:cs="Arial" w:eastAsia="Arial" w:hAnsi="Arial"/>
                <w:sz w:val="11"/>
                <w:szCs w:val="11"/>
                <w:color w:val="auto"/>
              </w:rPr>
              <w:t>Compensation expense as percentage of total net</w:t>
            </w: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80" w:type="dxa"/>
            <w:vAlign w:val="bottom"/>
            <w:gridSpan w:val="4"/>
          </w:tcPr>
          <w:p>
            <w:pPr>
              <w:spacing w:after="0"/>
              <w:rPr>
                <w:sz w:val="20"/>
                <w:szCs w:val="20"/>
                <w:color w:val="auto"/>
              </w:rPr>
            </w:pPr>
            <w:r>
              <w:rPr>
                <w:rFonts w:ascii="Arial" w:cs="Arial" w:eastAsia="Arial" w:hAnsi="Arial"/>
                <w:sz w:val="11"/>
                <w:szCs w:val="11"/>
                <w:color w:val="auto"/>
              </w:rPr>
              <w:t>revenue</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480" w:type="dxa"/>
            <w:vAlign w:val="bottom"/>
            <w:gridSpan w:val="4"/>
          </w:tcPr>
          <w:p>
            <w:pPr>
              <w:spacing w:after="0"/>
              <w:rPr>
                <w:sz w:val="20"/>
                <w:szCs w:val="20"/>
                <w:color w:val="auto"/>
              </w:rPr>
            </w:pPr>
            <w:r>
              <w:rPr>
                <w:rFonts w:ascii="Arial" w:cs="Arial" w:eastAsia="Arial" w:hAnsi="Arial"/>
                <w:sz w:val="11"/>
                <w:szCs w:val="11"/>
                <w:b w:val="1"/>
                <w:bCs w:val="1"/>
                <w:color w:val="auto"/>
              </w:rPr>
              <w:t>REVENUE BY BUSINESS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Investment Banking</w:t>
            </w:r>
          </w:p>
        </w:tc>
        <w:tc>
          <w:tcPr>
            <w:tcW w:w="1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2,684</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2,268</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2,602</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2,354</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2,464</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4,952</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4,680</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Payments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4,735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4,565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4,703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4,370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4,546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9,300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9,012</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Lending</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1,829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1,936</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3,744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3,660</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1"/>
        </w:trPr>
        <w:tc>
          <w:tcPr>
            <w:tcW w:w="2480" w:type="dxa"/>
            <w:vAlign w:val="bottom"/>
            <w:gridSpan w:val="4"/>
          </w:tcPr>
          <w:p>
            <w:pPr>
              <w:spacing w:after="0"/>
              <w:rPr>
                <w:sz w:val="20"/>
                <w:szCs w:val="20"/>
                <w:color w:val="auto"/>
              </w:rPr>
            </w:pPr>
            <w:r>
              <w:rPr>
                <w:rFonts w:ascii="Arial" w:cs="Arial" w:eastAsia="Arial" w:hAnsi="Arial"/>
                <w:sz w:val="11"/>
                <w:szCs w:val="11"/>
                <w:color w:val="auto"/>
              </w:rPr>
              <w:t>Other</w:t>
            </w: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92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44"/>
        </w:trPr>
        <w:tc>
          <w:tcPr>
            <w:tcW w:w="24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Banking &amp; Payments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9,248</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8,754</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9,268</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8,646</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8,950</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18,002</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17,353</w:t>
            </w: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5"/>
        </w:trPr>
        <w:tc>
          <w:tcPr>
            <w:tcW w:w="2480" w:type="dxa"/>
            <w:vAlign w:val="bottom"/>
            <w:gridSpan w:val="4"/>
          </w:tcPr>
          <w:p>
            <w:pPr>
              <w:spacing w:after="0"/>
              <w:rPr>
                <w:sz w:val="20"/>
                <w:szCs w:val="20"/>
                <w:color w:val="auto"/>
              </w:rPr>
            </w:pPr>
            <w:r>
              <w:rPr>
                <w:rFonts w:ascii="Arial" w:cs="Arial" w:eastAsia="Arial" w:hAnsi="Arial"/>
                <w:sz w:val="11"/>
                <w:szCs w:val="11"/>
                <w:color w:val="auto"/>
              </w:rPr>
              <w:t>Fixed Income Markets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5,690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5,849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5,006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4,651</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4,981</w:t>
            </w:r>
          </w:p>
        </w:tc>
        <w:tc>
          <w:tcPr>
            <w:tcW w:w="220" w:type="dxa"/>
            <w:vAlign w:val="bottom"/>
          </w:tcPr>
          <w:p>
            <w:pPr>
              <w:spacing w:after="0"/>
              <w:rPr>
                <w:sz w:val="20"/>
                <w:szCs w:val="20"/>
                <w:color w:val="auto"/>
              </w:rPr>
            </w:pPr>
            <w:r>
              <w:rPr>
                <w:rFonts w:ascii="Arial" w:cs="Arial" w:eastAsia="Arial" w:hAnsi="Arial"/>
                <w:sz w:val="11"/>
                <w:szCs w:val="11"/>
                <w:color w:val="auto"/>
              </w:rPr>
              <w:t>(f)</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11,539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10,409</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Equity Markets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3,246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3,814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2,043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2,501</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2,812</w:t>
            </w:r>
          </w:p>
        </w:tc>
        <w:tc>
          <w:tcPr>
            <w:tcW w:w="220" w:type="dxa"/>
            <w:vAlign w:val="bottom"/>
          </w:tcPr>
          <w:p>
            <w:pPr>
              <w:spacing w:after="0"/>
              <w:rPr>
                <w:sz w:val="20"/>
                <w:szCs w:val="20"/>
                <w:color w:val="auto"/>
              </w:rPr>
            </w:pPr>
            <w:r>
              <w:rPr>
                <w:rFonts w:ascii="Arial" w:cs="Arial" w:eastAsia="Arial" w:hAnsi="Arial"/>
                <w:sz w:val="11"/>
                <w:szCs w:val="11"/>
                <w:color w:val="auto"/>
              </w:rPr>
              <w:t>(f)</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7,060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5,397</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Securities Services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1,418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1,269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1,326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1,261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2,687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2,444</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1"/>
        </w:trPr>
        <w:tc>
          <w:tcPr>
            <w:tcW w:w="2480" w:type="dxa"/>
            <w:vAlign w:val="bottom"/>
            <w:gridSpan w:val="4"/>
          </w:tcPr>
          <w:p>
            <w:pPr>
              <w:spacing w:after="0"/>
              <w:rPr>
                <w:sz w:val="20"/>
                <w:szCs w:val="20"/>
                <w:color w:val="auto"/>
              </w:rPr>
            </w:pPr>
            <w:r>
              <w:rPr>
                <w:rFonts w:ascii="Arial" w:cs="Arial" w:eastAsia="Arial" w:hAnsi="Arial"/>
                <w:sz w:val="11"/>
                <w:szCs w:val="11"/>
                <w:color w:val="auto"/>
              </w:rPr>
              <w:t>Credit Adjustments &amp; Other (b)</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(67)</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(33)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(109)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(235)</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(102)</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2"/>
        </w:trPr>
        <w:tc>
          <w:tcPr>
            <w:tcW w:w="24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Markets &amp; Securities Services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10,287</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10,912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8,330</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8,369</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8,967</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21,199</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18,148</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5"/>
        </w:trPr>
        <w:tc>
          <w:tcPr>
            <w:tcW w:w="248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19,535</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19,666</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17,598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17,015</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17,917</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39,201</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35,501</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86"/>
        </w:trPr>
        <w:tc>
          <w:tcPr>
            <w:tcW w:w="2480" w:type="dxa"/>
            <w:vAlign w:val="bottom"/>
            <w:gridSpan w:val="4"/>
          </w:tcPr>
          <w:p>
            <w:pPr>
              <w:spacing w:after="0"/>
              <w:rPr>
                <w:sz w:val="20"/>
                <w:szCs w:val="20"/>
                <w:color w:val="auto"/>
              </w:rPr>
            </w:pPr>
            <w:r>
              <w:rPr>
                <w:rFonts w:ascii="Arial" w:cs="Arial" w:eastAsia="Arial" w:hAnsi="Arial"/>
                <w:sz w:val="11"/>
                <w:szCs w:val="11"/>
                <w:b w:val="1"/>
                <w:bCs w:val="1"/>
                <w:color w:val="auto"/>
                <w:w w:val="96"/>
              </w:rPr>
              <w:t>Banking &amp; Payments revenue by client coverage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80" w:type="dxa"/>
            <w:vAlign w:val="bottom"/>
            <w:gridSpan w:val="4"/>
          </w:tcPr>
          <w:p>
            <w:pPr>
              <w:spacing w:after="0"/>
              <w:rPr>
                <w:sz w:val="20"/>
                <w:szCs w:val="20"/>
                <w:color w:val="auto"/>
              </w:rPr>
            </w:pPr>
            <w:r>
              <w:rPr>
                <w:rFonts w:ascii="Arial" w:cs="Arial" w:eastAsia="Arial" w:hAnsi="Arial"/>
                <w:sz w:val="11"/>
                <w:szCs w:val="11"/>
                <w:b w:val="1"/>
                <w:bCs w:val="1"/>
                <w:color w:val="auto"/>
              </w:rPr>
              <w:t>segment (c)</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80" w:type="dxa"/>
            <w:vAlign w:val="bottom"/>
            <w:gridSpan w:val="4"/>
          </w:tcPr>
          <w:p>
            <w:pPr>
              <w:spacing w:after="0" w:line="121" w:lineRule="exact"/>
              <w:rPr>
                <w:sz w:val="20"/>
                <w:szCs w:val="20"/>
                <w:color w:val="auto"/>
              </w:rPr>
            </w:pPr>
            <w:r>
              <w:rPr>
                <w:rFonts w:ascii="Arial" w:cs="Arial" w:eastAsia="Arial" w:hAnsi="Arial"/>
                <w:sz w:val="11"/>
                <w:szCs w:val="11"/>
                <w:color w:val="auto"/>
              </w:rPr>
              <w:t>Global Corporate Banking &amp; Global Investment</w:t>
            </w: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6,319</w:t>
            </w:r>
          </w:p>
        </w:tc>
        <w:tc>
          <w:tcPr>
            <w:tcW w:w="20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5,929</w:t>
            </w:r>
          </w:p>
        </w:tc>
        <w:tc>
          <w:tcPr>
            <w:tcW w:w="20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6,369</w:t>
            </w:r>
          </w:p>
        </w:tc>
        <w:tc>
          <w:tcPr>
            <w:tcW w:w="20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5,755</w:t>
            </w:r>
          </w:p>
        </w:tc>
        <w:tc>
          <w:tcPr>
            <w:tcW w:w="22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6,090</w:t>
            </w:r>
          </w:p>
        </w:tc>
        <w:tc>
          <w:tcPr>
            <w:tcW w:w="2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7 %</w:t>
            </w:r>
          </w:p>
        </w:tc>
        <w:tc>
          <w:tcPr>
            <w:tcW w:w="2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4 %</w:t>
            </w:r>
          </w:p>
        </w:tc>
        <w:tc>
          <w:tcPr>
            <w:tcW w:w="40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12,248</w:t>
            </w:r>
          </w:p>
        </w:tc>
        <w:tc>
          <w:tcPr>
            <w:tcW w:w="22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11,656</w:t>
            </w: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0"/>
        </w:trPr>
        <w:tc>
          <w:tcPr>
            <w:tcW w:w="2480" w:type="dxa"/>
            <w:vAlign w:val="bottom"/>
            <w:gridSpan w:val="4"/>
          </w:tcPr>
          <w:p>
            <w:pPr>
              <w:spacing w:after="0"/>
              <w:rPr>
                <w:sz w:val="20"/>
                <w:szCs w:val="20"/>
                <w:color w:val="auto"/>
              </w:rPr>
            </w:pPr>
            <w:r>
              <w:rPr>
                <w:rFonts w:ascii="Arial" w:cs="Arial" w:eastAsia="Arial" w:hAnsi="Arial"/>
                <w:sz w:val="11"/>
                <w:szCs w:val="11"/>
                <w:color w:val="auto"/>
              </w:rPr>
              <w:t>Banking (d)</w:t>
            </w: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80" w:type="dxa"/>
            <w:vAlign w:val="bottom"/>
            <w:gridSpan w:val="4"/>
          </w:tcPr>
          <w:p>
            <w:pPr>
              <w:spacing w:after="0"/>
              <w:rPr>
                <w:sz w:val="20"/>
                <w:szCs w:val="20"/>
                <w:color w:val="auto"/>
              </w:rPr>
            </w:pPr>
            <w:r>
              <w:rPr>
                <w:rFonts w:ascii="Arial" w:cs="Arial" w:eastAsia="Arial" w:hAnsi="Arial"/>
                <w:sz w:val="11"/>
                <w:szCs w:val="11"/>
                <w:color w:val="auto"/>
              </w:rPr>
              <w:t>Commercial Banking</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2,929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2,825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2,899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2,891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2,860</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5,754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5,697</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480" w:type="dxa"/>
            <w:vAlign w:val="bottom"/>
            <w:gridSpan w:val="4"/>
          </w:tcPr>
          <w:p>
            <w:pPr>
              <w:ind w:left="100"/>
              <w:spacing w:after="0"/>
              <w:rPr>
                <w:sz w:val="20"/>
                <w:szCs w:val="20"/>
                <w:color w:val="auto"/>
              </w:rPr>
            </w:pPr>
            <w:r>
              <w:rPr>
                <w:rFonts w:ascii="Arial" w:cs="Arial" w:eastAsia="Arial" w:hAnsi="Arial"/>
                <w:sz w:val="11"/>
                <w:szCs w:val="11"/>
                <w:color w:val="auto"/>
              </w:rPr>
              <w:t>Commercial &amp; Specialized Industries (e)</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2,067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1,956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1,965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1,936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4,023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3,863</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2480" w:type="dxa"/>
            <w:vAlign w:val="bottom"/>
            <w:gridSpan w:val="4"/>
          </w:tcPr>
          <w:p>
            <w:pPr>
              <w:ind w:left="100"/>
              <w:spacing w:after="0"/>
              <w:rPr>
                <w:sz w:val="20"/>
                <w:szCs w:val="20"/>
                <w:color w:val="auto"/>
              </w:rPr>
            </w:pPr>
            <w:r>
              <w:rPr>
                <w:rFonts w:ascii="Arial" w:cs="Arial" w:eastAsia="Arial" w:hAnsi="Arial"/>
                <w:sz w:val="11"/>
                <w:szCs w:val="11"/>
                <w:color w:val="auto"/>
              </w:rPr>
              <w:t>Commercial Real Estate Banking</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862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869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934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960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924</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1,731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1,834</w:t>
            </w:r>
          </w:p>
        </w:tc>
        <w:tc>
          <w:tcPr>
            <w:tcW w:w="220" w:type="dxa"/>
            <w:vAlign w:val="bottom"/>
          </w:tcPr>
          <w:p>
            <w:pPr>
              <w:spacing w:after="0"/>
              <w:rPr>
                <w:sz w:val="14"/>
                <w:szCs w:val="14"/>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248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Banking &amp; Payments revenue</w:t>
            </w: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9,248</w:t>
            </w:r>
          </w:p>
        </w:tc>
        <w:tc>
          <w:tcPr>
            <w:tcW w:w="20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8,754</w:t>
            </w:r>
          </w:p>
        </w:tc>
        <w:tc>
          <w:tcPr>
            <w:tcW w:w="20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9,268</w:t>
            </w:r>
          </w:p>
        </w:tc>
        <w:tc>
          <w:tcPr>
            <w:tcW w:w="20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8,646</w:t>
            </w:r>
          </w:p>
        </w:tc>
        <w:tc>
          <w:tcPr>
            <w:tcW w:w="22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8,950</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18,002</w:t>
            </w:r>
          </w:p>
        </w:tc>
        <w:tc>
          <w:tcPr>
            <w:tcW w:w="22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17,353</w:t>
            </w: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15817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247" w:lineRule="exact"/>
        <w:rPr>
          <w:sz w:val="20"/>
          <w:szCs w:val="20"/>
          <w:color w:val="auto"/>
        </w:rPr>
      </w:pPr>
    </w:p>
    <w:p>
      <w:pPr>
        <w:ind w:left="160" w:right="80" w:hanging="154"/>
        <w:spacing w:after="0"/>
        <w:tabs>
          <w:tab w:leader="none" w:pos="157"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Included tax equivalent adjustments primarily from income tax credits from investments in alternative energy, affordable housing and new markets, income from tax-exempt securities and loans, and the related amortization and other tax benefits of the investments in alternative energy and affordable housing of $722 million, $658 million, $915 million, $607 million and $737 million for the three months ended June 30, 2025, March 31, 2025, December 31, 2024, September 30, 2024 and June 30, 2024, respectively, and $1.4 billion and $1.3 billion for the six months ended June 30, 2025 and 2024, respectively.</w:t>
      </w:r>
    </w:p>
    <w:p>
      <w:pPr>
        <w:spacing w:after="0" w:line="1" w:lineRule="exact"/>
        <w:rPr>
          <w:rFonts w:ascii="Arial" w:cs="Arial" w:eastAsia="Arial" w:hAnsi="Arial"/>
          <w:sz w:val="11"/>
          <w:szCs w:val="11"/>
          <w:color w:val="auto"/>
        </w:rPr>
      </w:pPr>
    </w:p>
    <w:p>
      <w:pPr>
        <w:ind w:left="160" w:right="240" w:hanging="154"/>
        <w:spacing w:after="0" w:line="248" w:lineRule="auto"/>
        <w:tabs>
          <w:tab w:leader="none" w:pos="157"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Consists primarily of centrally managed credit valuation adjustments (“CVA”), funding valuation adjustments (“FVA”) on derivatives, other valuation adjustments, and certain components of fair value option elected liabilities, which are primarily reported in principal transactions revenue. Results are presented net of associated hedging activities and net of CVA and FVA amounts allocated to Fixed Income Markets and Equity Markets.</w:t>
      </w:r>
    </w:p>
    <w:p>
      <w:pPr>
        <w:spacing w:after="0" w:line="1"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Refer to page 78 of the Firm’s Annual Report on Form 10-K for the annual period ended December 31, 2024 for a description of each of the client coverage segments.</w:t>
      </w:r>
    </w:p>
    <w:p>
      <w:pPr>
        <w:ind w:left="160" w:right="400" w:hanging="154"/>
        <w:spacing w:after="0" w:line="238" w:lineRule="auto"/>
        <w:tabs>
          <w:tab w:leader="none" w:pos="157"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the second quarter of 2025, amounts were reclassified from Other to Global Corporate Banking &amp; Global Investment Banking reflecting the subsequent alignment of certain business activities after the Firm’s Business Segment reorganization in the second quarter of 2024. Prior-period amounts have been revised to conform with the current presentation.</w:t>
      </w:r>
    </w:p>
    <w:p>
      <w:pPr>
        <w:ind w:left="160" w:hanging="154"/>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the second quarter of 2025, the Middle Market Banking client coverage segment was renamed Commercial &amp; Specialized Industries.</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the fourth quarter of 2024, certain net funding costs that were previously allocated to Fixed Income Markets were reclassified to Equity Markets. 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16</w:t>
      </w:r>
    </w:p>
    <w:p>
      <w:pPr>
        <w:sectPr>
          <w:pgSz w:w="11900" w:h="16838" w:orient="portrait"/>
          <w:cols w:equalWidth="0" w:num="1">
            <w:col w:w="11240"/>
          </w:cols>
          <w:pgMar w:left="320" w:top="564"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 BANK</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44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right"/>
              <w:ind w:right="38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1"/>
                <w:szCs w:val="11"/>
                <w:b w:val="1"/>
                <w:bCs w:val="1"/>
                <w:color w:val="auto"/>
              </w:rPr>
              <w:t>2Q25 Change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2Q25</w:t>
            </w:r>
          </w:p>
        </w:tc>
        <w:tc>
          <w:tcPr>
            <w:tcW w:w="8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1Q25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4Q24</w:t>
            </w: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3Q24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47"/>
              <w:spacing w:after="0"/>
              <w:rPr>
                <w:sz w:val="20"/>
                <w:szCs w:val="20"/>
                <w:color w:val="auto"/>
              </w:rPr>
            </w:pPr>
            <w:r>
              <w:rPr>
                <w:rFonts w:ascii="Arial" w:cs="Arial" w:eastAsia="Arial" w:hAnsi="Arial"/>
                <w:sz w:val="11"/>
                <w:szCs w:val="11"/>
                <w:b w:val="1"/>
                <w:bCs w:val="1"/>
                <w:color w:val="auto"/>
              </w:rPr>
              <w:t>2Q24</w:t>
            </w:r>
          </w:p>
        </w:tc>
        <w:tc>
          <w:tcPr>
            <w:tcW w:w="20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1Q25</w:t>
            </w:r>
          </w:p>
        </w:tc>
        <w:tc>
          <w:tcPr>
            <w:tcW w:w="9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2Q24</w:t>
            </w:r>
          </w:p>
        </w:tc>
        <w:tc>
          <w:tcPr>
            <w:tcW w:w="8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94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460" w:type="dxa"/>
            <w:vAlign w:val="bottom"/>
            <w:tcBorders>
              <w:bottom w:val="single" w:sz="8" w:color="auto"/>
            </w:tcBorders>
            <w:gridSpan w:val="2"/>
          </w:tcPr>
          <w:p>
            <w:pPr>
              <w:spacing w:after="0" w:line="106" w:lineRule="exact"/>
              <w:rPr>
                <w:sz w:val="20"/>
                <w:szCs w:val="20"/>
                <w:color w:val="auto"/>
              </w:rPr>
            </w:pPr>
            <w:r>
              <w:rPr>
                <w:rFonts w:ascii="Arial" w:cs="Arial" w:eastAsia="Arial" w:hAnsi="Arial"/>
                <w:sz w:val="11"/>
                <w:szCs w:val="11"/>
                <w:b w:val="1"/>
                <w:bCs w:val="1"/>
                <w:color w:val="auto"/>
                <w:w w:val="95"/>
              </w:rPr>
              <w:t>SELECTED BALANCE SHEET DATA (period-end)</w:t>
            </w: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540" w:type="dxa"/>
            <w:vAlign w:val="bottom"/>
            <w:gridSpan w:val="3"/>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2,260,825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2,174,123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1,773,194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2,047,022</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1,939,038</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17 %</w:t>
            </w:r>
          </w:p>
        </w:tc>
        <w:tc>
          <w:tcPr>
            <w:tcW w:w="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2,260,825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1,939,038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59"/>
        </w:trPr>
        <w:tc>
          <w:tcPr>
            <w:tcW w:w="2540" w:type="dxa"/>
            <w:vAlign w:val="bottom"/>
            <w:gridSpan w:val="3"/>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40" w:type="dxa"/>
            <w:vAlign w:val="bottom"/>
            <w:gridSpan w:val="3"/>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526,174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497,657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483,043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483,915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475,880</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526,174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475,880</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1"/>
        </w:trPr>
        <w:tc>
          <w:tcPr>
            <w:tcW w:w="2540" w:type="dxa"/>
            <w:vAlign w:val="bottom"/>
            <w:gridSpan w:val="3"/>
          </w:tcPr>
          <w:p>
            <w:pPr>
              <w:ind w:left="120"/>
              <w:spacing w:after="0"/>
              <w:rPr>
                <w:sz w:val="20"/>
                <w:szCs w:val="20"/>
                <w:color w:val="auto"/>
              </w:rPr>
            </w:pPr>
            <w:r>
              <w:rPr>
                <w:rFonts w:ascii="Arial" w:cs="Arial" w:eastAsia="Arial" w:hAnsi="Arial"/>
                <w:sz w:val="11"/>
                <w:szCs w:val="11"/>
                <w:color w:val="auto"/>
              </w:rPr>
              <w:t>Loans held-for-sale and loans at fair value (a)</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57,659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48,201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40,324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47,728</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41,737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38</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57,659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41,737</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4"/>
        </w:trPr>
        <w:tc>
          <w:tcPr>
            <w:tcW w:w="254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583,833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545,858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523,367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531,643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517,617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583,833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517,617</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08"/>
        </w:trPr>
        <w:tc>
          <w:tcPr>
            <w:tcW w:w="2540" w:type="dxa"/>
            <w:vAlign w:val="bottom"/>
            <w:gridSpan w:val="3"/>
          </w:tcPr>
          <w:p>
            <w:pPr>
              <w:spacing w:after="0"/>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149,500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149,500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2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149,500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8"/>
        </w:trPr>
        <w:tc>
          <w:tcPr>
            <w:tcW w:w="2540" w:type="dxa"/>
            <w:vAlign w:val="bottom"/>
            <w:gridSpan w:val="3"/>
          </w:tcPr>
          <w:p>
            <w:pPr>
              <w:spacing w:after="0"/>
              <w:rPr>
                <w:sz w:val="20"/>
                <w:szCs w:val="20"/>
                <w:color w:val="auto"/>
              </w:rPr>
            </w:pPr>
            <w:r>
              <w:rPr>
                <w:rFonts w:ascii="Arial" w:cs="Arial" w:eastAsia="Arial" w:hAnsi="Arial"/>
                <w:sz w:val="11"/>
                <w:szCs w:val="11"/>
                <w:b w:val="1"/>
                <w:bCs w:val="1"/>
                <w:color w:val="auto"/>
              </w:rPr>
              <w:t>Banking &amp; Payments loans by client coverage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40" w:type="dxa"/>
            <w:vAlign w:val="bottom"/>
            <w:gridSpan w:val="3"/>
          </w:tcPr>
          <w:p>
            <w:pPr>
              <w:spacing w:after="0"/>
              <w:rPr>
                <w:sz w:val="20"/>
                <w:szCs w:val="20"/>
                <w:color w:val="auto"/>
              </w:rPr>
            </w:pPr>
            <w:r>
              <w:rPr>
                <w:rFonts w:ascii="Arial" w:cs="Arial" w:eastAsia="Arial" w:hAnsi="Arial"/>
                <w:sz w:val="11"/>
                <w:szCs w:val="11"/>
                <w:b w:val="1"/>
                <w:bCs w:val="1"/>
                <w:color w:val="auto"/>
              </w:rPr>
              <w:t>segment (period-end) (b)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40" w:type="dxa"/>
            <w:vAlign w:val="bottom"/>
            <w:gridSpan w:val="3"/>
          </w:tcPr>
          <w:p>
            <w:pPr>
              <w:spacing w:after="0" w:line="121" w:lineRule="exact"/>
              <w:rPr>
                <w:sz w:val="20"/>
                <w:szCs w:val="20"/>
                <w:color w:val="auto"/>
              </w:rPr>
            </w:pPr>
            <w:r>
              <w:rPr>
                <w:rFonts w:ascii="Arial" w:cs="Arial" w:eastAsia="Arial" w:hAnsi="Arial"/>
                <w:sz w:val="11"/>
                <w:szCs w:val="11"/>
                <w:color w:val="auto"/>
              </w:rPr>
              <w:t>Global Corporate Banking &amp; Global Investment</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133,017</w:t>
            </w:r>
          </w:p>
        </w:tc>
        <w:tc>
          <w:tcPr>
            <w:tcW w:w="2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121,776</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auto"/>
              </w:rPr>
              <w:t>(e)</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125,270</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134,750</w:t>
            </w:r>
          </w:p>
        </w:tc>
        <w:tc>
          <w:tcPr>
            <w:tcW w:w="2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132,858</w:t>
            </w:r>
          </w:p>
        </w:tc>
        <w:tc>
          <w:tcPr>
            <w:tcW w:w="76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0"/>
                <w:szCs w:val="10"/>
                <w:color w:val="auto"/>
              </w:rPr>
            </w:pP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133,017</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132,858</w:t>
            </w:r>
          </w:p>
        </w:tc>
        <w:tc>
          <w:tcPr>
            <w:tcW w:w="200" w:type="dxa"/>
            <w:vAlign w:val="bottom"/>
          </w:tcPr>
          <w:p>
            <w:pPr>
              <w:spacing w:after="0"/>
              <w:rPr>
                <w:sz w:val="10"/>
                <w:szCs w:val="10"/>
                <w:color w:val="auto"/>
              </w:rPr>
            </w:pPr>
          </w:p>
        </w:tc>
        <w:tc>
          <w:tcPr>
            <w:tcW w:w="740" w:type="dxa"/>
            <w:vAlign w:val="bottom"/>
            <w:vMerge w:val="restart"/>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540" w:type="dxa"/>
            <w:vAlign w:val="bottom"/>
            <w:gridSpan w:val="3"/>
          </w:tcPr>
          <w:p>
            <w:pPr>
              <w:spacing w:after="0"/>
              <w:rPr>
                <w:sz w:val="20"/>
                <w:szCs w:val="20"/>
                <w:color w:val="auto"/>
              </w:rPr>
            </w:pPr>
            <w:r>
              <w:rPr>
                <w:rFonts w:ascii="Arial" w:cs="Arial" w:eastAsia="Arial" w:hAnsi="Arial"/>
                <w:sz w:val="11"/>
                <w:szCs w:val="11"/>
                <w:color w:val="auto"/>
              </w:rPr>
              <w:t>Banking (c)</w:t>
            </w: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40" w:type="dxa"/>
            <w:vAlign w:val="bottom"/>
            <w:gridSpan w:val="3"/>
          </w:tcPr>
          <w:p>
            <w:pPr>
              <w:spacing w:after="0"/>
              <w:rPr>
                <w:sz w:val="20"/>
                <w:szCs w:val="20"/>
                <w:color w:val="auto"/>
              </w:rPr>
            </w:pPr>
            <w:r>
              <w:rPr>
                <w:rFonts w:ascii="Arial" w:cs="Arial" w:eastAsia="Arial" w:hAnsi="Arial"/>
                <w:sz w:val="11"/>
                <w:szCs w:val="11"/>
                <w:color w:val="auto"/>
              </w:rPr>
              <w:t>Commercial Banking</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222,044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219,220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217,674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218,733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220,222</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222,044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220,222</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540" w:type="dxa"/>
            <w:vAlign w:val="bottom"/>
            <w:gridSpan w:val="3"/>
          </w:tcPr>
          <w:p>
            <w:pPr>
              <w:ind w:left="100"/>
              <w:spacing w:after="0"/>
              <w:rPr>
                <w:sz w:val="20"/>
                <w:szCs w:val="20"/>
                <w:color w:val="auto"/>
              </w:rPr>
            </w:pPr>
            <w:r>
              <w:rPr>
                <w:rFonts w:ascii="Arial" w:cs="Arial" w:eastAsia="Arial" w:hAnsi="Arial"/>
                <w:sz w:val="11"/>
                <w:szCs w:val="11"/>
                <w:color w:val="auto"/>
              </w:rPr>
              <w:t>Commercial &amp; Specialized Industries (d)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75,859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74,334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72,814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73,782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75,488</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75,859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75,488</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2540" w:type="dxa"/>
            <w:vAlign w:val="bottom"/>
            <w:gridSpan w:val="3"/>
          </w:tcPr>
          <w:p>
            <w:pPr>
              <w:ind w:left="100"/>
              <w:spacing w:after="0"/>
              <w:rPr>
                <w:sz w:val="20"/>
                <w:szCs w:val="20"/>
                <w:color w:val="auto"/>
              </w:rPr>
            </w:pPr>
            <w:r>
              <w:rPr>
                <w:rFonts w:ascii="Arial" w:cs="Arial" w:eastAsia="Arial" w:hAnsi="Arial"/>
                <w:sz w:val="11"/>
                <w:szCs w:val="11"/>
                <w:color w:val="auto"/>
              </w:rPr>
              <w:t>Commercial Real Estate Banking</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146,185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144,886</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144,860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144,951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144,734</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146,185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144,734</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4"/>
        </w:trPr>
        <w:tc>
          <w:tcPr>
            <w:tcW w:w="254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Banking &amp; Payments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355,061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340,996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342,944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353,483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353,080</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355,061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353,080</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7"/>
        </w:trPr>
        <w:tc>
          <w:tcPr>
            <w:tcW w:w="2540" w:type="dxa"/>
            <w:vAlign w:val="bottom"/>
            <w:gridSpan w:val="3"/>
          </w:tcPr>
          <w:p>
            <w:pPr>
              <w:spacing w:after="0"/>
              <w:rPr>
                <w:sz w:val="20"/>
                <w:szCs w:val="20"/>
                <w:color w:val="auto"/>
              </w:rPr>
            </w:pPr>
            <w:r>
              <w:rPr>
                <w:rFonts w:ascii="Arial" w:cs="Arial" w:eastAsia="Arial" w:hAnsi="Arial"/>
                <w:sz w:val="11"/>
                <w:szCs w:val="11"/>
                <w:b w:val="1"/>
                <w:bCs w:val="1"/>
                <w:color w:val="auto"/>
              </w:rPr>
              <w:t>SELECTED BALANCE SHEET DATA (average)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Total assets</w:t>
            </w:r>
          </w:p>
        </w:tc>
        <w:tc>
          <w:tcPr>
            <w:tcW w:w="24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2,205,619</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2,045,105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1,930,491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2,008,127</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1,915,880</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2,125,805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1,854,999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9"/>
        </w:trPr>
        <w:tc>
          <w:tcPr>
            <w:tcW w:w="2540" w:type="dxa"/>
            <w:vAlign w:val="bottom"/>
            <w:gridSpan w:val="3"/>
          </w:tcPr>
          <w:p>
            <w:pPr>
              <w:spacing w:after="0"/>
              <w:rPr>
                <w:sz w:val="20"/>
                <w:szCs w:val="20"/>
                <w:color w:val="auto"/>
              </w:rPr>
            </w:pPr>
            <w:r>
              <w:rPr>
                <w:rFonts w:ascii="Arial" w:cs="Arial" w:eastAsia="Arial" w:hAnsi="Arial"/>
                <w:sz w:val="11"/>
                <w:szCs w:val="11"/>
                <w:color w:val="auto"/>
              </w:rPr>
              <w:t>Trading assets - debt and equity instruments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758,113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685,039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613,142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663,302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638,473</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721,778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609,686</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9"/>
        </w:trPr>
        <w:tc>
          <w:tcPr>
            <w:tcW w:w="2540" w:type="dxa"/>
            <w:vAlign w:val="bottom"/>
            <w:gridSpan w:val="3"/>
          </w:tcPr>
          <w:p>
            <w:pPr>
              <w:spacing w:after="0"/>
              <w:rPr>
                <w:sz w:val="20"/>
                <w:szCs w:val="20"/>
                <w:color w:val="auto"/>
              </w:rPr>
            </w:pPr>
            <w:r>
              <w:rPr>
                <w:rFonts w:ascii="Arial" w:cs="Arial" w:eastAsia="Arial" w:hAnsi="Arial"/>
                <w:sz w:val="11"/>
                <w:szCs w:val="11"/>
                <w:color w:val="auto"/>
              </w:rPr>
              <w:t>Trading assets - derivative receivables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56,815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58,987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57,884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54,133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58,850</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57,895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58,059</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540" w:type="dxa"/>
            <w:vAlign w:val="bottom"/>
            <w:gridSpan w:val="3"/>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40" w:type="dxa"/>
            <w:vAlign w:val="bottom"/>
            <w:gridSpan w:val="3"/>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511,562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482,304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482,316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476,256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471,861</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497,014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471,524</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1"/>
        </w:trPr>
        <w:tc>
          <w:tcPr>
            <w:tcW w:w="2540" w:type="dxa"/>
            <w:vAlign w:val="bottom"/>
            <w:gridSpan w:val="3"/>
          </w:tcPr>
          <w:p>
            <w:pPr>
              <w:ind w:left="120"/>
              <w:spacing w:after="0"/>
              <w:rPr>
                <w:sz w:val="20"/>
                <w:szCs w:val="20"/>
                <w:color w:val="auto"/>
              </w:rPr>
            </w:pPr>
            <w:r>
              <w:rPr>
                <w:rFonts w:ascii="Arial" w:cs="Arial" w:eastAsia="Arial" w:hAnsi="Arial"/>
                <w:sz w:val="11"/>
                <w:szCs w:val="11"/>
                <w:color w:val="auto"/>
              </w:rPr>
              <w:t>Loans held-for-sale and loans at fair value (a)</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50,287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46,422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43,203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44,868</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42,868</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48,365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43,202</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4"/>
        </w:trPr>
        <w:tc>
          <w:tcPr>
            <w:tcW w:w="254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561,849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528,726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525,519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521,124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514,729</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545,379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514,726</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08"/>
        </w:trPr>
        <w:tc>
          <w:tcPr>
            <w:tcW w:w="2540" w:type="dxa"/>
            <w:vAlign w:val="bottom"/>
            <w:gridSpan w:val="3"/>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1,170,063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1,106,158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1,088,439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1,064,402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1,046,993</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8"/>
                <w:szCs w:val="18"/>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1,138,287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1,046,391</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9"/>
        </w:trPr>
        <w:tc>
          <w:tcPr>
            <w:tcW w:w="2540" w:type="dxa"/>
            <w:vAlign w:val="bottom"/>
            <w:gridSpan w:val="3"/>
          </w:tcPr>
          <w:p>
            <w:pPr>
              <w:spacing w:after="0"/>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149,500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149,500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20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149,500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8"/>
        </w:trPr>
        <w:tc>
          <w:tcPr>
            <w:tcW w:w="2540" w:type="dxa"/>
            <w:vAlign w:val="bottom"/>
            <w:gridSpan w:val="3"/>
          </w:tcPr>
          <w:p>
            <w:pPr>
              <w:spacing w:after="0"/>
              <w:rPr>
                <w:sz w:val="20"/>
                <w:szCs w:val="20"/>
                <w:color w:val="auto"/>
              </w:rPr>
            </w:pPr>
            <w:r>
              <w:rPr>
                <w:rFonts w:ascii="Arial" w:cs="Arial" w:eastAsia="Arial" w:hAnsi="Arial"/>
                <w:sz w:val="11"/>
                <w:szCs w:val="11"/>
                <w:b w:val="1"/>
                <w:bCs w:val="1"/>
                <w:color w:val="auto"/>
              </w:rPr>
              <w:t>Banking &amp; Payments loans by client coverage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40" w:type="dxa"/>
            <w:vAlign w:val="bottom"/>
            <w:gridSpan w:val="3"/>
          </w:tcPr>
          <w:p>
            <w:pPr>
              <w:spacing w:after="0"/>
              <w:rPr>
                <w:sz w:val="20"/>
                <w:szCs w:val="20"/>
                <w:color w:val="auto"/>
              </w:rPr>
            </w:pPr>
            <w:r>
              <w:rPr>
                <w:rFonts w:ascii="Arial" w:cs="Arial" w:eastAsia="Arial" w:hAnsi="Arial"/>
                <w:sz w:val="11"/>
                <w:szCs w:val="11"/>
                <w:b w:val="1"/>
                <w:bCs w:val="1"/>
                <w:color w:val="auto"/>
              </w:rPr>
              <w:t>segment (average) (b)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40" w:type="dxa"/>
            <w:vAlign w:val="bottom"/>
            <w:gridSpan w:val="3"/>
          </w:tcPr>
          <w:p>
            <w:pPr>
              <w:spacing w:after="0" w:line="121" w:lineRule="exact"/>
              <w:rPr>
                <w:sz w:val="20"/>
                <w:szCs w:val="20"/>
                <w:color w:val="auto"/>
              </w:rPr>
            </w:pPr>
            <w:r>
              <w:rPr>
                <w:rFonts w:ascii="Arial" w:cs="Arial" w:eastAsia="Arial" w:hAnsi="Arial"/>
                <w:sz w:val="11"/>
                <w:szCs w:val="11"/>
                <w:color w:val="auto"/>
              </w:rPr>
              <w:t>Global Corporate Banking &amp; Global Investment</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125,554</w:t>
            </w:r>
          </w:p>
        </w:tc>
        <w:tc>
          <w:tcPr>
            <w:tcW w:w="2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121,387</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auto"/>
              </w:rPr>
              <w:t>(e)</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126,305</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129,024</w:t>
            </w:r>
          </w:p>
        </w:tc>
        <w:tc>
          <w:tcPr>
            <w:tcW w:w="2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130,680</w:t>
            </w:r>
          </w:p>
        </w:tc>
        <w:tc>
          <w:tcPr>
            <w:tcW w:w="76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540" w:type="dxa"/>
            <w:vAlign w:val="bottom"/>
            <w:vMerge w:val="restart"/>
          </w:tcPr>
          <w:p>
            <w:pPr>
              <w:jc w:val="right"/>
              <w:ind w:right="67"/>
              <w:spacing w:after="0"/>
              <w:rPr>
                <w:sz w:val="20"/>
                <w:szCs w:val="20"/>
                <w:color w:val="auto"/>
              </w:rPr>
            </w:pPr>
            <w:r>
              <w:rPr>
                <w:rFonts w:ascii="Arial" w:cs="Arial" w:eastAsia="Arial" w:hAnsi="Arial"/>
                <w:sz w:val="11"/>
                <w:szCs w:val="11"/>
                <w:color w:val="auto"/>
              </w:rPr>
              <w:t>(4)</w:t>
            </w:r>
          </w:p>
        </w:tc>
        <w:tc>
          <w:tcPr>
            <w:tcW w:w="4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123,482</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129,336</w:t>
            </w:r>
          </w:p>
        </w:tc>
        <w:tc>
          <w:tcPr>
            <w:tcW w:w="940" w:type="dxa"/>
            <w:vAlign w:val="bottom"/>
            <w:gridSpan w:val="2"/>
            <w:vMerge w:val="restart"/>
          </w:tcPr>
          <w:p>
            <w:pPr>
              <w:jc w:val="right"/>
              <w:ind w:right="4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0"/>
        </w:trPr>
        <w:tc>
          <w:tcPr>
            <w:tcW w:w="2540" w:type="dxa"/>
            <w:vAlign w:val="bottom"/>
            <w:gridSpan w:val="3"/>
          </w:tcPr>
          <w:p>
            <w:pPr>
              <w:spacing w:after="0"/>
              <w:rPr>
                <w:sz w:val="20"/>
                <w:szCs w:val="20"/>
                <w:color w:val="auto"/>
              </w:rPr>
            </w:pPr>
            <w:r>
              <w:rPr>
                <w:rFonts w:ascii="Arial" w:cs="Arial" w:eastAsia="Arial" w:hAnsi="Arial"/>
                <w:sz w:val="11"/>
                <w:szCs w:val="11"/>
                <w:color w:val="auto"/>
              </w:rPr>
              <w:t>Banking (c)</w:t>
            </w: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40" w:type="dxa"/>
            <w:vAlign w:val="bottom"/>
            <w:gridSpan w:val="3"/>
          </w:tcPr>
          <w:p>
            <w:pPr>
              <w:spacing w:after="0"/>
              <w:rPr>
                <w:sz w:val="20"/>
                <w:szCs w:val="20"/>
                <w:color w:val="auto"/>
              </w:rPr>
            </w:pPr>
            <w:r>
              <w:rPr>
                <w:rFonts w:ascii="Arial" w:cs="Arial" w:eastAsia="Arial" w:hAnsi="Arial"/>
                <w:sz w:val="11"/>
                <w:szCs w:val="11"/>
                <w:color w:val="auto"/>
              </w:rPr>
              <w:t>Commercial Banking</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219,886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218,560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218,672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219,406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220,767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219,227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221,545</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540" w:type="dxa"/>
            <w:vAlign w:val="bottom"/>
            <w:gridSpan w:val="3"/>
          </w:tcPr>
          <w:p>
            <w:pPr>
              <w:ind w:left="100"/>
              <w:spacing w:after="0"/>
              <w:rPr>
                <w:sz w:val="20"/>
                <w:szCs w:val="20"/>
                <w:color w:val="auto"/>
              </w:rPr>
            </w:pPr>
            <w:r>
              <w:rPr>
                <w:rFonts w:ascii="Arial" w:cs="Arial" w:eastAsia="Arial" w:hAnsi="Arial"/>
                <w:sz w:val="11"/>
                <w:szCs w:val="11"/>
                <w:color w:val="auto"/>
              </w:rPr>
              <w:t>Commercial &amp; Specialized Industries (d)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74,384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73,629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73,205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74,660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76,229</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74,009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77,296</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2540" w:type="dxa"/>
            <w:vAlign w:val="bottom"/>
            <w:gridSpan w:val="3"/>
          </w:tcPr>
          <w:p>
            <w:pPr>
              <w:ind w:left="100"/>
              <w:spacing w:after="0"/>
              <w:rPr>
                <w:sz w:val="20"/>
                <w:szCs w:val="20"/>
                <w:color w:val="auto"/>
              </w:rPr>
            </w:pPr>
            <w:r>
              <w:rPr>
                <w:rFonts w:ascii="Arial" w:cs="Arial" w:eastAsia="Arial" w:hAnsi="Arial"/>
                <w:sz w:val="11"/>
                <w:szCs w:val="11"/>
                <w:color w:val="auto"/>
              </w:rPr>
              <w:t>Commercial Real Estate Banking</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145,502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144,931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145,467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144,746</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144,538</w:t>
            </w:r>
          </w:p>
        </w:tc>
        <w:tc>
          <w:tcPr>
            <w:tcW w:w="2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145,218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144,249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4"/>
        </w:trPr>
        <w:tc>
          <w:tcPr>
            <w:tcW w:w="254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Banking &amp; Payments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345,440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339,947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344,977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348,430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351,447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342,709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350,881</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2"/>
        </w:trPr>
        <w:tc>
          <w:tcPr>
            <w:tcW w:w="2540" w:type="dxa"/>
            <w:vAlign w:val="bottom"/>
            <w:gridSpan w:val="3"/>
          </w:tcPr>
          <w:p>
            <w:pPr>
              <w:spacing w:after="0"/>
              <w:rPr>
                <w:sz w:val="20"/>
                <w:szCs w:val="20"/>
                <w:color w:val="auto"/>
              </w:rPr>
            </w:pPr>
            <w:r>
              <w:rPr>
                <w:rFonts w:ascii="Arial" w:cs="Arial" w:eastAsia="Arial" w:hAnsi="Arial"/>
                <w:sz w:val="11"/>
                <w:szCs w:val="11"/>
                <w:b w:val="1"/>
                <w:bCs w:val="1"/>
                <w:color w:val="auto"/>
              </w:rPr>
              <w:t>Employees</w:t>
            </w: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93,237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92,755</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93,231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93,754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93,387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93,237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93,387</w:t>
            </w:r>
          </w:p>
        </w:tc>
        <w:tc>
          <w:tcPr>
            <w:tcW w:w="200" w:type="dxa"/>
            <w:vAlign w:val="bottom"/>
          </w:tcPr>
          <w:p>
            <w:pPr>
              <w:spacing w:after="0"/>
              <w:rPr>
                <w:sz w:val="18"/>
                <w:szCs w:val="18"/>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6236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3695" cy="8255"/>
                    </a:xfrm>
                    <a:prstGeom prst="rect">
                      <a:avLst/>
                    </a:prstGeom>
                    <a:noFill/>
                  </pic:spPr>
                </pic:pic>
              </a:graphicData>
            </a:graphic>
          </wp:anchor>
        </w:drawing>
      </w:r>
    </w:p>
    <w:p>
      <w:pPr>
        <w:spacing w:after="0" w:line="289" w:lineRule="exact"/>
        <w:rPr>
          <w:sz w:val="20"/>
          <w:szCs w:val="20"/>
          <w:color w:val="auto"/>
        </w:rPr>
      </w:pPr>
    </w:p>
    <w:p>
      <w:pPr>
        <w:ind w:left="160" w:hanging="154"/>
        <w:spacing w:after="0"/>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Loans held-for-sale and loans at fair value primarily reflect lending-related positions originated and purchased in Markets, including loans held for securitization.</w:t>
      </w:r>
    </w:p>
    <w:p>
      <w:pPr>
        <w:ind w:left="160" w:hanging="154"/>
        <w:spacing w:after="0" w:line="226" w:lineRule="auto"/>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Refer to page 78 of the Firm’s Annual Report on Form 10-K for the annual period ended December 31, 2024 for a description of each of the client coverage segments.</w:t>
      </w:r>
    </w:p>
    <w:p>
      <w:pPr>
        <w:ind w:left="160" w:right="420" w:hanging="154"/>
        <w:spacing w:after="0" w:line="226" w:lineRule="auto"/>
        <w:tabs>
          <w:tab w:leader="none" w:pos="151"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the second quarter of 2025, amounts were reclassified from Other to Global Corporate Banking &amp; Global Investment Banking reflecting the subsequent alignment of certain business activities after the Firm’s Business Segment reorganization in the second quarter of 2024. Prior-period amounts have been revised to conform with the current presentation.</w:t>
      </w:r>
    </w:p>
    <w:p>
      <w:pPr>
        <w:ind w:left="160" w:hanging="154"/>
        <w:spacing w:after="0" w:line="226" w:lineRule="auto"/>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the second quarter of 2025, the Middle Market Banking client coverage segment was renamed Commercial &amp; Specialized Industries.</w:t>
      </w:r>
    </w:p>
    <w:p>
      <w:pPr>
        <w:ind w:left="160" w:hanging="154"/>
        <w:spacing w:after="0" w:line="226" w:lineRule="auto"/>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On January 1, 2025, $5.6 billion of loans were realigned from Global Corporate Banking to Fixed Income Markets.</w:t>
      </w:r>
    </w:p>
    <w:p>
      <w:pPr>
        <w:ind w:left="160" w:hanging="154"/>
        <w:spacing w:after="0" w:line="226" w:lineRule="auto"/>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the first quarter of 2025, 219 employees were transferred to Corporate as a result of the centralization of certain functions.</w:t>
      </w:r>
    </w:p>
    <w:p>
      <w:pPr>
        <w:ind w:left="160" w:hanging="154"/>
        <w:spacing w:after="0"/>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presentation in the Firm’s Quarterly Report on Form 10-Q for the quarterly period ended September 30,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17</w:t>
      </w:r>
    </w:p>
    <w:p>
      <w:pPr>
        <w:sectPr>
          <w:pgSz w:w="11900" w:h="16838" w:orient="portrait"/>
          <w:cols w:equalWidth="0" w:num="1">
            <w:col w:w="11240"/>
          </w:cols>
          <w:pgMar w:left="320" w:top="564"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 BANK</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ind w:right="38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06"/>
        </w:trPr>
        <w:tc>
          <w:tcPr>
            <w:tcW w:w="2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restart"/>
          </w:tcPr>
          <w:p>
            <w:pPr>
              <w:jc w:val="right"/>
              <w:ind w:right="187"/>
              <w:spacing w:after="0"/>
              <w:rPr>
                <w:sz w:val="20"/>
                <w:szCs w:val="20"/>
                <w:color w:val="auto"/>
              </w:rPr>
            </w:pPr>
            <w:r>
              <w:rPr>
                <w:rFonts w:ascii="Arial" w:cs="Arial" w:eastAsia="Arial" w:hAnsi="Arial"/>
                <w:sz w:val="11"/>
                <w:szCs w:val="11"/>
                <w:b w:val="1"/>
                <w:bCs w:val="1"/>
                <w:color w:val="auto"/>
              </w:rPr>
              <w:t>2Q25 Change</w:t>
            </w:r>
          </w:p>
        </w:tc>
        <w:tc>
          <w:tcPr>
            <w:tcW w:w="4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gridSpan w:val="2"/>
          </w:tcPr>
          <w:p>
            <w:pPr>
              <w:jc w:val="right"/>
              <w:ind w:right="167"/>
              <w:spacing w:after="0" w:line="106" w:lineRule="exact"/>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2Q25</w:t>
            </w: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1Q25</w:t>
            </w:r>
          </w:p>
        </w:tc>
        <w:tc>
          <w:tcPr>
            <w:tcW w:w="120" w:type="dxa"/>
            <w:vAlign w:val="bottom"/>
          </w:tcPr>
          <w:p>
            <w:pPr>
              <w:spacing w:after="0"/>
              <w:rPr>
                <w:sz w:val="13"/>
                <w:szCs w:val="13"/>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4Q24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3Q24</w:t>
            </w:r>
          </w:p>
        </w:tc>
        <w:tc>
          <w:tcPr>
            <w:tcW w:w="14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2Q24</w:t>
            </w:r>
          </w:p>
        </w:tc>
        <w:tc>
          <w:tcPr>
            <w:tcW w:w="2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1Q25</w:t>
            </w: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2Q24</w:t>
            </w:r>
          </w:p>
        </w:tc>
        <w:tc>
          <w:tcPr>
            <w:tcW w:w="14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880" w:type="dxa"/>
            <w:vAlign w:val="bottom"/>
            <w:gridSpan w:val="2"/>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9"/>
        </w:trPr>
        <w:tc>
          <w:tcPr>
            <w:tcW w:w="2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CREDIT DATA AND QUALITY STATISTICS</w:t>
            </w:r>
          </w:p>
        </w:tc>
        <w:tc>
          <w:tcPr>
            <w:tcW w:w="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gridSpan w:val="2"/>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325</w:t>
            </w:r>
          </w:p>
        </w:tc>
        <w:tc>
          <w:tcPr>
            <w:tcW w:w="22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177</w:t>
            </w:r>
          </w:p>
        </w:tc>
        <w:tc>
          <w:tcPr>
            <w:tcW w:w="22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ind w:left="200"/>
              <w:spacing w:after="0"/>
              <w:rPr>
                <w:sz w:val="20"/>
                <w:szCs w:val="20"/>
                <w:color w:val="auto"/>
              </w:rPr>
            </w:pPr>
            <w:r>
              <w:rPr>
                <w:rFonts w:ascii="Arial" w:cs="Arial" w:eastAsia="Arial" w:hAnsi="Arial"/>
                <w:sz w:val="11"/>
                <w:szCs w:val="11"/>
                <w:color w:val="auto"/>
              </w:rPr>
              <w:t>300   (d)  $</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156</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164</w:t>
            </w:r>
          </w:p>
        </w:tc>
        <w:tc>
          <w:tcPr>
            <w:tcW w:w="700" w:type="dxa"/>
            <w:vAlign w:val="bottom"/>
            <w:gridSpan w:val="2"/>
          </w:tcPr>
          <w:p>
            <w:pPr>
              <w:jc w:val="right"/>
              <w:ind w:right="7"/>
              <w:spacing w:after="0"/>
              <w:rPr>
                <w:sz w:val="20"/>
                <w:szCs w:val="20"/>
                <w:color w:val="auto"/>
              </w:rPr>
            </w:pPr>
            <w:r>
              <w:rPr>
                <w:rFonts w:ascii="Arial" w:cs="Arial" w:eastAsia="Arial" w:hAnsi="Arial"/>
                <w:sz w:val="11"/>
                <w:szCs w:val="11"/>
                <w:color w:val="auto"/>
              </w:rPr>
              <w:t>84</w:t>
            </w:r>
          </w:p>
        </w:tc>
        <w:tc>
          <w:tcPr>
            <w:tcW w:w="2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98</w:t>
            </w:r>
          </w:p>
        </w:tc>
        <w:tc>
          <w:tcPr>
            <w:tcW w:w="4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502</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233</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1"/>
                <w:szCs w:val="11"/>
                <w:color w:val="auto"/>
              </w:rPr>
              <w:t>Nonperforming assets: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ind w:left="200"/>
              <w:spacing w:after="0"/>
              <w:rPr>
                <w:sz w:val="20"/>
                <w:szCs w:val="20"/>
                <w:color w:val="auto"/>
              </w:rPr>
            </w:pPr>
            <w:r>
              <w:rPr>
                <w:rFonts w:ascii="Arial" w:cs="Arial" w:eastAsia="Arial" w:hAnsi="Arial"/>
                <w:sz w:val="11"/>
                <w:szCs w:val="11"/>
                <w:color w:val="auto"/>
              </w:rPr>
              <w:t>Nonaccrual loans retained (a)</w:t>
            </w: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3,678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3,413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3,258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2,857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2,631</w:t>
            </w:r>
          </w:p>
        </w:tc>
        <w:tc>
          <w:tcPr>
            <w:tcW w:w="700" w:type="dxa"/>
            <w:vAlign w:val="bottom"/>
            <w:gridSpan w:val="2"/>
          </w:tcPr>
          <w:p>
            <w:pPr>
              <w:jc w:val="right"/>
              <w:ind w:right="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3,678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2,631</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25"/>
        </w:trPr>
        <w:tc>
          <w:tcPr>
            <w:tcW w:w="2640" w:type="dxa"/>
            <w:vAlign w:val="bottom"/>
            <w:gridSpan w:val="2"/>
          </w:tcPr>
          <w:p>
            <w:pPr>
              <w:ind w:left="200"/>
              <w:spacing w:after="0" w:line="125" w:lineRule="exact"/>
              <w:rPr>
                <w:sz w:val="20"/>
                <w:szCs w:val="20"/>
                <w:color w:val="auto"/>
              </w:rPr>
            </w:pPr>
            <w:r>
              <w:rPr>
                <w:rFonts w:ascii="Arial" w:cs="Arial" w:eastAsia="Arial" w:hAnsi="Arial"/>
                <w:sz w:val="11"/>
                <w:szCs w:val="11"/>
                <w:color w:val="auto"/>
              </w:rPr>
              <w:t>Nonaccrual loans held-for-sale and loans at fair</w:t>
            </w:r>
          </w:p>
        </w:tc>
        <w:tc>
          <w:tcPr>
            <w:tcW w:w="12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1,207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1,255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1,502</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1,187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988</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0"/>
                <w:szCs w:val="10"/>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22</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1,207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988</w:t>
            </w:r>
          </w:p>
        </w:tc>
        <w:tc>
          <w:tcPr>
            <w:tcW w:w="880" w:type="dxa"/>
            <w:vAlign w:val="bottom"/>
            <w:gridSpan w:val="2"/>
            <w:vMerge w:val="restart"/>
          </w:tcPr>
          <w:p>
            <w:pPr>
              <w:jc w:val="right"/>
              <w:ind w:right="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2"/>
        </w:trPr>
        <w:tc>
          <w:tcPr>
            <w:tcW w:w="2640" w:type="dxa"/>
            <w:vAlign w:val="bottom"/>
            <w:gridSpan w:val="2"/>
          </w:tcPr>
          <w:p>
            <w:pPr>
              <w:ind w:left="200"/>
              <w:spacing w:after="0"/>
              <w:rPr>
                <w:sz w:val="20"/>
                <w:szCs w:val="20"/>
                <w:color w:val="auto"/>
              </w:rPr>
            </w:pPr>
            <w:r>
              <w:rPr>
                <w:rFonts w:ascii="Arial" w:cs="Arial" w:eastAsia="Arial" w:hAnsi="Arial"/>
                <w:sz w:val="11"/>
                <w:szCs w:val="11"/>
                <w:color w:val="auto"/>
              </w:rPr>
              <w:t>value (b)</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12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4,885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4,668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4,760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4,044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3,619</w:t>
            </w:r>
          </w:p>
        </w:tc>
        <w:tc>
          <w:tcPr>
            <w:tcW w:w="700" w:type="dxa"/>
            <w:vAlign w:val="bottom"/>
            <w:gridSpan w:val="2"/>
          </w:tcPr>
          <w:p>
            <w:pPr>
              <w:jc w:val="right"/>
              <w:ind w:right="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4,885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3,619</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08"/>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120" w:type="dxa"/>
            <w:vAlign w:val="bottom"/>
          </w:tcPr>
          <w:p>
            <w:pPr>
              <w:spacing w:after="0"/>
              <w:rPr>
                <w:sz w:val="18"/>
                <w:szCs w:val="18"/>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290</w:t>
            </w:r>
          </w:p>
        </w:tc>
        <w:tc>
          <w:tcPr>
            <w:tcW w:w="700" w:type="dxa"/>
            <w:vAlign w:val="bottom"/>
            <w:gridSpan w:val="2"/>
          </w:tcPr>
          <w:p>
            <w:pPr>
              <w:jc w:val="right"/>
              <w:ind w:right="7"/>
              <w:spacing w:after="0"/>
              <w:rPr>
                <w:sz w:val="20"/>
                <w:szCs w:val="20"/>
                <w:color w:val="auto"/>
              </w:rPr>
            </w:pPr>
            <w:r>
              <w:rPr>
                <w:rFonts w:ascii="Arial" w:cs="Arial" w:eastAsia="Arial" w:hAnsi="Arial"/>
                <w:sz w:val="11"/>
                <w:szCs w:val="11"/>
                <w:color w:val="auto"/>
              </w:rPr>
              <w:t>107</w:t>
            </w:r>
          </w:p>
        </w:tc>
        <w:tc>
          <w:tcPr>
            <w:tcW w:w="2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290</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1"/>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Assets acquired in loan satisfactions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208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4"/>
        </w:trPr>
        <w:tc>
          <w:tcPr>
            <w:tcW w:w="264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5,442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5,048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5,118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4,470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4,129</w:t>
            </w:r>
          </w:p>
        </w:tc>
        <w:tc>
          <w:tcPr>
            <w:tcW w:w="700" w:type="dxa"/>
            <w:vAlign w:val="bottom"/>
            <w:gridSpan w:val="2"/>
          </w:tcPr>
          <w:p>
            <w:pPr>
              <w:jc w:val="right"/>
              <w:ind w:right="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5,442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4,129</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08"/>
        </w:trPr>
        <w:tc>
          <w:tcPr>
            <w:tcW w:w="2640" w:type="dxa"/>
            <w:vAlign w:val="bottom"/>
            <w:gridSpan w:val="2"/>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7,408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7,680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7,294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7,427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7,344</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7,408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7,344</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1"/>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2,757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2,113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1,976</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2,013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1,930</w:t>
            </w:r>
          </w:p>
        </w:tc>
        <w:tc>
          <w:tcPr>
            <w:tcW w:w="700" w:type="dxa"/>
            <w:vAlign w:val="bottom"/>
            <w:gridSpan w:val="2"/>
          </w:tcPr>
          <w:p>
            <w:pPr>
              <w:jc w:val="right"/>
              <w:ind w:right="7"/>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43</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2,757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1,930</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44"/>
        </w:trPr>
        <w:tc>
          <w:tcPr>
            <w:tcW w:w="264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10,165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9,793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9,270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9,440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9,274</w:t>
            </w:r>
          </w:p>
        </w:tc>
        <w:tc>
          <w:tcPr>
            <w:tcW w:w="700" w:type="dxa"/>
            <w:vAlign w:val="bottom"/>
            <w:gridSpan w:val="2"/>
          </w:tcPr>
          <w:p>
            <w:pPr>
              <w:jc w:val="right"/>
              <w:ind w:right="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10,165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9,274</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08"/>
        </w:trPr>
        <w:tc>
          <w:tcPr>
            <w:tcW w:w="2640" w:type="dxa"/>
            <w:vAlign w:val="bottom"/>
            <w:gridSpan w:val="2"/>
          </w:tcPr>
          <w:p>
            <w:pPr>
              <w:spacing w:after="0"/>
              <w:rPr>
                <w:sz w:val="20"/>
                <w:szCs w:val="20"/>
                <w:color w:val="auto"/>
              </w:rPr>
            </w:pPr>
            <w:r>
              <w:rPr>
                <w:rFonts w:ascii="Arial" w:cs="Arial" w:eastAsia="Arial" w:hAnsi="Arial"/>
                <w:sz w:val="11"/>
                <w:szCs w:val="11"/>
                <w:color w:val="auto"/>
              </w:rPr>
              <w:t>Net charge-off/(recovery) rate (c)</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0.25 %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0.15 %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0.25 %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0.13 %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0.14 %</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0.20 %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0.10 %</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1"/>
                <w:szCs w:val="11"/>
                <w:color w:val="auto"/>
                <w:w w:val="99"/>
              </w:rPr>
              <w:t>Allowance for loan losses to period-end loans retained</w:t>
            </w:r>
          </w:p>
        </w:tc>
        <w:tc>
          <w:tcPr>
            <w:tcW w:w="120" w:type="dxa"/>
            <w:vAlign w:val="bottom"/>
          </w:tcPr>
          <w:p>
            <w:pPr>
              <w:spacing w:after="0"/>
              <w:rPr>
                <w:sz w:val="18"/>
                <w:szCs w:val="18"/>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1"/>
                <w:szCs w:val="11"/>
                <w:color w:val="auto"/>
                <w:w w:val="98"/>
              </w:rPr>
              <w:t>Allowance for loan losses to nonaccrual loans retained</w:t>
            </w:r>
          </w:p>
        </w:tc>
        <w:tc>
          <w:tcPr>
            <w:tcW w:w="120" w:type="dxa"/>
            <w:vAlign w:val="bottom"/>
          </w:tcPr>
          <w:p>
            <w:pPr>
              <w:spacing w:after="0"/>
              <w:rPr>
                <w:sz w:val="15"/>
                <w:szCs w:val="15"/>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224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260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279</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279</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640" w:type="dxa"/>
            <w:vAlign w:val="bottom"/>
            <w:gridSpan w:val="2"/>
          </w:tcPr>
          <w:p>
            <w:pPr>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rPr>
                <w:sz w:val="20"/>
                <w:szCs w:val="20"/>
                <w:color w:val="auto"/>
              </w:rPr>
            </w:pPr>
            <w:r>
              <w:rPr>
                <w:rFonts w:ascii="Arial" w:cs="Arial" w:eastAsia="Arial" w:hAnsi="Arial"/>
                <w:sz w:val="11"/>
                <w:szCs w:val="11"/>
                <w:color w:val="auto"/>
              </w:rPr>
              <w:t>Nonaccrual loans to total period-end loans</w:t>
            </w: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0.84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0.86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0.91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0.76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0.70</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0.84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0.70</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1682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38" w:lineRule="exact"/>
        <w:rPr>
          <w:sz w:val="20"/>
          <w:szCs w:val="20"/>
          <w:color w:val="auto"/>
        </w:rPr>
      </w:pPr>
    </w:p>
    <w:p>
      <w:pPr>
        <w:ind w:left="160" w:right="240" w:hanging="154"/>
        <w:spacing w:after="0" w:line="245" w:lineRule="auto"/>
        <w:tabs>
          <w:tab w:leader="none" w:pos="157" w:val="left"/>
        </w:tabs>
        <w:numPr>
          <w:ilvl w:val="0"/>
          <w:numId w:val="30"/>
        </w:numPr>
        <w:rPr>
          <w:rFonts w:ascii="Arial" w:cs="Arial" w:eastAsia="Arial" w:hAnsi="Arial"/>
          <w:sz w:val="11"/>
          <w:szCs w:val="11"/>
          <w:color w:val="auto"/>
        </w:rPr>
      </w:pPr>
      <w:r>
        <w:rPr>
          <w:rFonts w:ascii="Arial" w:cs="Arial" w:eastAsia="Arial" w:hAnsi="Arial"/>
          <w:sz w:val="11"/>
          <w:szCs w:val="11"/>
          <w:color w:val="auto"/>
        </w:rPr>
        <w:t>Allowance for loan losses of $655 million, $566 million, $435 million, $366 million and $452 million were held against these nonaccrual loans at June 30, 2025, March 31, 2025, December 31, 2024, September 30, 2024 and June 30, 2024, respectively.</w:t>
      </w:r>
    </w:p>
    <w:p>
      <w:pPr>
        <w:ind w:left="160" w:right="120" w:hanging="154"/>
        <w:spacing w:after="0" w:line="262" w:lineRule="auto"/>
        <w:tabs>
          <w:tab w:leader="none" w:pos="157" w:val="left"/>
        </w:tabs>
        <w:numPr>
          <w:ilvl w:val="0"/>
          <w:numId w:val="30"/>
        </w:numPr>
        <w:rPr>
          <w:rFonts w:ascii="Arial" w:cs="Arial" w:eastAsia="Arial" w:hAnsi="Arial"/>
          <w:sz w:val="10"/>
          <w:szCs w:val="10"/>
          <w:color w:val="auto"/>
        </w:rPr>
      </w:pPr>
      <w:r>
        <w:rPr>
          <w:rFonts w:ascii="Arial" w:cs="Arial" w:eastAsia="Arial" w:hAnsi="Arial"/>
          <w:sz w:val="10"/>
          <w:szCs w:val="10"/>
          <w:color w:val="auto"/>
        </w:rPr>
        <w:t>Excludes mortgage loans past due and insured by U.S. government agencies, which are primarily 90 or more days past due. These loans have been excluded based upon the government guarantee. At June 30, 2025, March 31, 2025, December 31, 2024, September 30, 2024 and June 30, 2024, mortgage loans 90 or more days past due and insured by U.S. government agencies were $45 million, $36 million, $37 million, $38 million and $42 million, respectively.</w:t>
      </w:r>
    </w:p>
    <w:p>
      <w:pPr>
        <w:ind w:left="160" w:hanging="154"/>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spacing w:after="0" w:line="6" w:lineRule="exact"/>
        <w:rPr>
          <w:rFonts w:ascii="Arial" w:cs="Arial" w:eastAsia="Arial" w:hAnsi="Arial"/>
          <w:sz w:val="11"/>
          <w:szCs w:val="11"/>
          <w:color w:val="auto"/>
        </w:rPr>
      </w:pPr>
    </w:p>
    <w:p>
      <w:pPr>
        <w:ind w:left="160" w:hanging="154"/>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$72 million related to a purchased credit deteriorated (“PCD”) loan that was charged off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18</w:t>
      </w:r>
    </w:p>
    <w:p>
      <w:pPr>
        <w:sectPr>
          <w:pgSz w:w="11900" w:h="16838" w:orient="portrait"/>
          <w:cols w:equalWidth="0" w:num="1">
            <w:col w:w="11240"/>
          </w:cols>
          <w:pgMar w:left="320" w:top="564"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-46355</wp:posOffset>
            </wp:positionV>
            <wp:extent cx="1371600" cy="193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 BANK</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where otherwise noted)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1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1"/>
                <w:szCs w:val="11"/>
                <w:b w:val="1"/>
                <w:bCs w:val="1"/>
                <w:color w:val="auto"/>
              </w:rPr>
              <w:t>QUARTERLY TRENDS</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right"/>
              <w:ind w:right="34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1"/>
                <w:szCs w:val="11"/>
                <w:b w:val="1"/>
                <w:bCs w:val="1"/>
                <w:color w:val="auto"/>
              </w:rPr>
              <w:t>2Q25 Change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2Q25</w:t>
            </w: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1Q25</w:t>
            </w: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4Q24</w:t>
            </w:r>
          </w:p>
        </w:tc>
        <w:tc>
          <w:tcPr>
            <w:tcW w:w="10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3Q24</w:t>
            </w: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0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1Q25</w:t>
            </w:r>
          </w:p>
        </w:tc>
        <w:tc>
          <w:tcPr>
            <w:tcW w:w="9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2Q24</w:t>
            </w:r>
          </w:p>
        </w:tc>
        <w:tc>
          <w:tcPr>
            <w:tcW w:w="140" w:type="dxa"/>
            <w:vAlign w:val="bottom"/>
          </w:tcPr>
          <w:p>
            <w:pPr>
              <w:spacing w:after="0"/>
              <w:rPr>
                <w:sz w:val="13"/>
                <w:szCs w:val="13"/>
                <w:color w:val="auto"/>
              </w:rPr>
            </w:pPr>
          </w:p>
        </w:tc>
        <w:tc>
          <w:tcPr>
            <w:tcW w:w="440" w:type="dxa"/>
            <w:vAlign w:val="bottom"/>
          </w:tcPr>
          <w:p>
            <w:pPr>
              <w:jc w:val="right"/>
              <w:ind w:right="10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2024</w:t>
            </w:r>
          </w:p>
        </w:tc>
        <w:tc>
          <w:tcPr>
            <w:tcW w:w="96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1060" w:type="dxa"/>
            <w:vAlign w:val="bottom"/>
            <w:tcBorders>
              <w:bottom w:val="single" w:sz="8" w:color="auto"/>
            </w:tcBorders>
          </w:tcPr>
          <w:p>
            <w:pPr>
              <w:spacing w:after="0" w:line="106" w:lineRule="exact"/>
              <w:rPr>
                <w:sz w:val="20"/>
                <w:szCs w:val="20"/>
                <w:color w:val="auto"/>
              </w:rPr>
            </w:pPr>
            <w:r>
              <w:rPr>
                <w:rFonts w:ascii="Arial" w:cs="Arial" w:eastAsia="Arial" w:hAnsi="Arial"/>
                <w:sz w:val="11"/>
                <w:szCs w:val="11"/>
                <w:b w:val="1"/>
                <w:bCs w:val="1"/>
                <w:color w:val="auto"/>
                <w:w w:val="95"/>
              </w:rPr>
              <w:t>BUSINESS METRICS</w:t>
            </w:r>
          </w:p>
        </w:tc>
        <w:tc>
          <w:tcPr>
            <w:tcW w:w="15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spacing w:after="0"/>
              <w:rPr>
                <w:sz w:val="20"/>
                <w:szCs w:val="20"/>
                <w:color w:val="auto"/>
              </w:rPr>
            </w:pPr>
            <w:r>
              <w:rPr>
                <w:rFonts w:ascii="Arial" w:cs="Arial" w:eastAsia="Arial" w:hAnsi="Arial"/>
                <w:sz w:val="11"/>
                <w:szCs w:val="11"/>
                <w:color w:val="auto"/>
              </w:rPr>
              <w:t>Advisory</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844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694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1,060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847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785</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22 %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8 %</w:t>
            </w:r>
          </w:p>
        </w:tc>
        <w:tc>
          <w:tcPr>
            <w:tcW w:w="4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1,538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1,383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59"/>
        </w:trPr>
        <w:tc>
          <w:tcPr>
            <w:tcW w:w="2620" w:type="dxa"/>
            <w:vAlign w:val="bottom"/>
            <w:gridSpan w:val="2"/>
          </w:tcPr>
          <w:p>
            <w:pPr>
              <w:spacing w:after="0"/>
              <w:rPr>
                <w:sz w:val="20"/>
                <w:szCs w:val="20"/>
                <w:color w:val="auto"/>
              </w:rPr>
            </w:pPr>
            <w:r>
              <w:rPr>
                <w:rFonts w:ascii="Arial" w:cs="Arial" w:eastAsia="Arial" w:hAnsi="Arial"/>
                <w:sz w:val="11"/>
                <w:szCs w:val="11"/>
                <w:color w:val="auto"/>
              </w:rPr>
              <w:t>Equity underwriting</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465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495</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789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850</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1"/>
                <w:szCs w:val="11"/>
                <w:color w:val="auto"/>
              </w:rPr>
              <w:t>Debt underwriting</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1,204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1,230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1,076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1,076</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2,434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2,137</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4"/>
        </w:trPr>
        <w:tc>
          <w:tcPr>
            <w:tcW w:w="262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investment banking fees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2,513</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2,248</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2,479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2,267</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2,356</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4,761</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4,370</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80"/>
        </w:trPr>
        <w:tc>
          <w:tcPr>
            <w:tcW w:w="2620" w:type="dxa"/>
            <w:vAlign w:val="bottom"/>
            <w:gridSpan w:val="2"/>
          </w:tcPr>
          <w:p>
            <w:pPr>
              <w:spacing w:after="0"/>
              <w:rPr>
                <w:sz w:val="20"/>
                <w:szCs w:val="20"/>
                <w:color w:val="auto"/>
              </w:rPr>
            </w:pPr>
            <w:r>
              <w:rPr>
                <w:rFonts w:ascii="Arial" w:cs="Arial" w:eastAsia="Arial" w:hAnsi="Arial"/>
                <w:sz w:val="11"/>
                <w:szCs w:val="11"/>
                <w:color w:val="auto"/>
                <w:w w:val="96"/>
              </w:rPr>
              <w:t>Client deposits and other third-party liabilities (average)</w:t>
            </w:r>
          </w:p>
        </w:tc>
        <w:tc>
          <w:tcPr>
            <w:tcW w:w="580" w:type="dxa"/>
            <w:vAlign w:val="bottom"/>
            <w:gridSpan w:val="2"/>
            <w:vMerge w:val="restart"/>
          </w:tcPr>
          <w:p>
            <w:pPr>
              <w:jc w:val="right"/>
              <w:ind w:right="7"/>
              <w:spacing w:after="0"/>
              <w:rPr>
                <w:sz w:val="20"/>
                <w:szCs w:val="20"/>
                <w:color w:val="auto"/>
              </w:rPr>
            </w:pPr>
            <w:r>
              <w:rPr>
                <w:rFonts w:ascii="Arial" w:cs="Arial" w:eastAsia="Arial" w:hAnsi="Arial"/>
                <w:sz w:val="11"/>
                <w:szCs w:val="11"/>
                <w:color w:val="auto"/>
              </w:rPr>
              <w:t>1,089,781</w:t>
            </w:r>
          </w:p>
        </w:tc>
        <w:tc>
          <w:tcPr>
            <w:tcW w:w="220" w:type="dxa"/>
            <w:vAlign w:val="bottom"/>
          </w:tcPr>
          <w:p>
            <w:pPr>
              <w:spacing w:after="0"/>
              <w:rPr>
                <w:sz w:val="24"/>
                <w:szCs w:val="24"/>
                <w:color w:val="auto"/>
              </w:rPr>
            </w:pPr>
          </w:p>
        </w:tc>
        <w:tc>
          <w:tcPr>
            <w:tcW w:w="580" w:type="dxa"/>
            <w:vAlign w:val="bottom"/>
            <w:gridSpan w:val="2"/>
            <w:vMerge w:val="restart"/>
          </w:tcPr>
          <w:p>
            <w:pPr>
              <w:jc w:val="right"/>
              <w:ind w:right="7"/>
              <w:spacing w:after="0"/>
              <w:rPr>
                <w:sz w:val="20"/>
                <w:szCs w:val="20"/>
                <w:color w:val="auto"/>
              </w:rPr>
            </w:pPr>
            <w:r>
              <w:rPr>
                <w:rFonts w:ascii="Arial" w:cs="Arial" w:eastAsia="Arial" w:hAnsi="Arial"/>
                <w:sz w:val="11"/>
                <w:szCs w:val="11"/>
                <w:color w:val="auto"/>
              </w:rPr>
              <w:t>1,034,382</w:t>
            </w:r>
          </w:p>
        </w:tc>
        <w:tc>
          <w:tcPr>
            <w:tcW w:w="22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1,011,634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966,025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936,725</w:t>
            </w:r>
          </w:p>
        </w:tc>
        <w:tc>
          <w:tcPr>
            <w:tcW w:w="76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24"/>
                <w:szCs w:val="24"/>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16</w:t>
            </w:r>
          </w:p>
        </w:tc>
        <w:tc>
          <w:tcPr>
            <w:tcW w:w="42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1,062,235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vMerge w:val="restart"/>
          </w:tcPr>
          <w:p>
            <w:pPr>
              <w:jc w:val="right"/>
              <w:ind w:right="7"/>
              <w:spacing w:after="0"/>
              <w:rPr>
                <w:sz w:val="20"/>
                <w:szCs w:val="20"/>
                <w:color w:val="auto"/>
              </w:rPr>
            </w:pPr>
            <w:r>
              <w:rPr>
                <w:rFonts w:ascii="Arial" w:cs="Arial" w:eastAsia="Arial" w:hAnsi="Arial"/>
                <w:sz w:val="11"/>
                <w:szCs w:val="11"/>
                <w:color w:val="auto"/>
                <w:w w:val="95"/>
              </w:rPr>
              <w:t>934,164</w:t>
            </w:r>
          </w:p>
        </w:tc>
        <w:tc>
          <w:tcPr>
            <w:tcW w:w="96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0"/>
        </w:trPr>
        <w:tc>
          <w:tcPr>
            <w:tcW w:w="2620" w:type="dxa"/>
            <w:vAlign w:val="bottom"/>
            <w:gridSpan w:val="2"/>
          </w:tcPr>
          <w:p>
            <w:pPr>
              <w:spacing w:after="0"/>
              <w:rPr>
                <w:sz w:val="20"/>
                <w:szCs w:val="20"/>
                <w:color w:val="auto"/>
              </w:rPr>
            </w:pPr>
            <w:r>
              <w:rPr>
                <w:rFonts w:ascii="Arial" w:cs="Arial" w:eastAsia="Arial" w:hAnsi="Arial"/>
                <w:sz w:val="11"/>
                <w:szCs w:val="11"/>
                <w:color w:val="auto"/>
              </w:rPr>
              <w:t>(a)</w:t>
            </w: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2620" w:type="dxa"/>
            <w:vAlign w:val="bottom"/>
            <w:gridSpan w:val="2"/>
          </w:tcPr>
          <w:p>
            <w:pPr>
              <w:spacing w:after="0"/>
              <w:rPr>
                <w:sz w:val="20"/>
                <w:szCs w:val="20"/>
                <w:color w:val="auto"/>
              </w:rPr>
            </w:pPr>
            <w:r>
              <w:rPr>
                <w:rFonts w:ascii="Arial" w:cs="Arial" w:eastAsia="Arial" w:hAnsi="Arial"/>
                <w:sz w:val="11"/>
                <w:szCs w:val="11"/>
                <w:color w:val="auto"/>
                <w:w w:val="98"/>
              </w:rPr>
              <w:t>Assets under custody (“AUC”) (period-end) (in billions)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38,028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35,678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35,280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35,832</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34,024</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24"/>
                <w:szCs w:val="2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38,028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34,024</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0"/>
        <w:spacing w:after="0"/>
        <w:rPr>
          <w:sz w:val="20"/>
          <w:szCs w:val="20"/>
          <w:color w:val="auto"/>
        </w:rPr>
      </w:pPr>
      <w:r>
        <w:rPr>
          <w:rFonts w:ascii="Arial" w:cs="Arial" w:eastAsia="Arial" w:hAnsi="Arial"/>
          <w:sz w:val="11"/>
          <w:szCs w:val="11"/>
          <w:b w:val="1"/>
          <w:bCs w:val="1"/>
          <w:u w:val="single" w:color="auto"/>
          <w:color w:val="auto"/>
        </w:rPr>
        <w:t>95% Confidence Level - Total CIB VaR (average) (b)</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620" w:type="dxa"/>
            <w:vAlign w:val="bottom"/>
          </w:tcPr>
          <w:p>
            <w:pPr>
              <w:spacing w:after="0"/>
              <w:rPr>
                <w:sz w:val="20"/>
                <w:szCs w:val="20"/>
                <w:color w:val="auto"/>
              </w:rPr>
            </w:pPr>
            <w:r>
              <w:rPr>
                <w:rFonts w:ascii="Arial" w:cs="Arial" w:eastAsia="Arial" w:hAnsi="Arial"/>
                <w:sz w:val="11"/>
                <w:szCs w:val="11"/>
                <w:b w:val="1"/>
                <w:bCs w:val="1"/>
                <w:color w:val="auto"/>
              </w:rPr>
              <w:t>CIB trading VaR by risk type: (c)</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5"/>
        </w:trPr>
        <w:tc>
          <w:tcPr>
            <w:tcW w:w="2620" w:type="dxa"/>
            <w:vAlign w:val="bottom"/>
          </w:tcPr>
          <w:p>
            <w:pPr>
              <w:spacing w:after="0"/>
              <w:rPr>
                <w:sz w:val="20"/>
                <w:szCs w:val="20"/>
                <w:color w:val="auto"/>
              </w:rPr>
            </w:pPr>
            <w:r>
              <w:rPr>
                <w:rFonts w:ascii="Arial" w:cs="Arial" w:eastAsia="Arial" w:hAnsi="Arial"/>
                <w:sz w:val="11"/>
                <w:szCs w:val="11"/>
                <w:color w:val="auto"/>
              </w:rPr>
              <w:t>Fixed income</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60" w:type="dxa"/>
            <w:vAlign w:val="bottom"/>
          </w:tcPr>
          <w:p>
            <w:pPr>
              <w:jc w:val="center"/>
              <w:ind w:left="107"/>
              <w:spacing w:after="0"/>
              <w:rPr>
                <w:sz w:val="20"/>
                <w:szCs w:val="20"/>
                <w:color w:val="auto"/>
              </w:rPr>
            </w:pPr>
            <w:r>
              <w:rPr>
                <w:rFonts w:ascii="Arial" w:cs="Arial" w:eastAsia="Arial" w:hAnsi="Arial"/>
                <w:sz w:val="11"/>
                <w:szCs w:val="11"/>
                <w:color w:val="auto"/>
                <w:w w:val="97"/>
              </w:rPr>
              <w:t>37</w:t>
            </w:r>
          </w:p>
        </w:tc>
        <w:tc>
          <w:tcPr>
            <w:tcW w:w="22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34</w:t>
            </w:r>
          </w:p>
        </w:tc>
        <w:tc>
          <w:tcPr>
            <w:tcW w:w="22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31</w:t>
            </w:r>
          </w:p>
        </w:tc>
        <w:tc>
          <w:tcPr>
            <w:tcW w:w="920" w:type="dxa"/>
            <w:vAlign w:val="bottom"/>
          </w:tcPr>
          <w:p>
            <w:pPr>
              <w:jc w:val="right"/>
              <w:ind w:right="247"/>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59"/>
        </w:trPr>
        <w:tc>
          <w:tcPr>
            <w:tcW w:w="2620" w:type="dxa"/>
            <w:vAlign w:val="bottom"/>
          </w:tcPr>
          <w:p>
            <w:pPr>
              <w:spacing w:after="0"/>
              <w:rPr>
                <w:sz w:val="20"/>
                <w:szCs w:val="20"/>
                <w:color w:val="auto"/>
              </w:rPr>
            </w:pPr>
            <w:r>
              <w:rPr>
                <w:rFonts w:ascii="Arial" w:cs="Arial" w:eastAsia="Arial" w:hAnsi="Arial"/>
                <w:sz w:val="11"/>
                <w:szCs w:val="11"/>
                <w:color w:val="auto"/>
              </w:rPr>
              <w:t>Foreign exchange</w:t>
            </w:r>
          </w:p>
        </w:tc>
        <w:tc>
          <w:tcPr>
            <w:tcW w:w="220" w:type="dxa"/>
            <w:vAlign w:val="bottom"/>
          </w:tcPr>
          <w:p>
            <w:pPr>
              <w:spacing w:after="0"/>
              <w:rPr>
                <w:sz w:val="13"/>
                <w:szCs w:val="13"/>
                <w:color w:val="auto"/>
              </w:rPr>
            </w:pPr>
          </w:p>
        </w:tc>
        <w:tc>
          <w:tcPr>
            <w:tcW w:w="360" w:type="dxa"/>
            <w:vAlign w:val="bottom"/>
          </w:tcPr>
          <w:p>
            <w:pPr>
              <w:jc w:val="center"/>
              <w:ind w:left="107"/>
              <w:spacing w:after="0"/>
              <w:rPr>
                <w:sz w:val="20"/>
                <w:szCs w:val="20"/>
                <w:color w:val="auto"/>
              </w:rPr>
            </w:pPr>
            <w:r>
              <w:rPr>
                <w:rFonts w:ascii="Arial" w:cs="Arial" w:eastAsia="Arial" w:hAnsi="Arial"/>
                <w:sz w:val="11"/>
                <w:szCs w:val="11"/>
                <w:color w:val="auto"/>
                <w:w w:val="97"/>
              </w:rPr>
              <w:t>10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18</w:t>
            </w:r>
          </w:p>
        </w:tc>
        <w:tc>
          <w:tcPr>
            <w:tcW w:w="920" w:type="dxa"/>
            <w:vAlign w:val="bottom"/>
          </w:tcPr>
          <w:p>
            <w:pPr>
              <w:jc w:val="right"/>
              <w:ind w:right="247"/>
              <w:spacing w:after="0"/>
              <w:rPr>
                <w:sz w:val="20"/>
                <w:szCs w:val="20"/>
                <w:color w:val="auto"/>
              </w:rPr>
            </w:pPr>
            <w:r>
              <w:rPr>
                <w:rFonts w:ascii="Arial" w:cs="Arial" w:eastAsia="Arial" w:hAnsi="Arial"/>
                <w:sz w:val="11"/>
                <w:szCs w:val="11"/>
                <w:color w:val="auto"/>
              </w:rPr>
              <w:t>11</w:t>
            </w:r>
          </w:p>
        </w:tc>
        <w:tc>
          <w:tcPr>
            <w:tcW w:w="500" w:type="dxa"/>
            <w:vAlign w:val="bottom"/>
          </w:tcPr>
          <w:p>
            <w:pPr>
              <w:jc w:val="right"/>
              <w:spacing w:after="0"/>
              <w:rPr>
                <w:sz w:val="20"/>
                <w:szCs w:val="20"/>
                <w:color w:val="auto"/>
              </w:rPr>
            </w:pPr>
            <w:r>
              <w:rPr>
                <w:rFonts w:ascii="Arial" w:cs="Arial" w:eastAsia="Arial" w:hAnsi="Arial"/>
                <w:sz w:val="11"/>
                <w:szCs w:val="11"/>
                <w:color w:val="auto"/>
              </w:rPr>
              <w:t>(44)</w:t>
            </w:r>
          </w:p>
        </w:tc>
      </w:tr>
      <w:tr>
        <w:trPr>
          <w:trHeight w:val="159"/>
        </w:trPr>
        <w:tc>
          <w:tcPr>
            <w:tcW w:w="2620" w:type="dxa"/>
            <w:vAlign w:val="bottom"/>
          </w:tcPr>
          <w:p>
            <w:pPr>
              <w:spacing w:after="0"/>
              <w:rPr>
                <w:sz w:val="20"/>
                <w:szCs w:val="20"/>
                <w:color w:val="auto"/>
              </w:rPr>
            </w:pPr>
            <w:r>
              <w:rPr>
                <w:rFonts w:ascii="Arial" w:cs="Arial" w:eastAsia="Arial" w:hAnsi="Arial"/>
                <w:sz w:val="11"/>
                <w:szCs w:val="11"/>
                <w:color w:val="auto"/>
              </w:rPr>
              <w:t>Equities</w:t>
            </w:r>
          </w:p>
        </w:tc>
        <w:tc>
          <w:tcPr>
            <w:tcW w:w="220" w:type="dxa"/>
            <w:vAlign w:val="bottom"/>
          </w:tcPr>
          <w:p>
            <w:pPr>
              <w:spacing w:after="0"/>
              <w:rPr>
                <w:sz w:val="13"/>
                <w:szCs w:val="13"/>
                <w:color w:val="auto"/>
              </w:rPr>
            </w:pPr>
          </w:p>
        </w:tc>
        <w:tc>
          <w:tcPr>
            <w:tcW w:w="360" w:type="dxa"/>
            <w:vAlign w:val="bottom"/>
          </w:tcPr>
          <w:p>
            <w:pPr>
              <w:jc w:val="center"/>
              <w:ind w:left="107"/>
              <w:spacing w:after="0"/>
              <w:rPr>
                <w:sz w:val="20"/>
                <w:szCs w:val="20"/>
                <w:color w:val="auto"/>
              </w:rPr>
            </w:pPr>
            <w:r>
              <w:rPr>
                <w:rFonts w:ascii="Arial" w:cs="Arial" w:eastAsia="Arial" w:hAnsi="Arial"/>
                <w:sz w:val="11"/>
                <w:szCs w:val="11"/>
                <w:color w:val="auto"/>
                <w:w w:val="97"/>
              </w:rPr>
              <w:t>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920" w:type="dxa"/>
            <w:vAlign w:val="bottom"/>
          </w:tcPr>
          <w:p>
            <w:pPr>
              <w:jc w:val="right"/>
              <w:ind w:right="227"/>
              <w:spacing w:after="0"/>
              <w:rPr>
                <w:sz w:val="20"/>
                <w:szCs w:val="20"/>
                <w:color w:val="auto"/>
              </w:rPr>
            </w:pPr>
            <w:r>
              <w:rPr>
                <w:rFonts w:ascii="Arial" w:cs="Arial" w:eastAsia="Arial" w:hAnsi="Arial"/>
                <w:sz w:val="11"/>
                <w:szCs w:val="11"/>
                <w:color w:val="auto"/>
              </w:rPr>
              <w:t>(32)</w:t>
            </w:r>
          </w:p>
        </w:tc>
        <w:tc>
          <w:tcPr>
            <w:tcW w:w="500" w:type="dxa"/>
            <w:vAlign w:val="bottom"/>
          </w:tcPr>
          <w:p>
            <w:pPr>
              <w:jc w:val="right"/>
              <w:spacing w:after="0"/>
              <w:rPr>
                <w:sz w:val="20"/>
                <w:szCs w:val="20"/>
                <w:color w:val="auto"/>
              </w:rPr>
            </w:pPr>
            <w:r>
              <w:rPr>
                <w:rFonts w:ascii="Arial" w:cs="Arial" w:eastAsia="Arial" w:hAnsi="Arial"/>
                <w:sz w:val="11"/>
                <w:szCs w:val="11"/>
                <w:color w:val="auto"/>
              </w:rPr>
              <w:t>143</w:t>
            </w:r>
          </w:p>
        </w:tc>
      </w:tr>
      <w:tr>
        <w:trPr>
          <w:trHeight w:val="159"/>
        </w:trPr>
        <w:tc>
          <w:tcPr>
            <w:tcW w:w="2620" w:type="dxa"/>
            <w:vAlign w:val="bottom"/>
          </w:tcPr>
          <w:p>
            <w:pPr>
              <w:spacing w:after="0"/>
              <w:rPr>
                <w:sz w:val="20"/>
                <w:szCs w:val="20"/>
                <w:color w:val="auto"/>
              </w:rPr>
            </w:pPr>
            <w:r>
              <w:rPr>
                <w:rFonts w:ascii="Arial" w:cs="Arial" w:eastAsia="Arial" w:hAnsi="Arial"/>
                <w:sz w:val="11"/>
                <w:szCs w:val="11"/>
                <w:color w:val="auto"/>
              </w:rPr>
              <w:t>Commodities and other</w:t>
            </w:r>
          </w:p>
        </w:tc>
        <w:tc>
          <w:tcPr>
            <w:tcW w:w="220" w:type="dxa"/>
            <w:vAlign w:val="bottom"/>
          </w:tcPr>
          <w:p>
            <w:pPr>
              <w:spacing w:after="0"/>
              <w:rPr>
                <w:sz w:val="13"/>
                <w:szCs w:val="13"/>
                <w:color w:val="auto"/>
              </w:rPr>
            </w:pPr>
          </w:p>
        </w:tc>
        <w:tc>
          <w:tcPr>
            <w:tcW w:w="360" w:type="dxa"/>
            <w:vAlign w:val="bottom"/>
          </w:tcPr>
          <w:p>
            <w:pPr>
              <w:jc w:val="center"/>
              <w:ind w:left="107"/>
              <w:spacing w:after="0"/>
              <w:rPr>
                <w:sz w:val="20"/>
                <w:szCs w:val="20"/>
                <w:color w:val="auto"/>
              </w:rPr>
            </w:pPr>
            <w:r>
              <w:rPr>
                <w:rFonts w:ascii="Arial" w:cs="Arial" w:eastAsia="Arial" w:hAnsi="Arial"/>
                <w:sz w:val="11"/>
                <w:szCs w:val="11"/>
                <w:color w:val="auto"/>
                <w:w w:val="97"/>
              </w:rPr>
              <w:t>24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9</w:t>
            </w:r>
          </w:p>
        </w:tc>
        <w:tc>
          <w:tcPr>
            <w:tcW w:w="920" w:type="dxa"/>
            <w:vAlign w:val="bottom"/>
          </w:tcPr>
          <w:p>
            <w:pPr>
              <w:jc w:val="right"/>
              <w:ind w:right="227"/>
              <w:spacing w:after="0"/>
              <w:rPr>
                <w:sz w:val="20"/>
                <w:szCs w:val="20"/>
                <w:color w:val="auto"/>
              </w:rPr>
            </w:pPr>
            <w:r>
              <w:rPr>
                <w:rFonts w:ascii="Arial" w:cs="Arial" w:eastAsia="Arial" w:hAnsi="Arial"/>
                <w:sz w:val="11"/>
                <w:szCs w:val="11"/>
                <w:color w:val="auto"/>
              </w:rPr>
              <w:t>(17)</w:t>
            </w:r>
          </w:p>
        </w:tc>
        <w:tc>
          <w:tcPr>
            <w:tcW w:w="500" w:type="dxa"/>
            <w:vAlign w:val="bottom"/>
          </w:tcPr>
          <w:p>
            <w:pPr>
              <w:jc w:val="right"/>
              <w:spacing w:after="0"/>
              <w:rPr>
                <w:sz w:val="20"/>
                <w:szCs w:val="20"/>
                <w:color w:val="auto"/>
              </w:rPr>
            </w:pPr>
            <w:r>
              <w:rPr>
                <w:rFonts w:ascii="Arial" w:cs="Arial" w:eastAsia="Arial" w:hAnsi="Arial"/>
                <w:sz w:val="11"/>
                <w:szCs w:val="11"/>
                <w:color w:val="auto"/>
              </w:rPr>
              <w:t>167</w:t>
            </w:r>
          </w:p>
        </w:tc>
      </w:tr>
      <w:tr>
        <w:trPr>
          <w:trHeight w:val="171"/>
        </w:trPr>
        <w:tc>
          <w:tcPr>
            <w:tcW w:w="2620" w:type="dxa"/>
            <w:vAlign w:val="bottom"/>
          </w:tcPr>
          <w:p>
            <w:pPr>
              <w:spacing w:after="0"/>
              <w:rPr>
                <w:sz w:val="20"/>
                <w:szCs w:val="20"/>
                <w:color w:val="auto"/>
              </w:rPr>
            </w:pPr>
            <w:r>
              <w:rPr>
                <w:rFonts w:ascii="Arial" w:cs="Arial" w:eastAsia="Arial" w:hAnsi="Arial"/>
                <w:sz w:val="11"/>
                <w:szCs w:val="11"/>
                <w:color w:val="auto"/>
              </w:rPr>
              <w:t>Diversification benefit to CIB trading VaR (d)</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left="87"/>
              <w:spacing w:after="0"/>
              <w:rPr>
                <w:sz w:val="20"/>
                <w:szCs w:val="20"/>
                <w:color w:val="auto"/>
              </w:rPr>
            </w:pPr>
            <w:r>
              <w:rPr>
                <w:rFonts w:ascii="Arial" w:cs="Arial" w:eastAsia="Arial" w:hAnsi="Arial"/>
                <w:sz w:val="11"/>
                <w:szCs w:val="11"/>
                <w:color w:val="auto"/>
                <w:w w:val="91"/>
              </w:rPr>
              <w:t>(55)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920" w:type="dxa"/>
            <w:vAlign w:val="bottom"/>
          </w:tcPr>
          <w:p>
            <w:pPr>
              <w:jc w:val="right"/>
              <w:ind w:right="247"/>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(72)</w:t>
            </w:r>
          </w:p>
        </w:tc>
      </w:tr>
      <w:tr>
        <w:trPr>
          <w:trHeight w:val="144"/>
        </w:trPr>
        <w:tc>
          <w:tcPr>
            <w:tcW w:w="2620" w:type="dxa"/>
            <w:vAlign w:val="bottom"/>
          </w:tcPr>
          <w:p>
            <w:pPr>
              <w:ind w:left="120"/>
              <w:spacing w:after="0"/>
              <w:rPr>
                <w:sz w:val="20"/>
                <w:szCs w:val="20"/>
                <w:color w:val="auto"/>
              </w:rPr>
            </w:pPr>
            <w:r>
              <w:rPr>
                <w:rFonts w:ascii="Arial" w:cs="Arial" w:eastAsia="Arial" w:hAnsi="Arial"/>
                <w:sz w:val="11"/>
                <w:szCs w:val="11"/>
                <w:b w:val="1"/>
                <w:bCs w:val="1"/>
                <w:color w:val="auto"/>
              </w:rPr>
              <w:t>CIB trading VaR (c)</w:t>
            </w:r>
          </w:p>
        </w:tc>
        <w:tc>
          <w:tcPr>
            <w:tcW w:w="220" w:type="dxa"/>
            <w:vAlign w:val="bottom"/>
          </w:tcPr>
          <w:p>
            <w:pPr>
              <w:spacing w:after="0"/>
              <w:rPr>
                <w:sz w:val="12"/>
                <w:szCs w:val="12"/>
                <w:color w:val="auto"/>
              </w:rPr>
            </w:pPr>
          </w:p>
        </w:tc>
        <w:tc>
          <w:tcPr>
            <w:tcW w:w="360" w:type="dxa"/>
            <w:vAlign w:val="bottom"/>
          </w:tcPr>
          <w:p>
            <w:pPr>
              <w:jc w:val="center"/>
              <w:ind w:left="107"/>
              <w:spacing w:after="0"/>
              <w:rPr>
                <w:sz w:val="20"/>
                <w:szCs w:val="20"/>
                <w:color w:val="auto"/>
              </w:rPr>
            </w:pPr>
            <w:r>
              <w:rPr>
                <w:rFonts w:ascii="Arial" w:cs="Arial" w:eastAsia="Arial" w:hAnsi="Arial"/>
                <w:sz w:val="11"/>
                <w:szCs w:val="11"/>
                <w:b w:val="1"/>
                <w:bCs w:val="1"/>
                <w:color w:val="auto"/>
                <w:w w:val="97"/>
              </w:rPr>
              <w:t>33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b w:val="1"/>
                <w:bCs w:val="1"/>
                <w:color w:val="auto"/>
              </w:rPr>
              <w:t>45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33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b w:val="1"/>
                <w:bCs w:val="1"/>
                <w:color w:val="auto"/>
              </w:rPr>
              <w:t>35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b w:val="1"/>
                <w:bCs w:val="1"/>
                <w:color w:val="auto"/>
              </w:rPr>
              <w:t>33</w:t>
            </w:r>
          </w:p>
        </w:tc>
        <w:tc>
          <w:tcPr>
            <w:tcW w:w="920" w:type="dxa"/>
            <w:vAlign w:val="bottom"/>
          </w:tcPr>
          <w:p>
            <w:pPr>
              <w:jc w:val="right"/>
              <w:ind w:right="227"/>
              <w:spacing w:after="0"/>
              <w:rPr>
                <w:sz w:val="20"/>
                <w:szCs w:val="20"/>
                <w:color w:val="auto"/>
              </w:rPr>
            </w:pPr>
            <w:r>
              <w:rPr>
                <w:rFonts w:ascii="Arial" w:cs="Arial" w:eastAsia="Arial" w:hAnsi="Arial"/>
                <w:sz w:val="11"/>
                <w:szCs w:val="11"/>
                <w:color w:val="auto"/>
              </w:rPr>
              <w:t>(27)</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5"/>
        </w:trPr>
        <w:tc>
          <w:tcPr>
            <w:tcW w:w="2620" w:type="dxa"/>
            <w:vAlign w:val="bottom"/>
          </w:tcPr>
          <w:p>
            <w:pPr>
              <w:spacing w:after="0"/>
              <w:rPr>
                <w:sz w:val="20"/>
                <w:szCs w:val="20"/>
                <w:color w:val="auto"/>
              </w:rPr>
            </w:pPr>
            <w:r>
              <w:rPr>
                <w:rFonts w:ascii="Arial" w:cs="Arial" w:eastAsia="Arial" w:hAnsi="Arial"/>
                <w:sz w:val="11"/>
                <w:szCs w:val="11"/>
                <w:color w:val="auto"/>
              </w:rPr>
              <w:t>Credit Portfolio VaR (e)</w:t>
            </w:r>
          </w:p>
        </w:tc>
        <w:tc>
          <w:tcPr>
            <w:tcW w:w="220" w:type="dxa"/>
            <w:vAlign w:val="bottom"/>
          </w:tcPr>
          <w:p>
            <w:pPr>
              <w:spacing w:after="0"/>
              <w:rPr>
                <w:sz w:val="13"/>
                <w:szCs w:val="13"/>
                <w:color w:val="auto"/>
              </w:rPr>
            </w:pPr>
          </w:p>
        </w:tc>
        <w:tc>
          <w:tcPr>
            <w:tcW w:w="360" w:type="dxa"/>
            <w:vAlign w:val="bottom"/>
          </w:tcPr>
          <w:p>
            <w:pPr>
              <w:jc w:val="center"/>
              <w:ind w:left="107"/>
              <w:spacing w:after="0"/>
              <w:rPr>
                <w:sz w:val="20"/>
                <w:szCs w:val="20"/>
                <w:color w:val="auto"/>
              </w:rPr>
            </w:pPr>
            <w:r>
              <w:rPr>
                <w:rFonts w:ascii="Arial" w:cs="Arial" w:eastAsia="Arial" w:hAnsi="Arial"/>
                <w:sz w:val="11"/>
                <w:szCs w:val="11"/>
                <w:color w:val="auto"/>
                <w:w w:val="97"/>
              </w:rPr>
              <w:t>22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920" w:type="dxa"/>
            <w:vAlign w:val="bottom"/>
          </w:tcPr>
          <w:p>
            <w:pPr>
              <w:jc w:val="right"/>
              <w:ind w:right="247"/>
              <w:spacing w:after="0"/>
              <w:rPr>
                <w:sz w:val="20"/>
                <w:szCs w:val="20"/>
                <w:color w:val="auto"/>
              </w:rPr>
            </w:pPr>
            <w:r>
              <w:rPr>
                <w:rFonts w:ascii="Arial" w:cs="Arial" w:eastAsia="Arial" w:hAnsi="Arial"/>
                <w:sz w:val="11"/>
                <w:szCs w:val="11"/>
                <w:color w:val="auto"/>
              </w:rPr>
              <w:t>5</w:t>
            </w:r>
          </w:p>
        </w:tc>
        <w:tc>
          <w:tcPr>
            <w:tcW w:w="50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71"/>
        </w:trPr>
        <w:tc>
          <w:tcPr>
            <w:tcW w:w="2620" w:type="dxa"/>
            <w:vAlign w:val="bottom"/>
          </w:tcPr>
          <w:p>
            <w:pPr>
              <w:spacing w:after="0"/>
              <w:rPr>
                <w:sz w:val="20"/>
                <w:szCs w:val="20"/>
                <w:color w:val="auto"/>
              </w:rPr>
            </w:pPr>
            <w:r>
              <w:rPr>
                <w:rFonts w:ascii="Arial" w:cs="Arial" w:eastAsia="Arial" w:hAnsi="Arial"/>
                <w:sz w:val="11"/>
                <w:szCs w:val="11"/>
                <w:color w:val="auto"/>
              </w:rPr>
              <w:t>Diversification benefit to CIB VaR (d)</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left="87"/>
              <w:spacing w:after="0"/>
              <w:rPr>
                <w:sz w:val="20"/>
                <w:szCs w:val="20"/>
                <w:color w:val="auto"/>
              </w:rPr>
            </w:pPr>
            <w:r>
              <w:rPr>
                <w:rFonts w:ascii="Arial" w:cs="Arial" w:eastAsia="Arial" w:hAnsi="Arial"/>
                <w:sz w:val="11"/>
                <w:szCs w:val="11"/>
                <w:color w:val="auto"/>
                <w:w w:val="91"/>
              </w:rPr>
              <w:t>(17)</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920" w:type="dxa"/>
            <w:vAlign w:val="bottom"/>
          </w:tcPr>
          <w:p>
            <w:pPr>
              <w:jc w:val="right"/>
              <w:ind w:right="247"/>
              <w:spacing w:after="0"/>
              <w:rPr>
                <w:sz w:val="20"/>
                <w:szCs w:val="20"/>
                <w:color w:val="auto"/>
              </w:rPr>
            </w:pPr>
            <w:r>
              <w:rPr>
                <w:rFonts w:ascii="Arial" w:cs="Arial" w:eastAsia="Arial" w:hAnsi="Arial"/>
                <w:sz w:val="11"/>
                <w:szCs w:val="11"/>
                <w:color w:val="auto"/>
              </w:rPr>
              <w:t>11</w:t>
            </w:r>
          </w:p>
        </w:tc>
        <w:tc>
          <w:tcPr>
            <w:tcW w:w="50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52"/>
        </w:trPr>
        <w:tc>
          <w:tcPr>
            <w:tcW w:w="2620" w:type="dxa"/>
            <w:vAlign w:val="bottom"/>
          </w:tcPr>
          <w:p>
            <w:pPr>
              <w:ind w:left="120"/>
              <w:spacing w:after="0"/>
              <w:rPr>
                <w:sz w:val="20"/>
                <w:szCs w:val="20"/>
                <w:color w:val="auto"/>
              </w:rPr>
            </w:pPr>
            <w:r>
              <w:rPr>
                <w:rFonts w:ascii="Arial" w:cs="Arial" w:eastAsia="Arial" w:hAnsi="Arial"/>
                <w:sz w:val="11"/>
                <w:szCs w:val="11"/>
                <w:b w:val="1"/>
                <w:bCs w:val="1"/>
                <w:color w:val="auto"/>
              </w:rPr>
              <w:t>CIB VaR</w:t>
            </w: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tcPr>
          <w:p>
            <w:pPr>
              <w:jc w:val="center"/>
              <w:ind w:left="107"/>
              <w:spacing w:after="0"/>
              <w:rPr>
                <w:sz w:val="20"/>
                <w:szCs w:val="20"/>
                <w:color w:val="auto"/>
              </w:rPr>
            </w:pPr>
            <w:r>
              <w:rPr>
                <w:rFonts w:ascii="Arial" w:cs="Arial" w:eastAsia="Arial" w:hAnsi="Arial"/>
                <w:sz w:val="11"/>
                <w:szCs w:val="11"/>
                <w:b w:val="1"/>
                <w:bCs w:val="1"/>
                <w:color w:val="auto"/>
                <w:w w:val="97"/>
              </w:rPr>
              <w:t>38</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47</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42</w:t>
            </w:r>
          </w:p>
        </w:tc>
        <w:tc>
          <w:tcPr>
            <w:tcW w:w="200" w:type="dxa"/>
            <w:vAlign w:val="bottom"/>
          </w:tcPr>
          <w:p>
            <w:pPr>
              <w:spacing w:after="0"/>
              <w:rPr>
                <w:sz w:val="13"/>
                <w:szCs w:val="13"/>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38</w:t>
            </w:r>
          </w:p>
        </w:tc>
        <w:tc>
          <w:tcPr>
            <w:tcW w:w="920" w:type="dxa"/>
            <w:vAlign w:val="bottom"/>
          </w:tcPr>
          <w:p>
            <w:pPr>
              <w:jc w:val="right"/>
              <w:ind w:right="227"/>
              <w:spacing w:after="0"/>
              <w:rPr>
                <w:sz w:val="20"/>
                <w:szCs w:val="20"/>
                <w:color w:val="auto"/>
              </w:rPr>
            </w:pPr>
            <w:r>
              <w:rPr>
                <w:rFonts w:ascii="Arial" w:cs="Arial" w:eastAsia="Arial" w:hAnsi="Arial"/>
                <w:sz w:val="11"/>
                <w:szCs w:val="11"/>
                <w:color w:val="auto"/>
              </w:rPr>
              <w:t>(19)</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6744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74495" cy="8255"/>
                    </a:xfrm>
                    <a:prstGeom prst="rect">
                      <a:avLst/>
                    </a:prstGeom>
                    <a:noFill/>
                  </pic:spPr>
                </pic:pic>
              </a:graphicData>
            </a:graphic>
          </wp:anchor>
        </w:drawing>
      </w:r>
    </w:p>
    <w:p>
      <w:pPr>
        <w:spacing w:after="0" w:line="378" w:lineRule="exact"/>
        <w:rPr>
          <w:sz w:val="20"/>
          <w:szCs w:val="20"/>
          <w:color w:val="auto"/>
        </w:rPr>
      </w:pPr>
    </w:p>
    <w:p>
      <w:pPr>
        <w:ind w:left="160" w:hanging="154"/>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Client deposits and other third-party liabilities pertain to the Payments and Securities Services businesses.</w:t>
      </w:r>
    </w:p>
    <w:p>
      <w:pPr>
        <w:spacing w:after="0" w:line="2" w:lineRule="exact"/>
        <w:rPr>
          <w:rFonts w:ascii="Arial" w:cs="Arial" w:eastAsia="Arial" w:hAnsi="Arial"/>
          <w:sz w:val="11"/>
          <w:szCs w:val="11"/>
          <w:color w:val="auto"/>
        </w:rPr>
      </w:pPr>
    </w:p>
    <w:p>
      <w:pPr>
        <w:ind w:left="160" w:hanging="154"/>
        <w:spacing w:after="0" w:line="265" w:lineRule="auto"/>
        <w:tabs>
          <w:tab w:leader="none" w:pos="157" w:val="left"/>
        </w:tabs>
        <w:numPr>
          <w:ilvl w:val="0"/>
          <w:numId w:val="31"/>
        </w:numPr>
        <w:rPr>
          <w:rFonts w:ascii="Arial" w:cs="Arial" w:eastAsia="Arial" w:hAnsi="Arial"/>
          <w:sz w:val="10"/>
          <w:szCs w:val="10"/>
          <w:color w:val="auto"/>
        </w:rPr>
      </w:pPr>
      <w:r>
        <w:rPr>
          <w:rFonts w:ascii="Arial" w:cs="Arial" w:eastAsia="Arial" w:hAnsi="Arial"/>
          <w:sz w:val="10"/>
          <w:szCs w:val="10"/>
          <w:color w:val="auto"/>
        </w:rPr>
        <w:t>Effective April 1, 2025, the Firm refined the historical proxy time series inputs to one of its VaR models to more appropriately reflect the risk exposure from certain securitization warehousing loan positions. With this refined time series, the average VaR for each of the following reported components would have been lower by the following amounts: CIB trading VaR by fixed income risk type of $(7) million, $(6) million, $(6) million, and $(2) million, CIB trading VaR of $(6) million, $(5) million, $(4) million and $(1) million and CIB VaR of $(5) million, $(6) million, $(5) million and $(1) million for the three months ended March 31, 2025, December 31, 2024, September 30, 2024 and June 30, 2024, respectively.</w:t>
      </w:r>
    </w:p>
    <w:p>
      <w:pPr>
        <w:ind w:left="160" w:right="200" w:hanging="154"/>
        <w:spacing w:after="0" w:line="241" w:lineRule="auto"/>
        <w:tabs>
          <w:tab w:leader="none" w:pos="151" w:val="left"/>
        </w:tabs>
        <w:numPr>
          <w:ilvl w:val="0"/>
          <w:numId w:val="31"/>
        </w:numPr>
        <w:rPr>
          <w:rFonts w:ascii="Arial" w:cs="Arial" w:eastAsia="Arial" w:hAnsi="Arial"/>
          <w:sz w:val="11"/>
          <w:szCs w:val="11"/>
          <w:color w:val="auto"/>
        </w:rPr>
      </w:pPr>
      <w:r>
        <w:rPr>
          <w:rFonts w:ascii="Arial" w:cs="Arial" w:eastAsia="Arial" w:hAnsi="Arial"/>
          <w:sz w:val="11"/>
          <w:szCs w:val="11"/>
          <w:color w:val="auto"/>
        </w:rPr>
        <w:t>CIB trading VaR includes substantially all market-making and client-driven activities, as well as certain risk management activities in CIB, including credit spread sensitivity to CVA. Refer to VaR measurement on pages 143–145 of the Firm’s 2024 Form 10-K and pages 65–67 of the Firm’s Quarterly Report on Form 10-Q for the quarterly period ended March 31, 2025 for further information.</w:t>
      </w:r>
    </w:p>
    <w:p>
      <w:pPr>
        <w:ind w:left="160" w:hanging="154"/>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Diversification benefit represents the difference between the portfolio VaR and the sum of its individual components. This reflects the non-additive nature of VaR due to imperfect correlation across CIB risks.</w:t>
      </w:r>
    </w:p>
    <w:p>
      <w:pPr>
        <w:spacing w:after="0" w:line="3" w:lineRule="exact"/>
        <w:rPr>
          <w:rFonts w:ascii="Arial" w:cs="Arial" w:eastAsia="Arial" w:hAnsi="Arial"/>
          <w:sz w:val="11"/>
          <w:szCs w:val="11"/>
          <w:color w:val="auto"/>
        </w:rPr>
      </w:pPr>
    </w:p>
    <w:p>
      <w:pPr>
        <w:ind w:left="160" w:right="140" w:hanging="154"/>
        <w:spacing w:after="0" w:line="238" w:lineRule="auto"/>
        <w:tabs>
          <w:tab w:leader="none" w:pos="157" w:val="left"/>
        </w:tabs>
        <w:numPr>
          <w:ilvl w:val="0"/>
          <w:numId w:val="31"/>
        </w:numPr>
        <w:rPr>
          <w:rFonts w:ascii="Arial" w:cs="Arial" w:eastAsia="Arial" w:hAnsi="Arial"/>
          <w:sz w:val="11"/>
          <w:szCs w:val="11"/>
          <w:color w:val="auto"/>
        </w:rPr>
      </w:pPr>
      <w:r>
        <w:rPr>
          <w:rFonts w:ascii="Arial" w:cs="Arial" w:eastAsia="Arial" w:hAnsi="Arial"/>
          <w:sz w:val="11"/>
          <w:szCs w:val="11"/>
          <w:color w:val="auto"/>
        </w:rPr>
        <w:t>Credit Portfolio VaR includes the derivative CVA, hedges of the CVA and credit protection purchased against certain retained loans and lending-related commitments, which are reported in principal transactions revenue. This VaR does not include the retained loan portfolio, which is not reported at fair value.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19</w:t>
      </w:r>
    </w:p>
    <w:p>
      <w:pPr>
        <w:sectPr>
          <w:pgSz w:w="11900" w:h="16838" w:orient="portrait"/>
          <w:cols w:equalWidth="0" w:num="1">
            <w:col w:w="11240"/>
          </w:cols>
          <w:pgMar w:left="320" w:top="564"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1"/>
                <w:szCs w:val="11"/>
                <w:b w:val="1"/>
                <w:bCs w:val="1"/>
                <w:color w:val="auto"/>
                <w:w w:val="94"/>
              </w:rPr>
              <w:t>QUARTERLY TRENDS</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jc w:val="right"/>
              <w:ind w:right="407"/>
              <w:spacing w:after="0"/>
              <w:rPr>
                <w:sz w:val="20"/>
                <w:szCs w:val="20"/>
                <w:color w:val="auto"/>
              </w:rPr>
            </w:pPr>
            <w:r>
              <w:rPr>
                <w:rFonts w:ascii="Arial" w:cs="Arial" w:eastAsia="Arial" w:hAnsi="Arial"/>
                <w:sz w:val="11"/>
                <w:szCs w:val="11"/>
                <w:b w:val="1"/>
                <w:bCs w:val="1"/>
                <w:color w:val="auto"/>
              </w:rPr>
              <w:t>SIX MONTHS ENDED JUNE 30,</w:t>
            </w: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2Q25 Change</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2025 Change</w:t>
            </w: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b w:val="1"/>
                <w:bCs w:val="1"/>
                <w:color w:val="auto"/>
              </w:rPr>
              <w:t>1Q25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4Q24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3Q24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8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1Q25</w:t>
            </w:r>
          </w:p>
        </w:tc>
        <w:tc>
          <w:tcPr>
            <w:tcW w:w="10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2Q24</w:t>
            </w:r>
          </w:p>
        </w:tc>
        <w:tc>
          <w:tcPr>
            <w:tcW w:w="140" w:type="dxa"/>
            <w:vAlign w:val="bottom"/>
          </w:tcPr>
          <w:p>
            <w:pPr>
              <w:spacing w:after="0"/>
              <w:rPr>
                <w:sz w:val="13"/>
                <w:szCs w:val="13"/>
                <w:color w:val="auto"/>
              </w:rPr>
            </w:pPr>
          </w:p>
        </w:tc>
        <w:tc>
          <w:tcPr>
            <w:tcW w:w="440" w:type="dxa"/>
            <w:vAlign w:val="bottom"/>
          </w:tcPr>
          <w:p>
            <w:pPr>
              <w:jc w:val="right"/>
              <w:ind w:right="107"/>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104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2024</w:t>
            </w:r>
          </w:p>
        </w:tc>
      </w:tr>
      <w:tr>
        <w:trPr>
          <w:trHeight w:val="106"/>
        </w:trPr>
        <w:tc>
          <w:tcPr>
            <w:tcW w:w="2620" w:type="dxa"/>
            <w:vAlign w:val="bottom"/>
            <w:gridSpan w:val="4"/>
          </w:tcPr>
          <w:p>
            <w:pPr>
              <w:spacing w:after="0" w:line="106" w:lineRule="exact"/>
              <w:rPr>
                <w:sz w:val="20"/>
                <w:szCs w:val="20"/>
                <w:color w:val="auto"/>
              </w:rPr>
            </w:pPr>
            <w:r>
              <w:rPr>
                <w:rFonts w:ascii="Arial" w:cs="Arial" w:eastAsia="Arial" w:hAnsi="Arial"/>
                <w:sz w:val="11"/>
                <w:szCs w:val="11"/>
                <w:b w:val="1"/>
                <w:bCs w:val="1"/>
                <w:color w:val="auto"/>
              </w:rPr>
              <w:t>INCOME STATEMENT</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4"/>
        </w:trPr>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REVENUE</w:t>
            </w:r>
          </w:p>
        </w:tc>
        <w:tc>
          <w:tcPr>
            <w:tcW w:w="15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5"/>
        </w:trPr>
        <w:tc>
          <w:tcPr>
            <w:tcW w:w="2620" w:type="dxa"/>
            <w:vAlign w:val="bottom"/>
            <w:gridSpan w:val="4"/>
          </w:tcPr>
          <w:p>
            <w:pPr>
              <w:spacing w:after="0"/>
              <w:rPr>
                <w:sz w:val="20"/>
                <w:szCs w:val="20"/>
                <w:color w:val="auto"/>
              </w:rPr>
            </w:pPr>
            <w:r>
              <w:rPr>
                <w:rFonts w:ascii="Arial" w:cs="Arial" w:eastAsia="Arial" w:hAnsi="Arial"/>
                <w:sz w:val="11"/>
                <w:szCs w:val="11"/>
                <w:color w:val="auto"/>
              </w:rPr>
              <w:t>Asset management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3,642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3,595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3,792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3,427</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3,304</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10 %</w:t>
            </w:r>
          </w:p>
        </w:tc>
        <w:tc>
          <w:tcPr>
            <w:tcW w:w="4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7,237</w:t>
            </w: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6,474</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12 %</w:t>
            </w:r>
          </w:p>
        </w:tc>
      </w:tr>
      <w:tr>
        <w:trPr>
          <w:trHeight w:val="159"/>
        </w:trPr>
        <w:tc>
          <w:tcPr>
            <w:tcW w:w="2620" w:type="dxa"/>
            <w:vAlign w:val="bottom"/>
            <w:gridSpan w:val="4"/>
          </w:tcPr>
          <w:p>
            <w:pPr>
              <w:spacing w:after="0"/>
              <w:rPr>
                <w:sz w:val="20"/>
                <w:szCs w:val="20"/>
                <w:color w:val="auto"/>
              </w:rPr>
            </w:pPr>
            <w:r>
              <w:rPr>
                <w:rFonts w:ascii="Arial" w:cs="Arial" w:eastAsia="Arial" w:hAnsi="Arial"/>
                <w:sz w:val="11"/>
                <w:szCs w:val="11"/>
                <w:color w:val="auto"/>
              </w:rPr>
              <w:t>Commissions and other fees</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273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232</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35</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587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425</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38</w:t>
            </w:r>
          </w:p>
        </w:tc>
      </w:tr>
      <w:tr>
        <w:trPr>
          <w:trHeight w:val="171"/>
        </w:trPr>
        <w:tc>
          <w:tcPr>
            <w:tcW w:w="262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21</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248</w:t>
            </w:r>
          </w:p>
        </w:tc>
        <w:tc>
          <w:tcPr>
            <w:tcW w:w="104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r>
      <w:tr>
        <w:trPr>
          <w:trHeight w:val="144"/>
        </w:trPr>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4,073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3,993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4,077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3,799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3,633</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12</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8,066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7,147</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13</w:t>
            </w:r>
          </w:p>
        </w:tc>
      </w:tr>
      <w:tr>
        <w:trPr>
          <w:trHeight w:val="167"/>
        </w:trPr>
        <w:tc>
          <w:tcPr>
            <w:tcW w:w="262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1,687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1,640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1,619</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3,425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3,214</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r>
      <w:tr>
        <w:trPr>
          <w:trHeight w:val="144"/>
        </w:trPr>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5,760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5,731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5,778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5,439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5,252</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10</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11,491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10,361</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r>
      <w:tr>
        <w:trPr>
          <w:trHeight w:val="314"/>
        </w:trPr>
        <w:tc>
          <w:tcPr>
            <w:tcW w:w="262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w:t>
            </w:r>
          </w:p>
        </w:tc>
        <w:tc>
          <w:tcPr>
            <w:tcW w:w="280" w:type="dxa"/>
            <w:vAlign w:val="bottom"/>
          </w:tcPr>
          <w:p>
            <w:pPr>
              <w:spacing w:after="0"/>
              <w:rPr>
                <w:sz w:val="24"/>
                <w:szCs w:val="24"/>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130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322"/>
        </w:trPr>
        <w:tc>
          <w:tcPr>
            <w:tcW w:w="262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5"/>
        </w:trPr>
        <w:tc>
          <w:tcPr>
            <w:tcW w:w="262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2,112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2,096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2,058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1,960</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4,208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3,932</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r>
      <w:tr>
        <w:trPr>
          <w:trHeight w:val="171"/>
        </w:trPr>
        <w:tc>
          <w:tcPr>
            <w:tcW w:w="262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1,645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1,583</w:t>
            </w:r>
          </w:p>
        </w:tc>
        <w:tc>
          <w:tcPr>
            <w:tcW w:w="2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3,238</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3,071</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r>
      <w:tr>
        <w:trPr>
          <w:trHeight w:val="152"/>
        </w:trPr>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3,733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3,713</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3,772</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3,639</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3,543</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7,446</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7,003</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r>
      <w:tr>
        <w:trPr>
          <w:trHeight w:val="290"/>
        </w:trPr>
        <w:tc>
          <w:tcPr>
            <w:tcW w:w="262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1,981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2,028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2,041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1,796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1,689</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24"/>
                <w:szCs w:val="2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4,009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3,395</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18</w:t>
            </w:r>
          </w:p>
        </w:tc>
      </w:tr>
      <w:tr>
        <w:trPr>
          <w:trHeight w:val="167"/>
        </w:trPr>
        <w:tc>
          <w:tcPr>
            <w:tcW w:w="262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508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445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426</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19</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842</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13</w:t>
            </w:r>
          </w:p>
        </w:tc>
      </w:tr>
      <w:tr>
        <w:trPr>
          <w:trHeight w:val="165"/>
        </w:trPr>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1,473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1,583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1,517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1,351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1,263</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3,056</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2,553</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20</w:t>
            </w:r>
          </w:p>
        </w:tc>
      </w:tr>
      <w:tr>
        <w:trPr>
          <w:trHeight w:val="265"/>
        </w:trPr>
        <w:tc>
          <w:tcPr>
            <w:tcW w:w="2620" w:type="dxa"/>
            <w:vAlign w:val="bottom"/>
            <w:gridSpan w:val="4"/>
          </w:tcPr>
          <w:p>
            <w:pPr>
              <w:spacing w:after="0"/>
              <w:rPr>
                <w:sz w:val="20"/>
                <w:szCs w:val="20"/>
                <w:color w:val="auto"/>
              </w:rPr>
            </w:pPr>
            <w:r>
              <w:rPr>
                <w:rFonts w:ascii="Arial" w:cs="Arial" w:eastAsia="Arial" w:hAnsi="Arial"/>
                <w:sz w:val="11"/>
                <w:szCs w:val="11"/>
                <w:b w:val="1"/>
                <w:bCs w:val="1"/>
                <w:color w:val="auto"/>
              </w:rPr>
              <w:t>REVENUE BY BUSINESS</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Asset Management</w:t>
            </w:r>
          </w:p>
        </w:tc>
        <w:tc>
          <w:tcPr>
            <w:tcW w:w="13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2,705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2,671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2,887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2,525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2,437</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5,376</w:t>
            </w: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4,763</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13</w:t>
            </w:r>
          </w:p>
        </w:tc>
      </w:tr>
      <w:tr>
        <w:trPr>
          <w:trHeight w:val="171"/>
        </w:trPr>
        <w:tc>
          <w:tcPr>
            <w:tcW w:w="2620" w:type="dxa"/>
            <w:vAlign w:val="bottom"/>
            <w:gridSpan w:val="4"/>
          </w:tcPr>
          <w:p>
            <w:pPr>
              <w:spacing w:after="0"/>
              <w:rPr>
                <w:sz w:val="20"/>
                <w:szCs w:val="20"/>
                <w:color w:val="auto"/>
              </w:rPr>
            </w:pPr>
            <w:r>
              <w:rPr>
                <w:rFonts w:ascii="Arial" w:cs="Arial" w:eastAsia="Arial" w:hAnsi="Arial"/>
                <w:sz w:val="11"/>
                <w:szCs w:val="11"/>
                <w:color w:val="auto"/>
              </w:rPr>
              <w:t>Global Private Bank</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3,055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2,891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2,914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2,815</w:t>
            </w:r>
          </w:p>
        </w:tc>
        <w:tc>
          <w:tcPr>
            <w:tcW w:w="2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6,115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5,598</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r>
      <w:tr>
        <w:trPr>
          <w:trHeight w:val="165"/>
        </w:trPr>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5,760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5,731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5,778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5,439</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5,252</w:t>
            </w:r>
          </w:p>
        </w:tc>
        <w:tc>
          <w:tcPr>
            <w:tcW w:w="8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10</w:t>
            </w:r>
          </w:p>
        </w:tc>
        <w:tc>
          <w:tcPr>
            <w:tcW w:w="4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11,491</w:t>
            </w:r>
          </w:p>
        </w:tc>
        <w:tc>
          <w:tcPr>
            <w:tcW w:w="24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10,361</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r>
      <w:tr>
        <w:trPr>
          <w:trHeight w:val="265"/>
        </w:trPr>
        <w:tc>
          <w:tcPr>
            <w:tcW w:w="1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FINANCIAL RATIOS</w:t>
            </w:r>
          </w:p>
        </w:tc>
        <w:tc>
          <w:tcPr>
            <w:tcW w:w="162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2620" w:type="dxa"/>
            <w:vAlign w:val="bottom"/>
            <w:gridSpan w:val="4"/>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36</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39</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38</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w:t>
            </w:r>
          </w:p>
        </w:tc>
        <w:tc>
          <w:tcPr>
            <w:tcW w:w="280" w:type="dxa"/>
            <w:vAlign w:val="bottom"/>
          </w:tcPr>
          <w:p>
            <w:pPr>
              <w:jc w:val="right"/>
              <w:ind w:right="127"/>
              <w:spacing w:after="0"/>
              <w:rPr>
                <w:sz w:val="20"/>
                <w:szCs w:val="20"/>
                <w:color w:val="auto"/>
              </w:rPr>
            </w:pPr>
            <w:r>
              <w:rPr>
                <w:rFonts w:ascii="Arial" w:cs="Arial" w:eastAsia="Arial" w:hAnsi="Arial"/>
                <w:sz w:val="11"/>
                <w:szCs w:val="11"/>
                <w:color w:val="auto"/>
                <w:w w:val="81"/>
              </w:rPr>
              <w:t>%</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38</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32</w:t>
            </w:r>
          </w:p>
        </w:tc>
        <w:tc>
          <w:tcPr>
            <w:tcW w:w="28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r>
      <w:tr>
        <w:trPr>
          <w:trHeight w:val="159"/>
        </w:trPr>
        <w:tc>
          <w:tcPr>
            <w:tcW w:w="262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67</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68</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620" w:type="dxa"/>
            <w:vAlign w:val="bottom"/>
            <w:gridSpan w:val="4"/>
          </w:tcPr>
          <w:p>
            <w:pPr>
              <w:spacing w:after="0"/>
              <w:rPr>
                <w:sz w:val="20"/>
                <w:szCs w:val="20"/>
                <w:color w:val="auto"/>
              </w:rPr>
            </w:pPr>
            <w:r>
              <w:rPr>
                <w:rFonts w:ascii="Arial" w:cs="Arial" w:eastAsia="Arial" w:hAnsi="Arial"/>
                <w:sz w:val="11"/>
                <w:szCs w:val="11"/>
                <w:color w:val="auto"/>
              </w:rPr>
              <w:t>Pretax margin ratio:</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620" w:type="dxa"/>
            <w:vAlign w:val="bottom"/>
            <w:gridSpan w:val="4"/>
          </w:tcPr>
          <w:p>
            <w:pPr>
              <w:ind w:left="120"/>
              <w:spacing w:after="0"/>
              <w:rPr>
                <w:sz w:val="20"/>
                <w:szCs w:val="20"/>
                <w:color w:val="auto"/>
              </w:rPr>
            </w:pPr>
            <w:r>
              <w:rPr>
                <w:rFonts w:ascii="Arial" w:cs="Arial" w:eastAsia="Arial" w:hAnsi="Arial"/>
                <w:sz w:val="11"/>
                <w:szCs w:val="11"/>
                <w:color w:val="auto"/>
              </w:rPr>
              <w:t>Asset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30</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29</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620" w:type="dxa"/>
            <w:vAlign w:val="bottom"/>
            <w:gridSpan w:val="4"/>
          </w:tcPr>
          <w:p>
            <w:pPr>
              <w:ind w:left="120"/>
              <w:spacing w:after="0"/>
              <w:rPr>
                <w:sz w:val="20"/>
                <w:szCs w:val="20"/>
                <w:color w:val="auto"/>
              </w:rPr>
            </w:pPr>
            <w:r>
              <w:rPr>
                <w:rFonts w:ascii="Arial" w:cs="Arial" w:eastAsia="Arial" w:hAnsi="Arial"/>
                <w:sz w:val="11"/>
                <w:szCs w:val="11"/>
                <w:color w:val="auto"/>
              </w:rPr>
              <w:t>Global Private Bank</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36</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620" w:type="dxa"/>
            <w:vAlign w:val="bottom"/>
            <w:gridSpan w:val="4"/>
          </w:tcPr>
          <w:p>
            <w:pPr>
              <w:ind w:left="120"/>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322"/>
        </w:trPr>
        <w:tc>
          <w:tcPr>
            <w:tcW w:w="2620" w:type="dxa"/>
            <w:vAlign w:val="bottom"/>
            <w:gridSpan w:val="4"/>
          </w:tcPr>
          <w:p>
            <w:pPr>
              <w:spacing w:after="0"/>
              <w:rPr>
                <w:sz w:val="20"/>
                <w:szCs w:val="20"/>
                <w:color w:val="auto"/>
              </w:rPr>
            </w:pPr>
            <w:r>
              <w:rPr>
                <w:rFonts w:ascii="Arial" w:cs="Arial" w:eastAsia="Arial" w:hAnsi="Arial"/>
                <w:sz w:val="11"/>
                <w:szCs w:val="11"/>
                <w:b w:val="1"/>
                <w:bCs w:val="1"/>
                <w:color w:val="auto"/>
              </w:rPr>
              <w:t>Employees</w:t>
            </w:r>
          </w:p>
        </w:tc>
        <w:tc>
          <w:tcPr>
            <w:tcW w:w="12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29,363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29,516</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29,403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29,112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28,579</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29,363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28,579</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r>
      <w:tr>
        <w:trPr>
          <w:trHeight w:val="314"/>
        </w:trPr>
        <w:tc>
          <w:tcPr>
            <w:tcW w:w="2620" w:type="dxa"/>
            <w:vAlign w:val="bottom"/>
            <w:gridSpan w:val="4"/>
          </w:tcPr>
          <w:p>
            <w:pPr>
              <w:spacing w:after="0"/>
              <w:rPr>
                <w:sz w:val="20"/>
                <w:szCs w:val="20"/>
                <w:color w:val="auto"/>
              </w:rPr>
            </w:pPr>
            <w:r>
              <w:rPr>
                <w:rFonts w:ascii="Arial" w:cs="Arial" w:eastAsia="Arial" w:hAnsi="Arial"/>
                <w:sz w:val="11"/>
                <w:szCs w:val="11"/>
                <w:color w:val="auto"/>
              </w:rPr>
              <w:t>Number of Global Private Bank client advisors</w:t>
            </w:r>
          </w:p>
        </w:tc>
        <w:tc>
          <w:tcPr>
            <w:tcW w:w="12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3,756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3,775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3,753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3,509</w:t>
            </w:r>
          </w:p>
        </w:tc>
        <w:tc>
          <w:tcPr>
            <w:tcW w:w="8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3,756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3,509</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6744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7449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(a) In the first quarter of 2025, 130 employees were transferred to Corporate as a result of the centralization of certain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20</w:t>
      </w:r>
    </w:p>
    <w:p>
      <w:pPr>
        <w:sectPr>
          <w:pgSz w:w="11900" w:h="16838" w:orient="portrait"/>
          <w:cols w:equalWidth="0" w:num="1">
            <w:col w:w="11240"/>
          </w:cols>
          <w:pgMar w:left="320" w:top="564"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ind w:left="420"/>
              <w:spacing w:after="0"/>
              <w:rPr>
                <w:sz w:val="20"/>
                <w:szCs w:val="20"/>
                <w:color w:val="auto"/>
              </w:rPr>
            </w:pPr>
            <w:r>
              <w:rPr>
                <w:rFonts w:ascii="Arial" w:cs="Arial" w:eastAsia="Arial" w:hAnsi="Arial"/>
                <w:sz w:val="11"/>
                <w:szCs w:val="11"/>
                <w:b w:val="1"/>
                <w:bCs w:val="1"/>
                <w:color w:val="auto"/>
                <w:w w:val="94"/>
              </w:rPr>
              <w:t>QUARTERLY TRENDS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ind w:left="320"/>
              <w:spacing w:after="0"/>
              <w:rPr>
                <w:sz w:val="20"/>
                <w:szCs w:val="20"/>
                <w:color w:val="auto"/>
              </w:rPr>
            </w:pPr>
            <w:r>
              <w:rPr>
                <w:rFonts w:ascii="Arial" w:cs="Arial" w:eastAsia="Arial" w:hAnsi="Arial"/>
                <w:sz w:val="11"/>
                <w:szCs w:val="11"/>
                <w:b w:val="1"/>
                <w:bCs w:val="1"/>
                <w:color w:val="auto"/>
              </w:rPr>
              <w:t>SIX MONTHS ENDED JUNE 30,</w:t>
            </w:r>
          </w:p>
        </w:tc>
      </w:tr>
      <w:tr>
        <w:trPr>
          <w:trHeight w:val="152"/>
        </w:trPr>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2Q25 Change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r>
      <w:tr>
        <w:trPr>
          <w:trHeight w:val="152"/>
        </w:trPr>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2Q25</w:t>
            </w: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1Q25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3Q24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2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1Q25</w:t>
            </w:r>
          </w:p>
        </w:tc>
        <w:tc>
          <w:tcPr>
            <w:tcW w:w="10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98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2024</w:t>
            </w:r>
          </w:p>
        </w:tc>
      </w:tr>
      <w:tr>
        <w:trPr>
          <w:trHeight w:val="106"/>
        </w:trPr>
        <w:tc>
          <w:tcPr>
            <w:tcW w:w="2460" w:type="dxa"/>
            <w:vAlign w:val="bottom"/>
            <w:tcBorders>
              <w:bottom w:val="single" w:sz="8" w:color="auto"/>
            </w:tcBorders>
            <w:gridSpan w:val="3"/>
          </w:tcPr>
          <w:p>
            <w:pPr>
              <w:spacing w:after="0" w:line="106" w:lineRule="exact"/>
              <w:rPr>
                <w:sz w:val="20"/>
                <w:szCs w:val="20"/>
                <w:color w:val="auto"/>
              </w:rPr>
            </w:pPr>
            <w:r>
              <w:rPr>
                <w:rFonts w:ascii="Arial" w:cs="Arial" w:eastAsia="Arial" w:hAnsi="Arial"/>
                <w:sz w:val="11"/>
                <w:szCs w:val="11"/>
                <w:b w:val="1"/>
                <w:bCs w:val="1"/>
                <w:color w:val="auto"/>
                <w:w w:val="95"/>
              </w:rPr>
              <w:t>SELECTED BALANCE SHEET DATA (period-end)</w:t>
            </w: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160"/>
        </w:trPr>
        <w:tc>
          <w:tcPr>
            <w:tcW w:w="264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268,966</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258,354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255,385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253,750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247,353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9 %</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268,966</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247,353</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9 %</w:t>
            </w:r>
          </w:p>
        </w:tc>
      </w:tr>
      <w:tr>
        <w:trPr>
          <w:trHeight w:val="159"/>
        </w:trPr>
        <w:tc>
          <w:tcPr>
            <w:tcW w:w="2640" w:type="dxa"/>
            <w:vAlign w:val="bottom"/>
            <w:gridSpan w:val="4"/>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245,526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237,201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236,303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233,903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228,042</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245,526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228,042</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r>
      <w:tr>
        <w:trPr>
          <w:trHeight w:val="159"/>
        </w:trPr>
        <w:tc>
          <w:tcPr>
            <w:tcW w:w="264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242,356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250,219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248,287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248,984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236,492</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242,356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236,492</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r>
      <w:tr>
        <w:trPr>
          <w:trHeight w:val="159"/>
        </w:trPr>
        <w:tc>
          <w:tcPr>
            <w:tcW w:w="2640" w:type="dxa"/>
            <w:vAlign w:val="bottom"/>
            <w:gridSpan w:val="4"/>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r>
      <w:tr>
        <w:trPr>
          <w:trHeight w:val="297"/>
        </w:trPr>
        <w:tc>
          <w:tcPr>
            <w:tcW w:w="2640" w:type="dxa"/>
            <w:vAlign w:val="bottom"/>
            <w:gridSpan w:val="4"/>
          </w:tcPr>
          <w:p>
            <w:pPr>
              <w:spacing w:after="0"/>
              <w:rPr>
                <w:sz w:val="20"/>
                <w:szCs w:val="20"/>
                <w:color w:val="auto"/>
              </w:rPr>
            </w:pPr>
            <w:r>
              <w:rPr>
                <w:rFonts w:ascii="Arial" w:cs="Arial" w:eastAsia="Arial" w:hAnsi="Arial"/>
                <w:sz w:val="11"/>
                <w:szCs w:val="11"/>
                <w:b w:val="1"/>
                <w:bCs w:val="1"/>
                <w:color w:val="auto"/>
              </w:rPr>
              <w:t>SELECTED BALANCE SHEET DATA (average)</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0"/>
        </w:trPr>
        <w:tc>
          <w:tcPr>
            <w:tcW w:w="230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Total assets</w:t>
            </w:r>
          </w:p>
        </w:tc>
        <w:tc>
          <w:tcPr>
            <w:tcW w:w="34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261,128</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253,372</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253,612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247,768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242,155</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257,271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241,770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r>
      <w:tr>
        <w:trPr>
          <w:trHeight w:val="159"/>
        </w:trPr>
        <w:tc>
          <w:tcPr>
            <w:tcW w:w="2640" w:type="dxa"/>
            <w:vAlign w:val="bottom"/>
            <w:gridSpan w:val="4"/>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240,585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233,937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233,768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229,299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224,122</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237,279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223,775</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r>
      <w:tr>
        <w:trPr>
          <w:trHeight w:val="159"/>
        </w:trPr>
        <w:tc>
          <w:tcPr>
            <w:tcW w:w="264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248,375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244,107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248,802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236,470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227,423</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246,253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227,573</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r>
      <w:tr>
        <w:trPr>
          <w:trHeight w:val="159"/>
        </w:trPr>
        <w:tc>
          <w:tcPr>
            <w:tcW w:w="2640" w:type="dxa"/>
            <w:vAlign w:val="bottom"/>
            <w:gridSpan w:val="4"/>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r>
      <w:tr>
        <w:trPr>
          <w:trHeight w:val="297"/>
        </w:trPr>
        <w:tc>
          <w:tcPr>
            <w:tcW w:w="2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CREDIT DATA AND QUALITY STATISTICS</w:t>
            </w:r>
          </w:p>
        </w:tc>
        <w:tc>
          <w:tcPr>
            <w:tcW w:w="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0"/>
        </w:trPr>
        <w:tc>
          <w:tcPr>
            <w:tcW w:w="2640" w:type="dxa"/>
            <w:vAlign w:val="bottom"/>
            <w:gridSpan w:val="4"/>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02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212"/>
        </w:trPr>
        <w:tc>
          <w:tcPr>
            <w:tcW w:w="2640" w:type="dxa"/>
            <w:vAlign w:val="bottom"/>
            <w:gridSpan w:val="4"/>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675</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745</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53</w:t>
            </w:r>
          </w:p>
        </w:tc>
        <w:tc>
          <w:tcPr>
            <w:tcW w:w="220" w:type="dxa"/>
            <w:vAlign w:val="bottom"/>
          </w:tcPr>
          <w:p>
            <w:pPr>
              <w:spacing w:after="0"/>
              <w:rPr>
                <w:sz w:val="18"/>
                <w:szCs w:val="18"/>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745</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39</w:t>
            </w:r>
          </w:p>
        </w:tc>
      </w:tr>
      <w:tr>
        <w:trPr>
          <w:trHeight w:val="212"/>
        </w:trPr>
        <w:tc>
          <w:tcPr>
            <w:tcW w:w="2640" w:type="dxa"/>
            <w:vAlign w:val="bottom"/>
            <w:gridSpan w:val="4"/>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59"/>
        </w:trPr>
        <w:tc>
          <w:tcPr>
            <w:tcW w:w="2640" w:type="dxa"/>
            <w:vAlign w:val="bottom"/>
            <w:gridSpan w:val="4"/>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552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575</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552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575</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(4)</w:t>
            </w:r>
          </w:p>
        </w:tc>
      </w:tr>
      <w:tr>
        <w:trPr>
          <w:trHeight w:val="171"/>
        </w:trPr>
        <w:tc>
          <w:tcPr>
            <w:tcW w:w="2640" w:type="dxa"/>
            <w:vAlign w:val="bottom"/>
            <w:gridSpan w:val="4"/>
          </w:tcPr>
          <w:p>
            <w:pPr>
              <w:ind w:left="120"/>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38</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76</w:t>
            </w:r>
          </w:p>
        </w:tc>
        <w:tc>
          <w:tcPr>
            <w:tcW w:w="22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45</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45</w:t>
            </w:r>
          </w:p>
        </w:tc>
      </w:tr>
      <w:tr>
        <w:trPr>
          <w:trHeight w:val="144"/>
        </w:trPr>
        <w:tc>
          <w:tcPr>
            <w:tcW w:w="264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610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563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604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615</w:t>
            </w:r>
          </w:p>
        </w:tc>
        <w:tc>
          <w:tcPr>
            <w:tcW w:w="80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2"/>
                <w:szCs w:val="12"/>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610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615</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r>
      <w:tr>
        <w:trPr>
          <w:trHeight w:val="208"/>
        </w:trPr>
        <w:tc>
          <w:tcPr>
            <w:tcW w:w="2640" w:type="dxa"/>
            <w:vAlign w:val="bottom"/>
            <w:gridSpan w:val="4"/>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0.02</w:t>
            </w:r>
          </w:p>
        </w:tc>
        <w:tc>
          <w:tcPr>
            <w:tcW w:w="2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0.01</w:t>
            </w:r>
          </w:p>
        </w:tc>
        <w:tc>
          <w:tcPr>
            <w:tcW w:w="2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0.01</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w w:val="81"/>
              </w:rPr>
              <w:t>%</w:t>
            </w:r>
          </w:p>
        </w:tc>
        <w:tc>
          <w:tcPr>
            <w:tcW w:w="740" w:type="dxa"/>
            <w:vAlign w:val="bottom"/>
          </w:tcPr>
          <w:p>
            <w:pPr>
              <w:spacing w:after="0"/>
              <w:rPr>
                <w:sz w:val="18"/>
                <w:szCs w:val="18"/>
                <w:color w:val="auto"/>
              </w:rPr>
            </w:pPr>
          </w:p>
        </w:tc>
      </w:tr>
      <w:tr>
        <w:trPr>
          <w:trHeight w:val="212"/>
        </w:trPr>
        <w:tc>
          <w:tcPr>
            <w:tcW w:w="2640" w:type="dxa"/>
            <w:vAlign w:val="bottom"/>
            <w:gridSpan w:val="4"/>
          </w:tcPr>
          <w:p>
            <w:pPr>
              <w:spacing w:after="0"/>
              <w:rPr>
                <w:sz w:val="20"/>
                <w:szCs w:val="20"/>
                <w:color w:val="auto"/>
              </w:rPr>
            </w:pPr>
            <w:r>
              <w:rPr>
                <w:rFonts w:ascii="Arial" w:cs="Arial" w:eastAsia="Arial" w:hAnsi="Arial"/>
                <w:sz w:val="11"/>
                <w:szCs w:val="11"/>
                <w:color w:val="auto"/>
              </w:rPr>
              <w:t>Allowance for loan losses to period-end loans</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0.22</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2"/>
        </w:trPr>
        <w:tc>
          <w:tcPr>
            <w:tcW w:w="2640" w:type="dxa"/>
            <w:vAlign w:val="bottom"/>
            <w:gridSpan w:val="4"/>
          </w:tcPr>
          <w:p>
            <w:pPr>
              <w:spacing w:after="0"/>
              <w:rPr>
                <w:sz w:val="20"/>
                <w:szCs w:val="20"/>
                <w:color w:val="auto"/>
              </w:rPr>
            </w:pPr>
            <w:r>
              <w:rPr>
                <w:rFonts w:ascii="Arial" w:cs="Arial" w:eastAsia="Arial" w:hAnsi="Arial"/>
                <w:sz w:val="11"/>
                <w:szCs w:val="11"/>
                <w:color w:val="auto"/>
              </w:rPr>
              <w:t>Allowance for loan losses to nonaccrual loans</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77</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59"/>
        </w:trPr>
        <w:tc>
          <w:tcPr>
            <w:tcW w:w="2640" w:type="dxa"/>
            <w:vAlign w:val="bottom"/>
            <w:gridSpan w:val="4"/>
          </w:tcPr>
          <w:p>
            <w:pPr>
              <w:spacing w:after="0"/>
              <w:rPr>
                <w:sz w:val="20"/>
                <w:szCs w:val="20"/>
                <w:color w:val="auto"/>
              </w:rPr>
            </w:pPr>
            <w:r>
              <w:rPr>
                <w:rFonts w:ascii="Arial" w:cs="Arial" w:eastAsia="Arial" w:hAnsi="Arial"/>
                <w:sz w:val="11"/>
                <w:szCs w:val="11"/>
                <w:color w:val="auto"/>
              </w:rPr>
              <w:t>Nonaccrual loans to period-end loans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0.42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0.28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0.33</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0.42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0.33</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6910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9100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(a) Includes $107 million of nonaccrual loans held-for-sale at March 31, 2025, which are excluded from the allowance coverage ratio calculations.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21</w:t>
      </w:r>
    </w:p>
    <w:p>
      <w:pPr>
        <w:sectPr>
          <w:pgSz w:w="11900" w:h="16838" w:orient="portrait"/>
          <w:cols w:equalWidth="0" w:num="1">
            <w:col w:w="11240"/>
          </w:cols>
          <w:pgMar w:left="320" w:top="564"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-46355</wp:posOffset>
            </wp:positionV>
            <wp:extent cx="1371600" cy="193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billions)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5"/>
          </w:tcPr>
          <w:p>
            <w:pPr>
              <w:jc w:val="center"/>
              <w:ind w:right="420"/>
              <w:spacing w:after="0"/>
              <w:rPr>
                <w:sz w:val="20"/>
                <w:szCs w:val="20"/>
                <w:color w:val="auto"/>
              </w:rPr>
            </w:pPr>
            <w:r>
              <w:rPr>
                <w:rFonts w:ascii="Arial" w:cs="Arial" w:eastAsia="Arial" w:hAnsi="Arial"/>
                <w:sz w:val="11"/>
                <w:szCs w:val="11"/>
                <w:b w:val="1"/>
                <w:bCs w:val="1"/>
                <w:color w:val="auto"/>
                <w:w w:val="94"/>
              </w:rPr>
              <w:t>Jun 30, 2025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427"/>
              <w:spacing w:after="0"/>
              <w:rPr>
                <w:sz w:val="20"/>
                <w:szCs w:val="20"/>
                <w:color w:val="auto"/>
              </w:rPr>
            </w:pPr>
            <w:r>
              <w:rPr>
                <w:rFonts w:ascii="Arial" w:cs="Arial" w:eastAsia="Arial" w:hAnsi="Arial"/>
                <w:sz w:val="11"/>
                <w:szCs w:val="11"/>
                <w:b w:val="1"/>
                <w:bCs w:val="1"/>
                <w:color w:val="auto"/>
                <w:w w:val="94"/>
              </w:rPr>
              <w:t>Change</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32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3"/>
                <w:szCs w:val="13"/>
                <w:color w:val="auto"/>
              </w:rPr>
            </w:pPr>
          </w:p>
        </w:tc>
        <w:tc>
          <w:tcPr>
            <w:tcW w:w="480" w:type="dxa"/>
            <w:vAlign w:val="bottom"/>
          </w:tcPr>
          <w:p>
            <w:pPr>
              <w:jc w:val="right"/>
              <w:ind w:right="47"/>
              <w:spacing w:after="0"/>
              <w:rPr>
                <w:sz w:val="20"/>
                <w:szCs w:val="20"/>
                <w:color w:val="auto"/>
              </w:rPr>
            </w:pPr>
            <w:r>
              <w:rPr>
                <w:rFonts w:ascii="Arial" w:cs="Arial" w:eastAsia="Arial" w:hAnsi="Arial"/>
                <w:sz w:val="11"/>
                <w:szCs w:val="11"/>
                <w:b w:val="1"/>
                <w:bCs w:val="1"/>
                <w:color w:val="auto"/>
                <w:w w:val="94"/>
              </w:rPr>
              <w:t>Jun 30,</w:t>
            </w:r>
          </w:p>
        </w:tc>
        <w:tc>
          <w:tcPr>
            <w:tcW w:w="200" w:type="dxa"/>
            <w:vAlign w:val="bottom"/>
          </w:tcPr>
          <w:p>
            <w:pPr>
              <w:spacing w:after="0"/>
              <w:rPr>
                <w:sz w:val="13"/>
                <w:szCs w:val="13"/>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Mar 31,</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Borders>
              <w:bottom w:val="single" w:sz="8" w:color="auto"/>
            </w:tcBorders>
          </w:tcPr>
          <w:p>
            <w:pPr>
              <w:spacing w:after="0" w:line="120" w:lineRule="exact"/>
              <w:rPr>
                <w:sz w:val="20"/>
                <w:szCs w:val="20"/>
                <w:color w:val="auto"/>
              </w:rPr>
            </w:pPr>
            <w:r>
              <w:rPr>
                <w:rFonts w:ascii="Arial" w:cs="Arial" w:eastAsia="Arial" w:hAnsi="Arial"/>
                <w:sz w:val="11"/>
                <w:szCs w:val="11"/>
                <w:b w:val="1"/>
                <w:bCs w:val="1"/>
                <w:color w:val="auto"/>
                <w:w w:val="94"/>
              </w:rPr>
              <w:t>CLIENT ASSETS</w:t>
            </w: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2024</w:t>
            </w:r>
          </w:p>
        </w:tc>
        <w:tc>
          <w:tcPr>
            <w:tcW w:w="760" w:type="dxa"/>
            <w:vAlign w:val="bottom"/>
            <w:gridSpan w:val="2"/>
          </w:tcPr>
          <w:p>
            <w:pPr>
              <w:jc w:val="right"/>
              <w:ind w:right="107"/>
              <w:spacing w:after="0" w:line="120" w:lineRule="exact"/>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2024</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2024</w:t>
            </w:r>
          </w:p>
        </w:tc>
        <w:tc>
          <w:tcPr>
            <w:tcW w:w="960" w:type="dxa"/>
            <w:vAlign w:val="bottom"/>
            <w:gridSpan w:val="2"/>
          </w:tcPr>
          <w:p>
            <w:pPr>
              <w:jc w:val="right"/>
              <w:ind w:right="207"/>
              <w:spacing w:after="0" w:line="120" w:lineRule="exact"/>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Assets by asset class</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Liquidity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1,131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1,120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1,083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983</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953</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19 %</w:t>
            </w:r>
          </w:p>
        </w:tc>
        <w:tc>
          <w:tcPr>
            <w:tcW w:w="4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1,131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953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851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854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785</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925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785</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1,258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1,128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1,128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1,094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1,017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1,258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1,017</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809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764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764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763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719</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809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719</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Alternatives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208</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208</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4,343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4,113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b w:val="1"/>
                <w:bCs w:val="1"/>
                <w:color w:val="auto"/>
              </w:rPr>
              <w:t>3,904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3,682</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b w:val="1"/>
                <w:bCs w:val="1"/>
                <w:color w:val="auto"/>
              </w:rPr>
              <w:t>4,343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b w:val="1"/>
                <w:bCs w:val="1"/>
                <w:color w:val="auto"/>
              </w:rPr>
              <w:t>3,682</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Custody/brokerage/administration/deposits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2,078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1,887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1,817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1,705</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2,078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1,705</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6,421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6,002</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5,721</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5,387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6,421</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5,387</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1"/>
                <w:szCs w:val="11"/>
                <w:b w:val="1"/>
                <w:bCs w:val="1"/>
                <w:color w:val="auto"/>
              </w:rPr>
              <w:t>Assets by client segment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Private Banking (b)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1,270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1,201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1,162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1,115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1,036</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4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1,270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1,036</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1,772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1,705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1,692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1,622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1,540</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1,772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1,540</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Global Funds (b)</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1,301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1,191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1,167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1,106</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1,301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1,106</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4,343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4,113</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3,904</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3,682</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4,343</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3,682</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Private Banking (b)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3,191</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2,949</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2,902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2,806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2,620</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440" w:type="dxa"/>
            <w:vAlign w:val="bottom"/>
          </w:tcPr>
          <w:p>
            <w:pPr>
              <w:spacing w:after="0"/>
              <w:rPr>
                <w:sz w:val="24"/>
                <w:szCs w:val="2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3,191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2,620</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1,907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1,828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1,739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1,654</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1,907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1,654</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Global Funds (b)</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1,323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1,210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1,176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1,113</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1,113</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6,421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6,002</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5,721</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5,387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6,421</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5,387</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1"/>
                <w:szCs w:val="11"/>
                <w:b w:val="1"/>
                <w:bCs w:val="1"/>
                <w:color w:val="auto"/>
              </w:rPr>
              <w:t>Assets under management rollforward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4,113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4,045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3,904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3,682</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3,564</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4,045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3,422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color w:val="auto"/>
              </w:rPr>
              <w:t>Liquidity</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38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53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52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color w:val="auto"/>
              </w:rPr>
              <w:t>Alternatives</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162</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4,343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4,113</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3,904</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3,682</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4,343</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3,682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1"/>
                <w:szCs w:val="11"/>
                <w:b w:val="1"/>
                <w:bCs w:val="1"/>
                <w:color w:val="auto"/>
              </w:rPr>
              <w:t>Client assets rollforward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6,002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5,932</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5,721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5,387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5,219</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5,932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5,012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79</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200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122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89</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253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6,421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6,002</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5,721</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5,387</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6,421</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5,387</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1"/>
                <w:szCs w:val="11"/>
                <w:b w:val="1"/>
                <w:bCs w:val="1"/>
                <w:color w:val="auto"/>
              </w:rPr>
              <w:t>BUSINESS METRICS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b w:val="1"/>
                <w:bCs w:val="1"/>
                <w:color w:val="auto"/>
              </w:rPr>
              <w:t>Firmwide Wealth Management</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Client assets (in billions) (c)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4,087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3,791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3,756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3,648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3,427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4,087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3,427</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Number of client advisors</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9,704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9,641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9,530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9,528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9,181</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9,704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9,181</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1"/>
                <w:szCs w:val="11"/>
                <w:b w:val="1"/>
                <w:bCs w:val="1"/>
                <w:color w:val="auto"/>
              </w:rPr>
              <w:t>Stock Plan Administration (d)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Number of stock plan participants (in thousands)</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1,327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1,118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1,118</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43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1,594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1,118</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Client assets (in billions)</w:t>
            </w:r>
          </w:p>
        </w:tc>
        <w:tc>
          <w:tcPr>
            <w:tcW w:w="8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254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249</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26</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314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249</w:t>
            </w:r>
          </w:p>
        </w:tc>
        <w:tc>
          <w:tcPr>
            <w:tcW w:w="960" w:type="dxa"/>
            <w:vAlign w:val="bottom"/>
            <w:gridSpan w:val="2"/>
          </w:tcPr>
          <w:p>
            <w:pPr>
              <w:jc w:val="right"/>
              <w:ind w:right="8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hanging="154"/>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Includes CCB client investment assets invested in managed accounts and J.P. Morgan mutual funds where AWM is the investment manager.</w:t>
      </w:r>
    </w:p>
    <w:p>
      <w:pPr>
        <w:spacing w:after="0" w:line="2" w:lineRule="exact"/>
        <w:rPr>
          <w:rFonts w:ascii="Arial" w:cs="Arial" w:eastAsia="Arial" w:hAnsi="Arial"/>
          <w:sz w:val="11"/>
          <w:szCs w:val="11"/>
          <w:color w:val="auto"/>
        </w:rPr>
      </w:pPr>
    </w:p>
    <w:p>
      <w:pPr>
        <w:ind w:left="160" w:right="200" w:hanging="154"/>
        <w:spacing w:after="0" w:line="238" w:lineRule="auto"/>
        <w:tabs>
          <w:tab w:leader="none" w:pos="157"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 the first quarter of 2025, the Firm realigned certain client assets from Private Banking to Global Funds to reflect them in the client segment where the assets are invested. Prior period amounts have been revised to conform with the current presentation.</w:t>
      </w:r>
    </w:p>
    <w:p>
      <w:pPr>
        <w:ind w:left="160" w:hanging="154"/>
        <w:spacing w:after="0" w:line="226" w:lineRule="auto"/>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Consists of Global Private Bank in AWM and client investment assets in J.P. Morgan Wealth Management in CCB.</w:t>
      </w:r>
    </w:p>
    <w:p>
      <w:pPr>
        <w:ind w:left="160" w:hanging="154"/>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increase in the fourth quarter of 2024 includes the impact of onboarding participants in the Firm’s employee stock plans into an equity plan administration platform that was acquired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22</w:t>
      </w:r>
    </w:p>
    <w:p>
      <w:pPr>
        <w:sectPr>
          <w:pgSz w:w="11900" w:h="16838" w:orient="portrait"/>
          <w:cols w:equalWidth="0" w:num="1">
            <w:col w:w="11240"/>
          </w:cols>
          <w:pgMar w:left="320" w:top="564"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-46355</wp:posOffset>
            </wp:positionV>
            <wp:extent cx="1371600" cy="193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employee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ind w:left="42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48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1"/>
                <w:szCs w:val="11"/>
                <w:b w:val="1"/>
                <w:bCs w:val="1"/>
                <w:color w:val="auto"/>
              </w:rPr>
              <w:t>2Q25 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2025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2Q25</w:t>
            </w: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1Q25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4Q24</w:t>
            </w:r>
          </w:p>
        </w:tc>
        <w:tc>
          <w:tcPr>
            <w:tcW w:w="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3Q24</w:t>
            </w: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2Q24</w:t>
            </w:r>
          </w:p>
        </w:tc>
        <w:tc>
          <w:tcPr>
            <w:tcW w:w="24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1Q25</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2Q24</w:t>
            </w: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320" w:type="dxa"/>
            <w:vAlign w:val="bottom"/>
          </w:tcPr>
          <w:p>
            <w:pPr>
              <w:spacing w:after="0"/>
              <w:rPr>
                <w:sz w:val="13"/>
                <w:szCs w:val="13"/>
                <w:color w:val="auto"/>
              </w:rPr>
            </w:pPr>
          </w:p>
        </w:tc>
        <w:tc>
          <w:tcPr>
            <w:tcW w:w="720" w:type="dxa"/>
            <w:vAlign w:val="bottom"/>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20" w:type="dxa"/>
            <w:vAlign w:val="bottom"/>
            <w:gridSpan w:val="5"/>
          </w:tcPr>
          <w:p>
            <w:pPr>
              <w:spacing w:after="0" w:line="106" w:lineRule="exact"/>
              <w:rPr>
                <w:sz w:val="20"/>
                <w:szCs w:val="20"/>
                <w:color w:val="auto"/>
              </w:rPr>
            </w:pPr>
            <w:r>
              <w:rPr>
                <w:rFonts w:ascii="Arial" w:cs="Arial" w:eastAsia="Arial" w:hAnsi="Arial"/>
                <w:sz w:val="11"/>
                <w:szCs w:val="11"/>
                <w:b w:val="1"/>
                <w:bCs w:val="1"/>
                <w:color w:val="auto"/>
              </w:rPr>
              <w:t>INCOME STATEMENT</w:t>
            </w: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REVENUE</w:t>
            </w:r>
          </w:p>
        </w:tc>
        <w:tc>
          <w:tcPr>
            <w:tcW w:w="11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Principal transactions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(87)</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60</w:t>
            </w: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38 %</w:t>
            </w:r>
          </w:p>
        </w:tc>
        <w:tc>
          <w:tcPr>
            <w:tcW w:w="220" w:type="dxa"/>
            <w:vAlign w:val="bottom"/>
          </w:tcPr>
          <w:p>
            <w:pPr>
              <w:spacing w:after="0"/>
              <w:rPr>
                <w:sz w:val="13"/>
                <w:szCs w:val="13"/>
                <w:color w:val="auto"/>
              </w:rPr>
            </w:pPr>
          </w:p>
        </w:tc>
        <w:tc>
          <w:tcPr>
            <w:tcW w:w="94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(141)</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125</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Investment securities losses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(546)</w:t>
            </w:r>
          </w:p>
        </w:tc>
        <w:tc>
          <w:tcPr>
            <w:tcW w:w="24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90 %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(912)</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90 %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777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8,244</w:t>
            </w:r>
          </w:p>
        </w:tc>
        <w:tc>
          <w:tcPr>
            <w:tcW w:w="240" w:type="dxa"/>
            <w:vAlign w:val="bottom"/>
          </w:tcPr>
          <w:p>
            <w:pPr>
              <w:ind w:left="20"/>
              <w:spacing w:after="0"/>
              <w:rPr>
                <w:sz w:val="20"/>
                <w:szCs w:val="20"/>
                <w:color w:val="auto"/>
              </w:rPr>
            </w:pPr>
            <w:r>
              <w:rPr>
                <w:rFonts w:ascii="Arial" w:cs="Arial" w:eastAsia="Arial" w:hAnsi="Arial"/>
                <w:sz w:val="11"/>
                <w:szCs w:val="11"/>
                <w:color w:val="auto"/>
              </w:rPr>
              <w:t>(i)</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(98)</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934</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8,270</w:t>
            </w:r>
          </w:p>
        </w:tc>
        <w:tc>
          <w:tcPr>
            <w:tcW w:w="320" w:type="dxa"/>
            <w:vAlign w:val="bottom"/>
          </w:tcPr>
          <w:p>
            <w:pPr>
              <w:ind w:left="20"/>
              <w:spacing w:after="0"/>
              <w:rPr>
                <w:sz w:val="20"/>
                <w:szCs w:val="20"/>
                <w:color w:val="auto"/>
              </w:rPr>
            </w:pPr>
            <w:r>
              <w:rPr>
                <w:rFonts w:ascii="Arial" w:cs="Arial" w:eastAsia="Arial" w:hAnsi="Arial"/>
                <w:sz w:val="11"/>
                <w:szCs w:val="11"/>
                <w:color w:val="auto"/>
              </w:rPr>
              <w:t>(i)</w:t>
            </w: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49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653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155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7,758</w:t>
            </w:r>
          </w:p>
        </w:tc>
        <w:tc>
          <w:tcPr>
            <w:tcW w:w="24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(92)</w:t>
            </w:r>
          </w:p>
        </w:tc>
        <w:tc>
          <w:tcPr>
            <w:tcW w:w="2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(99)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702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7,483</w:t>
            </w:r>
          </w:p>
        </w:tc>
        <w:tc>
          <w:tcPr>
            <w:tcW w:w="320" w:type="dxa"/>
            <w:vAlign w:val="bottom"/>
          </w:tcPr>
          <w:p>
            <w:pPr>
              <w:spacing w:after="0"/>
              <w:rPr>
                <w:sz w:val="12"/>
                <w:szCs w:val="12"/>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1,651</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2,030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2,915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2,364</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3,140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4,841</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1,538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2,304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3,070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10,122</w:t>
            </w:r>
          </w:p>
        </w:tc>
        <w:tc>
          <w:tcPr>
            <w:tcW w:w="24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3,842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12,324</w:t>
            </w:r>
          </w:p>
        </w:tc>
        <w:tc>
          <w:tcPr>
            <w:tcW w:w="320" w:type="dxa"/>
            <w:vAlign w:val="bottom"/>
          </w:tcPr>
          <w:p>
            <w:pPr>
              <w:spacing w:after="0"/>
              <w:rPr>
                <w:sz w:val="12"/>
                <w:szCs w:val="12"/>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24"/>
                <w:szCs w:val="24"/>
                <w:color w:val="auto"/>
              </w:rPr>
            </w:pPr>
          </w:p>
        </w:tc>
        <w:tc>
          <w:tcPr>
            <w:tcW w:w="74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400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32</w:t>
            </w:r>
          </w:p>
        </w:tc>
        <w:tc>
          <w:tcPr>
            <w:tcW w:w="320" w:type="dxa"/>
            <w:vAlign w:val="bottom"/>
          </w:tcPr>
          <w:p>
            <w:pPr>
              <w:spacing w:after="0"/>
              <w:rPr>
                <w:sz w:val="24"/>
                <w:szCs w:val="2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547</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185</w:t>
            </w:r>
          </w:p>
        </w:tc>
        <w:tc>
          <w:tcPr>
            <w:tcW w:w="26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550</w:t>
            </w: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589</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1,579</w:t>
            </w:r>
          </w:p>
        </w:tc>
        <w:tc>
          <w:tcPr>
            <w:tcW w:w="240" w:type="dxa"/>
            <w:vAlign w:val="bottom"/>
          </w:tcPr>
          <w:p>
            <w:pPr>
              <w:ind w:left="20"/>
              <w:spacing w:after="0"/>
              <w:rPr>
                <w:sz w:val="20"/>
                <w:szCs w:val="20"/>
                <w:color w:val="auto"/>
              </w:rPr>
            </w:pPr>
            <w:r>
              <w:rPr>
                <w:rFonts w:ascii="Arial" w:cs="Arial" w:eastAsia="Arial" w:hAnsi="Arial"/>
                <w:sz w:val="11"/>
                <w:szCs w:val="11"/>
                <w:color w:val="auto"/>
              </w:rPr>
              <w:t>(j)</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196</w:t>
            </w:r>
          </w:p>
        </w:tc>
        <w:tc>
          <w:tcPr>
            <w:tcW w:w="220" w:type="dxa"/>
            <w:vAlign w:val="bottom"/>
          </w:tcPr>
          <w:p>
            <w:pPr>
              <w:spacing w:after="0"/>
              <w:rPr>
                <w:sz w:val="24"/>
                <w:szCs w:val="2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(65)</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732</w:t>
            </w:r>
          </w:p>
        </w:tc>
        <w:tc>
          <w:tcPr>
            <w:tcW w:w="320" w:type="dxa"/>
            <w:vAlign w:val="bottom"/>
          </w:tcPr>
          <w:p>
            <w:pPr>
              <w:jc w:val="right"/>
              <w:ind w:right="147"/>
              <w:spacing w:after="0"/>
              <w:rPr>
                <w:sz w:val="20"/>
                <w:szCs w:val="20"/>
                <w:color w:val="auto"/>
              </w:rPr>
            </w:pPr>
            <w:r>
              <w:rPr>
                <w:rFonts w:ascii="Arial" w:cs="Arial" w:eastAsia="Arial" w:hAnsi="Arial"/>
                <w:sz w:val="11"/>
                <w:szCs w:val="11"/>
                <w:color w:val="auto"/>
                <w:w w:val="95"/>
              </w:rPr>
              <w:t>(f)</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2,855</w:t>
            </w:r>
          </w:p>
        </w:tc>
        <w:tc>
          <w:tcPr>
            <w:tcW w:w="320" w:type="dxa"/>
            <w:vAlign w:val="bottom"/>
          </w:tcPr>
          <w:p>
            <w:pPr>
              <w:ind w:left="20"/>
              <w:spacing w:after="0"/>
              <w:rPr>
                <w:sz w:val="20"/>
                <w:szCs w:val="20"/>
                <w:color w:val="auto"/>
              </w:rPr>
            </w:pPr>
            <w:r>
              <w:rPr>
                <w:rFonts w:ascii="Arial" w:cs="Arial" w:eastAsia="Arial" w:hAnsi="Arial"/>
                <w:sz w:val="11"/>
                <w:szCs w:val="11"/>
                <w:color w:val="auto"/>
              </w:rPr>
              <w:t>(f)(j)</w:t>
            </w: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966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2,138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1,468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2,485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8,538</w:t>
            </w:r>
          </w:p>
        </w:tc>
        <w:tc>
          <w:tcPr>
            <w:tcW w:w="24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(55)</w:t>
            </w:r>
          </w:p>
        </w:tc>
        <w:tc>
          <w:tcPr>
            <w:tcW w:w="2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3,104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9,437</w:t>
            </w:r>
          </w:p>
        </w:tc>
        <w:tc>
          <w:tcPr>
            <w:tcW w:w="320" w:type="dxa"/>
            <w:vAlign w:val="bottom"/>
          </w:tcPr>
          <w:p>
            <w:pPr>
              <w:spacing w:after="0"/>
              <w:rPr>
                <w:sz w:val="12"/>
                <w:szCs w:val="12"/>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Income tax expense/(benefit)</w:t>
            </w:r>
          </w:p>
        </w:tc>
        <w:tc>
          <w:tcPr>
            <w:tcW w:w="80" w:type="dxa"/>
            <w:vAlign w:val="bottom"/>
          </w:tcPr>
          <w:p>
            <w:pPr>
              <w:spacing w:after="0"/>
              <w:rPr>
                <w:sz w:val="14"/>
                <w:szCs w:val="14"/>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auto"/>
              </w:rPr>
              <w:t>(729) (e)</w:t>
            </w: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1,759</w:t>
            </w:r>
          </w:p>
        </w:tc>
        <w:tc>
          <w:tcPr>
            <w:tcW w:w="24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94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4"/>
                <w:szCs w:val="14"/>
                <w:color w:val="auto"/>
              </w:rPr>
            </w:pPr>
          </w:p>
        </w:tc>
        <w:tc>
          <w:tcPr>
            <w:tcW w:w="860" w:type="dxa"/>
            <w:vAlign w:val="bottom"/>
            <w:gridSpan w:val="2"/>
          </w:tcPr>
          <w:p>
            <w:pPr>
              <w:jc w:val="right"/>
              <w:ind w:right="107"/>
              <w:spacing w:after="0"/>
              <w:rPr>
                <w:sz w:val="20"/>
                <w:szCs w:val="20"/>
                <w:color w:val="auto"/>
              </w:rPr>
            </w:pPr>
            <w:r>
              <w:rPr>
                <w:rFonts w:ascii="Arial" w:cs="Arial" w:eastAsia="Arial" w:hAnsi="Arial"/>
                <w:sz w:val="11"/>
                <w:szCs w:val="11"/>
                <w:color w:val="auto"/>
              </w:rPr>
              <w:t>(284) (e)</w:t>
            </w: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1,982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1,695</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1,693</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1,336</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1,810</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6,779</w:t>
            </w:r>
          </w:p>
        </w:tc>
        <w:tc>
          <w:tcPr>
            <w:tcW w:w="2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(75)</w:t>
            </w:r>
          </w:p>
        </w:tc>
        <w:tc>
          <w:tcPr>
            <w:tcW w:w="4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3,388</w:t>
            </w: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7,455</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MEMO:</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Treasury and Chief Investment Office (“CIO”)</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1,649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1,564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2,083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3,154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2,084</w:t>
            </w:r>
          </w:p>
        </w:tc>
        <w:tc>
          <w:tcPr>
            <w:tcW w:w="2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3,213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4,401</w:t>
            </w:r>
          </w:p>
        </w:tc>
        <w:tc>
          <w:tcPr>
            <w:tcW w:w="32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740</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8,038</w:t>
            </w:r>
          </w:p>
        </w:tc>
        <w:tc>
          <w:tcPr>
            <w:tcW w:w="24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94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629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7,923</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1,538</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2,304</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2,000</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3,070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10,122</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(85)</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3,842</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12,324</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NET INCOME/(LOSS)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Treasury and CIO</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1,158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1,568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2,291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1,513</w:t>
            </w:r>
          </w:p>
        </w:tc>
        <w:tc>
          <w:tcPr>
            <w:tcW w:w="24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2,279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3,154</w:t>
            </w:r>
          </w:p>
        </w:tc>
        <w:tc>
          <w:tcPr>
            <w:tcW w:w="32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574</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535</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5,266</w:t>
            </w:r>
          </w:p>
        </w:tc>
        <w:tc>
          <w:tcPr>
            <w:tcW w:w="24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(89)</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4,301</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1,695</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1,693</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1,336</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1,810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6,779</w:t>
            </w:r>
          </w:p>
        </w:tc>
        <w:tc>
          <w:tcPr>
            <w:tcW w:w="2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(75)</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3,388</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7,455</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800" w:type="dxa"/>
            <w:vAlign w:val="bottom"/>
            <w:tcBorders>
              <w:top w:val="single" w:sz="8" w:color="auto"/>
            </w:tcBorders>
            <w:gridSpan w:val="4"/>
          </w:tcPr>
          <w:p>
            <w:pPr>
              <w:spacing w:after="0" w:line="86" w:lineRule="exact"/>
              <w:rPr>
                <w:sz w:val="20"/>
                <w:szCs w:val="20"/>
                <w:color w:val="auto"/>
              </w:rPr>
            </w:pPr>
            <w:r>
              <w:rPr>
                <w:rFonts w:ascii="Arial" w:cs="Arial" w:eastAsia="Arial" w:hAnsi="Arial"/>
                <w:sz w:val="8"/>
                <w:szCs w:val="8"/>
                <w:b w:val="1"/>
                <w:bCs w:val="1"/>
                <w:color w:val="auto"/>
              </w:rPr>
              <w:t>(period-end)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Total assets</w:t>
            </w:r>
          </w:p>
        </w:tc>
        <w:tc>
          <w:tcPr>
            <w:tcW w:w="1600" w:type="dxa"/>
            <w:vAlign w:val="bottom"/>
            <w:gridSpan w:val="4"/>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1,370,312</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1,289,274</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1,323,967</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20"/>
              <w:spacing w:after="0"/>
              <w:rPr>
                <w:sz w:val="20"/>
                <w:szCs w:val="20"/>
                <w:color w:val="auto"/>
              </w:rPr>
            </w:pPr>
            <w:r>
              <w:rPr>
                <w:rFonts w:ascii="Arial" w:cs="Arial" w:eastAsia="Arial" w:hAnsi="Arial"/>
                <w:sz w:val="11"/>
                <w:szCs w:val="11"/>
                <w:color w:val="auto"/>
              </w:rPr>
              <w:t>1,276,238  (h)</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1,318,119</w:t>
            </w:r>
          </w:p>
        </w:tc>
        <w:tc>
          <w:tcPr>
            <w:tcW w:w="2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1,370,312</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1,318,119</w:t>
            </w:r>
          </w:p>
        </w:tc>
        <w:tc>
          <w:tcPr>
            <w:tcW w:w="3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2,033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2,478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1,964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2,302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2,408</w:t>
            </w:r>
          </w:p>
        </w:tc>
        <w:tc>
          <w:tcPr>
            <w:tcW w:w="24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2,033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2,408</w:t>
            </w:r>
          </w:p>
        </w:tc>
        <w:tc>
          <w:tcPr>
            <w:tcW w:w="32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Deposits (b)</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27,952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25,064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27,581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30,170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26,073</w:t>
            </w:r>
          </w:p>
        </w:tc>
        <w:tc>
          <w:tcPr>
            <w:tcW w:w="2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27,952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26,073</w:t>
            </w:r>
          </w:p>
        </w:tc>
        <w:tc>
          <w:tcPr>
            <w:tcW w:w="3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Employees</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49,662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50,676</w:t>
            </w:r>
          </w:p>
        </w:tc>
        <w:tc>
          <w:tcPr>
            <w:tcW w:w="26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49,610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49,213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47,828</w:t>
            </w:r>
          </w:p>
        </w:tc>
        <w:tc>
          <w:tcPr>
            <w:tcW w:w="240" w:type="dxa"/>
            <w:vAlign w:val="bottom"/>
          </w:tcPr>
          <w:p>
            <w:pPr>
              <w:spacing w:after="0"/>
              <w:rPr>
                <w:sz w:val="24"/>
                <w:szCs w:val="2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24"/>
                <w:szCs w:val="2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49,662</w:t>
            </w:r>
          </w:p>
        </w:tc>
        <w:tc>
          <w:tcPr>
            <w:tcW w:w="320" w:type="dxa"/>
            <w:vAlign w:val="bottom"/>
          </w:tcPr>
          <w:p>
            <w:pPr>
              <w:jc w:val="right"/>
              <w:ind w:right="107"/>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47,828</w:t>
            </w:r>
          </w:p>
        </w:tc>
        <w:tc>
          <w:tcPr>
            <w:tcW w:w="320" w:type="dxa"/>
            <w:vAlign w:val="bottom"/>
          </w:tcPr>
          <w:p>
            <w:pPr>
              <w:spacing w:after="0"/>
              <w:rPr>
                <w:sz w:val="24"/>
                <w:szCs w:val="2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4"/>
              </w:rPr>
              <w:t>SUPPLEMENTAL INFORMATION</w:t>
            </w:r>
          </w:p>
        </w:tc>
        <w:tc>
          <w:tcPr>
            <w:tcW w:w="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TREASURY and CIO</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Investment securities losses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90</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(912)</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Available-for-sale securities (average)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462,179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391,997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371,415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306,244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247,304</w:t>
            </w:r>
          </w:p>
        </w:tc>
        <w:tc>
          <w:tcPr>
            <w:tcW w:w="2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87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427,282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235,124</w:t>
            </w:r>
          </w:p>
        </w:tc>
        <w:tc>
          <w:tcPr>
            <w:tcW w:w="3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Held-to-maturity securities (average) (c)</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262,479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269,906</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286,993</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313,898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330,347</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266,172</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342,553</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Investment securities portfolio (average)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724,658</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661,903</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658,408</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620,142</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577,651</w:t>
            </w:r>
          </w:p>
        </w:tc>
        <w:tc>
          <w:tcPr>
            <w:tcW w:w="24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693,454</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577,677</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Available-for-sale securities (period-end)</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482,269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396,316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403,796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331,715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263,624</w:t>
            </w:r>
          </w:p>
        </w:tc>
        <w:tc>
          <w:tcPr>
            <w:tcW w:w="2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83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482,269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263,624</w:t>
            </w:r>
          </w:p>
        </w:tc>
        <w:tc>
          <w:tcPr>
            <w:tcW w:w="3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Held-to-maturity securities (period-end) (c)</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260,559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265,084</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274,468</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299,954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323,746</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260,559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323,746</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20" w:type="dxa"/>
            <w:vAlign w:val="bottom"/>
            <w:gridSpan w:val="5"/>
          </w:tcPr>
          <w:p>
            <w:pPr>
              <w:spacing w:after="0" w:line="93" w:lineRule="exact"/>
              <w:rPr>
                <w:sz w:val="20"/>
                <w:szCs w:val="20"/>
                <w:color w:val="auto"/>
              </w:rPr>
            </w:pPr>
            <w:r>
              <w:rPr>
                <w:rFonts w:ascii="Arial" w:cs="Arial" w:eastAsia="Arial" w:hAnsi="Arial"/>
                <w:sz w:val="10"/>
                <w:szCs w:val="10"/>
                <w:color w:val="auto"/>
              </w:rPr>
              <w:t>Investment securities portfolio, net of</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742,828</w:t>
            </w:r>
          </w:p>
        </w:tc>
        <w:tc>
          <w:tcPr>
            <w:tcW w:w="2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661,400</w:t>
            </w:r>
          </w:p>
        </w:tc>
        <w:tc>
          <w:tcPr>
            <w:tcW w:w="2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678,264</w:t>
            </w:r>
          </w:p>
        </w:tc>
        <w:tc>
          <w:tcPr>
            <w:tcW w:w="2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631,669</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587,370</w:t>
            </w:r>
          </w:p>
        </w:tc>
        <w:tc>
          <w:tcPr>
            <w:tcW w:w="240" w:type="dxa"/>
            <w:vAlign w:val="bottom"/>
          </w:tcPr>
          <w:p>
            <w:pPr>
              <w:spacing w:after="0"/>
              <w:rPr>
                <w:sz w:val="8"/>
                <w:szCs w:val="8"/>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8"/>
                <w:szCs w:val="8"/>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26</w:t>
            </w:r>
          </w:p>
        </w:tc>
        <w:tc>
          <w:tcPr>
            <w:tcW w:w="4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742,828</w:t>
            </w:r>
          </w:p>
        </w:tc>
        <w:tc>
          <w:tcPr>
            <w:tcW w:w="3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587,370</w:t>
            </w:r>
          </w:p>
        </w:tc>
        <w:tc>
          <w:tcPr>
            <w:tcW w:w="32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gridSpan w:val="5"/>
          </w:tcPr>
          <w:p>
            <w:pPr>
              <w:ind w:left="80"/>
              <w:spacing w:after="0"/>
              <w:rPr>
                <w:sz w:val="20"/>
                <w:szCs w:val="20"/>
                <w:color w:val="auto"/>
              </w:rPr>
            </w:pPr>
            <w:r>
              <w:rPr>
                <w:rFonts w:ascii="Arial" w:cs="Arial" w:eastAsia="Arial" w:hAnsi="Arial"/>
                <w:sz w:val="11"/>
                <w:szCs w:val="11"/>
                <w:color w:val="auto"/>
              </w:rPr>
              <w:t>allowance for credit losses (period-end) (d)</w:t>
            </w: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right="300" w:hanging="154"/>
        <w:spacing w:after="0" w:line="245" w:lineRule="auto"/>
        <w:tabs>
          <w:tab w:leader="none" w:pos="157"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Included tax-equivalent adjustments, predominantly driven by tax-exempt income from municipal bonds, of $38 million, $36 million, $44 million, $44 million and $45 million for the three months ended June 30, 2025, March 31, 2025, December 31, 2024, September 30, 2024 and June 30, 2024, respectively, and $74 million and $94 million for the six months ended June 30, 2025 and 2024, respectively.</w:t>
      </w:r>
    </w:p>
    <w:p>
      <w:pPr>
        <w:ind w:left="160" w:hanging="154"/>
        <w:spacing w:after="0" w:line="206" w:lineRule="auto"/>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Predominantly relates to the Firm's international consumer initiatives.</w:t>
      </w:r>
    </w:p>
    <w:p>
      <w:pPr>
        <w:ind w:left="160" w:right="160" w:hanging="154"/>
        <w:spacing w:after="0" w:line="236" w:lineRule="auto"/>
        <w:tabs>
          <w:tab w:leader="none" w:pos="151" w:val="left"/>
        </w:tabs>
        <w:numPr>
          <w:ilvl w:val="0"/>
          <w:numId w:val="33"/>
        </w:numPr>
        <w:rPr>
          <w:rFonts w:ascii="Arial" w:cs="Arial" w:eastAsia="Arial" w:hAnsi="Arial"/>
          <w:sz w:val="11"/>
          <w:szCs w:val="11"/>
          <w:color w:val="auto"/>
        </w:rPr>
      </w:pPr>
      <w:r>
        <w:rPr>
          <w:rFonts w:ascii="Arial" w:cs="Arial" w:eastAsia="Arial" w:hAnsi="Arial"/>
          <w:sz w:val="11"/>
          <w:szCs w:val="11"/>
          <w:color w:val="auto"/>
        </w:rPr>
        <w:t>At June 30, 2025, March 31, 2025, December 31, 2024, September 30, 2024 and June 30, 2024, the estimated fair value of the HTM securities portfolio was $239.3 billion, $242.3 billion, $247.9 billion, $279.6 billion and $294.8 billion, respectively.</w:t>
      </w:r>
    </w:p>
    <w:p>
      <w:pPr>
        <w:ind w:left="160" w:right="520" w:hanging="154"/>
        <w:spacing w:after="0" w:line="251" w:lineRule="auto"/>
        <w:tabs>
          <w:tab w:leader="none" w:pos="157" w:val="left"/>
        </w:tabs>
        <w:numPr>
          <w:ilvl w:val="0"/>
          <w:numId w:val="33"/>
        </w:numPr>
        <w:rPr>
          <w:rFonts w:ascii="Arial" w:cs="Arial" w:eastAsia="Arial" w:hAnsi="Arial"/>
          <w:sz w:val="11"/>
          <w:szCs w:val="11"/>
          <w:color w:val="auto"/>
        </w:rPr>
      </w:pPr>
      <w:r>
        <w:rPr>
          <w:rFonts w:ascii="Arial" w:cs="Arial" w:eastAsia="Arial" w:hAnsi="Arial"/>
          <w:sz w:val="11"/>
          <w:szCs w:val="11"/>
          <w:color w:val="auto"/>
        </w:rPr>
        <w:t>At June 30, 2025, March 31, 2025, December 31, 2024, September 30, 2024 and June 30, 2024, the allowance for credit losses on investment securities was $75 million, $85 million, $105 million, $123 million and $125 million, respectively.</w:t>
      </w:r>
    </w:p>
    <w:p>
      <w:pPr>
        <w:ind w:left="160" w:hanging="154"/>
        <w:spacing w:after="0" w:line="231" w:lineRule="auto"/>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Included a $774 million income tax benefit driven by the resolution of certain tax audits and the impact of tax regulations finalized in 2024 related to foreign currency translation gains and losses.</w:t>
      </w:r>
    </w:p>
    <w:p>
      <w:pPr>
        <w:ind w:left="160" w:right="120" w:hanging="154"/>
        <w:spacing w:after="0" w:line="238" w:lineRule="auto"/>
        <w:tabs>
          <w:tab w:leader="none" w:pos="154"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Included an FDIC special assessment accrual release of $323 million for the three months ended March 31, 2025, and an accrual increase of $725 million for the three months ended March 31, 2024. Refer to Note 6 on page 228 of the Firm’s 2024 Form 10-K for additional information.</w:t>
      </w:r>
    </w:p>
    <w:p>
      <w:pPr>
        <w:ind w:left="160" w:hanging="154"/>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 the first quarter of 2025, 768 employees were transferred from the lines of business to Corporate as a result of the centralization of certain functions.</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Prior-period amount has been revised to conform with the presentation in the Firm’s Quarterly Report on Form 10-Q for the quarterly period ended September 30, 2024.</w:t>
      </w:r>
    </w:p>
    <w:p>
      <w:pPr>
        <w:spacing w:after="0" w:line="6"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Included a $7.9 billion net gain related to Visa shares. Refer to footnote (h) on page 2 for further information.</w:t>
      </w:r>
    </w:p>
    <w:p>
      <w:pPr>
        <w:ind w:left="160" w:hanging="154"/>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Included a $1.0 billion contribution of Visa shares to the JPMorgan Chase Foundation.</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23</w:t>
      </w:r>
    </w:p>
    <w:p>
      <w:pPr>
        <w:sectPr>
          <w:pgSz w:w="11900" w:h="16838" w:orient="portrait"/>
          <w:cols w:equalWidth="0" w:num="1">
            <w:col w:w="11240"/>
          </w:cols>
          <w:pgMar w:left="320" w:top="564"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-46355</wp:posOffset>
            </wp:positionV>
            <wp:extent cx="1371600" cy="193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4"/>
              </w:rPr>
              <w:t>Jun 30, 2025</w:t>
            </w: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427"/>
              <w:spacing w:after="0"/>
              <w:rPr>
                <w:sz w:val="20"/>
                <w:szCs w:val="20"/>
                <w:color w:val="auto"/>
              </w:rPr>
            </w:pPr>
            <w:r>
              <w:rPr>
                <w:rFonts w:ascii="Arial" w:cs="Arial" w:eastAsia="Arial" w:hAnsi="Arial"/>
                <w:sz w:val="11"/>
                <w:szCs w:val="11"/>
                <w:b w:val="1"/>
                <w:bCs w:val="1"/>
                <w:color w:val="auto"/>
                <w:w w:val="94"/>
              </w:rPr>
              <w:t>Change</w:t>
            </w:r>
          </w:p>
        </w:tc>
        <w:tc>
          <w:tcPr>
            <w:tcW w:w="480" w:type="dxa"/>
            <w:vAlign w:val="bottom"/>
            <w:tcBorders>
              <w:bottom w:val="single" w:sz="8" w:color="auto"/>
            </w:tcBorders>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w w:val="98"/>
              </w:rPr>
              <w:t>Sep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Jun 30,</w:t>
            </w:r>
          </w:p>
        </w:tc>
        <w:tc>
          <w:tcPr>
            <w:tcW w:w="220" w:type="dxa"/>
            <w:vAlign w:val="bottom"/>
          </w:tcPr>
          <w:p>
            <w:pPr>
              <w:spacing w:after="0"/>
              <w:rPr>
                <w:sz w:val="12"/>
                <w:szCs w:val="12"/>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Mar 31,</w:t>
            </w:r>
          </w:p>
        </w:tc>
        <w:tc>
          <w:tcPr>
            <w:tcW w:w="480" w:type="dxa"/>
            <w:vAlign w:val="bottom"/>
          </w:tcPr>
          <w:p>
            <w:pPr>
              <w:jc w:val="right"/>
              <w:ind w:right="47"/>
              <w:spacing w:after="0"/>
              <w:rPr>
                <w:sz w:val="20"/>
                <w:szCs w:val="20"/>
                <w:color w:val="auto"/>
              </w:rPr>
            </w:pPr>
            <w:r>
              <w:rPr>
                <w:rFonts w:ascii="Arial" w:cs="Arial" w:eastAsia="Arial" w:hAnsi="Arial"/>
                <w:sz w:val="11"/>
                <w:szCs w:val="11"/>
                <w:b w:val="1"/>
                <w:bCs w:val="1"/>
                <w:color w:val="auto"/>
                <w:w w:val="94"/>
              </w:rPr>
              <w:t>Jun 30,</w:t>
            </w: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2024</w:t>
            </w:r>
          </w:p>
        </w:tc>
      </w:tr>
      <w:tr>
        <w:trPr>
          <w:trHeight w:val="106"/>
        </w:trPr>
        <w:tc>
          <w:tcPr>
            <w:tcW w:w="20" w:type="dxa"/>
            <w:vAlign w:val="bottom"/>
          </w:tcPr>
          <w:p>
            <w:pPr>
              <w:spacing w:after="0"/>
              <w:rPr>
                <w:sz w:val="9"/>
                <w:szCs w:val="9"/>
                <w:color w:val="auto"/>
              </w:rPr>
            </w:pPr>
          </w:p>
        </w:tc>
        <w:tc>
          <w:tcPr>
            <w:tcW w:w="1020" w:type="dxa"/>
            <w:vAlign w:val="bottom"/>
            <w:tcBorders>
              <w:bottom w:val="single" w:sz="8" w:color="auto"/>
            </w:tcBorders>
          </w:tcPr>
          <w:p>
            <w:pPr>
              <w:spacing w:after="0" w:line="106" w:lineRule="exact"/>
              <w:rPr>
                <w:sz w:val="20"/>
                <w:szCs w:val="20"/>
                <w:color w:val="auto"/>
              </w:rPr>
            </w:pPr>
            <w:r>
              <w:rPr>
                <w:rFonts w:ascii="Arial" w:cs="Arial" w:eastAsia="Arial" w:hAnsi="Arial"/>
                <w:sz w:val="11"/>
                <w:szCs w:val="11"/>
                <w:b w:val="1"/>
                <w:bCs w:val="1"/>
                <w:color w:val="auto"/>
                <w:w w:val="95"/>
              </w:rPr>
              <w:t>CREDIT EXPOSURE</w:t>
            </w:r>
          </w:p>
        </w:tc>
        <w:tc>
          <w:tcPr>
            <w:tcW w:w="1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r>
      <w:tr>
        <w:trPr>
          <w:trHeight w:val="164"/>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Consumer, excluding credit card loans (a)</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371,855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372,892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376,334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377,938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382,795</w:t>
            </w:r>
          </w:p>
        </w:tc>
        <w:tc>
          <w:tcPr>
            <w:tcW w:w="220" w:type="dxa"/>
            <w:vAlign w:val="bottom"/>
          </w:tcPr>
          <w:p>
            <w:pPr>
              <w:spacing w:after="0"/>
              <w:rPr>
                <w:sz w:val="13"/>
                <w:szCs w:val="13"/>
                <w:color w:val="auto"/>
              </w:rPr>
            </w:pPr>
          </w:p>
        </w:tc>
        <w:tc>
          <w:tcPr>
            <w:tcW w:w="860" w:type="dxa"/>
            <w:vAlign w:val="bottom"/>
            <w:gridSpan w:val="3"/>
          </w:tcPr>
          <w:p>
            <w:pPr>
              <w:ind w:left="300"/>
              <w:spacing w:after="0"/>
              <w:rPr>
                <w:sz w:val="20"/>
                <w:szCs w:val="20"/>
                <w:color w:val="auto"/>
              </w:rPr>
            </w:pPr>
            <w:r>
              <w:rPr>
                <w:rFonts w:ascii="Arial" w:cs="Arial" w:eastAsia="Arial" w:hAnsi="Arial"/>
                <w:sz w:val="11"/>
                <w:szCs w:val="11"/>
                <w:color w:val="auto"/>
              </w:rPr>
              <w:t>— %</w:t>
            </w:r>
          </w:p>
        </w:tc>
        <w:tc>
          <w:tcPr>
            <w:tcW w:w="48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71"/>
        </w:trPr>
        <w:tc>
          <w:tcPr>
            <w:tcW w:w="2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22,185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18,246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16,476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17,007</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14,160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57</w:t>
            </w:r>
          </w:p>
        </w:tc>
      </w:tr>
      <w:tr>
        <w:trPr>
          <w:trHeight w:val="152"/>
        </w:trPr>
        <w:tc>
          <w:tcPr>
            <w:tcW w:w="20" w:type="dxa"/>
            <w:vAlign w:val="bottom"/>
          </w:tcPr>
          <w:p>
            <w:pPr>
              <w:spacing w:after="0"/>
              <w:rPr>
                <w:sz w:val="13"/>
                <w:szCs w:val="13"/>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consumer, excluding credit card loans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394,040</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391,138</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392,810</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394,945</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396,955</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67"/>
              <w:spacing w:after="0"/>
              <w:rPr>
                <w:sz w:val="20"/>
                <w:szCs w:val="20"/>
                <w:color w:val="auto"/>
              </w:rPr>
            </w:pPr>
            <w:r>
              <w:rPr>
                <w:rFonts w:ascii="Arial" w:cs="Arial" w:eastAsia="Arial" w:hAnsi="Arial"/>
                <w:sz w:val="11"/>
                <w:szCs w:val="11"/>
                <w:color w:val="auto"/>
              </w:rPr>
              <w:t>(1)</w:t>
            </w:r>
          </w:p>
        </w:tc>
      </w:tr>
      <w:tr>
        <w:trPr>
          <w:trHeight w:val="290"/>
        </w:trPr>
        <w:tc>
          <w:tcPr>
            <w:tcW w:w="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Credit card loans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232,943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223,384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232,860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219,542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216,100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8</w:t>
            </w:r>
          </w:p>
        </w:tc>
      </w:tr>
      <w:tr>
        <w:trPr>
          <w:trHeight w:val="171"/>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credit card loans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232,943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223,384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232,860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219,542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216,100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8</w:t>
            </w: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consumer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626,983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614,522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625,670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614,487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613,055</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2</w:t>
            </w:r>
          </w:p>
        </w:tc>
      </w:tr>
      <w:tr>
        <w:trPr>
          <w:trHeight w:val="318"/>
        </w:trPr>
        <w:tc>
          <w:tcPr>
            <w:tcW w:w="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Wholesale loans (b)</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740,675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704,714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690,396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687,890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674,152</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10</w:t>
            </w:r>
          </w:p>
        </w:tc>
      </w:tr>
      <w:tr>
        <w:trPr>
          <w:trHeight w:val="171"/>
        </w:trPr>
        <w:tc>
          <w:tcPr>
            <w:tcW w:w="2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44,334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36,459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31,922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37,634</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33,493</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32</w:t>
            </w: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wholesale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785,009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741,173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722,318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725,524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707,645</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11</w:t>
            </w:r>
          </w:p>
        </w:tc>
      </w:tr>
      <w:tr>
        <w:trPr>
          <w:trHeight w:val="318"/>
        </w:trPr>
        <w:tc>
          <w:tcPr>
            <w:tcW w:w="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1,411,992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1,355,695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1,347,988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1,340,011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1,320,700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7</w:t>
            </w:r>
          </w:p>
        </w:tc>
      </w:tr>
      <w:tr>
        <w:trPr>
          <w:trHeight w:val="155"/>
        </w:trPr>
        <w:tc>
          <w:tcPr>
            <w:tcW w:w="20" w:type="dxa"/>
            <w:vAlign w:val="bottom"/>
          </w:tcPr>
          <w:p>
            <w:pPr>
              <w:spacing w:after="0"/>
              <w:rPr>
                <w:sz w:val="13"/>
                <w:szCs w:val="13"/>
                <w:color w:val="auto"/>
              </w:rPr>
            </w:pPr>
          </w:p>
        </w:tc>
        <w:tc>
          <w:tcPr>
            <w:tcW w:w="240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60,346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60,539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60,967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52,561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54,673</w:t>
            </w:r>
          </w:p>
        </w:tc>
        <w:tc>
          <w:tcPr>
            <w:tcW w:w="22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10</w:t>
            </w:r>
          </w:p>
        </w:tc>
      </w:tr>
      <w:tr>
        <w:trPr>
          <w:trHeight w:val="171"/>
        </w:trPr>
        <w:tc>
          <w:tcPr>
            <w:tcW w:w="2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Arial" w:cs="Arial" w:eastAsia="Arial" w:hAnsi="Arial"/>
                <w:sz w:val="11"/>
                <w:szCs w:val="11"/>
                <w:color w:val="auto"/>
              </w:rPr>
              <w:t>Receivables from customers (c)</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53,099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49,403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51,929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53,270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56,018</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7"/>
              <w:spacing w:after="0"/>
              <w:rPr>
                <w:sz w:val="20"/>
                <w:szCs w:val="20"/>
                <w:color w:val="auto"/>
              </w:rPr>
            </w:pPr>
            <w:r>
              <w:rPr>
                <w:rFonts w:ascii="Arial" w:cs="Arial" w:eastAsia="Arial" w:hAnsi="Arial"/>
                <w:sz w:val="11"/>
                <w:szCs w:val="11"/>
                <w:color w:val="auto"/>
              </w:rPr>
              <w:t>(5)</w:t>
            </w: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credit-related assets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1,525,437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1,465,637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1,460,884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1,445,842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1,431,391</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7</w:t>
            </w:r>
          </w:p>
        </w:tc>
      </w:tr>
      <w:tr>
        <w:trPr>
          <w:trHeight w:val="318"/>
        </w:trPr>
        <w:tc>
          <w:tcPr>
            <w:tcW w:w="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Lending-related commitments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47,064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46,149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44,844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45,322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47,215</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w:t>
            </w:r>
          </w:p>
        </w:tc>
      </w:tr>
      <w:tr>
        <w:trPr>
          <w:trHeight w:val="159"/>
        </w:trPr>
        <w:tc>
          <w:tcPr>
            <w:tcW w:w="20" w:type="dxa"/>
            <w:vAlign w:val="bottom"/>
          </w:tcPr>
          <w:p>
            <w:pPr>
              <w:spacing w:after="0"/>
              <w:rPr>
                <w:sz w:val="13"/>
                <w:szCs w:val="13"/>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Credit card (d)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1,050,275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1,031,481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1,001,311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989,594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964,727</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9</w:t>
            </w:r>
          </w:p>
        </w:tc>
      </w:tr>
      <w:tr>
        <w:trPr>
          <w:trHeight w:val="171"/>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Wholesale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560,054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548,853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531,467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541,560</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545,020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3</w:t>
            </w: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lending-related commitments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1,657,393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1,626,483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1,577,622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1,576,476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1,556,962</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6</w:t>
            </w: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3,182,830</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3,092,120</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3,038,506</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3,022,318</w:t>
            </w:r>
          </w:p>
        </w:tc>
        <w:tc>
          <w:tcPr>
            <w:tcW w:w="2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2,988,353</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7</w:t>
            </w:r>
          </w:p>
        </w:tc>
      </w:tr>
      <w:tr>
        <w:trPr>
          <w:trHeight w:val="290"/>
        </w:trPr>
        <w:tc>
          <w:tcPr>
            <w:tcW w:w="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Memo: Total by category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Consumer exposure (e)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1,724,322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1,692,152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1,671,825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1,649,403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1,624,997</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6</w:t>
            </w:r>
          </w:p>
        </w:tc>
      </w:tr>
      <w:tr>
        <w:trPr>
          <w:trHeight w:val="171"/>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Wholesale exposure (f)</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3"/>
              </w:rPr>
              <w:t>1,458,508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3"/>
              </w:rPr>
              <w:t>1,399,968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3"/>
              </w:rPr>
              <w:t>1,366,681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3"/>
              </w:rPr>
              <w:t>1,372,915</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1,363,356</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7</w:t>
            </w:r>
          </w:p>
        </w:tc>
      </w:tr>
      <w:tr>
        <w:trPr>
          <w:trHeight w:val="165"/>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3,182,830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3,092,120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3,038,506</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3,022,318</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2,988,353</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7</w:t>
            </w:r>
          </w:p>
        </w:tc>
      </w:tr>
      <w:tr>
        <w:trPr>
          <w:trHeight w:val="305"/>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92" w:lineRule="exact"/>
        <w:rPr>
          <w:sz w:val="20"/>
          <w:szCs w:val="20"/>
          <w:color w:val="auto"/>
        </w:rPr>
      </w:pPr>
    </w:p>
    <w:p>
      <w:pPr>
        <w:ind w:left="160" w:hanging="154"/>
        <w:spacing w:after="0"/>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Includes scored loans held in CCB, scored mortgage and home equity loans held in AWM, and scored mortgage loans held in CIB and Corporate.</w:t>
      </w:r>
    </w:p>
    <w:p>
      <w:pPr>
        <w:spacing w:after="0" w:line="2" w:lineRule="exact"/>
        <w:rPr>
          <w:rFonts w:ascii="Arial" w:cs="Arial" w:eastAsia="Arial" w:hAnsi="Arial"/>
          <w:sz w:val="11"/>
          <w:szCs w:val="11"/>
          <w:color w:val="auto"/>
        </w:rPr>
      </w:pPr>
    </w:p>
    <w:p>
      <w:pPr>
        <w:ind w:left="160" w:right="180" w:hanging="154"/>
        <w:spacing w:after="0" w:line="238" w:lineRule="auto"/>
        <w:tabs>
          <w:tab w:leader="none" w:pos="157"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Includes loans held in CIB, AWM, Corporate as well as risk-rated loans held in CCB, including business banking and J.P. Morgan Wealth Management loans held in Banking &amp; Wealth Management, and auto dealer loans for which the wholesale methodology is applied when determining the allowance for loan losses.</w:t>
      </w:r>
    </w:p>
    <w:p>
      <w:pPr>
        <w:ind w:left="160" w:hanging="154"/>
        <w:spacing w:after="0"/>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Receivables from customers reflect held-for-investment margin loans to brokerage clients in CIB, CCB and AWM; these are reported within accrued interest and accounts receivable on the Consolidated balance sheets.</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Also includes commercial card lending-related commitments primarily in CIB.</w:t>
      </w:r>
    </w:p>
    <w:p>
      <w:pPr>
        <w:spacing w:after="0" w:line="6"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Represents total consumer loans and lending-related commitments.</w:t>
      </w:r>
    </w:p>
    <w:p>
      <w:pPr>
        <w:ind w:left="160" w:hanging="154"/>
        <w:spacing w:after="0"/>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Represents total wholesale loans, lending-related commitments, derivative receivables, and receivables from customers.</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Prior-period amount has been revised to conform with the presentation in the Firm’s Quarterly Report on Form 10-Q for the quarterly period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24</w:t>
      </w:r>
    </w:p>
    <w:p>
      <w:pPr>
        <w:sectPr>
          <w:pgSz w:w="11900" w:h="16838" w:orient="portrait"/>
          <w:cols w:equalWidth="0" w:num="1">
            <w:col w:w="11240"/>
          </w:cols>
          <w:pgMar w:left="320" w:top="617"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-3810</wp:posOffset>
            </wp:positionV>
            <wp:extent cx="1371600" cy="193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ind w:left="20"/>
        <w:spacing w:after="0"/>
        <w:rPr>
          <w:sz w:val="20"/>
          <w:szCs w:val="20"/>
          <w:color w:val="auto"/>
        </w:rPr>
      </w:pPr>
      <w:r>
        <w:rPr>
          <w:rFonts w:ascii="Arial" w:cs="Arial" w:eastAsia="Arial" w:hAnsi="Arial"/>
          <w:sz w:val="14"/>
          <w:szCs w:val="14"/>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4"/>
              </w:rPr>
              <w:t>Jun 30, 2025</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387"/>
              <w:spacing w:after="0"/>
              <w:rPr>
                <w:sz w:val="20"/>
                <w:szCs w:val="20"/>
                <w:color w:val="auto"/>
              </w:rPr>
            </w:pPr>
            <w:r>
              <w:rPr>
                <w:rFonts w:ascii="Arial" w:cs="Arial" w:eastAsia="Arial" w:hAnsi="Arial"/>
                <w:sz w:val="11"/>
                <w:szCs w:val="11"/>
                <w:b w:val="1"/>
                <w:bCs w:val="1"/>
                <w:color w:val="auto"/>
                <w:w w:val="94"/>
              </w:rPr>
              <w:t>Change</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Jun 30,</w:t>
            </w:r>
          </w:p>
        </w:tc>
        <w:tc>
          <w:tcPr>
            <w:tcW w:w="220" w:type="dxa"/>
            <w:vAlign w:val="bottom"/>
          </w:tcPr>
          <w:p>
            <w:pPr>
              <w:spacing w:after="0"/>
              <w:rPr>
                <w:sz w:val="12"/>
                <w:szCs w:val="12"/>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Mar 31,</w:t>
            </w:r>
          </w:p>
        </w:tc>
        <w:tc>
          <w:tcPr>
            <w:tcW w:w="440" w:type="dxa"/>
            <w:vAlign w:val="bottom"/>
          </w:tcPr>
          <w:p>
            <w:pPr>
              <w:jc w:val="right"/>
              <w:ind w:right="27"/>
              <w:spacing w:after="0"/>
              <w:rPr>
                <w:sz w:val="20"/>
                <w:szCs w:val="20"/>
                <w:color w:val="auto"/>
              </w:rPr>
            </w:pPr>
            <w:r>
              <w:rPr>
                <w:rFonts w:ascii="Arial" w:cs="Arial" w:eastAsia="Arial" w:hAnsi="Arial"/>
                <w:sz w:val="11"/>
                <w:szCs w:val="11"/>
                <w:b w:val="1"/>
                <w:bCs w:val="1"/>
                <w:color w:val="auto"/>
                <w:w w:val="89"/>
              </w:rPr>
              <w:t>Jun 30,</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220" w:type="dxa"/>
            <w:vAlign w:val="bottom"/>
            <w:gridSpan w:val="3"/>
          </w:tcPr>
          <w:p>
            <w:pPr>
              <w:spacing w:after="0" w:line="106" w:lineRule="exact"/>
              <w:rPr>
                <w:sz w:val="20"/>
                <w:szCs w:val="20"/>
                <w:color w:val="auto"/>
              </w:rPr>
            </w:pPr>
            <w:r>
              <w:rPr>
                <w:rFonts w:ascii="Arial" w:cs="Arial" w:eastAsia="Arial" w:hAnsi="Arial"/>
                <w:sz w:val="11"/>
                <w:szCs w:val="11"/>
                <w:b w:val="1"/>
                <w:bCs w:val="1"/>
                <w:color w:val="auto"/>
              </w:rPr>
              <w:t>NONPERFORMING ASSETS (a)</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5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Consumer nonaccrual loans</w:t>
            </w:r>
          </w:p>
        </w:tc>
        <w:tc>
          <w:tcPr>
            <w:tcW w:w="6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gridSpan w:val="3"/>
          </w:tcPr>
          <w:p>
            <w:pPr>
              <w:ind w:left="100"/>
              <w:spacing w:after="0"/>
              <w:rPr>
                <w:sz w:val="20"/>
                <w:szCs w:val="20"/>
                <w:color w:val="auto"/>
              </w:rPr>
            </w:pPr>
            <w:r>
              <w:rPr>
                <w:rFonts w:ascii="Arial" w:cs="Arial" w:eastAsia="Arial" w:hAnsi="Arial"/>
                <w:sz w:val="11"/>
                <w:szCs w:val="11"/>
                <w:color w:val="auto"/>
              </w:rPr>
              <w:t>Loans retained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3,938</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3,318</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3,233</w:t>
            </w:r>
          </w:p>
        </w:tc>
        <w:tc>
          <w:tcPr>
            <w:tcW w:w="240" w:type="dxa"/>
            <w:vAlign w:val="bottom"/>
          </w:tcPr>
          <w:p>
            <w:pPr>
              <w:ind w:left="60"/>
              <w:spacing w:after="0"/>
              <w:rPr>
                <w:sz w:val="20"/>
                <w:szCs w:val="20"/>
                <w:color w:val="auto"/>
              </w:rPr>
            </w:pPr>
            <w:r>
              <w:rPr>
                <w:rFonts w:ascii="Arial" w:cs="Arial" w:eastAsia="Arial" w:hAnsi="Arial"/>
                <w:sz w:val="11"/>
                <w:szCs w:val="11"/>
                <w:color w:val="auto"/>
              </w:rPr>
              <w:t>(c)</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3,316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3,423</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19 %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71"/>
        </w:trPr>
        <w:tc>
          <w:tcPr>
            <w:tcW w:w="2220" w:type="dxa"/>
            <w:vAlign w:val="bottom"/>
            <w:gridSpan w:val="3"/>
          </w:tcPr>
          <w:p>
            <w:pPr>
              <w:ind w:left="10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731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441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693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397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382</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66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44"/>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Total consumer nonaccrual loans</w:t>
            </w: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4,669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3,759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3,926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3,713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3,805</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318"/>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Wholesale nonaccrual loans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20" w:type="dxa"/>
            <w:vAlign w:val="bottom"/>
            <w:gridSpan w:val="3"/>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4,479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3,895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3,942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3,517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3,289</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71"/>
        </w:trPr>
        <w:tc>
          <w:tcPr>
            <w:tcW w:w="2220" w:type="dxa"/>
            <w:vAlign w:val="bottom"/>
            <w:gridSpan w:val="3"/>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673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964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845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697</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4"/>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Total wholesale nonaccrual loans</w:t>
            </w: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5,152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4,859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4,911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4,362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3,986</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74"/>
        </w:trPr>
        <w:tc>
          <w:tcPr>
            <w:tcW w:w="22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Total nonaccrual loans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restart"/>
          </w:tcPr>
          <w:p>
            <w:pPr>
              <w:jc w:val="right"/>
              <w:ind w:right="8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5"/>
        </w:trPr>
        <w:tc>
          <w:tcPr>
            <w:tcW w:w="2220" w:type="dxa"/>
            <w:vAlign w:val="bottom"/>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9,821</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8,618</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8,837</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8,075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7,791</w:t>
            </w: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220" w:type="dxa"/>
            <w:vAlign w:val="bottom"/>
            <w:gridSpan w:val="3"/>
          </w:tcPr>
          <w:p>
            <w:pPr>
              <w:spacing w:after="0"/>
              <w:rPr>
                <w:sz w:val="20"/>
                <w:szCs w:val="20"/>
                <w:color w:val="auto"/>
              </w:rPr>
            </w:pPr>
            <w:r>
              <w:rPr>
                <w:rFonts w:ascii="Arial" w:cs="Arial" w:eastAsia="Arial" w:hAnsi="Arial"/>
                <w:sz w:val="11"/>
                <w:szCs w:val="11"/>
                <w:color w:val="auto"/>
              </w:rPr>
              <w:t>Derivative receivables</w:t>
            </w:r>
          </w:p>
        </w:tc>
        <w:tc>
          <w:tcPr>
            <w:tcW w:w="12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349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169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290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107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1"/>
        </w:trPr>
        <w:tc>
          <w:tcPr>
            <w:tcW w:w="2220" w:type="dxa"/>
            <w:vAlign w:val="bottom"/>
            <w:gridSpan w:val="3"/>
          </w:tcPr>
          <w:p>
            <w:pPr>
              <w:spacing w:after="0"/>
              <w:rPr>
                <w:sz w:val="20"/>
                <w:szCs w:val="20"/>
                <w:color w:val="auto"/>
              </w:rPr>
            </w:pPr>
            <w:r>
              <w:rPr>
                <w:rFonts w:ascii="Arial" w:cs="Arial" w:eastAsia="Arial" w:hAnsi="Arial"/>
                <w:sz w:val="11"/>
                <w:szCs w:val="11"/>
                <w:color w:val="auto"/>
              </w:rPr>
              <w:t>Assets acquired in loan satisfactions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310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318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318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343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342</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4"/>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10,480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9,105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9,300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8,628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8,423</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7"/>
        </w:trPr>
        <w:tc>
          <w:tcPr>
            <w:tcW w:w="2220" w:type="dxa"/>
            <w:vAlign w:val="bottom"/>
            <w:gridSpan w:val="3"/>
          </w:tcPr>
          <w:p>
            <w:pPr>
              <w:spacing w:after="0"/>
              <w:rPr>
                <w:sz w:val="20"/>
                <w:szCs w:val="20"/>
                <w:color w:val="auto"/>
              </w:rPr>
            </w:pPr>
            <w:r>
              <w:rPr>
                <w:rFonts w:ascii="Arial" w:cs="Arial" w:eastAsia="Arial" w:hAnsi="Arial"/>
                <w:sz w:val="11"/>
                <w:szCs w:val="11"/>
                <w:color w:val="auto"/>
              </w:rPr>
              <w:t>Wholesale lending-related commitments (b)</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793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737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619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541</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65"/>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Total nonperforming exposure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11,402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9,898</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10,037</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9,247</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8,964</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65"/>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NONACCRUAL LOAN-RELATED RATIOS</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Total nonaccrual loans to total loans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0.70 %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0.64 %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0.66 %</w:t>
            </w:r>
          </w:p>
        </w:tc>
        <w:tc>
          <w:tcPr>
            <w:tcW w:w="240" w:type="dxa"/>
            <w:vAlign w:val="bottom"/>
          </w:tcPr>
          <w:p>
            <w:pPr>
              <w:ind w:left="60"/>
              <w:spacing w:after="0"/>
              <w:rPr>
                <w:sz w:val="20"/>
                <w:szCs w:val="20"/>
                <w:color w:val="auto"/>
              </w:rPr>
            </w:pPr>
            <w:r>
              <w:rPr>
                <w:rFonts w:ascii="Arial" w:cs="Arial" w:eastAsia="Arial" w:hAnsi="Arial"/>
                <w:sz w:val="11"/>
                <w:szCs w:val="11"/>
                <w:color w:val="auto"/>
              </w:rPr>
              <w:t>(c)</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0.60 %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0.59 %</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220" w:type="dxa"/>
            <w:vAlign w:val="bottom"/>
            <w:gridSpan w:val="3"/>
          </w:tcPr>
          <w:p>
            <w:pPr>
              <w:spacing w:after="0" w:line="125" w:lineRule="exact"/>
              <w:rPr>
                <w:sz w:val="20"/>
                <w:szCs w:val="20"/>
                <w:color w:val="auto"/>
              </w:rPr>
            </w:pPr>
            <w:r>
              <w:rPr>
                <w:rFonts w:ascii="Arial" w:cs="Arial" w:eastAsia="Arial" w:hAnsi="Arial"/>
                <w:sz w:val="11"/>
                <w:szCs w:val="11"/>
                <w:color w:val="auto"/>
              </w:rPr>
              <w:t>Total consumer, excluding credit card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220" w:type="dxa"/>
            <w:vAlign w:val="bottom"/>
            <w:gridSpan w:val="3"/>
          </w:tcPr>
          <w:p>
            <w:pPr>
              <w:spacing w:after="0"/>
              <w:rPr>
                <w:sz w:val="20"/>
                <w:szCs w:val="20"/>
                <w:color w:val="auto"/>
              </w:rPr>
            </w:pPr>
            <w:r>
              <w:rPr>
                <w:rFonts w:ascii="Arial" w:cs="Arial" w:eastAsia="Arial" w:hAnsi="Arial"/>
                <w:sz w:val="11"/>
                <w:szCs w:val="11"/>
                <w:color w:val="auto"/>
              </w:rPr>
              <w:t>nonaccrual loans to</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gridSpan w:val="3"/>
          </w:tcPr>
          <w:p>
            <w:pPr>
              <w:ind w:left="120"/>
              <w:spacing w:after="0"/>
              <w:rPr>
                <w:sz w:val="20"/>
                <w:szCs w:val="20"/>
                <w:color w:val="auto"/>
              </w:rPr>
            </w:pPr>
            <w:r>
              <w:rPr>
                <w:rFonts w:ascii="Arial" w:cs="Arial" w:eastAsia="Arial" w:hAnsi="Arial"/>
                <w:sz w:val="11"/>
                <w:szCs w:val="11"/>
                <w:color w:val="auto"/>
                <w:w w:val="99"/>
              </w:rPr>
              <w:t>total consumer, excluding credit card loans</w:t>
            </w: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0.96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0.94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0.96</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3"/>
          </w:tcPr>
          <w:p>
            <w:pPr>
              <w:spacing w:after="0"/>
              <w:rPr>
                <w:sz w:val="20"/>
                <w:szCs w:val="20"/>
                <w:color w:val="auto"/>
              </w:rPr>
            </w:pPr>
            <w:r>
              <w:rPr>
                <w:rFonts w:ascii="Arial" w:cs="Arial" w:eastAsia="Arial" w:hAnsi="Arial"/>
                <w:sz w:val="11"/>
                <w:szCs w:val="11"/>
                <w:color w:val="auto"/>
              </w:rPr>
              <w:t>Total wholesale nonaccrual loans to total</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3"/>
          </w:tcPr>
          <w:p>
            <w:pPr>
              <w:ind w:left="120"/>
              <w:spacing w:after="0"/>
              <w:rPr>
                <w:sz w:val="20"/>
                <w:szCs w:val="20"/>
                <w:color w:val="auto"/>
              </w:rPr>
            </w:pPr>
            <w:r>
              <w:rPr>
                <w:rFonts w:ascii="Arial" w:cs="Arial" w:eastAsia="Arial" w:hAnsi="Arial"/>
                <w:sz w:val="11"/>
                <w:szCs w:val="11"/>
                <w:color w:val="auto"/>
              </w:rPr>
              <w:t>wholesale loans</w:t>
            </w: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0.66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0.66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0.68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0.60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0.56</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4217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60" w:right="40" w:hanging="154"/>
        <w:spacing w:after="0" w:line="242" w:lineRule="auto"/>
        <w:tabs>
          <w:tab w:leader="none" w:pos="157" w:val="left"/>
        </w:tabs>
        <w:numPr>
          <w:ilvl w:val="0"/>
          <w:numId w:val="35"/>
        </w:numPr>
        <w:rPr>
          <w:rFonts w:ascii="Arial" w:cs="Arial" w:eastAsia="Arial" w:hAnsi="Arial"/>
          <w:sz w:val="11"/>
          <w:szCs w:val="11"/>
          <w:color w:val="auto"/>
        </w:rPr>
      </w:pPr>
      <w:r>
        <w:rPr>
          <w:rFonts w:ascii="Arial" w:cs="Arial" w:eastAsia="Arial" w:hAnsi="Arial"/>
          <w:sz w:val="11"/>
          <w:szCs w:val="11"/>
          <w:color w:val="auto"/>
        </w:rPr>
        <w:t>Excludes mortgage loans past due and insured by U.S. government agencies, which are primarily 90 or more days past due. These loans have been excluded based upon the government guarantee. At June 30, 2025, March 31, 2025, December 31, 2024, September 30, 2024 and June 30, 2024, mortgage loans 90 or more days past due and insured by U.S. government agencies were $113 million, $117 million, $121 million, $126 million and $138 million, respectively. In addition, the Firm’s policy is generally to exempt credit card loans from being placed on nonaccrual status as permitted by regulatory guidance. Refer to Note 12 of the Firm’s 2024 Form 10-K for additional information on the Firm’s credit card nonaccrual and charge-off policies.</w:t>
      </w:r>
    </w:p>
    <w:p>
      <w:pPr>
        <w:ind w:left="160" w:hanging="154"/>
        <w:spacing w:after="0"/>
        <w:tabs>
          <w:tab w:leader="none" w:pos="1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Represents commitments that are risk rated as nonaccrual.</w:t>
      </w:r>
    </w:p>
    <w:p>
      <w:pPr>
        <w:spacing w:after="0" w:line="6" w:lineRule="exact"/>
        <w:rPr>
          <w:rFonts w:ascii="Arial" w:cs="Arial" w:eastAsia="Arial" w:hAnsi="Arial"/>
          <w:sz w:val="11"/>
          <w:szCs w:val="11"/>
          <w:color w:val="auto"/>
        </w:rPr>
      </w:pPr>
    </w:p>
    <w:p>
      <w:pPr>
        <w:ind w:left="160" w:hanging="154"/>
        <w:spacing w:after="0"/>
        <w:tabs>
          <w:tab w:leader="none" w:pos="1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Prior-period amount and ratio have been revised to conform with the presentation in the Firm’s 2024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25</w:t>
      </w:r>
    </w:p>
    <w:p>
      <w:pPr>
        <w:sectPr>
          <w:pgSz w:w="11900" w:h="16838" w:orient="portrait"/>
          <w:cols w:equalWidth="0" w:num="1">
            <w:col w:w="11240"/>
          </w:cols>
          <w:pgMar w:left="320" w:top="564"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-3810</wp:posOffset>
            </wp:positionV>
            <wp:extent cx="1371600" cy="193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ind w:left="20"/>
        <w:spacing w:after="0"/>
        <w:rPr>
          <w:sz w:val="20"/>
          <w:szCs w:val="20"/>
          <w:color w:val="auto"/>
        </w:rPr>
      </w:pPr>
      <w:r>
        <w:rPr>
          <w:rFonts w:ascii="Arial" w:cs="Arial" w:eastAsia="Arial" w:hAnsi="Arial"/>
          <w:sz w:val="14"/>
          <w:szCs w:val="14"/>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42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right"/>
              <w:ind w:right="44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2Q25 Change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2Q25</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1Q25</w:t>
            </w:r>
          </w:p>
        </w:tc>
        <w:tc>
          <w:tcPr>
            <w:tcW w:w="8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4Q24</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10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2Q24</w:t>
            </w:r>
          </w:p>
        </w:tc>
        <w:tc>
          <w:tcPr>
            <w:tcW w:w="18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1Q25</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2Q24</w:t>
            </w:r>
          </w:p>
        </w:tc>
        <w:tc>
          <w:tcPr>
            <w:tcW w:w="8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92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60" w:type="dxa"/>
            <w:vAlign w:val="bottom"/>
            <w:gridSpan w:val="5"/>
          </w:tcPr>
          <w:p>
            <w:pPr>
              <w:spacing w:after="0" w:line="106" w:lineRule="exact"/>
              <w:rPr>
                <w:sz w:val="20"/>
                <w:szCs w:val="20"/>
                <w:color w:val="auto"/>
              </w:rPr>
            </w:pPr>
            <w:r>
              <w:rPr>
                <w:rFonts w:ascii="Arial" w:cs="Arial" w:eastAsia="Arial" w:hAnsi="Arial"/>
                <w:sz w:val="11"/>
                <w:szCs w:val="11"/>
                <w:b w:val="1"/>
                <w:bCs w:val="1"/>
                <w:color w:val="auto"/>
              </w:rPr>
              <w:t>SUMMARY OF CHANGES IN THE</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tcBorders>
              <w:top w:val="single" w:sz="8" w:color="auto"/>
              <w:bottom w:val="single" w:sz="8" w:color="auto"/>
            </w:tcBorders>
          </w:tcPr>
          <w:p>
            <w:pPr>
              <w:spacing w:after="0" w:line="86" w:lineRule="exact"/>
              <w:rPr>
                <w:sz w:val="20"/>
                <w:szCs w:val="20"/>
                <w:color w:val="auto"/>
              </w:rPr>
            </w:pPr>
            <w:r>
              <w:rPr>
                <w:rFonts w:ascii="Arial" w:cs="Arial" w:eastAsia="Arial" w:hAnsi="Arial"/>
                <w:sz w:val="8"/>
                <w:szCs w:val="8"/>
                <w:b w:val="1"/>
                <w:bCs w:val="1"/>
                <w:color w:val="auto"/>
              </w:rPr>
              <w:t>ALLOWANCES</w:t>
            </w:r>
          </w:p>
        </w:tc>
        <w:tc>
          <w:tcPr>
            <w:tcW w:w="900" w:type="dxa"/>
            <w:vAlign w:val="bottom"/>
            <w:tcBorders>
              <w:top w:val="single" w:sz="8" w:color="auto"/>
            </w:tcBorders>
            <w:gridSpan w:val="2"/>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ALLOWANCE FOR LOAN LOSSES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25,208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24,345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23,949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22,991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22,351</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13 %</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24,345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22,420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Net charge-offs: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Gross charge-offs</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2,944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2,816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2,845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2,567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2,726</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5,760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5,107</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Gross recoveries collected</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(534)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(484)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(481)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(480)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(495)</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(1,018)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(920)</w:t>
            </w:r>
          </w:p>
        </w:tc>
        <w:tc>
          <w:tcPr>
            <w:tcW w:w="920" w:type="dxa"/>
            <w:vAlign w:val="bottom"/>
            <w:gridSpan w:val="2"/>
          </w:tcPr>
          <w:p>
            <w:pPr>
              <w:jc w:val="right"/>
              <w:ind w:right="6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Net charge-offs</w:t>
            </w: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2,410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2,332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2,364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2,087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2,231</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4,742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4,187</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Provision for loan losses</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2,151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3,193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2,696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3,040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2,871</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(33)</w:t>
            </w:r>
          </w:p>
        </w:tc>
        <w:tc>
          <w:tcPr>
            <w:tcW w:w="18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5,344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4,758</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24,953</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25,208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24,345</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23,949</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22,991</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24,953</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22,991</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ALLOWANCE FOR LENDING-RELATED</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COMMITMENTS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2,226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2,101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2,142</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2,068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1,916</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2,101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1,974</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Provision for lending-related commitments</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706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74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154</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465</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358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831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94</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2,932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2,226</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2,101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2,142</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2,068</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32</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42</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2,932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2,068</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ALLOWANCE FOR INVESTMENT</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60" w:type="dxa"/>
            <w:vAlign w:val="bottom"/>
            <w:gridSpan w:val="5"/>
            <w:vMerge w:val="continue"/>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108</w:t>
            </w:r>
          </w:p>
        </w:tc>
        <w:tc>
          <w:tcPr>
            <w:tcW w:w="20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118</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152</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175</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177</w:t>
            </w:r>
          </w:p>
        </w:tc>
        <w:tc>
          <w:tcPr>
            <w:tcW w:w="70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7"/>
                <w:szCs w:val="7"/>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(39)</w:t>
            </w:r>
          </w:p>
        </w:tc>
        <w:tc>
          <w:tcPr>
            <w:tcW w:w="4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108</w:t>
            </w:r>
          </w:p>
        </w:tc>
        <w:tc>
          <w:tcPr>
            <w:tcW w:w="20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177</w:t>
            </w:r>
          </w:p>
        </w:tc>
        <w:tc>
          <w:tcPr>
            <w:tcW w:w="92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SECURITIES</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Total allowance for credit losses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27,993</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27,552</w:t>
            </w:r>
          </w:p>
        </w:tc>
        <w:tc>
          <w:tcPr>
            <w:tcW w:w="2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26,598</w:t>
            </w:r>
          </w:p>
        </w:tc>
        <w:tc>
          <w:tcPr>
            <w:tcW w:w="1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26,266</w:t>
            </w:r>
          </w:p>
        </w:tc>
        <w:tc>
          <w:tcPr>
            <w:tcW w:w="1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25,236</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27,993</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25,236</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NET CHARGE-OFF/(RECOVERY) RATES</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w w:val="97"/>
              </w:rPr>
              <w:t>Consumer retained, excluding credit card loans</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0.14 %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0.18 %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0.20 %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0.17 %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0.14 %</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0.16 %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0.16 %</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Credit card retained loans</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3.58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3.23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3.50</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3.49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3.41</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Total consumer retained loans</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1.38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1.36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1.29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1.33</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1.42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1.29</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Wholesale retained loans</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0.11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0.18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0.09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0.16</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0.15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0.11</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Total retained loans</w:t>
            </w: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0.73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rPr>
              <w:t>0.74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0.73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0.65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0.71</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0.73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rPr>
              <w:t>0.67</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Memo: Average retained loans</w:t>
            </w:r>
          </w:p>
        </w:tc>
        <w:tc>
          <w:tcPr>
            <w:tcW w:w="72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gridSpan w:val="6"/>
          </w:tcPr>
          <w:p>
            <w:pPr>
              <w:spacing w:after="0"/>
              <w:rPr>
                <w:sz w:val="20"/>
                <w:szCs w:val="20"/>
                <w:color w:val="auto"/>
              </w:rPr>
            </w:pPr>
            <w:r>
              <w:rPr>
                <w:rFonts w:ascii="Arial" w:cs="Arial" w:eastAsia="Arial" w:hAnsi="Arial"/>
                <w:sz w:val="11"/>
                <w:szCs w:val="11"/>
                <w:color w:val="auto"/>
                <w:w w:val="97"/>
              </w:rPr>
              <w:t>Consumer retained, excluding credit card loans $</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372,005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374,466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376,976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379,459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385,662</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373,229</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389,847</w:t>
            </w:r>
          </w:p>
        </w:tc>
        <w:tc>
          <w:tcPr>
            <w:tcW w:w="920" w:type="dxa"/>
            <w:vAlign w:val="bottom"/>
            <w:gridSpan w:val="2"/>
          </w:tcPr>
          <w:p>
            <w:pPr>
              <w:jc w:val="right"/>
              <w:ind w:right="6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Credit card retained loans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228,320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224,350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224,124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217,204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210,020</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226,346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207,329</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Total average retained consumer loans</w:t>
            </w: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600,325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598,816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601,100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596,663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595,682</w:t>
            </w:r>
          </w:p>
        </w:tc>
        <w:tc>
          <w:tcPr>
            <w:tcW w:w="18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599,575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597,176</w:t>
            </w:r>
          </w:p>
        </w:tc>
        <w:tc>
          <w:tcPr>
            <w:tcW w:w="20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Wholesale retained loans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721,105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686,585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687,197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674,939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666,347</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703,952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665,468</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average retained loans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1,321,430</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3"/>
              </w:rPr>
              <w:t>1,285,401</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1,288,297</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w w:val="93"/>
              </w:rPr>
              <w:t>1,271,602</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w w:val="93"/>
              </w:rPr>
              <w:t>1,262,029</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1,303,527</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3"/>
              </w:rPr>
              <w:t>1,262,644</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right="20" w:hanging="154"/>
        <w:spacing w:after="0" w:line="251" w:lineRule="auto"/>
        <w:tabs>
          <w:tab w:leader="none" w:pos="157" w:val="left"/>
        </w:tabs>
        <w:numPr>
          <w:ilvl w:val="0"/>
          <w:numId w:val="36"/>
        </w:numPr>
        <w:rPr>
          <w:rFonts w:ascii="Arial" w:cs="Arial" w:eastAsia="Arial" w:hAnsi="Arial"/>
          <w:sz w:val="11"/>
          <w:szCs w:val="11"/>
          <w:color w:val="auto"/>
        </w:rPr>
      </w:pPr>
      <w:r>
        <w:rPr>
          <w:rFonts w:ascii="Arial" w:cs="Arial" w:eastAsia="Arial" w:hAnsi="Arial"/>
          <w:sz w:val="11"/>
          <w:szCs w:val="11"/>
          <w:color w:val="auto"/>
        </w:rPr>
        <w:t>At June 30, 2025, March 31, 2025, December 31, 2024, September 30, 2024 and June 30, 2024, excludes an allowance for credit losses associated with certain accounts receivable in CIB of $288 million, $283 million, $268 million, $277 million and $278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26</w:t>
      </w:r>
    </w:p>
    <w:p>
      <w:pPr>
        <w:sectPr>
          <w:pgSz w:w="11900" w:h="16838" w:orient="portrait"/>
          <w:cols w:equalWidth="0" w:num="1">
            <w:col w:w="11240"/>
          </w:cols>
          <w:pgMar w:left="320" w:top="564"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-3810</wp:posOffset>
            </wp:positionV>
            <wp:extent cx="1371600" cy="1936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ind w:left="20"/>
        <w:spacing w:after="0"/>
        <w:rPr>
          <w:sz w:val="20"/>
          <w:szCs w:val="20"/>
          <w:color w:val="auto"/>
        </w:rPr>
      </w:pPr>
      <w:r>
        <w:rPr>
          <w:rFonts w:ascii="Arial" w:cs="Arial" w:eastAsia="Arial" w:hAnsi="Arial"/>
          <w:sz w:val="14"/>
          <w:szCs w:val="14"/>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4"/>
              </w:rPr>
              <w:t>Jun 30, 2025</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gridSpan w:val="3"/>
          </w:tcPr>
          <w:p>
            <w:pPr>
              <w:jc w:val="center"/>
              <w:ind w:left="407"/>
              <w:spacing w:after="0"/>
              <w:rPr>
                <w:sz w:val="20"/>
                <w:szCs w:val="20"/>
                <w:color w:val="auto"/>
              </w:rPr>
            </w:pPr>
            <w:r>
              <w:rPr>
                <w:rFonts w:ascii="Arial" w:cs="Arial" w:eastAsia="Arial" w:hAnsi="Arial"/>
                <w:sz w:val="11"/>
                <w:szCs w:val="11"/>
                <w:b w:val="1"/>
                <w:bCs w:val="1"/>
                <w:color w:val="auto"/>
                <w:w w:val="94"/>
              </w:rPr>
              <w:t>Change</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Jun 30,</w:t>
            </w:r>
          </w:p>
        </w:tc>
        <w:tc>
          <w:tcPr>
            <w:tcW w:w="22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Mar 31,</w:t>
            </w:r>
          </w:p>
        </w:tc>
        <w:tc>
          <w:tcPr>
            <w:tcW w:w="460" w:type="dxa"/>
            <w:vAlign w:val="bottom"/>
          </w:tcPr>
          <w:p>
            <w:pPr>
              <w:jc w:val="right"/>
              <w:ind w:right="27"/>
              <w:spacing w:after="0"/>
              <w:rPr>
                <w:sz w:val="20"/>
                <w:szCs w:val="20"/>
                <w:color w:val="auto"/>
              </w:rPr>
            </w:pPr>
            <w:r>
              <w:rPr>
                <w:rFonts w:ascii="Arial" w:cs="Arial" w:eastAsia="Arial" w:hAnsi="Arial"/>
                <w:sz w:val="11"/>
                <w:szCs w:val="11"/>
                <w:b w:val="1"/>
                <w:bCs w:val="1"/>
                <w:color w:val="auto"/>
                <w:w w:val="94"/>
              </w:rPr>
              <w:t>Jun 30,</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76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6"/>
        </w:trPr>
        <w:tc>
          <w:tcPr>
            <w:tcW w:w="2160" w:type="dxa"/>
            <w:vAlign w:val="bottom"/>
            <w:gridSpan w:val="4"/>
          </w:tcPr>
          <w:p>
            <w:pPr>
              <w:spacing w:after="0" w:line="106" w:lineRule="exact"/>
              <w:rPr>
                <w:sz w:val="20"/>
                <w:szCs w:val="20"/>
                <w:color w:val="auto"/>
              </w:rPr>
            </w:pPr>
            <w:r>
              <w:rPr>
                <w:rFonts w:ascii="Arial" w:cs="Arial" w:eastAsia="Arial" w:hAnsi="Arial"/>
                <w:sz w:val="11"/>
                <w:szCs w:val="11"/>
                <w:b w:val="1"/>
                <w:bCs w:val="1"/>
                <w:color w:val="auto"/>
              </w:rPr>
              <w:t>ALLOWANCE COMPONENTS AND</w:t>
            </w: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00" w:type="dxa"/>
            <w:vAlign w:val="bottom"/>
            <w:tcBorders>
              <w:top w:val="single" w:sz="8" w:color="auto"/>
              <w:bottom w:val="single" w:sz="8" w:color="auto"/>
            </w:tcBorders>
          </w:tcPr>
          <w:p>
            <w:pPr>
              <w:spacing w:after="0" w:line="86" w:lineRule="exact"/>
              <w:rPr>
                <w:sz w:val="20"/>
                <w:szCs w:val="20"/>
                <w:color w:val="auto"/>
              </w:rPr>
            </w:pPr>
            <w:r>
              <w:rPr>
                <w:rFonts w:ascii="Arial" w:cs="Arial" w:eastAsia="Arial" w:hAnsi="Arial"/>
                <w:sz w:val="8"/>
                <w:szCs w:val="8"/>
                <w:b w:val="1"/>
                <w:bCs w:val="1"/>
                <w:color w:val="auto"/>
              </w:rPr>
              <w:t>RATIOS</w:t>
            </w:r>
          </w:p>
        </w:tc>
        <w:tc>
          <w:tcPr>
            <w:tcW w:w="1340" w:type="dxa"/>
            <w:vAlign w:val="bottom"/>
            <w:tcBorders>
              <w:top w:val="single" w:sz="8" w:color="auto"/>
            </w:tcBorders>
            <w:gridSpan w:val="2"/>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ALLOWANCE FOR LOAN LOSSES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Consumer, excluding credit card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gridSpan w:val="4"/>
          </w:tcPr>
          <w:p>
            <w:pPr>
              <w:ind w:left="100"/>
              <w:spacing w:after="0"/>
              <w:rPr>
                <w:sz w:val="20"/>
                <w:szCs w:val="20"/>
                <w:color w:val="auto"/>
              </w:rPr>
            </w:pPr>
            <w:r>
              <w:rPr>
                <w:rFonts w:ascii="Arial" w:cs="Arial" w:eastAsia="Arial" w:hAnsi="Arial"/>
                <w:sz w:val="11"/>
                <w:szCs w:val="11"/>
                <w:color w:val="auto"/>
              </w:rPr>
              <w:t>Asset-specific</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(683)</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7"/>
              <w:spacing w:after="0"/>
              <w:rPr>
                <w:sz w:val="20"/>
                <w:szCs w:val="20"/>
                <w:color w:val="auto"/>
              </w:rPr>
            </w:pPr>
            <w:r>
              <w:rPr>
                <w:rFonts w:ascii="Arial" w:cs="Arial" w:eastAsia="Arial" w:hAnsi="Arial"/>
                <w:sz w:val="11"/>
                <w:szCs w:val="11"/>
                <w:color w:val="auto"/>
              </w:rPr>
              <w:t>(727)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(728)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(756)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(856)</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71"/>
        </w:trPr>
        <w:tc>
          <w:tcPr>
            <w:tcW w:w="216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2,532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2,585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2,535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2,491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2,599</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4"/>
        </w:trPr>
        <w:tc>
          <w:tcPr>
            <w:tcW w:w="2160" w:type="dxa"/>
            <w:vAlign w:val="bottom"/>
            <w:gridSpan w:val="4"/>
          </w:tcPr>
          <w:p>
            <w:pPr>
              <w:ind w:left="200"/>
              <w:spacing w:after="0"/>
              <w:rPr>
                <w:sz w:val="20"/>
                <w:szCs w:val="20"/>
                <w:color w:val="auto"/>
              </w:rPr>
            </w:pPr>
            <w:r>
              <w:rPr>
                <w:rFonts w:ascii="Arial" w:cs="Arial" w:eastAsia="Arial" w:hAnsi="Arial"/>
                <w:sz w:val="11"/>
                <w:szCs w:val="11"/>
                <w:b w:val="1"/>
                <w:bCs w:val="1"/>
                <w:color w:val="auto"/>
                <w:w w:val="97"/>
              </w:rPr>
              <w:t>Total consumer, excluding credit card</w:t>
            </w: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1,849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1,858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1,807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1,735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1,743</w:t>
            </w:r>
          </w:p>
        </w:tc>
        <w:tc>
          <w:tcPr>
            <w:tcW w:w="220" w:type="dxa"/>
            <w:vAlign w:val="bottom"/>
          </w:tcPr>
          <w:p>
            <w:pPr>
              <w:spacing w:after="0"/>
              <w:rPr>
                <w:sz w:val="12"/>
                <w:szCs w:val="12"/>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Credit card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16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15,001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15,000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14,600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14,100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13,200</w:t>
            </w:r>
          </w:p>
        </w:tc>
        <w:tc>
          <w:tcPr>
            <w:tcW w:w="220" w:type="dxa"/>
            <w:vAlign w:val="bottom"/>
          </w:tcPr>
          <w:p>
            <w:pPr>
              <w:spacing w:after="0"/>
              <w:rPr>
                <w:sz w:val="14"/>
                <w:szCs w:val="14"/>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2"/>
        </w:trPr>
        <w:tc>
          <w:tcPr>
            <w:tcW w:w="216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credit card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15,001</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15,000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14,600</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14,100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13,200</w:t>
            </w:r>
          </w:p>
        </w:tc>
        <w:tc>
          <w:tcPr>
            <w:tcW w:w="220" w:type="dxa"/>
            <w:vAlign w:val="bottom"/>
          </w:tcPr>
          <w:p>
            <w:pPr>
              <w:spacing w:after="0"/>
              <w:rPr>
                <w:sz w:val="13"/>
                <w:szCs w:val="13"/>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2"/>
        </w:trPr>
        <w:tc>
          <w:tcPr>
            <w:tcW w:w="216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consumer</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16,850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16,858</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16,407</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15,835</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14,943</w:t>
            </w:r>
          </w:p>
        </w:tc>
        <w:tc>
          <w:tcPr>
            <w:tcW w:w="220" w:type="dxa"/>
            <w:vAlign w:val="bottom"/>
          </w:tcPr>
          <w:p>
            <w:pPr>
              <w:spacing w:after="0"/>
              <w:rPr>
                <w:sz w:val="13"/>
                <w:szCs w:val="13"/>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1"/>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Wholesale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60" w:type="dxa"/>
            <w:vAlign w:val="bottom"/>
            <w:gridSpan w:val="4"/>
          </w:tcPr>
          <w:p>
            <w:pPr>
              <w:ind w:left="100"/>
              <w:spacing w:after="0"/>
              <w:rPr>
                <w:sz w:val="20"/>
                <w:szCs w:val="20"/>
                <w:color w:val="auto"/>
              </w:rPr>
            </w:pPr>
            <w:r>
              <w:rPr>
                <w:rFonts w:ascii="Arial" w:cs="Arial" w:eastAsia="Arial" w:hAnsi="Arial"/>
                <w:sz w:val="11"/>
                <w:szCs w:val="11"/>
                <w:color w:val="auto"/>
              </w:rPr>
              <w:t>Asset-specific</w:t>
            </w: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781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692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526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562</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71"/>
        </w:trPr>
        <w:tc>
          <w:tcPr>
            <w:tcW w:w="216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7,322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7,658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7,412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7,615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7,486</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16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wholesale</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8,103</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8,350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7,938</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8,114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8,048</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4"/>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24,953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25,208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24,345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23,949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22,991</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5"/>
        </w:trPr>
        <w:tc>
          <w:tcPr>
            <w:tcW w:w="2160" w:type="dxa"/>
            <w:vAlign w:val="bottom"/>
            <w:gridSpan w:val="4"/>
          </w:tcPr>
          <w:p>
            <w:pPr>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2,932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2,226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2,101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2,142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2,068</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32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71"/>
        </w:trPr>
        <w:tc>
          <w:tcPr>
            <w:tcW w:w="2160" w:type="dxa"/>
            <w:vAlign w:val="bottom"/>
            <w:gridSpan w:val="4"/>
          </w:tcPr>
          <w:p>
            <w:pPr>
              <w:spacing w:after="0"/>
              <w:rPr>
                <w:sz w:val="20"/>
                <w:szCs w:val="20"/>
                <w:color w:val="auto"/>
              </w:rPr>
            </w:pPr>
            <w:r>
              <w:rPr>
                <w:rFonts w:ascii="Arial" w:cs="Arial" w:eastAsia="Arial" w:hAnsi="Arial"/>
                <w:sz w:val="11"/>
                <w:szCs w:val="11"/>
                <w:color w:val="auto"/>
              </w:rPr>
              <w:t>Allowance for investment securities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152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175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177</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47"/>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65"/>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27,993</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27,552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26,598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26,266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25,236</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65"/>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CREDIT RATIOS</w:t>
            </w: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160" w:type="dxa"/>
            <w:vAlign w:val="bottom"/>
            <w:gridSpan w:val="4"/>
          </w:tcPr>
          <w:p>
            <w:pPr>
              <w:spacing w:after="0"/>
              <w:rPr>
                <w:sz w:val="20"/>
                <w:szCs w:val="20"/>
                <w:color w:val="auto"/>
              </w:rPr>
            </w:pPr>
            <w:r>
              <w:rPr>
                <w:rFonts w:ascii="Arial" w:cs="Arial" w:eastAsia="Arial" w:hAnsi="Arial"/>
                <w:sz w:val="11"/>
                <w:szCs w:val="11"/>
                <w:color w:val="auto"/>
              </w:rPr>
              <w:t>Consumer, excluding credit card allowance,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spacing w:after="0"/>
              <w:rPr>
                <w:sz w:val="20"/>
                <w:szCs w:val="20"/>
                <w:color w:val="auto"/>
              </w:rPr>
            </w:pPr>
            <w:r>
              <w:rPr>
                <w:rFonts w:ascii="Arial" w:cs="Arial" w:eastAsia="Arial" w:hAnsi="Arial"/>
                <w:sz w:val="11"/>
                <w:szCs w:val="11"/>
                <w:color w:val="auto"/>
              </w:rPr>
              <w:t>to total</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gridSpan w:val="4"/>
          </w:tcPr>
          <w:p>
            <w:pPr>
              <w:ind w:left="120"/>
              <w:spacing w:after="0" w:line="125" w:lineRule="exact"/>
              <w:rPr>
                <w:sz w:val="20"/>
                <w:szCs w:val="20"/>
                <w:color w:val="auto"/>
              </w:rPr>
            </w:pPr>
            <w:r>
              <w:rPr>
                <w:rFonts w:ascii="Arial" w:cs="Arial" w:eastAsia="Arial" w:hAnsi="Arial"/>
                <w:sz w:val="11"/>
                <w:szCs w:val="11"/>
                <w:color w:val="auto"/>
              </w:rPr>
              <w:t>consumer, excluding credit card retained</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0.50 %</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0.50 %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0.48 %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0.46 %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0.46 %</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ind w:left="120"/>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gridSpan w:val="4"/>
          </w:tcPr>
          <w:p>
            <w:pPr>
              <w:spacing w:after="0" w:line="125" w:lineRule="exact"/>
              <w:rPr>
                <w:sz w:val="20"/>
                <w:szCs w:val="20"/>
                <w:color w:val="auto"/>
              </w:rPr>
            </w:pPr>
            <w:r>
              <w:rPr>
                <w:rFonts w:ascii="Arial" w:cs="Arial" w:eastAsia="Arial" w:hAnsi="Arial"/>
                <w:sz w:val="11"/>
                <w:szCs w:val="11"/>
                <w:color w:val="auto"/>
              </w:rPr>
              <w:t>Credit card allowance to total credit card</w:t>
            </w: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6.44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6.71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6.27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6.42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6.11</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spacing w:after="0"/>
              <w:rPr>
                <w:sz w:val="20"/>
                <w:szCs w:val="20"/>
                <w:color w:val="auto"/>
              </w:rPr>
            </w:pPr>
            <w:r>
              <w:rPr>
                <w:rFonts w:ascii="Arial" w:cs="Arial" w:eastAsia="Arial" w:hAnsi="Arial"/>
                <w:sz w:val="11"/>
                <w:szCs w:val="11"/>
                <w:color w:val="auto"/>
              </w:rPr>
              <w:t>retained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gridSpan w:val="4"/>
          </w:tcPr>
          <w:p>
            <w:pPr>
              <w:spacing w:after="0" w:line="125" w:lineRule="exact"/>
              <w:rPr>
                <w:sz w:val="20"/>
                <w:szCs w:val="20"/>
                <w:color w:val="auto"/>
              </w:rPr>
            </w:pPr>
            <w:r>
              <w:rPr>
                <w:rFonts w:ascii="Arial" w:cs="Arial" w:eastAsia="Arial" w:hAnsi="Arial"/>
                <w:sz w:val="11"/>
                <w:szCs w:val="11"/>
                <w:color w:val="auto"/>
              </w:rPr>
              <w:t>Wholesale allowance to total wholesale</w:t>
            </w: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1.18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1.15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1.18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1.19</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spacing w:after="0"/>
              <w:rPr>
                <w:sz w:val="20"/>
                <w:szCs w:val="20"/>
                <w:color w:val="auto"/>
              </w:rPr>
            </w:pPr>
            <w:r>
              <w:rPr>
                <w:rFonts w:ascii="Arial" w:cs="Arial" w:eastAsia="Arial" w:hAnsi="Arial"/>
                <w:sz w:val="11"/>
                <w:szCs w:val="11"/>
                <w:color w:val="auto"/>
              </w:rPr>
              <w:t>retained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 loans</w:t>
            </w: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1.85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1.87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1.86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1.81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gridSpan w:val="4"/>
          </w:tcPr>
          <w:p>
            <w:pPr>
              <w:spacing w:after="0" w:line="121" w:lineRule="exact"/>
              <w:rPr>
                <w:sz w:val="20"/>
                <w:szCs w:val="20"/>
                <w:color w:val="auto"/>
              </w:rPr>
            </w:pPr>
            <w:r>
              <w:rPr>
                <w:rFonts w:ascii="Arial" w:cs="Arial" w:eastAsia="Arial" w:hAnsi="Arial"/>
                <w:sz w:val="11"/>
                <w:szCs w:val="11"/>
                <w:color w:val="auto"/>
              </w:rPr>
              <w:t>Consumer, excluding credit card allowance,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spacing w:after="0"/>
              <w:rPr>
                <w:sz w:val="20"/>
                <w:szCs w:val="20"/>
                <w:color w:val="auto"/>
              </w:rPr>
            </w:pPr>
            <w:r>
              <w:rPr>
                <w:rFonts w:ascii="Arial" w:cs="Arial" w:eastAsia="Arial" w:hAnsi="Arial"/>
                <w:sz w:val="11"/>
                <w:szCs w:val="11"/>
                <w:color w:val="auto"/>
              </w:rPr>
              <w:t>to consumer,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gridSpan w:val="4"/>
          </w:tcPr>
          <w:p>
            <w:pPr>
              <w:ind w:left="120"/>
              <w:spacing w:after="0" w:line="125" w:lineRule="exact"/>
              <w:rPr>
                <w:sz w:val="20"/>
                <w:szCs w:val="20"/>
                <w:color w:val="auto"/>
              </w:rPr>
            </w:pPr>
            <w:r>
              <w:rPr>
                <w:rFonts w:ascii="Arial" w:cs="Arial" w:eastAsia="Arial" w:hAnsi="Arial"/>
                <w:sz w:val="11"/>
                <w:szCs w:val="11"/>
                <w:color w:val="auto"/>
              </w:rPr>
              <w:t>excluding credit card retained nonaccrual</w:t>
            </w: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47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56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56</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ind w:left="120"/>
              <w:spacing w:after="0"/>
              <w:rPr>
                <w:sz w:val="20"/>
                <w:szCs w:val="20"/>
                <w:color w:val="auto"/>
              </w:rPr>
            </w:pPr>
            <w:r>
              <w:rPr>
                <w:rFonts w:ascii="Arial" w:cs="Arial" w:eastAsia="Arial" w:hAnsi="Arial"/>
                <w:sz w:val="11"/>
                <w:szCs w:val="11"/>
                <w:color w:val="auto"/>
              </w:rPr>
              <w:t>loans (a)</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gridSpan w:val="4"/>
          </w:tcPr>
          <w:p>
            <w:pPr>
              <w:spacing w:after="0" w:line="125" w:lineRule="exact"/>
              <w:rPr>
                <w:sz w:val="20"/>
                <w:szCs w:val="20"/>
                <w:color w:val="auto"/>
              </w:rPr>
            </w:pPr>
            <w:r>
              <w:rPr>
                <w:rFonts w:ascii="Arial" w:cs="Arial" w:eastAsia="Arial" w:hAnsi="Arial"/>
                <w:sz w:val="11"/>
                <w:szCs w:val="11"/>
                <w:color w:val="auto"/>
              </w:rPr>
              <w:t>Total allowance, excluding credit card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spacing w:after="0"/>
              <w:rPr>
                <w:sz w:val="20"/>
                <w:szCs w:val="20"/>
                <w:color w:val="auto"/>
              </w:rPr>
            </w:pPr>
            <w:r>
              <w:rPr>
                <w:rFonts w:ascii="Arial" w:cs="Arial" w:eastAsia="Arial" w:hAnsi="Arial"/>
                <w:sz w:val="11"/>
                <w:szCs w:val="11"/>
                <w:color w:val="auto"/>
              </w:rPr>
              <w:t>allowance, to retained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gridSpan w:val="4"/>
          </w:tcPr>
          <w:p>
            <w:pPr>
              <w:ind w:left="160"/>
              <w:spacing w:after="0" w:line="125" w:lineRule="exact"/>
              <w:rPr>
                <w:sz w:val="20"/>
                <w:szCs w:val="20"/>
                <w:color w:val="auto"/>
              </w:rPr>
            </w:pPr>
            <w:r>
              <w:rPr>
                <w:rFonts w:ascii="Arial" w:cs="Arial" w:eastAsia="Arial" w:hAnsi="Arial"/>
                <w:sz w:val="11"/>
                <w:szCs w:val="11"/>
                <w:color w:val="auto"/>
              </w:rPr>
              <w:t>nonaccrual loans, excluding credit card</w:t>
            </w: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118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142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136</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144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146</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ind w:left="120"/>
              <w:spacing w:after="0"/>
              <w:rPr>
                <w:sz w:val="20"/>
                <w:szCs w:val="20"/>
                <w:color w:val="auto"/>
              </w:rPr>
            </w:pPr>
            <w:r>
              <w:rPr>
                <w:rFonts w:ascii="Arial" w:cs="Arial" w:eastAsia="Arial" w:hAnsi="Arial"/>
                <w:sz w:val="11"/>
                <w:szCs w:val="11"/>
                <w:color w:val="auto"/>
              </w:rPr>
              <w:t>nonaccrual loans (a)</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gridSpan w:val="4"/>
          </w:tcPr>
          <w:p>
            <w:pPr>
              <w:spacing w:after="0" w:line="125" w:lineRule="exact"/>
              <w:rPr>
                <w:sz w:val="20"/>
                <w:szCs w:val="20"/>
                <w:color w:val="auto"/>
              </w:rPr>
            </w:pPr>
            <w:r>
              <w:rPr>
                <w:rFonts w:ascii="Arial" w:cs="Arial" w:eastAsia="Arial" w:hAnsi="Arial"/>
                <w:sz w:val="11"/>
                <w:szCs w:val="11"/>
                <w:color w:val="auto"/>
              </w:rPr>
              <w:t>Wholesale allowance to wholesale retained</w:t>
            </w: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181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214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201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231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245</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Total allowance to total retained</w:t>
            </w: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296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349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339</w:t>
            </w:r>
          </w:p>
        </w:tc>
        <w:tc>
          <w:tcPr>
            <w:tcW w:w="36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(b)</w:t>
            </w: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350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343</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60" w:type="dxa"/>
            <w:vAlign w:val="bottom"/>
            <w:gridSpan w:val="4"/>
          </w:tcPr>
          <w:p>
            <w:pPr>
              <w:spacing w:after="0"/>
              <w:rPr>
                <w:sz w:val="20"/>
                <w:szCs w:val="20"/>
                <w:color w:val="auto"/>
              </w:rPr>
            </w:pPr>
            <w:r>
              <w:rPr>
                <w:rFonts w:ascii="Arial" w:cs="Arial" w:eastAsia="Arial" w:hAnsi="Arial"/>
                <w:sz w:val="11"/>
                <w:szCs w:val="11"/>
                <w:b w:val="1"/>
                <w:bCs w:val="1"/>
                <w:color w:val="auto"/>
              </w:rPr>
              <w:t>nonaccrual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1379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47" w:lineRule="exact"/>
        <w:rPr>
          <w:sz w:val="20"/>
          <w:szCs w:val="20"/>
          <w:color w:val="auto"/>
        </w:rPr>
      </w:pPr>
    </w:p>
    <w:p>
      <w:pPr>
        <w:ind w:left="160" w:hanging="154"/>
        <w:spacing w:after="0"/>
        <w:tabs>
          <w:tab w:leader="none" w:pos="1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Refer to footnote (a) on page 25 for information on the Firm’s nonaccrual policy for credit card loans.</w:t>
      </w:r>
    </w:p>
    <w:p>
      <w:pPr>
        <w:spacing w:after="0" w:line="2" w:lineRule="exact"/>
        <w:rPr>
          <w:rFonts w:ascii="Arial" w:cs="Arial" w:eastAsia="Arial" w:hAnsi="Arial"/>
          <w:sz w:val="11"/>
          <w:szCs w:val="11"/>
          <w:color w:val="auto"/>
        </w:rPr>
      </w:pPr>
    </w:p>
    <w:p>
      <w:pPr>
        <w:ind w:left="160" w:hanging="154"/>
        <w:spacing w:after="0"/>
        <w:tabs>
          <w:tab w:leader="none" w:pos="1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Prior-period ratio has been revised to conform with the presentation in the Firm’s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27</w:t>
      </w:r>
    </w:p>
    <w:p>
      <w:pPr>
        <w:sectPr>
          <w:pgSz w:w="11900" w:h="16838" w:orient="portrait"/>
          <w:cols w:equalWidth="0" w:num="1">
            <w:col w:w="11240"/>
          </w:cols>
          <w:pgMar w:left="320" w:top="564"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-46355</wp:posOffset>
            </wp:positionV>
            <wp:extent cx="1371600" cy="193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31" w:lineRule="exact"/>
        <w:rPr>
          <w:sz w:val="20"/>
          <w:szCs w:val="20"/>
          <w:color w:val="auto"/>
        </w:rPr>
      </w:pPr>
    </w:p>
    <w:p>
      <w:pPr>
        <w:ind w:left="320" w:right="80" w:hanging="314"/>
        <w:spacing w:after="0" w:line="248" w:lineRule="auto"/>
        <w:tabs>
          <w:tab w:leader="none" w:pos="3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In addition to analyzing the Firm’s results on a reported basis, management reviews Firmwide results, including the overhead ratio, on a </w:t>
      </w:r>
      <w:r>
        <w:rPr>
          <w:rFonts w:ascii="Arial" w:cs="Arial" w:eastAsia="Arial" w:hAnsi="Arial"/>
          <w:sz w:val="16"/>
          <w:szCs w:val="16"/>
          <w:b w:val="1"/>
          <w:bCs w:val="1"/>
          <w:color w:val="auto"/>
        </w:rPr>
        <w:t>“managed” basis</w:t>
      </w:r>
      <w:r>
        <w:rPr>
          <w:rFonts w:ascii="Arial" w:cs="Arial" w:eastAsia="Arial" w:hAnsi="Arial"/>
          <w:sz w:val="16"/>
          <w:szCs w:val="16"/>
          <w:color w:val="auto"/>
        </w:rPr>
        <w:t>;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as a whole and for each of the reportable business segments and Corporate on an FTE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lines of business and Corporate.</w:t>
      </w:r>
    </w:p>
    <w:p>
      <w:pPr>
        <w:spacing w:after="0" w:line="13" w:lineRule="exact"/>
        <w:rPr>
          <w:rFonts w:ascii="Arial" w:cs="Arial" w:eastAsia="Arial" w:hAnsi="Arial"/>
          <w:sz w:val="16"/>
          <w:szCs w:val="16"/>
          <w:color w:val="auto"/>
        </w:rPr>
      </w:pPr>
    </w:p>
    <w:p>
      <w:pPr>
        <w:ind w:left="320" w:right="120" w:hanging="314"/>
        <w:spacing w:after="0" w:line="259" w:lineRule="auto"/>
        <w:tabs>
          <w:tab w:leader="none" w:pos="311"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Pre-provision profit </w:t>
      </w:r>
      <w:r>
        <w:rPr>
          <w:rFonts w:ascii="Arial" w:cs="Arial" w:eastAsia="Arial" w:hAnsi="Arial"/>
          <w:sz w:val="16"/>
          <w:szCs w:val="16"/>
          <w:color w:val="auto"/>
        </w:rPr>
        <w:t>is a non-GAAP financial measure which represents total net revenue less total noninterest expense. The Firm believes that this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measure is useful in assessing the ability of a lending institution to generate income in excess of its provision for credit losses.</w:t>
      </w:r>
    </w:p>
    <w:p>
      <w:pPr>
        <w:ind w:left="320" w:right="120" w:hanging="314"/>
        <w:spacing w:after="0" w:line="292" w:lineRule="auto"/>
        <w:tabs>
          <w:tab w:leader="none" w:pos="315"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 xml:space="preserve">TCE, ROTCE, and TBVPS </w:t>
      </w:r>
      <w:r>
        <w:rPr>
          <w:rFonts w:ascii="Arial" w:cs="Arial" w:eastAsia="Arial" w:hAnsi="Arial"/>
          <w:sz w:val="14"/>
          <w:szCs w:val="14"/>
          <w:color w:val="auto"/>
        </w:rPr>
        <w:t>are each non-GAAP financial measures. TCE represents the Firm’s common stockholders’ equity (i.e., total stockholders’ equity</w:t>
      </w:r>
      <w:r>
        <w:rPr>
          <w:rFonts w:ascii="Arial" w:cs="Arial" w:eastAsia="Arial" w:hAnsi="Arial"/>
          <w:sz w:val="14"/>
          <w:szCs w:val="14"/>
          <w:b w:val="1"/>
          <w:bCs w:val="1"/>
          <w:color w:val="auto"/>
        </w:rPr>
        <w:t xml:space="preserve"> </w:t>
      </w:r>
      <w:r>
        <w:rPr>
          <w:rFonts w:ascii="Arial" w:cs="Arial" w:eastAsia="Arial" w:hAnsi="Arial"/>
          <w:sz w:val="14"/>
          <w:szCs w:val="14"/>
          <w:color w:val="auto"/>
        </w:rPr>
        <w:t>less preferred stock) less goodwill and identifiable intangible assets (other than MSRs), net of related deferred tax liabilities. ROTCE measures the Firm’s net income applicable to common equity as a percentage of average TCE. TBVPS represents the Firm’s TCE at period-end divided by common shares at period-end. TCE, ROTCE, and TBVPS are utilized by the Firm, as well as investors and analysts, in assessing the Firm’s use of equity.</w:t>
      </w:r>
    </w:p>
    <w:p>
      <w:pPr>
        <w:ind w:left="320" w:hanging="314"/>
        <w:spacing w:after="0" w:line="288" w:lineRule="auto"/>
        <w:tabs>
          <w:tab w:leader="none" w:pos="311"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 addition to reviewing net interest income (“NII”), net yield, and noninterest revenue (“NIR”) on a managed basis, management also reviews these metrics </w:t>
      </w:r>
      <w:r>
        <w:rPr>
          <w:rFonts w:ascii="Arial" w:cs="Arial" w:eastAsia="Arial" w:hAnsi="Arial"/>
          <w:sz w:val="14"/>
          <w:szCs w:val="14"/>
          <w:b w:val="1"/>
          <w:bCs w:val="1"/>
          <w:color w:val="auto"/>
        </w:rPr>
        <w:t>excluding Markets</w:t>
      </w:r>
      <w:r>
        <w:rPr>
          <w:rFonts w:ascii="Arial" w:cs="Arial" w:eastAsia="Arial" w:hAnsi="Arial"/>
          <w:sz w:val="14"/>
          <w:szCs w:val="14"/>
          <w:color w:val="auto"/>
        </w:rPr>
        <w:t>, which is composed of Fixed Income Markets and Equity Markets, as shown below. Markets revenue consists of principal transactions,</w:t>
      </w:r>
      <w:r>
        <w:rPr>
          <w:rFonts w:ascii="Arial" w:cs="Arial" w:eastAsia="Arial" w:hAnsi="Arial"/>
          <w:sz w:val="14"/>
          <w:szCs w:val="14"/>
          <w:b w:val="1"/>
          <w:bCs w:val="1"/>
          <w:color w:val="auto"/>
        </w:rPr>
        <w:t xml:space="preserve"> </w:t>
      </w:r>
      <w:r>
        <w:rPr>
          <w:rFonts w:ascii="Arial" w:cs="Arial" w:eastAsia="Arial" w:hAnsi="Arial"/>
          <w:sz w:val="14"/>
          <w:szCs w:val="14"/>
          <w:color w:val="auto"/>
        </w:rPr>
        <w:t>fees, commissions and other income, as well as net interest income.These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additional information on Markets revenue, refer to pages 81-82 of the Firm’s 2024 Form 10-K.</w:t>
      </w:r>
    </w:p>
    <w:p>
      <w:pPr>
        <w:spacing w:after="0" w:line="80" w:lineRule="exact"/>
        <w:rPr>
          <w:sz w:val="20"/>
          <w:szCs w:val="20"/>
          <w:color w:val="auto"/>
        </w:rPr>
      </w:pPr>
    </w:p>
    <w:tbl>
      <w:tblPr>
        <w:tblLayout w:type="fixed"/>
        <w:tblInd w:w="320" w:type="dxa"/>
        <w:tblCellMar>
          <w:top w:w="0" w:type="dxa"/>
          <w:left w:w="0" w:type="dxa"/>
          <w:bottom w:w="0" w:type="dxa"/>
          <w:right w:w="0" w:type="dxa"/>
        </w:tblCellMar>
      </w:tblPr>
      <w:tr>
        <w:trPr>
          <w:trHeight w:val="152"/>
        </w:trPr>
        <w:tc>
          <w:tcPr>
            <w:tcW w:w="1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right"/>
              <w:ind w:right="42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2Q25 Change</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jc w:val="right"/>
              <w:ind w:right="167"/>
              <w:spacing w:after="0" w:line="106" w:lineRule="exact"/>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2"/>
        </w:trPr>
        <w:tc>
          <w:tcPr>
            <w:tcW w:w="1960" w:type="dxa"/>
            <w:vAlign w:val="bottom"/>
          </w:tcPr>
          <w:p>
            <w:pPr>
              <w:ind w:left="20"/>
              <w:spacing w:after="0"/>
              <w:rPr>
                <w:sz w:val="20"/>
                <w:szCs w:val="20"/>
                <w:color w:val="auto"/>
              </w:rPr>
            </w:pPr>
            <w:r>
              <w:rPr>
                <w:rFonts w:ascii="Arial" w:cs="Arial" w:eastAsia="Arial" w:hAnsi="Arial"/>
                <w:sz w:val="11"/>
                <w:szCs w:val="11"/>
                <w:color w:val="auto"/>
              </w:rPr>
              <w:t>(in millions, except rates)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2Q25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b w:val="1"/>
                <w:bCs w:val="1"/>
                <w:color w:val="auto"/>
              </w:rPr>
              <w:t>1Q25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4Q24</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3Q24</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2Q24</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1Q25</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2Q24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86"/>
        </w:trPr>
        <w:tc>
          <w:tcPr>
            <w:tcW w:w="1960" w:type="dxa"/>
            <w:vAlign w:val="bottom"/>
          </w:tcPr>
          <w:p>
            <w:pPr>
              <w:ind w:left="20"/>
              <w:spacing w:after="0"/>
              <w:rPr>
                <w:sz w:val="20"/>
                <w:szCs w:val="20"/>
                <w:color w:val="auto"/>
              </w:rPr>
            </w:pPr>
            <w:r>
              <w:rPr>
                <w:rFonts w:ascii="Arial" w:cs="Arial" w:eastAsia="Arial" w:hAnsi="Arial"/>
                <w:sz w:val="11"/>
                <w:szCs w:val="11"/>
                <w:color w:val="auto"/>
              </w:rPr>
              <w:t>Net interest income - 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23,209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23,273</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23,350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23,405</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22,746</w:t>
            </w:r>
          </w:p>
        </w:tc>
        <w:tc>
          <w:tcPr>
            <w:tcW w:w="180" w:type="dxa"/>
            <w:vAlign w:val="bottom"/>
          </w:tcPr>
          <w:p>
            <w:pPr>
              <w:spacing w:after="0"/>
              <w:rPr>
                <w:sz w:val="24"/>
                <w:szCs w:val="24"/>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 %</w:t>
            </w:r>
          </w:p>
        </w:tc>
        <w:tc>
          <w:tcPr>
            <w:tcW w:w="500" w:type="dxa"/>
            <w:vAlign w:val="bottom"/>
          </w:tcPr>
          <w:p>
            <w:pPr>
              <w:jc w:val="right"/>
              <w:spacing w:after="0"/>
              <w:rPr>
                <w:sz w:val="20"/>
                <w:szCs w:val="20"/>
                <w:color w:val="auto"/>
              </w:rPr>
            </w:pPr>
            <w:r>
              <w:rPr>
                <w:rFonts w:ascii="Arial" w:cs="Arial" w:eastAsia="Arial" w:hAnsi="Arial"/>
                <w:sz w:val="11"/>
                <w:szCs w:val="11"/>
                <w:color w:val="auto"/>
              </w:rPr>
              <w:t>2 %</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46,482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45,828</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1"/>
                <w:szCs w:val="11"/>
                <w:color w:val="auto"/>
              </w:rPr>
              <w:t>Fully taxable-equivalent adjustments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102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115</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236</w:t>
            </w:r>
          </w:p>
        </w:tc>
        <w:tc>
          <w:tcPr>
            <w:tcW w:w="860" w:type="dxa"/>
            <w:vAlign w:val="bottom"/>
            <w:gridSpan w:val="2"/>
          </w:tcPr>
          <w:p>
            <w:pPr>
              <w:jc w:val="right"/>
              <w:ind w:right="6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0"/>
        </w:trPr>
        <w:tc>
          <w:tcPr>
            <w:tcW w:w="1960" w:type="dxa"/>
            <w:vAlign w:val="bottom"/>
          </w:tcPr>
          <w:p>
            <w:pPr>
              <w:ind w:left="20"/>
              <w:spacing w:after="0"/>
              <w:rPr>
                <w:sz w:val="20"/>
                <w:szCs w:val="20"/>
                <w:color w:val="auto"/>
              </w:rPr>
            </w:pPr>
            <w:r>
              <w:rPr>
                <w:rFonts w:ascii="Arial" w:cs="Arial" w:eastAsia="Arial" w:hAnsi="Arial"/>
                <w:sz w:val="11"/>
                <w:szCs w:val="11"/>
                <w:color w:val="auto"/>
              </w:rPr>
              <w:t>Net interest income - managed basis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23,314</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23,375</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23,471</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23,525</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22,861</w:t>
            </w:r>
          </w:p>
        </w:tc>
        <w:tc>
          <w:tcPr>
            <w:tcW w:w="18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46,689</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46,064</w:t>
            </w:r>
          </w:p>
        </w:tc>
        <w:tc>
          <w:tcPr>
            <w:tcW w:w="86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1"/>
                <w:szCs w:val="11"/>
                <w:color w:val="auto"/>
              </w:rPr>
              <w:t>Less: Markets net interest income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561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785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457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(77)</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(29)</w:t>
            </w:r>
          </w:p>
        </w:tc>
        <w:tc>
          <w:tcPr>
            <w:tcW w:w="1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1,346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93"/>
        </w:trPr>
        <w:tc>
          <w:tcPr>
            <w:tcW w:w="196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Net interest income excluding</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22,753</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22,590</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23,014</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23,447</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22,938</w:t>
            </w:r>
          </w:p>
        </w:tc>
        <w:tc>
          <w:tcPr>
            <w:tcW w:w="68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8"/>
                <w:szCs w:val="8"/>
                <w:color w:val="auto"/>
              </w:rPr>
            </w:pPr>
          </w:p>
        </w:tc>
        <w:tc>
          <w:tcPr>
            <w:tcW w:w="500" w:type="dxa"/>
            <w:vAlign w:val="bottom"/>
            <w:vMerge w:val="restart"/>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45,343</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45,958</w:t>
            </w:r>
          </w:p>
        </w:tc>
        <w:tc>
          <w:tcPr>
            <w:tcW w:w="86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rPr>
                <w:sz w:val="20"/>
                <w:szCs w:val="20"/>
                <w:color w:val="auto"/>
              </w:rPr>
            </w:pPr>
            <w:r>
              <w:rPr>
                <w:rFonts w:ascii="Arial" w:cs="Arial" w:eastAsia="Arial" w:hAnsi="Arial"/>
                <w:sz w:val="11"/>
                <w:szCs w:val="11"/>
                <w:b w:val="1"/>
                <w:bCs w:val="1"/>
                <w:color w:val="auto"/>
              </w:rPr>
              <w:t>Markets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960" w:type="dxa"/>
            <w:vAlign w:val="bottom"/>
          </w:tcPr>
          <w:p>
            <w:pPr>
              <w:ind w:left="20"/>
              <w:spacing w:after="0"/>
              <w:rPr>
                <w:sz w:val="20"/>
                <w:szCs w:val="20"/>
                <w:color w:val="auto"/>
              </w:rPr>
            </w:pPr>
            <w:r>
              <w:rPr>
                <w:rFonts w:ascii="Arial" w:cs="Arial" w:eastAsia="Arial" w:hAnsi="Arial"/>
                <w:sz w:val="11"/>
                <w:szCs w:val="11"/>
                <w:color w:val="auto"/>
              </w:rPr>
              <w:t>Average interest-earning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3,845,982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3,668,384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3,571,960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3,621,766</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3,509,725</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3,757,674</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3,477,620</w:t>
            </w:r>
          </w:p>
        </w:tc>
        <w:tc>
          <w:tcPr>
            <w:tcW w:w="86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1"/>
                <w:szCs w:val="11"/>
                <w:color w:val="auto"/>
                <w:w w:val="99"/>
              </w:rPr>
              <w:t>Less: Average Markets interest-earning</w:t>
            </w: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w w:val="93"/>
              </w:rPr>
              <w:t>1,387,584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color w:val="auto"/>
                <w:w w:val="93"/>
              </w:rPr>
              <w:t>1,255,149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w w:val="97"/>
              </w:rPr>
              <w:t>1,157,421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w w:val="93"/>
              </w:rPr>
              <w:t>1,206,085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w w:val="93"/>
              </w:rPr>
              <w:t>1,116,853</w:t>
            </w:r>
          </w:p>
        </w:tc>
        <w:tc>
          <w:tcPr>
            <w:tcW w:w="68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0"/>
                <w:szCs w:val="10"/>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w w:val="97"/>
              </w:rPr>
              <w:t>1,321,732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w w:val="93"/>
              </w:rPr>
              <w:t>1,073,964</w:t>
            </w:r>
          </w:p>
        </w:tc>
        <w:tc>
          <w:tcPr>
            <w:tcW w:w="86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2"/>
        </w:trPr>
        <w:tc>
          <w:tcPr>
            <w:tcW w:w="1960" w:type="dxa"/>
            <w:vAlign w:val="bottom"/>
          </w:tcPr>
          <w:p>
            <w:pPr>
              <w:ind w:left="20"/>
              <w:spacing w:after="0"/>
              <w:rPr>
                <w:sz w:val="20"/>
                <w:szCs w:val="20"/>
                <w:color w:val="auto"/>
              </w:rPr>
            </w:pPr>
            <w:r>
              <w:rPr>
                <w:rFonts w:ascii="Arial" w:cs="Arial" w:eastAsia="Arial" w:hAnsi="Arial"/>
                <w:sz w:val="11"/>
                <w:szCs w:val="11"/>
                <w:color w:val="auto"/>
              </w:rPr>
              <w:t>assets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96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Average interest-earning assets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2,458,398</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w w:val="93"/>
              </w:rPr>
              <w:t>2,413,235</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w w:val="97"/>
              </w:rPr>
              <w:t>2,414,539</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2,415,681</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2,392,872</w:t>
            </w:r>
          </w:p>
        </w:tc>
        <w:tc>
          <w:tcPr>
            <w:tcW w:w="68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8"/>
                <w:szCs w:val="8"/>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w w:val="97"/>
              </w:rPr>
              <w:t>2,435,942</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2,403,656</w:t>
            </w:r>
          </w:p>
        </w:tc>
        <w:tc>
          <w:tcPr>
            <w:tcW w:w="86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rPr>
                <w:sz w:val="20"/>
                <w:szCs w:val="20"/>
                <w:color w:val="auto"/>
              </w:rPr>
            </w:pPr>
            <w:r>
              <w:rPr>
                <w:rFonts w:ascii="Arial" w:cs="Arial" w:eastAsia="Arial" w:hAnsi="Arial"/>
                <w:sz w:val="11"/>
                <w:szCs w:val="11"/>
                <w:b w:val="1"/>
                <w:bCs w:val="1"/>
                <w:color w:val="auto"/>
              </w:rPr>
              <w:t>excluding Markets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960" w:type="dxa"/>
            <w:vAlign w:val="bottom"/>
          </w:tcPr>
          <w:p>
            <w:pPr>
              <w:ind w:left="20"/>
              <w:spacing w:after="0"/>
              <w:rPr>
                <w:sz w:val="20"/>
                <w:szCs w:val="20"/>
                <w:color w:val="auto"/>
              </w:rPr>
            </w:pPr>
            <w:r>
              <w:rPr>
                <w:rFonts w:ascii="Arial" w:cs="Arial" w:eastAsia="Arial" w:hAnsi="Arial"/>
                <w:sz w:val="11"/>
                <w:szCs w:val="11"/>
                <w:color w:val="auto"/>
              </w:rPr>
              <w:t>Net yield on average interest-earning</w:t>
            </w: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2.43 %</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2.58 %</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2.61 %</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2.58 %</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2.62 %</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2.51 %</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2.66 %</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1960" w:type="dxa"/>
            <w:vAlign w:val="bottom"/>
          </w:tcPr>
          <w:p>
            <w:pPr>
              <w:ind w:left="20"/>
              <w:spacing w:after="0"/>
              <w:rPr>
                <w:sz w:val="20"/>
                <w:szCs w:val="20"/>
                <w:color w:val="auto"/>
              </w:rPr>
            </w:pPr>
            <w:r>
              <w:rPr>
                <w:rFonts w:ascii="Arial" w:cs="Arial" w:eastAsia="Arial" w:hAnsi="Arial"/>
                <w:sz w:val="11"/>
                <w:szCs w:val="11"/>
                <w:color w:val="auto"/>
              </w:rPr>
              <w:t>assets - managed basis (a)</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1"/>
                <w:szCs w:val="11"/>
                <w:color w:val="auto"/>
              </w:rPr>
              <w:t>Net yield on average Markets interest-</w:t>
            </w: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0.16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color w:val="auto"/>
              </w:rPr>
              <w:t>0.25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rPr>
              <w:t>0.16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0.03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67"/>
              <w:spacing w:after="0"/>
              <w:rPr>
                <w:sz w:val="20"/>
                <w:szCs w:val="20"/>
                <w:color w:val="auto"/>
              </w:rPr>
            </w:pPr>
            <w:r>
              <w:rPr>
                <w:rFonts w:ascii="Arial" w:cs="Arial" w:eastAsia="Arial" w:hAnsi="Arial"/>
                <w:sz w:val="11"/>
                <w:szCs w:val="11"/>
                <w:color w:val="auto"/>
              </w:rPr>
              <w:t>(0.03)</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rPr>
              <w:t>0.21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0.02</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60" w:type="dxa"/>
            <w:vAlign w:val="bottom"/>
          </w:tcPr>
          <w:p>
            <w:pPr>
              <w:ind w:left="20"/>
              <w:spacing w:after="0"/>
              <w:rPr>
                <w:sz w:val="20"/>
                <w:szCs w:val="20"/>
                <w:color w:val="auto"/>
              </w:rPr>
            </w:pPr>
            <w:r>
              <w:rPr>
                <w:rFonts w:ascii="Arial" w:cs="Arial" w:eastAsia="Arial" w:hAnsi="Arial"/>
                <w:sz w:val="11"/>
                <w:szCs w:val="11"/>
                <w:color w:val="auto"/>
              </w:rPr>
              <w:t>earning assets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Net yield on average interest-earning</w:t>
            </w: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3.71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3.80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3.79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3.86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3.86</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3.75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3.85</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60" w:type="dxa"/>
            <w:vAlign w:val="bottom"/>
          </w:tcPr>
          <w:p>
            <w:pPr>
              <w:ind w:left="20"/>
              <w:spacing w:after="0"/>
              <w:rPr>
                <w:sz w:val="20"/>
                <w:szCs w:val="20"/>
                <w:color w:val="auto"/>
              </w:rPr>
            </w:pPr>
            <w:r>
              <w:rPr>
                <w:rFonts w:ascii="Arial" w:cs="Arial" w:eastAsia="Arial" w:hAnsi="Arial"/>
                <w:sz w:val="11"/>
                <w:szCs w:val="11"/>
                <w:b w:val="1"/>
                <w:bCs w:val="1"/>
                <w:color w:val="auto"/>
              </w:rPr>
              <w:t>assets excluding Markets (a)</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960" w:type="dxa"/>
            <w:vAlign w:val="bottom"/>
          </w:tcPr>
          <w:p>
            <w:pPr>
              <w:ind w:left="20"/>
              <w:spacing w:after="0"/>
              <w:rPr>
                <w:sz w:val="20"/>
                <w:szCs w:val="20"/>
                <w:color w:val="auto"/>
              </w:rPr>
            </w:pPr>
            <w:r>
              <w:rPr>
                <w:rFonts w:ascii="Arial" w:cs="Arial" w:eastAsia="Arial" w:hAnsi="Arial"/>
                <w:sz w:val="11"/>
                <w:szCs w:val="11"/>
                <w:color w:val="auto"/>
              </w:rPr>
              <w:t>Noninterest revenue - 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21,703</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22,037</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19,418</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19,249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27,454</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24"/>
                <w:szCs w:val="2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43,740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46,306</w:t>
            </w:r>
          </w:p>
        </w:tc>
        <w:tc>
          <w:tcPr>
            <w:tcW w:w="86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1"/>
                <w:szCs w:val="11"/>
                <w:color w:val="auto"/>
              </w:rPr>
              <w:t>Fully taxable-equivalent adjustments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663</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602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849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541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677</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1,265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1,170</w:t>
            </w:r>
          </w:p>
        </w:tc>
        <w:tc>
          <w:tcPr>
            <w:tcW w:w="86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0"/>
        </w:trPr>
        <w:tc>
          <w:tcPr>
            <w:tcW w:w="1960" w:type="dxa"/>
            <w:vAlign w:val="bottom"/>
          </w:tcPr>
          <w:p>
            <w:pPr>
              <w:ind w:left="20"/>
              <w:spacing w:after="0"/>
              <w:rPr>
                <w:sz w:val="20"/>
                <w:szCs w:val="20"/>
                <w:color w:val="auto"/>
              </w:rPr>
            </w:pPr>
            <w:r>
              <w:rPr>
                <w:rFonts w:ascii="Arial" w:cs="Arial" w:eastAsia="Arial" w:hAnsi="Arial"/>
                <w:sz w:val="11"/>
                <w:szCs w:val="11"/>
                <w:color w:val="auto"/>
              </w:rPr>
              <w:t>Noninterest revenue - managed basis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22,366</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22,639</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20,267</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19,790</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28,131</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2"/>
                <w:szCs w:val="12"/>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45,005</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47,476</w:t>
            </w:r>
          </w:p>
        </w:tc>
        <w:tc>
          <w:tcPr>
            <w:tcW w:w="860" w:type="dxa"/>
            <w:vAlign w:val="bottom"/>
            <w:gridSpan w:val="2"/>
          </w:tcPr>
          <w:p>
            <w:pPr>
              <w:jc w:val="right"/>
              <w:ind w:right="6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1"/>
                <w:szCs w:val="11"/>
                <w:color w:val="auto"/>
              </w:rPr>
              <w:t>Less: Markets noninterest revenue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8,375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8,878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6,592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7,074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7,870</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17,253</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15,700</w:t>
            </w:r>
          </w:p>
        </w:tc>
        <w:tc>
          <w:tcPr>
            <w:tcW w:w="86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93"/>
        </w:trPr>
        <w:tc>
          <w:tcPr>
            <w:tcW w:w="196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Noninterest revenue excluding</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13,991</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13,761</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13,675</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12,716</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20,261</w:t>
            </w:r>
          </w:p>
        </w:tc>
        <w:tc>
          <w:tcPr>
            <w:tcW w:w="68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8"/>
                <w:szCs w:val="8"/>
                <w:color w:val="auto"/>
              </w:rPr>
            </w:pPr>
          </w:p>
        </w:tc>
        <w:tc>
          <w:tcPr>
            <w:tcW w:w="500" w:type="dxa"/>
            <w:vAlign w:val="bottom"/>
            <w:vMerge w:val="restart"/>
          </w:tcPr>
          <w:p>
            <w:pPr>
              <w:jc w:val="right"/>
              <w:ind w:right="67"/>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27,752</w:t>
            </w:r>
          </w:p>
        </w:tc>
        <w:tc>
          <w:tcPr>
            <w:tcW w:w="1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31,776</w:t>
            </w:r>
          </w:p>
        </w:tc>
        <w:tc>
          <w:tcPr>
            <w:tcW w:w="86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rPr>
                <w:sz w:val="20"/>
                <w:szCs w:val="20"/>
                <w:color w:val="auto"/>
              </w:rPr>
            </w:pPr>
            <w:r>
              <w:rPr>
                <w:rFonts w:ascii="Arial" w:cs="Arial" w:eastAsia="Arial" w:hAnsi="Arial"/>
                <w:sz w:val="11"/>
                <w:szCs w:val="11"/>
                <w:b w:val="1"/>
                <w:bCs w:val="1"/>
                <w:color w:val="auto"/>
              </w:rPr>
              <w:t>Markets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20"/>
              <w:spacing w:after="0"/>
              <w:rPr>
                <w:sz w:val="20"/>
                <w:szCs w:val="20"/>
                <w:color w:val="auto"/>
              </w:rPr>
            </w:pPr>
            <w:r>
              <w:rPr>
                <w:rFonts w:ascii="Arial" w:cs="Arial" w:eastAsia="Arial" w:hAnsi="Arial"/>
                <w:sz w:val="11"/>
                <w:szCs w:val="11"/>
                <w:b w:val="1"/>
                <w:bCs w:val="1"/>
                <w:color w:val="auto"/>
              </w:rPr>
              <w:t>Memo: Markets 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8,936</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9,663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7,049</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7,152</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7,793</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18,599</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15,806</w:t>
            </w:r>
          </w:p>
        </w:tc>
        <w:tc>
          <w:tcPr>
            <w:tcW w:w="86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6"/>
        </w:trPr>
        <w:tc>
          <w:tcPr>
            <w:tcW w:w="1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 Includes the effect of derivatives that qualify for hedge accounting. Taxable-equivalent amounts are used where applicable. Refer to Note 5 of the Firm’s 2024 Form 10-K for additional information on hedge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28</w:t>
      </w:r>
    </w:p>
    <w:sectPr>
      <w:pgSz w:w="11900" w:h="16838" w:orient="portrait"/>
      <w:cols w:equalWidth="0" w:num="1">
        <w:col w:w="11240"/>
      </w:cols>
      <w:pgMar w:left="320" w:top="5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4"/>
    </w:lvl>
  </w:abstractNum>
  <w:abstractNum w:abstractNumId="2">
    <w:nsid w:val="436C6125"/>
    <w:multiLevelType w:val="hybridMultilevel"/>
    <w:lvl w:ilvl="0">
      <w:lvlJc w:val="left"/>
      <w:lvlText w:val="%1"/>
      <w:numFmt w:val="decimal"/>
      <w:start w:val="101"/>
    </w:lvl>
  </w:abstractNum>
  <w:abstractNum w:abstractNumId="3">
    <w:nsid w:val="628C895D"/>
    <w:multiLevelType w:val="hybridMultilevel"/>
    <w:lvl w:ilvl="0">
      <w:lvlJc w:val="left"/>
      <w:lvlText w:val="%1"/>
      <w:numFmt w:val="decimal"/>
      <w:start w:val="104"/>
    </w:lvl>
  </w:abstractNum>
  <w:abstractNum w:abstractNumId="4">
    <w:nsid w:val="333AB105"/>
    <w:multiLevelType w:val="hybridMultilevel"/>
    <w:lvl w:ilvl="0">
      <w:lvlJc w:val="left"/>
      <w:lvlText w:val="n"/>
      <w:numFmt w:val="bullet"/>
      <w:start w:val="1"/>
    </w:lvl>
  </w:abstractNum>
  <w:abstractNum w:abstractNumId="5">
    <w:nsid w:val="721DA317"/>
    <w:multiLevelType w:val="hybridMultilevel"/>
    <w:lvl w:ilvl="0">
      <w:lvlJc w:val="left"/>
      <w:lvlText w:val="n"/>
      <w:numFmt w:val="bullet"/>
      <w:start w:val="1"/>
    </w:lvl>
  </w:abstractNum>
  <w:abstractNum w:abstractNumId="6">
    <w:nsid w:val="2443A858"/>
    <w:multiLevelType w:val="hybridMultilevel"/>
    <w:lvl w:ilvl="0">
      <w:lvlJc w:val="left"/>
      <w:lvlText w:val="n"/>
      <w:numFmt w:val="bullet"/>
      <w:start w:val="1"/>
    </w:lvl>
  </w:abstractNum>
  <w:abstractNum w:abstractNumId="7">
    <w:nsid w:val="2D1D5AE9"/>
    <w:multiLevelType w:val="hybridMultilevel"/>
    <w:lvl w:ilvl="0">
      <w:lvlJc w:val="left"/>
      <w:lvlText w:val="n"/>
      <w:numFmt w:val="bullet"/>
      <w:start w:val="1"/>
    </w:lvl>
  </w:abstractNum>
  <w:abstractNum w:abstractNumId="8">
    <w:nsid w:val="6763845E"/>
    <w:multiLevelType w:val="hybridMultilevel"/>
    <w:lvl w:ilvl="0">
      <w:lvlJc w:val="left"/>
      <w:lvlText w:val="n"/>
      <w:numFmt w:val="bullet"/>
      <w:start w:val="1"/>
    </w:lvl>
  </w:abstractNum>
  <w:abstractNum w:abstractNumId="9">
    <w:nsid w:val="75A2A8D4"/>
    <w:multiLevelType w:val="hybridMultilevel"/>
    <w:lvl w:ilvl="0">
      <w:lvlJc w:val="left"/>
      <w:lvlText w:val="n"/>
      <w:numFmt w:val="bullet"/>
      <w:start w:val="1"/>
    </w:lvl>
  </w:abstractNum>
  <w:abstractNum w:abstractNumId="10">
    <w:nsid w:val="8EDBDAB"/>
    <w:multiLevelType w:val="hybridMultilevel"/>
    <w:lvl w:ilvl="0">
      <w:lvlJc w:val="left"/>
      <w:lvlText w:val="n"/>
      <w:numFmt w:val="bullet"/>
      <w:start w:val="1"/>
    </w:lvl>
  </w:abstractNum>
  <w:abstractNum w:abstractNumId="11">
    <w:nsid w:val="79838CB2"/>
    <w:multiLevelType w:val="hybridMultilevel"/>
    <w:lvl w:ilvl="0">
      <w:lvlJc w:val="left"/>
      <w:lvlText w:val="1"/>
      <w:numFmt w:val="bullet"/>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decimal"/>
      <w:start w:val="3"/>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2025-07-15T05:39:36Z</dcterms:created>
  <dcterms:modified xsi:type="dcterms:W3CDTF">2025-07-15T05:39:36Z</dcterms:modified>
</cp:coreProperties>
</file>