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4"/>
          <w:szCs w:val="14"/>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147320</wp:posOffset>
            </wp:positionV>
            <wp:extent cx="27889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158115</wp:posOffset>
            </wp:positionV>
            <wp:extent cx="27889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CURRENT REPORT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7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Report (date of earliest event reported): December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179070</wp:posOffset>
            </wp:positionV>
            <wp:extent cx="27889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20"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JPMorgan Chase &amp; Co.</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145415</wp:posOffset>
            </wp:positionV>
            <wp:extent cx="27889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62" w:lineRule="exact"/>
        <w:rPr>
          <w:sz w:val="24"/>
          <w:szCs w:val="24"/>
          <w:color w:val="auto"/>
        </w:rPr>
      </w:pPr>
    </w:p>
    <w:tbl>
      <w:tblPr>
        <w:tblLayout w:type="fixed"/>
        <w:tblInd w:w="3160" w:type="dxa"/>
        <w:tblCellMar>
          <w:top w:w="0" w:type="dxa"/>
          <w:left w:w="0" w:type="dxa"/>
          <w:bottom w:w="0" w:type="dxa"/>
          <w:right w:w="0" w:type="dxa"/>
        </w:tblCellMar>
      </w:tblPr>
      <w:tr>
        <w:trPr>
          <w:trHeight w:val="130"/>
        </w:trPr>
        <w:tc>
          <w:tcPr>
            <w:tcW w:w="1920" w:type="dxa"/>
            <w:vAlign w:val="bottom"/>
          </w:tcPr>
          <w:p>
            <w:pPr>
              <w:jc w:val="center"/>
              <w:ind w:right="31"/>
              <w:spacing w:after="0"/>
              <w:rPr>
                <w:sz w:val="20"/>
                <w:szCs w:val="20"/>
                <w:color w:val="auto"/>
              </w:rPr>
            </w:pPr>
            <w:r>
              <w:rPr>
                <w:rFonts w:ascii="Arial" w:cs="Arial" w:eastAsia="Arial" w:hAnsi="Arial"/>
                <w:sz w:val="10"/>
                <w:szCs w:val="10"/>
                <w:b w:val="1"/>
                <w:bCs w:val="1"/>
                <w:color w:val="auto"/>
              </w:rPr>
              <w:t>Delaware</w:t>
            </w:r>
          </w:p>
        </w:tc>
        <w:tc>
          <w:tcPr>
            <w:tcW w:w="1580" w:type="dxa"/>
            <w:vAlign w:val="bottom"/>
          </w:tcPr>
          <w:p>
            <w:pPr>
              <w:jc w:val="right"/>
              <w:ind w:right="691"/>
              <w:spacing w:after="0"/>
              <w:rPr>
                <w:sz w:val="20"/>
                <w:szCs w:val="20"/>
                <w:color w:val="auto"/>
              </w:rPr>
            </w:pPr>
            <w:r>
              <w:rPr>
                <w:rFonts w:ascii="Arial" w:cs="Arial" w:eastAsia="Arial" w:hAnsi="Arial"/>
                <w:sz w:val="10"/>
                <w:szCs w:val="10"/>
                <w:b w:val="1"/>
                <w:bCs w:val="1"/>
                <w:color w:val="auto"/>
              </w:rPr>
              <w:t>1-5805</w:t>
            </w:r>
          </w:p>
        </w:tc>
        <w:tc>
          <w:tcPr>
            <w:tcW w:w="1080" w:type="dxa"/>
            <w:vAlign w:val="bottom"/>
          </w:tcPr>
          <w:p>
            <w:pPr>
              <w:jc w:val="right"/>
              <w:ind w:right="111"/>
              <w:spacing w:after="0"/>
              <w:rPr>
                <w:sz w:val="20"/>
                <w:szCs w:val="20"/>
                <w:color w:val="auto"/>
              </w:rPr>
            </w:pPr>
            <w:r>
              <w:rPr>
                <w:rFonts w:ascii="Arial" w:cs="Arial" w:eastAsia="Arial" w:hAnsi="Arial"/>
                <w:sz w:val="10"/>
                <w:szCs w:val="10"/>
                <w:b w:val="1"/>
                <w:bCs w:val="1"/>
                <w:color w:val="auto"/>
              </w:rPr>
              <w:t>13-2624428</w:t>
            </w:r>
          </w:p>
        </w:tc>
      </w:tr>
      <w:tr>
        <w:trPr>
          <w:trHeight w:val="110"/>
        </w:trPr>
        <w:tc>
          <w:tcPr>
            <w:tcW w:w="1920" w:type="dxa"/>
            <w:vAlign w:val="bottom"/>
          </w:tcPr>
          <w:p>
            <w:pPr>
              <w:jc w:val="center"/>
              <w:ind w:right="31"/>
              <w:spacing w:after="0" w:line="110" w:lineRule="exact"/>
              <w:rPr>
                <w:sz w:val="20"/>
                <w:szCs w:val="20"/>
                <w:color w:val="auto"/>
              </w:rPr>
            </w:pPr>
            <w:r>
              <w:rPr>
                <w:rFonts w:ascii="Arial" w:cs="Arial" w:eastAsia="Arial" w:hAnsi="Arial"/>
                <w:sz w:val="10"/>
                <w:szCs w:val="10"/>
                <w:b w:val="1"/>
                <w:bCs w:val="1"/>
                <w:color w:val="auto"/>
                <w:w w:val="99"/>
              </w:rPr>
              <w:t>(State or other jurisdiction of</w:t>
            </w:r>
          </w:p>
        </w:tc>
        <w:tc>
          <w:tcPr>
            <w:tcW w:w="1580" w:type="dxa"/>
            <w:vAlign w:val="bottom"/>
          </w:tcPr>
          <w:p>
            <w:pPr>
              <w:jc w:val="center"/>
              <w:ind w:right="151"/>
              <w:spacing w:after="0" w:line="110" w:lineRule="exact"/>
              <w:rPr>
                <w:sz w:val="20"/>
                <w:szCs w:val="20"/>
                <w:color w:val="auto"/>
              </w:rPr>
            </w:pPr>
            <w:r>
              <w:rPr>
                <w:rFonts w:ascii="Arial" w:cs="Arial" w:eastAsia="Arial" w:hAnsi="Arial"/>
                <w:sz w:val="10"/>
                <w:szCs w:val="10"/>
                <w:b w:val="1"/>
                <w:bCs w:val="1"/>
                <w:color w:val="auto"/>
                <w:w w:val="98"/>
              </w:rPr>
              <w:t>(Commission File Number)</w:t>
            </w:r>
          </w:p>
        </w:tc>
        <w:tc>
          <w:tcPr>
            <w:tcW w:w="1080" w:type="dxa"/>
            <w:vAlign w:val="bottom"/>
          </w:tcPr>
          <w:p>
            <w:pPr>
              <w:jc w:val="center"/>
              <w:ind w:left="211"/>
              <w:spacing w:after="0" w:line="110" w:lineRule="exact"/>
              <w:rPr>
                <w:sz w:val="20"/>
                <w:szCs w:val="20"/>
                <w:color w:val="auto"/>
              </w:rPr>
            </w:pPr>
            <w:r>
              <w:rPr>
                <w:rFonts w:ascii="Arial" w:cs="Arial" w:eastAsia="Arial" w:hAnsi="Arial"/>
                <w:sz w:val="10"/>
                <w:szCs w:val="10"/>
                <w:b w:val="1"/>
                <w:bCs w:val="1"/>
                <w:color w:val="auto"/>
                <w:w w:val="97"/>
              </w:rPr>
              <w:t>(I.R.S. employer</w:t>
            </w:r>
          </w:p>
        </w:tc>
      </w:tr>
      <w:tr>
        <w:trPr>
          <w:trHeight w:val="130"/>
        </w:trPr>
        <w:tc>
          <w:tcPr>
            <w:tcW w:w="1920" w:type="dxa"/>
            <w:vAlign w:val="bottom"/>
          </w:tcPr>
          <w:p>
            <w:pPr>
              <w:jc w:val="center"/>
              <w:ind w:right="11"/>
              <w:spacing w:after="0"/>
              <w:rPr>
                <w:sz w:val="20"/>
                <w:szCs w:val="20"/>
                <w:color w:val="auto"/>
              </w:rPr>
            </w:pPr>
            <w:r>
              <w:rPr>
                <w:rFonts w:ascii="Arial" w:cs="Arial" w:eastAsia="Arial" w:hAnsi="Arial"/>
                <w:sz w:val="10"/>
                <w:szCs w:val="10"/>
                <w:b w:val="1"/>
                <w:bCs w:val="1"/>
                <w:color w:val="auto"/>
                <w:w w:val="99"/>
              </w:rPr>
              <w:t>incorporation or organization)</w:t>
            </w:r>
          </w:p>
        </w:tc>
        <w:tc>
          <w:tcPr>
            <w:tcW w:w="1580" w:type="dxa"/>
            <w:vAlign w:val="bottom"/>
          </w:tcPr>
          <w:p>
            <w:pPr>
              <w:spacing w:after="0"/>
              <w:rPr>
                <w:sz w:val="11"/>
                <w:szCs w:val="11"/>
                <w:color w:val="auto"/>
              </w:rPr>
            </w:pPr>
          </w:p>
        </w:tc>
        <w:tc>
          <w:tcPr>
            <w:tcW w:w="1080" w:type="dxa"/>
            <w:vAlign w:val="bottom"/>
          </w:tcPr>
          <w:p>
            <w:pPr>
              <w:jc w:val="center"/>
              <w:ind w:left="211"/>
              <w:spacing w:after="0"/>
              <w:rPr>
                <w:sz w:val="20"/>
                <w:szCs w:val="20"/>
                <w:color w:val="auto"/>
              </w:rPr>
            </w:pPr>
            <w:r>
              <w:rPr>
                <w:rFonts w:ascii="Arial" w:cs="Arial" w:eastAsia="Arial" w:hAnsi="Arial"/>
                <w:sz w:val="10"/>
                <w:szCs w:val="10"/>
                <w:b w:val="1"/>
                <w:bCs w:val="1"/>
                <w:color w:val="auto"/>
                <w:w w:val="98"/>
              </w:rPr>
              <w:t>identification no.)</w:t>
            </w:r>
          </w:p>
        </w:tc>
      </w:tr>
      <w:tr>
        <w:trPr>
          <w:trHeight w:val="259"/>
        </w:trPr>
        <w:tc>
          <w:tcPr>
            <w:tcW w:w="1920" w:type="dxa"/>
            <w:vAlign w:val="bottom"/>
          </w:tcPr>
          <w:p>
            <w:pPr>
              <w:jc w:val="center"/>
              <w:ind w:right="31"/>
              <w:spacing w:after="0"/>
              <w:rPr>
                <w:sz w:val="20"/>
                <w:szCs w:val="20"/>
                <w:color w:val="auto"/>
              </w:rPr>
            </w:pPr>
            <w:r>
              <w:rPr>
                <w:rFonts w:ascii="Arial" w:cs="Arial" w:eastAsia="Arial" w:hAnsi="Arial"/>
                <w:sz w:val="10"/>
                <w:szCs w:val="10"/>
                <w:b w:val="1"/>
                <w:bCs w:val="1"/>
                <w:color w:val="auto"/>
                <w:w w:val="98"/>
              </w:rPr>
              <w:t>383 Madison Avenue,</w:t>
            </w: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38"/>
        </w:trPr>
        <w:tc>
          <w:tcPr>
            <w:tcW w:w="1920" w:type="dxa"/>
            <w:vAlign w:val="bottom"/>
          </w:tcPr>
          <w:p>
            <w:pPr>
              <w:ind w:left="440"/>
              <w:spacing w:after="0"/>
              <w:rPr>
                <w:sz w:val="20"/>
                <w:szCs w:val="20"/>
                <w:color w:val="auto"/>
              </w:rPr>
            </w:pPr>
            <w:r>
              <w:rPr>
                <w:rFonts w:ascii="Arial" w:cs="Arial" w:eastAsia="Arial" w:hAnsi="Arial"/>
                <w:sz w:val="10"/>
                <w:szCs w:val="10"/>
                <w:b w:val="1"/>
                <w:bCs w:val="1"/>
                <w:color w:val="auto"/>
              </w:rPr>
              <w:t>New York, New York</w:t>
            </w:r>
          </w:p>
        </w:tc>
        <w:tc>
          <w:tcPr>
            <w:tcW w:w="1580" w:type="dxa"/>
            <w:vAlign w:val="bottom"/>
          </w:tcPr>
          <w:p>
            <w:pPr>
              <w:spacing w:after="0"/>
              <w:rPr>
                <w:sz w:val="11"/>
                <w:szCs w:val="11"/>
                <w:color w:val="auto"/>
              </w:rPr>
            </w:pPr>
          </w:p>
        </w:tc>
        <w:tc>
          <w:tcPr>
            <w:tcW w:w="1080" w:type="dxa"/>
            <w:vAlign w:val="bottom"/>
          </w:tcPr>
          <w:p>
            <w:pPr>
              <w:jc w:val="right"/>
              <w:ind w:right="231"/>
              <w:spacing w:after="0"/>
              <w:rPr>
                <w:sz w:val="20"/>
                <w:szCs w:val="20"/>
                <w:color w:val="auto"/>
              </w:rPr>
            </w:pPr>
            <w:r>
              <w:rPr>
                <w:rFonts w:ascii="Arial" w:cs="Arial" w:eastAsia="Arial" w:hAnsi="Arial"/>
                <w:sz w:val="10"/>
                <w:szCs w:val="10"/>
                <w:b w:val="1"/>
                <w:bCs w:val="1"/>
                <w:color w:val="auto"/>
              </w:rPr>
              <w:t>10179</w:t>
            </w:r>
          </w:p>
        </w:tc>
      </w:tr>
      <w:tr>
        <w:trPr>
          <w:trHeight w:val="170"/>
        </w:trPr>
        <w:tc>
          <w:tcPr>
            <w:tcW w:w="1920" w:type="dxa"/>
            <w:vAlign w:val="bottom"/>
          </w:tcPr>
          <w:p>
            <w:pPr>
              <w:jc w:val="center"/>
              <w:ind w:right="31"/>
              <w:spacing w:after="0"/>
              <w:rPr>
                <w:sz w:val="20"/>
                <w:szCs w:val="20"/>
                <w:color w:val="auto"/>
              </w:rPr>
            </w:pPr>
            <w:r>
              <w:rPr>
                <w:rFonts w:ascii="Arial" w:cs="Arial" w:eastAsia="Arial" w:hAnsi="Arial"/>
                <w:sz w:val="10"/>
                <w:szCs w:val="10"/>
                <w:b w:val="1"/>
                <w:bCs w:val="1"/>
                <w:color w:val="auto"/>
                <w:w w:val="98"/>
              </w:rPr>
              <w:t>(Address of principal executive offices)</w:t>
            </w:r>
          </w:p>
        </w:tc>
        <w:tc>
          <w:tcPr>
            <w:tcW w:w="1580" w:type="dxa"/>
            <w:vAlign w:val="bottom"/>
          </w:tcPr>
          <w:p>
            <w:pPr>
              <w:spacing w:after="0"/>
              <w:rPr>
                <w:sz w:val="14"/>
                <w:szCs w:val="14"/>
                <w:color w:val="auto"/>
              </w:rPr>
            </w:pPr>
          </w:p>
        </w:tc>
        <w:tc>
          <w:tcPr>
            <w:tcW w:w="1080" w:type="dxa"/>
            <w:vAlign w:val="bottom"/>
          </w:tcPr>
          <w:p>
            <w:pPr>
              <w:jc w:val="center"/>
              <w:ind w:left="211"/>
              <w:spacing w:after="0"/>
              <w:rPr>
                <w:sz w:val="20"/>
                <w:szCs w:val="20"/>
                <w:color w:val="auto"/>
              </w:rPr>
            </w:pPr>
            <w:r>
              <w:rPr>
                <w:rFonts w:ascii="Arial" w:cs="Arial" w:eastAsia="Arial" w:hAnsi="Arial"/>
                <w:sz w:val="10"/>
                <w:szCs w:val="10"/>
                <w:b w:val="1"/>
                <w:bCs w:val="1"/>
                <w:color w:val="auto"/>
              </w:rPr>
              <w:t>(Zip Code)</w:t>
            </w:r>
          </w:p>
        </w:tc>
      </w:tr>
    </w:tbl>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Registrant’s telephone number, including area code: (212) 270-6000</w:t>
      </w:r>
    </w:p>
    <w:p>
      <w:pPr>
        <w:spacing w:after="0" w:line="7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Written communications pursuant to Rule 425 under the Securities Act (17 CFR 230.425)</w:t>
      </w:r>
    </w:p>
    <w:p>
      <w:pPr>
        <w:spacing w:after="0" w:line="107"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Soliciting material pursuant to Rule 14a-12 under the Exchange Act (17 CFR 240.14a-12)</w:t>
      </w:r>
    </w:p>
    <w:p>
      <w:pPr>
        <w:spacing w:after="0" w:line="192"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Pre-commencement communications pursuant to Rule 14d-2(b) under the Exchange Act (17 CFR 240.14d-2(b))</w:t>
      </w:r>
    </w:p>
    <w:p>
      <w:pPr>
        <w:spacing w:after="0" w:line="107"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Pre-commencement communications pursuant to Rule 13e-4(c) under the Exchange Act (17 CFR 240.13e-4(c))</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Securities registered pursuant to Section 12(b) of the Act:</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15"/>
        </w:trPr>
        <w:tc>
          <w:tcPr>
            <w:tcW w:w="860" w:type="dxa"/>
            <w:vAlign w:val="bottom"/>
          </w:tcPr>
          <w:p>
            <w:pPr>
              <w:spacing w:after="0"/>
              <w:rPr>
                <w:sz w:val="20"/>
                <w:szCs w:val="20"/>
                <w:color w:val="auto"/>
              </w:rPr>
            </w:pPr>
            <w:r>
              <w:rPr>
                <w:rFonts w:ascii="Arial" w:cs="Arial" w:eastAsia="Arial" w:hAnsi="Arial"/>
                <w:sz w:val="10"/>
                <w:szCs w:val="10"/>
                <w:b w:val="1"/>
                <w:bCs w:val="1"/>
                <w:color w:val="auto"/>
                <w:w w:val="97"/>
              </w:rPr>
              <w:t>Title of each class</w:t>
            </w:r>
          </w:p>
        </w:tc>
        <w:tc>
          <w:tcPr>
            <w:tcW w:w="5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2"/>
          </w:tcPr>
          <w:p>
            <w:pPr>
              <w:spacing w:after="0"/>
              <w:rPr>
                <w:sz w:val="20"/>
                <w:szCs w:val="20"/>
                <w:color w:val="auto"/>
              </w:rPr>
            </w:pPr>
            <w:r>
              <w:rPr>
                <w:rFonts w:ascii="Arial" w:cs="Arial" w:eastAsia="Arial" w:hAnsi="Arial"/>
                <w:sz w:val="10"/>
                <w:szCs w:val="10"/>
                <w:b w:val="1"/>
                <w:bCs w:val="1"/>
                <w:color w:val="auto"/>
              </w:rPr>
              <w:t>Trading Symbol(s)</w:t>
            </w:r>
          </w:p>
        </w:tc>
        <w:tc>
          <w:tcPr>
            <w:tcW w:w="2080" w:type="dxa"/>
            <w:vAlign w:val="bottom"/>
          </w:tcPr>
          <w:p>
            <w:pPr>
              <w:spacing w:after="0"/>
              <w:rPr>
                <w:sz w:val="20"/>
                <w:szCs w:val="20"/>
                <w:color w:val="auto"/>
              </w:rPr>
            </w:pPr>
            <w:r>
              <w:rPr>
                <w:rFonts w:ascii="Arial" w:cs="Arial" w:eastAsia="Arial" w:hAnsi="Arial"/>
                <w:sz w:val="10"/>
                <w:szCs w:val="10"/>
                <w:b w:val="1"/>
                <w:bCs w:val="1"/>
                <w:color w:val="auto"/>
                <w:w w:val="97"/>
              </w:rPr>
              <w:t>Name of each exchange on which registered</w:t>
            </w:r>
          </w:p>
        </w:tc>
      </w:tr>
      <w:tr>
        <w:trPr>
          <w:trHeight w:val="135"/>
        </w:trPr>
        <w:tc>
          <w:tcPr>
            <w:tcW w:w="8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Common stock</w:t>
            </w:r>
          </w:p>
        </w:tc>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JPM</w:t>
            </w:r>
          </w:p>
        </w:tc>
        <w:tc>
          <w:tcPr>
            <w:tcW w:w="1340" w:type="dxa"/>
            <w:vAlign w:val="bottom"/>
          </w:tcPr>
          <w:p>
            <w:pPr>
              <w:spacing w:after="0"/>
              <w:rPr>
                <w:sz w:val="11"/>
                <w:szCs w:val="11"/>
                <w:color w:val="auto"/>
              </w:rPr>
            </w:pPr>
          </w:p>
        </w:tc>
        <w:tc>
          <w:tcPr>
            <w:tcW w:w="208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The New York Stock Exchange</w:t>
            </w:r>
          </w:p>
        </w:tc>
      </w:tr>
      <w:tr>
        <w:trPr>
          <w:trHeight w:val="110"/>
        </w:trPr>
        <w:tc>
          <w:tcPr>
            <w:tcW w:w="588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5.75% Non-Cumulative Preferred Stock,</w:t>
            </w:r>
          </w:p>
        </w:tc>
        <w:tc>
          <w:tcPr>
            <w:tcW w:w="2320" w:type="dxa"/>
            <w:vAlign w:val="bottom"/>
            <w:gridSpan w:val="3"/>
          </w:tcPr>
          <w:p>
            <w:pPr>
              <w:ind w:left="120"/>
              <w:spacing w:after="0" w:line="110" w:lineRule="exact"/>
              <w:rPr>
                <w:sz w:val="20"/>
                <w:szCs w:val="20"/>
                <w:color w:val="auto"/>
              </w:rPr>
            </w:pPr>
            <w:r>
              <w:rPr>
                <w:rFonts w:ascii="Arial" w:cs="Arial" w:eastAsia="Arial" w:hAnsi="Arial"/>
                <w:sz w:val="10"/>
                <w:szCs w:val="10"/>
                <w:b w:val="1"/>
                <w:bCs w:val="1"/>
                <w:color w:val="auto"/>
              </w:rPr>
              <w:t>JPM PR D</w:t>
            </w:r>
          </w:p>
        </w:tc>
        <w:tc>
          <w:tcPr>
            <w:tcW w:w="2080" w:type="dxa"/>
            <w:vAlign w:val="bottom"/>
          </w:tcPr>
          <w:p>
            <w:pPr>
              <w:spacing w:after="0" w:line="110" w:lineRule="exact"/>
              <w:rPr>
                <w:sz w:val="20"/>
                <w:szCs w:val="20"/>
                <w:color w:val="auto"/>
              </w:rPr>
            </w:pPr>
            <w:r>
              <w:rPr>
                <w:rFonts w:ascii="Arial" w:cs="Arial" w:eastAsia="Arial" w:hAnsi="Arial"/>
                <w:sz w:val="10"/>
                <w:szCs w:val="10"/>
                <w:b w:val="1"/>
                <w:bCs w:val="1"/>
                <w:color w:val="auto"/>
              </w:rPr>
              <w:t>The New York Stock Exchange</w:t>
            </w:r>
          </w:p>
        </w:tc>
      </w:tr>
      <w:tr>
        <w:trPr>
          <w:trHeight w:val="130"/>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DD</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4"/>
        </w:trPr>
        <w:tc>
          <w:tcPr>
            <w:tcW w:w="58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6.00% Non-Cumulative Preferred Stock,</w:t>
            </w:r>
          </w:p>
        </w:tc>
        <w:tc>
          <w:tcPr>
            <w:tcW w:w="2320" w:type="dxa"/>
            <w:vAlign w:val="bottom"/>
            <w:gridSpan w:val="3"/>
          </w:tcPr>
          <w:p>
            <w:pPr>
              <w:ind w:left="120"/>
              <w:spacing w:after="0" w:line="104" w:lineRule="exact"/>
              <w:rPr>
                <w:sz w:val="20"/>
                <w:szCs w:val="20"/>
                <w:color w:val="auto"/>
              </w:rPr>
            </w:pPr>
            <w:r>
              <w:rPr>
                <w:rFonts w:ascii="Arial" w:cs="Arial" w:eastAsia="Arial" w:hAnsi="Arial"/>
                <w:sz w:val="10"/>
                <w:szCs w:val="10"/>
                <w:b w:val="1"/>
                <w:bCs w:val="1"/>
                <w:color w:val="auto"/>
              </w:rPr>
              <w:t>JPM PR C</w:t>
            </w:r>
          </w:p>
        </w:tc>
        <w:tc>
          <w:tcPr>
            <w:tcW w:w="2080" w:type="dxa"/>
            <w:vAlign w:val="bottom"/>
          </w:tcPr>
          <w:p>
            <w:pPr>
              <w:spacing w:after="0" w:line="104" w:lineRule="exact"/>
              <w:rPr>
                <w:sz w:val="20"/>
                <w:szCs w:val="20"/>
                <w:color w:val="auto"/>
              </w:rPr>
            </w:pPr>
            <w:r>
              <w:rPr>
                <w:rFonts w:ascii="Arial" w:cs="Arial" w:eastAsia="Arial" w:hAnsi="Arial"/>
                <w:sz w:val="10"/>
                <w:szCs w:val="10"/>
                <w:b w:val="1"/>
                <w:bCs w:val="1"/>
                <w:color w:val="auto"/>
              </w:rPr>
              <w:t>The New York Stock Exchange</w:t>
            </w:r>
          </w:p>
        </w:tc>
      </w:tr>
      <w:tr>
        <w:trPr>
          <w:trHeight w:val="130"/>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EE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4"/>
        </w:trPr>
        <w:tc>
          <w:tcPr>
            <w:tcW w:w="58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4.75% Non-Cumulative Preferred Stock,</w:t>
            </w:r>
          </w:p>
        </w:tc>
        <w:tc>
          <w:tcPr>
            <w:tcW w:w="2320" w:type="dxa"/>
            <w:vAlign w:val="bottom"/>
            <w:gridSpan w:val="3"/>
          </w:tcPr>
          <w:p>
            <w:pPr>
              <w:ind w:left="120"/>
              <w:spacing w:after="0" w:line="104" w:lineRule="exact"/>
              <w:rPr>
                <w:sz w:val="20"/>
                <w:szCs w:val="20"/>
                <w:color w:val="auto"/>
              </w:rPr>
            </w:pPr>
            <w:r>
              <w:rPr>
                <w:rFonts w:ascii="Arial" w:cs="Arial" w:eastAsia="Arial" w:hAnsi="Arial"/>
                <w:sz w:val="10"/>
                <w:szCs w:val="10"/>
                <w:b w:val="1"/>
                <w:bCs w:val="1"/>
                <w:color w:val="auto"/>
              </w:rPr>
              <w:t>JPM PR J</w:t>
            </w:r>
          </w:p>
        </w:tc>
        <w:tc>
          <w:tcPr>
            <w:tcW w:w="2080" w:type="dxa"/>
            <w:vAlign w:val="bottom"/>
          </w:tcPr>
          <w:p>
            <w:pPr>
              <w:spacing w:after="0" w:line="104" w:lineRule="exact"/>
              <w:rPr>
                <w:sz w:val="20"/>
                <w:szCs w:val="20"/>
                <w:color w:val="auto"/>
              </w:rPr>
            </w:pPr>
            <w:r>
              <w:rPr>
                <w:rFonts w:ascii="Arial" w:cs="Arial" w:eastAsia="Arial" w:hAnsi="Arial"/>
                <w:sz w:val="10"/>
                <w:szCs w:val="10"/>
                <w:b w:val="1"/>
                <w:bCs w:val="1"/>
                <w:color w:val="auto"/>
              </w:rPr>
              <w:t>The New York Stock Exchange</w:t>
            </w:r>
          </w:p>
        </w:tc>
      </w:tr>
      <w:tr>
        <w:trPr>
          <w:trHeight w:val="130"/>
        </w:trPr>
        <w:tc>
          <w:tcPr>
            <w:tcW w:w="5880" w:type="dxa"/>
            <w:vAlign w:val="bottom"/>
            <w:gridSpan w:val="2"/>
          </w:tcPr>
          <w:p>
            <w:pPr>
              <w:ind w:left="80"/>
              <w:spacing w:after="0"/>
              <w:rPr>
                <w:sz w:val="20"/>
                <w:szCs w:val="20"/>
                <w:color w:val="auto"/>
              </w:rPr>
            </w:pPr>
            <w:r>
              <w:rPr>
                <w:rFonts w:ascii="Arial" w:cs="Arial" w:eastAsia="Arial" w:hAnsi="Arial"/>
                <w:sz w:val="10"/>
                <w:szCs w:val="10"/>
                <w:b w:val="1"/>
                <w:bCs w:val="1"/>
                <w:color w:val="auto"/>
              </w:rPr>
              <w:t>Series GG</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4"/>
        </w:trPr>
        <w:tc>
          <w:tcPr>
            <w:tcW w:w="58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4.55% Non-Cumulative Preferred Stock,</w:t>
            </w:r>
          </w:p>
        </w:tc>
        <w:tc>
          <w:tcPr>
            <w:tcW w:w="2320" w:type="dxa"/>
            <w:vAlign w:val="bottom"/>
            <w:gridSpan w:val="3"/>
          </w:tcPr>
          <w:p>
            <w:pPr>
              <w:ind w:left="120"/>
              <w:spacing w:after="0" w:line="104" w:lineRule="exact"/>
              <w:rPr>
                <w:sz w:val="20"/>
                <w:szCs w:val="20"/>
                <w:color w:val="auto"/>
              </w:rPr>
            </w:pPr>
            <w:r>
              <w:rPr>
                <w:rFonts w:ascii="Arial" w:cs="Arial" w:eastAsia="Arial" w:hAnsi="Arial"/>
                <w:sz w:val="10"/>
                <w:szCs w:val="10"/>
                <w:b w:val="1"/>
                <w:bCs w:val="1"/>
                <w:color w:val="auto"/>
              </w:rPr>
              <w:t>JPM PR K</w:t>
            </w:r>
          </w:p>
        </w:tc>
        <w:tc>
          <w:tcPr>
            <w:tcW w:w="2080" w:type="dxa"/>
            <w:vAlign w:val="bottom"/>
          </w:tcPr>
          <w:p>
            <w:pPr>
              <w:spacing w:after="0" w:line="104" w:lineRule="exact"/>
              <w:rPr>
                <w:sz w:val="20"/>
                <w:szCs w:val="20"/>
                <w:color w:val="auto"/>
              </w:rPr>
            </w:pPr>
            <w:r>
              <w:rPr>
                <w:rFonts w:ascii="Arial" w:cs="Arial" w:eastAsia="Arial" w:hAnsi="Arial"/>
                <w:sz w:val="10"/>
                <w:szCs w:val="10"/>
                <w:b w:val="1"/>
                <w:bCs w:val="1"/>
                <w:color w:val="auto"/>
              </w:rPr>
              <w:t>The New York Stock Exchange</w:t>
            </w:r>
          </w:p>
        </w:tc>
      </w:tr>
      <w:tr>
        <w:trPr>
          <w:trHeight w:val="130"/>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Series JJ</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4"/>
        </w:trPr>
        <w:tc>
          <w:tcPr>
            <w:tcW w:w="58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4.625% Non-Cumulative Preferred Stock,</w:t>
            </w:r>
          </w:p>
        </w:tc>
        <w:tc>
          <w:tcPr>
            <w:tcW w:w="2320" w:type="dxa"/>
            <w:vAlign w:val="bottom"/>
            <w:gridSpan w:val="3"/>
          </w:tcPr>
          <w:p>
            <w:pPr>
              <w:ind w:left="120"/>
              <w:spacing w:after="0" w:line="104" w:lineRule="exact"/>
              <w:rPr>
                <w:sz w:val="20"/>
                <w:szCs w:val="20"/>
                <w:color w:val="auto"/>
              </w:rPr>
            </w:pPr>
            <w:r>
              <w:rPr>
                <w:rFonts w:ascii="Arial" w:cs="Arial" w:eastAsia="Arial" w:hAnsi="Arial"/>
                <w:sz w:val="10"/>
                <w:szCs w:val="10"/>
                <w:b w:val="1"/>
                <w:bCs w:val="1"/>
                <w:color w:val="auto"/>
              </w:rPr>
              <w:t>JPM PR L</w:t>
            </w:r>
          </w:p>
        </w:tc>
        <w:tc>
          <w:tcPr>
            <w:tcW w:w="2080" w:type="dxa"/>
            <w:vAlign w:val="bottom"/>
          </w:tcPr>
          <w:p>
            <w:pPr>
              <w:spacing w:after="0" w:line="104" w:lineRule="exact"/>
              <w:rPr>
                <w:sz w:val="20"/>
                <w:szCs w:val="20"/>
                <w:color w:val="auto"/>
              </w:rPr>
            </w:pPr>
            <w:r>
              <w:rPr>
                <w:rFonts w:ascii="Arial" w:cs="Arial" w:eastAsia="Arial" w:hAnsi="Arial"/>
                <w:sz w:val="10"/>
                <w:szCs w:val="10"/>
                <w:b w:val="1"/>
                <w:bCs w:val="1"/>
                <w:color w:val="auto"/>
              </w:rPr>
              <w:t>The New York Stock Exchange</w:t>
            </w:r>
          </w:p>
        </w:tc>
      </w:tr>
      <w:tr>
        <w:trPr>
          <w:trHeight w:val="130"/>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Series LL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4"/>
        </w:trPr>
        <w:tc>
          <w:tcPr>
            <w:tcW w:w="58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4.20% NonCumulative Preferred Stock,</w:t>
            </w:r>
          </w:p>
        </w:tc>
        <w:tc>
          <w:tcPr>
            <w:tcW w:w="2320" w:type="dxa"/>
            <w:vAlign w:val="bottom"/>
            <w:gridSpan w:val="3"/>
          </w:tcPr>
          <w:p>
            <w:pPr>
              <w:ind w:left="120"/>
              <w:spacing w:after="0" w:line="104" w:lineRule="exact"/>
              <w:rPr>
                <w:sz w:val="20"/>
                <w:szCs w:val="20"/>
                <w:color w:val="auto"/>
              </w:rPr>
            </w:pPr>
            <w:r>
              <w:rPr>
                <w:rFonts w:ascii="Arial" w:cs="Arial" w:eastAsia="Arial" w:hAnsi="Arial"/>
                <w:sz w:val="10"/>
                <w:szCs w:val="10"/>
                <w:b w:val="1"/>
                <w:bCs w:val="1"/>
                <w:color w:val="auto"/>
              </w:rPr>
              <w:t>JPM PR M</w:t>
            </w:r>
          </w:p>
        </w:tc>
        <w:tc>
          <w:tcPr>
            <w:tcW w:w="2080" w:type="dxa"/>
            <w:vAlign w:val="bottom"/>
          </w:tcPr>
          <w:p>
            <w:pPr>
              <w:spacing w:after="0" w:line="104" w:lineRule="exact"/>
              <w:rPr>
                <w:sz w:val="20"/>
                <w:szCs w:val="20"/>
                <w:color w:val="auto"/>
              </w:rPr>
            </w:pPr>
            <w:r>
              <w:rPr>
                <w:rFonts w:ascii="Arial" w:cs="Arial" w:eastAsia="Arial" w:hAnsi="Arial"/>
                <w:sz w:val="10"/>
                <w:szCs w:val="10"/>
                <w:b w:val="1"/>
                <w:bCs w:val="1"/>
                <w:color w:val="auto"/>
              </w:rPr>
              <w:t>The New York Stock Exchange</w:t>
            </w:r>
          </w:p>
        </w:tc>
      </w:tr>
      <w:tr>
        <w:trPr>
          <w:trHeight w:val="130"/>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Series MM</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32"/>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Alerian MLP Index ETNs due May 24, 2024</w:t>
            </w:r>
          </w:p>
        </w:tc>
        <w:tc>
          <w:tcPr>
            <w:tcW w:w="2320" w:type="dxa"/>
            <w:vAlign w:val="bottom"/>
            <w:gridSpan w:val="3"/>
          </w:tcPr>
          <w:p>
            <w:pPr>
              <w:ind w:left="120"/>
              <w:spacing w:after="0"/>
              <w:rPr>
                <w:sz w:val="20"/>
                <w:szCs w:val="20"/>
                <w:color w:val="auto"/>
              </w:rPr>
            </w:pPr>
            <w:r>
              <w:rPr>
                <w:rFonts w:ascii="Arial" w:cs="Arial" w:eastAsia="Arial" w:hAnsi="Arial"/>
                <w:sz w:val="10"/>
                <w:szCs w:val="10"/>
                <w:b w:val="1"/>
                <w:bCs w:val="1"/>
                <w:color w:val="auto"/>
              </w:rPr>
              <w:t>AMJ</w:t>
            </w:r>
          </w:p>
        </w:tc>
        <w:tc>
          <w:tcPr>
            <w:tcW w:w="2080" w:type="dxa"/>
            <w:vAlign w:val="bottom"/>
          </w:tcPr>
          <w:p>
            <w:pPr>
              <w:spacing w:after="0"/>
              <w:rPr>
                <w:sz w:val="20"/>
                <w:szCs w:val="20"/>
                <w:color w:val="auto"/>
              </w:rPr>
            </w:pPr>
            <w:r>
              <w:rPr>
                <w:rFonts w:ascii="Arial" w:cs="Arial" w:eastAsia="Arial" w:hAnsi="Arial"/>
                <w:sz w:val="10"/>
                <w:szCs w:val="10"/>
                <w:b w:val="1"/>
                <w:bCs w:val="1"/>
                <w:color w:val="auto"/>
              </w:rPr>
              <w:t>NYSE Arca, Inc.</w:t>
            </w:r>
          </w:p>
        </w:tc>
      </w:tr>
      <w:tr>
        <w:trPr>
          <w:trHeight w:val="138"/>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Guarantee of Callable Fixed Rate Notes due June 10, 2032 of JPMorgan Chase Financial Company LLC</w:t>
            </w:r>
          </w:p>
        </w:tc>
        <w:tc>
          <w:tcPr>
            <w:tcW w:w="2320" w:type="dxa"/>
            <w:vAlign w:val="bottom"/>
            <w:gridSpan w:val="3"/>
          </w:tcPr>
          <w:p>
            <w:pPr>
              <w:ind w:left="120"/>
              <w:spacing w:after="0"/>
              <w:rPr>
                <w:sz w:val="20"/>
                <w:szCs w:val="20"/>
                <w:color w:val="auto"/>
              </w:rPr>
            </w:pPr>
            <w:r>
              <w:rPr>
                <w:rFonts w:ascii="Arial" w:cs="Arial" w:eastAsia="Arial" w:hAnsi="Arial"/>
                <w:sz w:val="10"/>
                <w:szCs w:val="10"/>
                <w:b w:val="1"/>
                <w:bCs w:val="1"/>
                <w:color w:val="auto"/>
              </w:rPr>
              <w:t>JPM/32</w:t>
            </w:r>
          </w:p>
        </w:tc>
        <w:tc>
          <w:tcPr>
            <w:tcW w:w="2080" w:type="dxa"/>
            <w:vAlign w:val="bottom"/>
          </w:tcPr>
          <w:p>
            <w:pPr>
              <w:spacing w:after="0"/>
              <w:rPr>
                <w:sz w:val="20"/>
                <w:szCs w:val="20"/>
                <w:color w:val="auto"/>
              </w:rPr>
            </w:pPr>
            <w:r>
              <w:rPr>
                <w:rFonts w:ascii="Arial" w:cs="Arial" w:eastAsia="Arial" w:hAnsi="Arial"/>
                <w:sz w:val="10"/>
                <w:szCs w:val="10"/>
                <w:b w:val="1"/>
                <w:bCs w:val="1"/>
                <w:color w:val="auto"/>
              </w:rPr>
              <w:t>The New York Stock Exchange</w:t>
            </w:r>
          </w:p>
        </w:tc>
      </w:tr>
    </w:tbl>
    <w:p>
      <w:pPr>
        <w:spacing w:after="0" w:line="124" w:lineRule="exact"/>
        <w:rPr>
          <w:sz w:val="24"/>
          <w:szCs w:val="24"/>
          <w:color w:val="auto"/>
        </w:rPr>
      </w:pPr>
    </w:p>
    <w:p>
      <w:pPr>
        <w:spacing w:after="0" w:line="254"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72" w:lineRule="exact"/>
        <w:rPr>
          <w:sz w:val="24"/>
          <w:szCs w:val="24"/>
          <w:color w:val="auto"/>
        </w:rPr>
      </w:pPr>
    </w:p>
    <w:p>
      <w:pPr>
        <w:spacing w:after="0" w:line="13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409575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10" w:right="4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5.02 (e) Departure of Directors or Certain officers; Election of Directors; Appointment of Certain Officers; Compensatory Arrangements of Certain Officers.</w:t>
      </w:r>
    </w:p>
    <w:p>
      <w:pPr>
        <w:spacing w:after="0" w:line="101" w:lineRule="exact"/>
        <w:rPr>
          <w:sz w:val="20"/>
          <w:szCs w:val="20"/>
          <w:color w:val="auto"/>
        </w:rPr>
      </w:pPr>
    </w:p>
    <w:p>
      <w:pPr>
        <w:ind w:right="160"/>
        <w:spacing w:after="0" w:line="237" w:lineRule="auto"/>
        <w:rPr>
          <w:sz w:val="20"/>
          <w:szCs w:val="20"/>
          <w:color w:val="auto"/>
        </w:rPr>
      </w:pPr>
      <w:r>
        <w:rPr>
          <w:rFonts w:ascii="Arial" w:cs="Arial" w:eastAsia="Arial" w:hAnsi="Arial"/>
          <w:sz w:val="14"/>
          <w:szCs w:val="14"/>
          <w:color w:val="auto"/>
        </w:rPr>
        <w:t>On December 14, 2021, the independent members of the Compensation &amp; Management Development Committee (“CMDC”) of the Board of JPMorgan Chase &amp; Co. (the “Firm”) awarded Daniel Pinto, the Firm’s Co-President, Co-Chief Operating Officer and CEO of the Corporate &amp; Investment Bank, 750,000 options in the form of stock appreciation rights.</w:t>
      </w:r>
    </w:p>
    <w:p>
      <w:pPr>
        <w:spacing w:after="0" w:line="170" w:lineRule="exact"/>
        <w:rPr>
          <w:sz w:val="20"/>
          <w:szCs w:val="20"/>
          <w:color w:val="auto"/>
        </w:rPr>
      </w:pPr>
    </w:p>
    <w:p>
      <w:pPr>
        <w:ind w:right="360"/>
        <w:spacing w:after="0" w:line="237" w:lineRule="auto"/>
        <w:rPr>
          <w:sz w:val="20"/>
          <w:szCs w:val="20"/>
          <w:color w:val="auto"/>
        </w:rPr>
      </w:pPr>
      <w:r>
        <w:rPr>
          <w:rFonts w:ascii="Arial" w:cs="Arial" w:eastAsia="Arial" w:hAnsi="Arial"/>
          <w:sz w:val="14"/>
          <w:szCs w:val="14"/>
          <w:color w:val="auto"/>
        </w:rPr>
        <w:t>The CMDC made this special award for prospective purposes, with respect to Mr. Pinto’s promotion to the Firm’s sole President and Chief Operating Officer, which will become effective January 1, 2022, and as part of the Board’s retention planning.</w:t>
      </w:r>
    </w:p>
    <w:p>
      <w:pPr>
        <w:spacing w:after="0" w:line="170" w:lineRule="exact"/>
        <w:rPr>
          <w:sz w:val="20"/>
          <w:szCs w:val="20"/>
          <w:color w:val="auto"/>
        </w:rPr>
      </w:pPr>
    </w:p>
    <w:p>
      <w:pPr>
        <w:ind w:right="140"/>
        <w:spacing w:after="0" w:line="237" w:lineRule="auto"/>
        <w:rPr>
          <w:sz w:val="20"/>
          <w:szCs w:val="20"/>
          <w:color w:val="auto"/>
        </w:rPr>
      </w:pPr>
      <w:r>
        <w:rPr>
          <w:rFonts w:ascii="Arial" w:cs="Arial" w:eastAsia="Arial" w:hAnsi="Arial"/>
          <w:sz w:val="14"/>
          <w:szCs w:val="14"/>
          <w:color w:val="auto"/>
        </w:rPr>
        <w:t>The special award reflects the CMDC’s desire for Mr. Pinto to continue his outstanding leadership in this new role for a further significant number of years. The options are not part of Mr. Pinto’s regular annual compensation and will not be awarded on a regularly recurring basis.</w:t>
      </w:r>
    </w:p>
    <w:p>
      <w:pPr>
        <w:spacing w:after="0" w:line="170" w:lineRule="exact"/>
        <w:rPr>
          <w:sz w:val="20"/>
          <w:szCs w:val="20"/>
          <w:color w:val="auto"/>
        </w:rPr>
      </w:pPr>
    </w:p>
    <w:p>
      <w:pPr>
        <w:ind w:right="140"/>
        <w:spacing w:after="0" w:line="214" w:lineRule="auto"/>
        <w:rPr>
          <w:sz w:val="20"/>
          <w:szCs w:val="20"/>
          <w:color w:val="auto"/>
        </w:rPr>
      </w:pPr>
      <w:r>
        <w:rPr>
          <w:rFonts w:ascii="Arial" w:cs="Arial" w:eastAsia="Arial" w:hAnsi="Arial"/>
          <w:sz w:val="14"/>
          <w:szCs w:val="14"/>
          <w:color w:val="auto"/>
        </w:rPr>
        <w:t>The terms of the grant are distinct from, and are generally more restrictive than, other equity grants regularly awarded by the Firm. The options will have an exercise price equal to the average of the high and low prices of JPMorgan Chase &amp; Co. common stock on December 14, 2021 (the “Effective Date”). The options have a ten-year term, will become exercisable no earlier than December 14, 2026, or five years after the Effective Date, and are subject to clawback and recovery provisions.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Vesting is subject to continuous employment with the Firm, with certain limited exceptions.</w:t>
      </w:r>
    </w:p>
    <w:p>
      <w:pPr>
        <w:spacing w:after="0" w:line="170" w:lineRule="exact"/>
        <w:rPr>
          <w:sz w:val="20"/>
          <w:szCs w:val="20"/>
          <w:color w:val="auto"/>
        </w:rPr>
      </w:pPr>
    </w:p>
    <w:p>
      <w:pPr>
        <w:ind w:right="100"/>
        <w:spacing w:after="0" w:line="221" w:lineRule="auto"/>
        <w:rPr>
          <w:sz w:val="20"/>
          <w:szCs w:val="20"/>
          <w:color w:val="auto"/>
        </w:rPr>
      </w:pPr>
      <w:r>
        <w:rPr>
          <w:rFonts w:ascii="Arial" w:cs="Arial" w:eastAsia="Arial" w:hAnsi="Arial"/>
          <w:sz w:val="14"/>
          <w:szCs w:val="14"/>
          <w:color w:val="auto"/>
        </w:rPr>
        <w:t>Moreover, net shares delivered from the exercise of the options must be held until December 14, 2031, which coincides with the end of the ten-year term of the options. Net shares received from exercise are also subject to the Firm’s stock ownership guideline and retention requirements applicable to the Firm’s Operating Committee members.</w:t>
      </w:r>
    </w:p>
    <w:p>
      <w:pPr>
        <w:spacing w:after="0" w:line="210" w:lineRule="auto"/>
        <w:rPr>
          <w:sz w:val="20"/>
          <w:szCs w:val="20"/>
          <w:color w:val="auto"/>
        </w:rPr>
      </w:pPr>
      <w:r>
        <w:rPr>
          <w:rFonts w:ascii="Arial" w:cs="Arial" w:eastAsia="Arial" w:hAnsi="Arial"/>
          <w:sz w:val="14"/>
          <w:szCs w:val="14"/>
          <w:color w:val="auto"/>
        </w:rPr>
        <w:t>------------------------</w:t>
      </w:r>
    </w:p>
    <w:p>
      <w:pPr>
        <w:spacing w:after="0" w:line="21" w:lineRule="exact"/>
        <w:rPr>
          <w:sz w:val="20"/>
          <w:szCs w:val="20"/>
          <w:color w:val="auto"/>
        </w:rPr>
      </w:pPr>
    </w:p>
    <w:p>
      <w:pPr>
        <w:ind w:right="340" w:firstLine="5"/>
        <w:spacing w:after="0" w:line="203" w:lineRule="auto"/>
        <w:tabs>
          <w:tab w:leader="none" w:pos="90" w:val="left"/>
        </w:tabs>
        <w:numPr>
          <w:ilvl w:val="0"/>
          <w:numId w:val="2"/>
        </w:numPr>
        <w:rPr>
          <w:rFonts w:ascii="Arial" w:cs="Arial" w:eastAsia="Arial" w:hAnsi="Arial"/>
          <w:sz w:val="18"/>
          <w:szCs w:val="18"/>
          <w:color w:val="auto"/>
          <w:vertAlign w:val="superscript"/>
        </w:rPr>
      </w:pPr>
      <w:r>
        <w:rPr>
          <w:rFonts w:ascii="Arial" w:cs="Arial" w:eastAsia="Arial" w:hAnsi="Arial"/>
          <w:sz w:val="13"/>
          <w:szCs w:val="13"/>
          <w:color w:val="auto"/>
        </w:rPr>
        <w:t>Equity incentives are subject to the JPMorgan Chase Bonus Recoupment Policy which applies in the event of a material restatement of the Firm's financial results. In addition, all equity awards granted in 2021 contain recapture provisions that enable the Firm to cancel outstanding awards and/or recover the value of certain stock distributed under the award in specified circumstances. In addition to recapture provisions, portions of equity awards awarded to the President</w:t>
      </w:r>
    </w:p>
    <w:p>
      <w:pPr>
        <w:spacing w:after="0" w:line="200" w:lineRule="exact"/>
        <w:rPr>
          <w:sz w:val="20"/>
          <w:szCs w:val="20"/>
          <w:color w:val="auto"/>
        </w:rPr>
      </w:pPr>
    </w:p>
    <w:p>
      <w:pPr>
        <w:spacing w:after="0" w:line="325" w:lineRule="exact"/>
        <w:rPr>
          <w:sz w:val="20"/>
          <w:szCs w:val="20"/>
          <w:color w:val="auto"/>
        </w:rPr>
      </w:pPr>
    </w:p>
    <w:p>
      <w:pPr>
        <w:ind w:right="520"/>
        <w:spacing w:after="0" w:line="266" w:lineRule="auto"/>
        <w:rPr>
          <w:sz w:val="20"/>
          <w:szCs w:val="20"/>
          <w:color w:val="auto"/>
        </w:rPr>
      </w:pPr>
      <w:r>
        <w:rPr>
          <w:rFonts w:ascii="Arial" w:cs="Arial" w:eastAsia="Arial" w:hAnsi="Arial"/>
          <w:sz w:val="14"/>
          <w:szCs w:val="14"/>
          <w:color w:val="auto"/>
        </w:rPr>
        <w:t>A copy of the Terms and Conditions of the award is attached as Exhibit 99. The information set forth in Exhibit 99 shall be deemed to be “filed” for purposes of the Securities Exchange Act of 1934, as amended.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gridSpan w:val="3"/>
          </w:tcPr>
          <w:p>
            <w:pPr>
              <w:spacing w:after="0"/>
              <w:rPr>
                <w:sz w:val="20"/>
                <w:szCs w:val="20"/>
                <w:color w:val="auto"/>
              </w:rPr>
            </w:pPr>
            <w:r>
              <w:rPr>
                <w:rFonts w:ascii="Arial" w:cs="Arial" w:eastAsia="Arial" w:hAnsi="Arial"/>
                <w:sz w:val="14"/>
                <w:szCs w:val="14"/>
                <w:color w:val="auto"/>
              </w:rPr>
              <w:t>(d)  Exhibit</w:t>
            </w:r>
          </w:p>
        </w:tc>
        <w:tc>
          <w:tcPr>
            <w:tcW w:w="5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88"/>
        </w:trPr>
        <w:tc>
          <w:tcPr>
            <w:tcW w:w="580" w:type="dxa"/>
            <w:vAlign w:val="bottom"/>
          </w:tcPr>
          <w:p>
            <w:pPr>
              <w:spacing w:after="0"/>
              <w:rPr>
                <w:sz w:val="24"/>
                <w:szCs w:val="24"/>
                <w:color w:val="auto"/>
              </w:rPr>
            </w:pPr>
          </w:p>
        </w:tc>
        <w:tc>
          <w:tcPr>
            <w:tcW w:w="14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24"/>
                <w:szCs w:val="24"/>
                <w:color w:val="auto"/>
              </w:rPr>
            </w:pPr>
          </w:p>
        </w:tc>
        <w:tc>
          <w:tcPr>
            <w:tcW w:w="8500" w:type="dxa"/>
            <w:vAlign w:val="bottom"/>
            <w:tcBorders>
              <w:bottom w:val="single" w:sz="8" w:color="auto"/>
            </w:tcBorders>
            <w:gridSpan w:val="2"/>
          </w:tcPr>
          <w:p>
            <w:pPr>
              <w:ind w:left="3520"/>
              <w:spacing w:after="0"/>
              <w:rPr>
                <w:sz w:val="20"/>
                <w:szCs w:val="20"/>
                <w:color w:val="auto"/>
              </w:rPr>
            </w:pPr>
            <w:r>
              <w:rPr>
                <w:rFonts w:ascii="Arial" w:cs="Arial" w:eastAsia="Arial" w:hAnsi="Arial"/>
                <w:sz w:val="14"/>
                <w:szCs w:val="14"/>
                <w:b w:val="1"/>
                <w:bCs w:val="1"/>
                <w:color w:val="auto"/>
              </w:rPr>
              <w:t>Description of Exhibit</w:t>
            </w:r>
          </w:p>
        </w:tc>
        <w:tc>
          <w:tcPr>
            <w:tcW w:w="560" w:type="dxa"/>
            <w:vAlign w:val="bottom"/>
          </w:tcPr>
          <w:p>
            <w:pPr>
              <w:spacing w:after="0"/>
              <w:rPr>
                <w:sz w:val="24"/>
                <w:szCs w:val="24"/>
                <w:color w:val="auto"/>
              </w:rPr>
            </w:pPr>
          </w:p>
        </w:tc>
      </w:tr>
      <w:tr>
        <w:trPr>
          <w:trHeight w:val="256"/>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99</w:t>
            </w:r>
          </w:p>
        </w:tc>
        <w:tc>
          <w:tcPr>
            <w:tcW w:w="160" w:type="dxa"/>
            <w:vAlign w:val="bottom"/>
          </w:tcPr>
          <w:p>
            <w:pPr>
              <w:spacing w:after="0"/>
              <w:rPr>
                <w:sz w:val="22"/>
                <w:szCs w:val="22"/>
                <w:color w:val="auto"/>
              </w:rPr>
            </w:pPr>
          </w:p>
        </w:tc>
        <w:tc>
          <w:tcPr>
            <w:tcW w:w="9060" w:type="dxa"/>
            <w:vAlign w:val="bottom"/>
            <w:gridSpan w:val="3"/>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Terms and Conditions of December 14, 2021 Stock Appreciation Rights - President and COO</w:t>
              </w:r>
            </w:hyperlink>
          </w:p>
        </w:tc>
      </w:tr>
      <w:tr>
        <w:trPr>
          <w:trHeight w:val="20"/>
        </w:trPr>
        <w:tc>
          <w:tcPr>
            <w:tcW w:w="2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20" w:type="dxa"/>
            <w:vAlign w:val="bottom"/>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r>
      <w:tr>
        <w:trPr>
          <w:trHeight w:val="192"/>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6"/>
                <w:szCs w:val="16"/>
                <w:color w:val="auto"/>
              </w:rPr>
            </w:pPr>
          </w:p>
        </w:tc>
        <w:tc>
          <w:tcPr>
            <w:tcW w:w="9060" w:type="dxa"/>
            <w:vAlign w:val="bottom"/>
            <w:gridSpan w:val="3"/>
          </w:tcPr>
          <w:p>
            <w:pPr>
              <w:spacing w:after="0"/>
              <w:rPr>
                <w:sz w:val="20"/>
                <w:szCs w:val="20"/>
                <w:color w:val="auto"/>
              </w:rPr>
            </w:pPr>
            <w:r>
              <w:rPr>
                <w:rFonts w:ascii="Arial" w:cs="Arial" w:eastAsia="Arial" w:hAnsi="Arial"/>
                <w:sz w:val="14"/>
                <w:szCs w:val="14"/>
                <w:color w:val="auto"/>
              </w:rPr>
              <w:t>Pursuant to Rule 406 of Regulation S-T, the cover page is formatted in Inline XBRL (Inline eXtensible Business Reporting Language).</w:t>
            </w:r>
          </w:p>
        </w:tc>
      </w:tr>
      <w:tr>
        <w:trPr>
          <w:trHeight w:val="180"/>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5"/>
                <w:szCs w:val="15"/>
                <w:color w:val="auto"/>
              </w:rPr>
            </w:pPr>
          </w:p>
        </w:tc>
        <w:tc>
          <w:tcPr>
            <w:tcW w:w="9060" w:type="dxa"/>
            <w:vAlign w:val="bottom"/>
            <w:gridSpan w:val="3"/>
          </w:tcPr>
          <w:p>
            <w:pPr>
              <w:spacing w:after="0"/>
              <w:rPr>
                <w:sz w:val="20"/>
                <w:szCs w:val="20"/>
                <w:color w:val="auto"/>
              </w:rPr>
            </w:pPr>
            <w:r>
              <w:rPr>
                <w:rFonts w:ascii="Arial" w:cs="Arial" w:eastAsia="Arial" w:hAnsi="Arial"/>
                <w:sz w:val="14"/>
                <w:szCs w:val="14"/>
                <w:color w:val="auto"/>
              </w:rPr>
              <w:t>Cover Page Interactive Data File (embedded within the Inline XBRL document and included in Exhibit 101).</w:t>
            </w:r>
          </w:p>
        </w:tc>
      </w:tr>
      <w:tr>
        <w:trPr>
          <w:trHeight w:val="859"/>
        </w:trPr>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20" w:type="dxa"/>
            <w:vAlign w:val="bottom"/>
          </w:tcPr>
          <w:p>
            <w:pPr>
              <w:jc w:val="right"/>
              <w:ind w:right="2289"/>
              <w:spacing w:after="0"/>
              <w:rPr>
                <w:sz w:val="20"/>
                <w:szCs w:val="20"/>
                <w:color w:val="auto"/>
              </w:rPr>
            </w:pPr>
            <w:r>
              <w:rPr>
                <w:rFonts w:ascii="Arial" w:cs="Arial" w:eastAsia="Arial" w:hAnsi="Arial"/>
                <w:sz w:val="14"/>
                <w:szCs w:val="14"/>
                <w:color w:val="auto"/>
              </w:rPr>
              <w:t>2</w:t>
            </w:r>
          </w:p>
        </w:tc>
        <w:tc>
          <w:tcPr>
            <w:tcW w:w="26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7"/>
        </w:trPr>
        <w:tc>
          <w:tcPr>
            <w:tcW w:w="5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82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u w:val="single" w:color="auto"/>
          <w:color w:val="auto"/>
        </w:rPr>
        <w:t>SIGNATURE</w:t>
      </w:r>
    </w:p>
    <w:p>
      <w:pPr>
        <w:spacing w:after="0" w:line="200" w:lineRule="exact"/>
        <w:rPr>
          <w:sz w:val="20"/>
          <w:szCs w:val="20"/>
          <w:color w:val="auto"/>
        </w:rPr>
      </w:pPr>
    </w:p>
    <w:p>
      <w:pPr>
        <w:spacing w:after="0" w:line="244" w:lineRule="exact"/>
        <w:rPr>
          <w:sz w:val="20"/>
          <w:szCs w:val="20"/>
          <w:color w:val="auto"/>
        </w:rPr>
      </w:pPr>
    </w:p>
    <w:p>
      <w:pPr>
        <w:ind w:right="540"/>
        <w:spacing w:after="0" w:line="266"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tbl>
      <w:tblPr>
        <w:tblLayout w:type="fixed"/>
        <w:tblInd w:w="582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JPMorgan Chase &amp; Co.</w:t>
            </w:r>
          </w:p>
        </w:tc>
      </w:tr>
      <w:tr>
        <w:trPr>
          <w:trHeight w:val="171"/>
        </w:trPr>
        <w:tc>
          <w:tcPr>
            <w:tcW w:w="500" w:type="dxa"/>
            <w:vAlign w:val="bottom"/>
          </w:tcPr>
          <w:p>
            <w:pPr>
              <w:spacing w:after="0"/>
              <w:rPr>
                <w:sz w:val="14"/>
                <w:szCs w:val="14"/>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(Registrant)</w:t>
            </w:r>
          </w:p>
        </w:tc>
      </w:tr>
      <w:tr>
        <w:trPr>
          <w:trHeight w:val="722"/>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John H. Tribolati</w:t>
            </w:r>
          </w:p>
        </w:tc>
      </w:tr>
      <w:tr>
        <w:trPr>
          <w:trHeight w:val="171"/>
        </w:trPr>
        <w:tc>
          <w:tcPr>
            <w:tcW w:w="500" w:type="dxa"/>
            <w:vAlign w:val="bottom"/>
          </w:tcPr>
          <w:p>
            <w:pPr>
              <w:spacing w:after="0"/>
              <w:rPr>
                <w:sz w:val="14"/>
                <w:szCs w:val="14"/>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John H. Tribolati</w:t>
            </w:r>
          </w:p>
        </w:tc>
      </w:tr>
      <w:tr>
        <w:trPr>
          <w:trHeight w:val="180"/>
        </w:trPr>
        <w:tc>
          <w:tcPr>
            <w:tcW w:w="500" w:type="dxa"/>
            <w:vAlign w:val="bottom"/>
          </w:tcPr>
          <w:p>
            <w:pPr>
              <w:spacing w:after="0"/>
              <w:rPr>
                <w:sz w:val="15"/>
                <w:szCs w:val="15"/>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4"/>
          <w:szCs w:val="14"/>
          <w:color w:val="auto"/>
        </w:rPr>
        <w:t>Dated:</w:t>
        <w:tab/>
        <w:t>December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903" w:right="31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2021-12-15T05:39:15Z</dcterms:created>
  <dcterms:modified xsi:type="dcterms:W3CDTF">2021-12-15T05:39:15Z</dcterms:modified>
</cp:coreProperties>
</file>