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0" w:lineRule="exact"/>
        <w:rPr>
          <w:sz w:val="24"/>
          <w:szCs w:val="24"/>
          <w:color w:val="auto"/>
        </w:rPr>
      </w:pPr>
      <w:r>
        <w:rPr>
          <w:sz w:val="24"/>
          <w:szCs w:val="24"/>
          <w:color w:val="auto"/>
        </w:rPr>
        <w:br w:type="column"/>
      </w:r>
    </w:p>
    <w:p>
      <w:pPr>
        <w:jc w:val="right"/>
        <w:ind w:right="220"/>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110" w:lineRule="exact"/>
        <w:rPr>
          <w:sz w:val="24"/>
          <w:szCs w:val="24"/>
          <w:color w:val="auto"/>
        </w:rPr>
      </w:pPr>
    </w:p>
    <w:p>
      <w:pPr>
        <w:sectPr>
          <w:pgSz w:w="11900" w:h="16838" w:orient="portrait"/>
          <w:cols w:equalWidth="0" w:num="2">
            <w:col w:w="7420" w:space="720"/>
            <w:col w:w="3100"/>
          </w:cols>
          <w:pgMar w:left="320" w:top="239" w:right="339" w:bottom="1440" w:gutter="0" w:footer="0" w:header="0"/>
        </w:sect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397"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Securities—Auto-Callable with Contingent Coupon and Contingent Downside</w:t>
      </w:r>
    </w:p>
    <w:p>
      <w:pPr>
        <w:spacing w:after="0" w:line="24" w:lineRule="exact"/>
        <w:rPr>
          <w:sz w:val="24"/>
          <w:szCs w:val="24"/>
          <w:color w:val="auto"/>
        </w:rPr>
      </w:pPr>
    </w:p>
    <w:p>
      <w:pPr>
        <w:ind w:left="100" w:right="1400"/>
        <w:spacing w:after="0" w:line="266" w:lineRule="auto"/>
        <w:rPr>
          <w:sz w:val="20"/>
          <w:szCs w:val="20"/>
          <w:color w:val="auto"/>
        </w:rPr>
      </w:pPr>
      <w:r>
        <w:rPr>
          <w:rFonts w:ascii="Verdana" w:cs="Verdana" w:eastAsia="Verdana" w:hAnsi="Verdana"/>
          <w:sz w:val="18"/>
          <w:szCs w:val="18"/>
          <w:color w:val="FFFFFF"/>
        </w:rPr>
        <w:t>Principal at Risk Securities Linked to the Common Stock of Freeport-McMoRan Inc. due December 22, 2028 Fact Sheet dated December 3, 2025 to Preliminary Pricing Supplement dated December 3, 2025</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9"/>
        </w:trPr>
        <w:tc>
          <w:tcPr>
            <w:tcW w:w="5500" w:type="dxa"/>
            <w:vAlign w:val="bottom"/>
            <w:tcBorders>
              <w:bottom w:val="single" w:sz="8" w:color="auto"/>
            </w:tcBorders>
            <w:gridSpan w:val="6"/>
          </w:tcPr>
          <w:p>
            <w:pPr>
              <w:ind w:left="80"/>
              <w:spacing w:after="0"/>
              <w:rPr>
                <w:sz w:val="20"/>
                <w:szCs w:val="20"/>
                <w:color w:val="auto"/>
              </w:rPr>
            </w:pPr>
            <w:r>
              <w:rPr>
                <w:rFonts w:ascii="Verdana" w:cs="Verdana" w:eastAsia="Verdana" w:hAnsi="Verdana"/>
                <w:sz w:val="23"/>
                <w:szCs w:val="23"/>
                <w:color w:val="8F8F8F"/>
              </w:rPr>
              <w:t>Summary of Terms</w:t>
            </w:r>
          </w:p>
        </w:tc>
        <w:tc>
          <w:tcPr>
            <w:tcW w:w="260" w:type="dxa"/>
            <w:vAlign w:val="bottom"/>
          </w:tcPr>
          <w:p>
            <w:pPr>
              <w:spacing w:after="0"/>
              <w:rPr>
                <w:sz w:val="24"/>
                <w:szCs w:val="24"/>
                <w:color w:val="auto"/>
              </w:rPr>
            </w:pPr>
          </w:p>
        </w:tc>
        <w:tc>
          <w:tcPr>
            <w:tcW w:w="5480" w:type="dxa"/>
            <w:vAlign w:val="bottom"/>
            <w:tcBorders>
              <w:bottom w:val="single" w:sz="8" w:color="auto"/>
            </w:tcBorders>
            <w:gridSpan w:val="7"/>
          </w:tcPr>
          <w:p>
            <w:pPr>
              <w:ind w:left="60"/>
              <w:spacing w:after="0"/>
              <w:rPr>
                <w:sz w:val="20"/>
                <w:szCs w:val="20"/>
                <w:color w:val="auto"/>
              </w:rPr>
            </w:pPr>
            <w:r>
              <w:rPr>
                <w:rFonts w:ascii="Verdana" w:cs="Verdana" w:eastAsia="Verdana" w:hAnsi="Verdana"/>
                <w:sz w:val="23"/>
                <w:szCs w:val="23"/>
                <w:color w:val="8F8F8F"/>
              </w:rPr>
              <w:t>Summary of Terms (continued)</w:t>
            </w: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Issuer:</w:t>
            </w:r>
          </w:p>
        </w:tc>
        <w:tc>
          <w:tcPr>
            <w:tcW w:w="3580" w:type="dxa"/>
            <w:vAlign w:val="bottom"/>
            <w:tcBorders>
              <w:bottom w:val="single" w:sz="8" w:color="auto"/>
            </w:tcBorders>
            <w:gridSpan w:val="5"/>
          </w:tcPr>
          <w:p>
            <w:pPr>
              <w:ind w:left="120"/>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2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Fees and Commissions:</w:t>
            </w:r>
          </w:p>
        </w:tc>
        <w:tc>
          <w:tcPr>
            <w:tcW w:w="60" w:type="dxa"/>
            <w:vAlign w:val="bottom"/>
          </w:tcPr>
          <w:p>
            <w:pPr>
              <w:spacing w:after="0"/>
              <w:rPr>
                <w:sz w:val="13"/>
                <w:szCs w:val="13"/>
                <w:color w:val="auto"/>
              </w:rPr>
            </w:pPr>
          </w:p>
        </w:tc>
        <w:tc>
          <w:tcPr>
            <w:tcW w:w="3500" w:type="dxa"/>
            <w:vAlign w:val="bottom"/>
            <w:tcBorders>
              <w:right w:val="single" w:sz="8" w:color="auto"/>
            </w:tcBorders>
            <w:gridSpan w:val="5"/>
          </w:tcPr>
          <w:p>
            <w:pPr>
              <w:ind w:left="40"/>
              <w:spacing w:after="0" w:line="156" w:lineRule="exact"/>
              <w:rPr>
                <w:sz w:val="20"/>
                <w:szCs w:val="20"/>
                <w:color w:val="auto"/>
              </w:rPr>
            </w:pPr>
            <w:r>
              <w:rPr>
                <w:rFonts w:ascii="Georgia" w:cs="Georgia" w:eastAsia="Georgia" w:hAnsi="Georgia"/>
                <w:sz w:val="14"/>
                <w:szCs w:val="14"/>
                <w:color w:val="auto"/>
              </w:rPr>
              <w:t>Up to 2</w:t>
            </w:r>
            <w:r>
              <w:rPr>
                <w:rFonts w:ascii="Georgia" w:cs="Georgia" w:eastAsia="Georgia" w:hAnsi="Georgia"/>
                <w:sz w:val="16"/>
                <w:szCs w:val="16"/>
                <w:color w:val="auto"/>
              </w:rPr>
              <w:t>.3</w:t>
            </w:r>
            <w:r>
              <w:rPr>
                <w:rFonts w:ascii="Georgia" w:cs="Georgia" w:eastAsia="Georgia" w:hAnsi="Georgia"/>
                <w:sz w:val="14"/>
                <w:szCs w:val="14"/>
                <w:color w:val="auto"/>
              </w:rPr>
              <w:t>25% for Wells Fargo Securities, LLC</w:t>
            </w:r>
          </w:p>
        </w:tc>
        <w:tc>
          <w:tcPr>
            <w:tcW w:w="0" w:type="dxa"/>
            <w:vAlign w:val="bottom"/>
          </w:tcPr>
          <w:p>
            <w:pPr>
              <w:spacing w:after="0"/>
              <w:rPr>
                <w:sz w:val="1"/>
                <w:szCs w:val="1"/>
                <w:color w:val="auto"/>
              </w:rPr>
            </w:pPr>
          </w:p>
        </w:tc>
      </w:tr>
      <w:tr>
        <w:trPr>
          <w:trHeight w:val="155"/>
        </w:trPr>
        <w:tc>
          <w:tcPr>
            <w:tcW w:w="1920" w:type="dxa"/>
            <w:vAlign w:val="bottom"/>
          </w:tcPr>
          <w:p>
            <w:pPr>
              <w:ind w:left="100"/>
              <w:spacing w:after="0" w:line="156" w:lineRule="exact"/>
              <w:rPr>
                <w:sz w:val="20"/>
                <w:szCs w:val="20"/>
                <w:color w:val="auto"/>
              </w:rPr>
            </w:pPr>
            <w:r>
              <w:rPr>
                <w:rFonts w:ascii="Georgia" w:cs="Georgia" w:eastAsia="Georgia" w:hAnsi="Georgia"/>
                <w:sz w:val="14"/>
                <w:szCs w:val="14"/>
                <w:color w:val="auto"/>
              </w:rPr>
              <w:t>Guarantor:</w:t>
            </w:r>
          </w:p>
        </w:tc>
        <w:tc>
          <w:tcPr>
            <w:tcW w:w="3580" w:type="dxa"/>
            <w:vAlign w:val="bottom"/>
            <w:gridSpan w:val="5"/>
          </w:tcPr>
          <w:p>
            <w:pPr>
              <w:ind w:left="120"/>
              <w:spacing w:after="0" w:line="156" w:lineRule="exact"/>
              <w:rPr>
                <w:sz w:val="20"/>
                <w:szCs w:val="20"/>
                <w:color w:val="auto"/>
              </w:rPr>
            </w:pPr>
            <w:r>
              <w:rPr>
                <w:rFonts w:ascii="Georgia" w:cs="Georgia" w:eastAsia="Georgia" w:hAnsi="Georgia"/>
                <w:sz w:val="14"/>
                <w:szCs w:val="14"/>
                <w:color w:val="auto"/>
              </w:rPr>
              <w:t>JPMorgan Chase &amp; C0.</w:t>
            </w:r>
          </w:p>
        </w:tc>
        <w:tc>
          <w:tcPr>
            <w:tcW w:w="2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Borders>
              <w:right w:val="single" w:sz="8" w:color="auto"/>
            </w:tcBorders>
            <w:gridSpan w:val="5"/>
          </w:tcPr>
          <w:p>
            <w:pPr>
              <w:ind w:left="40"/>
              <w:spacing w:after="0" w:line="156" w:lineRule="exact"/>
              <w:rPr>
                <w:sz w:val="20"/>
                <w:szCs w:val="20"/>
                <w:color w:val="auto"/>
              </w:rPr>
            </w:pPr>
            <w:r>
              <w:rPr>
                <w:rFonts w:ascii="Georgia" w:cs="Georgia" w:eastAsia="Georgia" w:hAnsi="Georgia"/>
                <w:sz w:val="14"/>
                <w:szCs w:val="14"/>
                <w:color w:val="auto"/>
              </w:rPr>
              <w:t>(“WFS”); WFS has advised us that dealers, including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Pr>
          <w:p>
            <w:pPr>
              <w:ind w:left="100"/>
              <w:spacing w:after="0" w:line="142" w:lineRule="exact"/>
              <w:rPr>
                <w:sz w:val="20"/>
                <w:szCs w:val="20"/>
                <w:color w:val="auto"/>
              </w:rPr>
            </w:pPr>
            <w:r>
              <w:rPr>
                <w:rFonts w:ascii="Georgia" w:cs="Georgia" w:eastAsia="Georgia" w:hAnsi="Georgia"/>
                <w:sz w:val="14"/>
                <w:szCs w:val="14"/>
                <w:color w:val="auto"/>
              </w:rPr>
              <w:t>Underlying Stock:</w:t>
            </w:r>
          </w:p>
        </w:tc>
        <w:tc>
          <w:tcPr>
            <w:tcW w:w="3580" w:type="dxa"/>
            <w:vAlign w:val="bottom"/>
            <w:gridSpan w:val="5"/>
          </w:tcPr>
          <w:p>
            <w:pPr>
              <w:ind w:left="120"/>
              <w:spacing w:after="0" w:line="142" w:lineRule="exact"/>
              <w:rPr>
                <w:sz w:val="20"/>
                <w:szCs w:val="20"/>
                <w:color w:val="auto"/>
              </w:rPr>
            </w:pPr>
            <w:r>
              <w:rPr>
                <w:rFonts w:ascii="Georgia" w:cs="Georgia" w:eastAsia="Georgia" w:hAnsi="Georgia"/>
                <w:sz w:val="14"/>
                <w:szCs w:val="14"/>
                <w:color w:val="auto"/>
              </w:rPr>
              <w:t>The common stock of Freeport-McMoRan Inc.</w:t>
            </w:r>
          </w:p>
        </w:tc>
        <w:tc>
          <w:tcPr>
            <w:tcW w:w="2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right w:val="single" w:sz="8" w:color="auto"/>
            </w:tcBorders>
            <w:gridSpan w:val="5"/>
          </w:tcPr>
          <w:p>
            <w:pPr>
              <w:ind w:left="40"/>
              <w:spacing w:after="0" w:line="142" w:lineRule="exact"/>
              <w:rPr>
                <w:sz w:val="20"/>
                <w:szCs w:val="20"/>
                <w:color w:val="auto"/>
              </w:rPr>
            </w:pPr>
            <w:r>
              <w:rPr>
                <w:rFonts w:ascii="Georgia" w:cs="Georgia" w:eastAsia="Georgia" w:hAnsi="Georgia"/>
                <w:sz w:val="14"/>
                <w:szCs w:val="14"/>
                <w:color w:val="auto"/>
              </w:rPr>
              <w:t>Wells Fargo Advisors (“WFA”), may receive 1.75% of</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2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5"/>
          </w:tcPr>
          <w:p>
            <w:pPr>
              <w:ind w:left="120"/>
              <w:spacing w:after="0" w:line="142" w:lineRule="exact"/>
              <w:rPr>
                <w:sz w:val="20"/>
                <w:szCs w:val="20"/>
                <w:color w:val="auto"/>
              </w:rPr>
            </w:pPr>
            <w:r>
              <w:rPr>
                <w:rFonts w:ascii="Georgia" w:cs="Georgia" w:eastAsia="Georgia" w:hAnsi="Georgia"/>
                <w:sz w:val="14"/>
                <w:szCs w:val="14"/>
                <w:color w:val="auto"/>
              </w:rPr>
              <w:t>(Bloomberg ticker: FCX) (the “Underlying Stock”)</w:t>
            </w:r>
          </w:p>
        </w:tc>
        <w:tc>
          <w:tcPr>
            <w:tcW w:w="2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right w:val="single" w:sz="8" w:color="auto"/>
            </w:tcBorders>
            <w:gridSpan w:val="5"/>
          </w:tcPr>
          <w:p>
            <w:pPr>
              <w:ind w:left="40"/>
              <w:spacing w:after="0" w:line="142" w:lineRule="exact"/>
              <w:rPr>
                <w:sz w:val="20"/>
                <w:szCs w:val="20"/>
                <w:color w:val="auto"/>
              </w:rPr>
            </w:pPr>
            <w:r>
              <w:rPr>
                <w:rFonts w:ascii="Georgia" w:cs="Georgia" w:eastAsia="Georgia" w:hAnsi="Georgia"/>
                <w:sz w:val="14"/>
                <w:szCs w:val="14"/>
                <w:color w:val="auto"/>
              </w:rPr>
              <w:t>WFS’s fee, and WFA may also receive a distribution</w:t>
            </w: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line="162" w:lineRule="exact"/>
              <w:rPr>
                <w:sz w:val="20"/>
                <w:szCs w:val="20"/>
                <w:color w:val="auto"/>
              </w:rPr>
            </w:pPr>
            <w:r>
              <w:rPr>
                <w:rFonts w:ascii="Georgia" w:cs="Georgia" w:eastAsia="Georgia" w:hAnsi="Georgia"/>
                <w:sz w:val="12"/>
                <w:szCs w:val="12"/>
                <w:color w:val="auto"/>
              </w:rPr>
              <w:t>Pricing Date</w:t>
            </w:r>
            <w:r>
              <w:rPr>
                <w:rFonts w:ascii="Georgia" w:cs="Georgia" w:eastAsia="Georgia" w:hAnsi="Georgia"/>
                <w:sz w:val="19"/>
                <w:szCs w:val="19"/>
                <w:color w:val="auto"/>
                <w:vertAlign w:val="superscript"/>
              </w:rPr>
              <w:t>1</w:t>
            </w:r>
            <w:r>
              <w:rPr>
                <w:rFonts w:ascii="Georgia" w:cs="Georgia" w:eastAsia="Georgia" w:hAnsi="Georgia"/>
                <w:sz w:val="12"/>
                <w:szCs w:val="12"/>
                <w:color w:val="auto"/>
              </w:rPr>
              <w:t>:</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December 19, 2025</w:t>
            </w:r>
          </w:p>
        </w:tc>
        <w:tc>
          <w:tcPr>
            <w:tcW w:w="2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500" w:type="dxa"/>
            <w:vAlign w:val="bottom"/>
            <w:tcBorders>
              <w:right w:val="single" w:sz="8" w:color="auto"/>
            </w:tcBorders>
            <w:gridSpan w:val="5"/>
          </w:tcPr>
          <w:p>
            <w:pPr>
              <w:ind w:left="40"/>
              <w:spacing w:after="0" w:line="152" w:lineRule="exact"/>
              <w:rPr>
                <w:sz w:val="20"/>
                <w:szCs w:val="20"/>
                <w:color w:val="auto"/>
              </w:rPr>
            </w:pPr>
            <w:r>
              <w:rPr>
                <w:rFonts w:ascii="Georgia" w:cs="Georgia" w:eastAsia="Georgia" w:hAnsi="Georgia"/>
                <w:sz w:val="14"/>
                <w:szCs w:val="14"/>
                <w:color w:val="auto"/>
              </w:rPr>
              <w:t>expense fee of 0.075%. In addition, with respect of</w:t>
            </w:r>
          </w:p>
        </w:tc>
        <w:tc>
          <w:tcPr>
            <w:tcW w:w="0" w:type="dxa"/>
            <w:vAlign w:val="bottom"/>
          </w:tcPr>
          <w:p>
            <w:pPr>
              <w:spacing w:after="0"/>
              <w:rPr>
                <w:sz w:val="1"/>
                <w:szCs w:val="1"/>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tcBorders>
              <w:right w:val="single" w:sz="8" w:color="auto"/>
            </w:tcBorders>
            <w:gridSpan w:val="5"/>
            <w:vMerge w:val="restart"/>
          </w:tcPr>
          <w:p>
            <w:pPr>
              <w:ind w:left="40"/>
              <w:spacing w:after="0" w:line="152" w:lineRule="exact"/>
              <w:rPr>
                <w:sz w:val="20"/>
                <w:szCs w:val="20"/>
                <w:color w:val="auto"/>
              </w:rPr>
            </w:pPr>
            <w:r>
              <w:rPr>
                <w:rFonts w:ascii="Georgia" w:cs="Georgia" w:eastAsia="Georgia" w:hAnsi="Georgia"/>
                <w:sz w:val="14"/>
                <w:szCs w:val="14"/>
                <w:color w:val="auto"/>
              </w:rPr>
              <w:t>certain securities sold in this offering, JPMS may</w:t>
            </w:r>
          </w:p>
        </w:tc>
        <w:tc>
          <w:tcPr>
            <w:tcW w:w="0" w:type="dxa"/>
            <w:vAlign w:val="bottom"/>
          </w:tcPr>
          <w:p>
            <w:pPr>
              <w:spacing w:after="0"/>
              <w:rPr>
                <w:sz w:val="1"/>
                <w:szCs w:val="1"/>
                <w:color w:val="auto"/>
              </w:rPr>
            </w:pPr>
          </w:p>
        </w:tc>
      </w:tr>
      <w:tr>
        <w:trPr>
          <w:trHeight w:val="105"/>
        </w:trPr>
        <w:tc>
          <w:tcPr>
            <w:tcW w:w="1920" w:type="dxa"/>
            <w:vAlign w:val="bottom"/>
            <w:vMerge w:val="restart"/>
          </w:tcPr>
          <w:p>
            <w:pPr>
              <w:ind w:left="10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December 24, 2025</w:t>
            </w:r>
          </w:p>
        </w:tc>
        <w:tc>
          <w:tcPr>
            <w:tcW w:w="2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20" w:type="dxa"/>
            <w:vAlign w:val="bottom"/>
            <w:tcBorders>
              <w:bottom w:val="single" w:sz="8" w:color="auto"/>
            </w:tcBorders>
            <w:vMerge w:val="continue"/>
          </w:tcPr>
          <w:p>
            <w:pPr>
              <w:spacing w:after="0"/>
              <w:rPr>
                <w:sz w:val="6"/>
                <w:szCs w:val="6"/>
                <w:color w:val="auto"/>
              </w:rPr>
            </w:pPr>
          </w:p>
        </w:tc>
        <w:tc>
          <w:tcPr>
            <w:tcW w:w="3580" w:type="dxa"/>
            <w:vAlign w:val="bottom"/>
            <w:tcBorders>
              <w:bottom w:val="single" w:sz="8" w:color="auto"/>
            </w:tcBorders>
            <w:gridSpan w:val="5"/>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tcBorders>
              <w:right w:val="single" w:sz="8" w:color="auto"/>
            </w:tcBorders>
            <w:gridSpan w:val="5"/>
            <w:vMerge w:val="restart"/>
          </w:tcPr>
          <w:p>
            <w:pPr>
              <w:ind w:left="40"/>
              <w:spacing w:after="0"/>
              <w:rPr>
                <w:sz w:val="20"/>
                <w:szCs w:val="20"/>
                <w:color w:val="auto"/>
              </w:rPr>
            </w:pPr>
            <w:r>
              <w:rPr>
                <w:rFonts w:ascii="Georgia" w:cs="Georgia" w:eastAsia="Georgia" w:hAnsi="Georgia"/>
                <w:sz w:val="14"/>
                <w:szCs w:val="14"/>
                <w:color w:val="auto"/>
              </w:rPr>
              <w:t>pay a fee of up to 0.30% to selected dealers in</w:t>
            </w:r>
          </w:p>
        </w:tc>
        <w:tc>
          <w:tcPr>
            <w:tcW w:w="0" w:type="dxa"/>
            <w:vAlign w:val="bottom"/>
          </w:tcPr>
          <w:p>
            <w:pPr>
              <w:spacing w:after="0"/>
              <w:rPr>
                <w:sz w:val="1"/>
                <w:szCs w:val="1"/>
                <w:color w:val="auto"/>
              </w:rPr>
            </w:pPr>
          </w:p>
        </w:tc>
      </w:tr>
      <w:tr>
        <w:trPr>
          <w:trHeight w:val="64"/>
        </w:trPr>
        <w:tc>
          <w:tcPr>
            <w:tcW w:w="1920" w:type="dxa"/>
            <w:vAlign w:val="bottom"/>
            <w:vMerge w:val="restart"/>
          </w:tcPr>
          <w:p>
            <w:pPr>
              <w:ind w:left="10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December 22, 2028</w:t>
            </w:r>
          </w:p>
        </w:tc>
        <w:tc>
          <w:tcPr>
            <w:tcW w:w="26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5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920" w:type="dxa"/>
            <w:vAlign w:val="bottom"/>
            <w:tcBorders>
              <w:bottom w:val="single" w:sz="8" w:color="auto"/>
            </w:tcBorders>
            <w:vMerge w:val="continue"/>
          </w:tcPr>
          <w:p>
            <w:pPr>
              <w:spacing w:after="0"/>
              <w:rPr>
                <w:sz w:val="10"/>
                <w:szCs w:val="10"/>
                <w:color w:val="auto"/>
              </w:rPr>
            </w:pPr>
          </w:p>
        </w:tc>
        <w:tc>
          <w:tcPr>
            <w:tcW w:w="3580" w:type="dxa"/>
            <w:vAlign w:val="bottom"/>
            <w:tcBorders>
              <w:bottom w:val="single" w:sz="8" w:color="auto"/>
            </w:tcBorders>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500" w:type="dxa"/>
            <w:vAlign w:val="bottom"/>
            <w:tcBorders>
              <w:right w:val="single" w:sz="8" w:color="auto"/>
            </w:tcBorders>
            <w:gridSpan w:val="5"/>
          </w:tcPr>
          <w:p>
            <w:pPr>
              <w:ind w:left="40"/>
              <w:spacing w:after="0" w:line="112" w:lineRule="exact"/>
              <w:rPr>
                <w:sz w:val="20"/>
                <w:szCs w:val="20"/>
                <w:color w:val="auto"/>
              </w:rPr>
            </w:pPr>
            <w:r>
              <w:rPr>
                <w:rFonts w:ascii="Georgia" w:cs="Georgia" w:eastAsia="Georgia" w:hAnsi="Georgia"/>
                <w:sz w:val="13"/>
                <w:szCs w:val="13"/>
                <w:color w:val="auto"/>
              </w:rPr>
              <w:t>consideration for marketing and other services in</w:t>
            </w: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Principal Amount:</w:t>
            </w:r>
          </w:p>
        </w:tc>
        <w:tc>
          <w:tcPr>
            <w:tcW w:w="3580" w:type="dxa"/>
            <w:vAlign w:val="bottom"/>
            <w:tcBorders>
              <w:bottom w:val="single" w:sz="8" w:color="auto"/>
            </w:tcBorders>
            <w:gridSpan w:val="5"/>
          </w:tcPr>
          <w:p>
            <w:pPr>
              <w:ind w:left="120"/>
              <w:spacing w:after="0" w:line="142" w:lineRule="exact"/>
              <w:rPr>
                <w:sz w:val="20"/>
                <w:szCs w:val="20"/>
                <w:color w:val="auto"/>
              </w:rPr>
            </w:pPr>
            <w:r>
              <w:rPr>
                <w:rFonts w:ascii="Georgia" w:cs="Georgia" w:eastAsia="Georgia" w:hAnsi="Georgia"/>
                <w:sz w:val="14"/>
                <w:szCs w:val="14"/>
                <w:color w:val="auto"/>
              </w:rPr>
              <w:t>$1,000 per security (100% of par)</w:t>
            </w:r>
          </w:p>
        </w:tc>
        <w:tc>
          <w:tcPr>
            <w:tcW w:w="2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Borders>
              <w:right w:val="single" w:sz="8" w:color="auto"/>
            </w:tcBorders>
            <w:gridSpan w:val="5"/>
          </w:tcPr>
          <w:p>
            <w:pPr>
              <w:ind w:left="40"/>
              <w:spacing w:after="0" w:line="142" w:lineRule="exact"/>
              <w:rPr>
                <w:sz w:val="20"/>
                <w:szCs w:val="20"/>
                <w:color w:val="auto"/>
              </w:rPr>
            </w:pPr>
            <w:r>
              <w:rPr>
                <w:rFonts w:ascii="Georgia" w:cs="Georgia" w:eastAsia="Georgia" w:hAnsi="Georgia"/>
                <w:sz w:val="14"/>
                <w:szCs w:val="14"/>
                <w:color w:val="auto"/>
              </w:rPr>
              <w:t>connection with the distribution of the securities to</w:t>
            </w:r>
          </w:p>
        </w:tc>
        <w:tc>
          <w:tcPr>
            <w:tcW w:w="0" w:type="dxa"/>
            <w:vAlign w:val="bottom"/>
          </w:tcPr>
          <w:p>
            <w:pPr>
              <w:spacing w:after="0"/>
              <w:rPr>
                <w:sz w:val="1"/>
                <w:szCs w:val="1"/>
                <w:color w:val="auto"/>
              </w:rPr>
            </w:pPr>
          </w:p>
        </w:tc>
      </w:tr>
      <w:tr>
        <w:trPr>
          <w:trHeight w:val="169"/>
        </w:trPr>
        <w:tc>
          <w:tcPr>
            <w:tcW w:w="1920" w:type="dxa"/>
            <w:vAlign w:val="bottom"/>
          </w:tcPr>
          <w:p>
            <w:pPr>
              <w:ind w:left="100"/>
              <w:spacing w:after="0"/>
              <w:rPr>
                <w:sz w:val="20"/>
                <w:szCs w:val="20"/>
                <w:color w:val="auto"/>
              </w:rPr>
            </w:pPr>
            <w:r>
              <w:rPr>
                <w:rFonts w:ascii="Georgia" w:cs="Georgia" w:eastAsia="Georgia" w:hAnsi="Georgia"/>
                <w:sz w:val="14"/>
                <w:szCs w:val="14"/>
                <w:color w:val="auto"/>
              </w:rPr>
              <w:t>Contingent Coupon</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On each contingent coupon payment date, you will</w:t>
            </w:r>
          </w:p>
        </w:tc>
        <w:tc>
          <w:tcPr>
            <w:tcW w:w="260" w:type="dxa"/>
            <w:vAlign w:val="bottom"/>
            <w:tcBorders>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500" w:type="dxa"/>
            <w:vAlign w:val="bottom"/>
            <w:tcBorders>
              <w:bottom w:val="single" w:sz="8" w:color="auto"/>
              <w:right w:val="single" w:sz="8" w:color="auto"/>
            </w:tcBorders>
            <w:gridSpan w:val="5"/>
          </w:tcPr>
          <w:p>
            <w:pPr>
              <w:ind w:left="40"/>
              <w:spacing w:after="0"/>
              <w:rPr>
                <w:sz w:val="20"/>
                <w:szCs w:val="20"/>
                <w:color w:val="auto"/>
              </w:rPr>
            </w:pPr>
            <w:r>
              <w:rPr>
                <w:rFonts w:ascii="Georgia" w:cs="Georgia" w:eastAsia="Georgia" w:hAnsi="Georgia"/>
                <w:sz w:val="14"/>
                <w:szCs w:val="14"/>
                <w:color w:val="auto"/>
              </w:rPr>
              <w:t>other dealers.</w:t>
            </w:r>
          </w:p>
        </w:tc>
        <w:tc>
          <w:tcPr>
            <w:tcW w:w="0" w:type="dxa"/>
            <w:vAlign w:val="bottom"/>
          </w:tcPr>
          <w:p>
            <w:pPr>
              <w:spacing w:after="0"/>
              <w:rPr>
                <w:sz w:val="1"/>
                <w:szCs w:val="1"/>
                <w:color w:val="auto"/>
              </w:rPr>
            </w:pPr>
          </w:p>
        </w:tc>
      </w:tr>
      <w:tr>
        <w:trPr>
          <w:trHeight w:val="149"/>
        </w:trPr>
        <w:tc>
          <w:tcPr>
            <w:tcW w:w="1920" w:type="dxa"/>
            <w:vAlign w:val="bottom"/>
          </w:tcPr>
          <w:p>
            <w:pPr>
              <w:ind w:left="100"/>
              <w:spacing w:after="0" w:line="145" w:lineRule="exact"/>
              <w:rPr>
                <w:sz w:val="20"/>
                <w:szCs w:val="20"/>
                <w:color w:val="auto"/>
              </w:rPr>
            </w:pPr>
            <w:r>
              <w:rPr>
                <w:rFonts w:ascii="Georgia" w:cs="Georgia" w:eastAsia="Georgia" w:hAnsi="Georgia"/>
                <w:sz w:val="14"/>
                <w:szCs w:val="14"/>
                <w:color w:val="auto"/>
              </w:rPr>
              <w:t>Payment:</w:t>
            </w:r>
          </w:p>
        </w:tc>
        <w:tc>
          <w:tcPr>
            <w:tcW w:w="3580" w:type="dxa"/>
            <w:vAlign w:val="bottom"/>
            <w:gridSpan w:val="5"/>
          </w:tcPr>
          <w:p>
            <w:pPr>
              <w:ind w:left="120"/>
              <w:spacing w:after="0" w:line="145" w:lineRule="exact"/>
              <w:rPr>
                <w:sz w:val="20"/>
                <w:szCs w:val="20"/>
                <w:color w:val="auto"/>
              </w:rPr>
            </w:pPr>
            <w:r>
              <w:rPr>
                <w:rFonts w:ascii="Georgia" w:cs="Georgia" w:eastAsia="Georgia" w:hAnsi="Georgia"/>
                <w:sz w:val="14"/>
                <w:szCs w:val="14"/>
                <w:color w:val="auto"/>
              </w:rPr>
              <w:t>receive a contingent coupon payment at a per</w:t>
            </w:r>
          </w:p>
        </w:tc>
        <w:tc>
          <w:tcPr>
            <w:tcW w:w="260" w:type="dxa"/>
            <w:vAlign w:val="bottom"/>
            <w:tcBorders>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ind w:left="80"/>
              <w:spacing w:after="0" w:line="145" w:lineRule="exact"/>
              <w:rPr>
                <w:sz w:val="20"/>
                <w:szCs w:val="20"/>
                <w:color w:val="auto"/>
              </w:rPr>
            </w:pPr>
            <w:r>
              <w:rPr>
                <w:rFonts w:ascii="Georgia" w:cs="Georgia" w:eastAsia="Georgia" w:hAnsi="Georgia"/>
                <w:sz w:val="14"/>
                <w:szCs w:val="14"/>
                <w:color w:val="auto"/>
              </w:rPr>
              <w:t>Tax Considerations:</w:t>
            </w:r>
          </w:p>
        </w:tc>
        <w:tc>
          <w:tcPr>
            <w:tcW w:w="60" w:type="dxa"/>
            <w:vAlign w:val="bottom"/>
            <w:tcBorders>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gridSpan w:val="5"/>
          </w:tcPr>
          <w:p>
            <w:pPr>
              <w:ind w:left="40"/>
              <w:spacing w:after="0" w:line="145" w:lineRule="exact"/>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line="138" w:lineRule="exact"/>
              <w:rPr>
                <w:sz w:val="20"/>
                <w:szCs w:val="20"/>
                <w:color w:val="auto"/>
              </w:rPr>
            </w:pPr>
            <w:r>
              <w:rPr>
                <w:rFonts w:ascii="Georgia" w:cs="Georgia" w:eastAsia="Georgia" w:hAnsi="Georgia"/>
                <w:sz w:val="14"/>
                <w:szCs w:val="14"/>
                <w:color w:val="auto"/>
              </w:rPr>
              <w:t>annum rate equal to the contingent coupon rate if,</w:t>
            </w:r>
          </w:p>
        </w:tc>
        <w:tc>
          <w:tcPr>
            <w:tcW w:w="260" w:type="dxa"/>
            <w:vAlign w:val="bottom"/>
            <w:tcBorders>
              <w:right w:val="single" w:sz="8" w:color="auto"/>
            </w:tcBorders>
          </w:tcPr>
          <w:p>
            <w:pPr>
              <w:spacing w:after="0"/>
              <w:rPr>
                <w:sz w:val="14"/>
                <w:szCs w:val="14"/>
                <w:color w:val="auto"/>
              </w:rPr>
            </w:pPr>
          </w:p>
        </w:tc>
        <w:tc>
          <w:tcPr>
            <w:tcW w:w="1980" w:type="dxa"/>
            <w:vAlign w:val="bottom"/>
            <w:gridSpan w:val="2"/>
          </w:tcPr>
          <w:p>
            <w:pPr>
              <w:ind w:left="80"/>
              <w:spacing w:after="0" w:line="162" w:lineRule="exact"/>
              <w:rPr>
                <w:sz w:val="20"/>
                <w:szCs w:val="20"/>
                <w:color w:val="auto"/>
              </w:rPr>
            </w:pPr>
            <w:r>
              <w:rPr>
                <w:rFonts w:ascii="Georgia" w:cs="Georgia" w:eastAsia="Georgia" w:hAnsi="Georgia"/>
                <w:sz w:val="19"/>
                <w:szCs w:val="19"/>
                <w:color w:val="auto"/>
                <w:vertAlign w:val="superscript"/>
              </w:rPr>
              <w:t>1</w:t>
            </w:r>
            <w:r>
              <w:rPr>
                <w:rFonts w:ascii="Georgia" w:cs="Georgia" w:eastAsia="Georgia" w:hAnsi="Georgia"/>
                <w:sz w:val="12"/>
                <w:szCs w:val="12"/>
                <w:color w:val="auto"/>
              </w:rPr>
              <w:t xml:space="preserve"> Subject to change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20" w:type="dxa"/>
            <w:vAlign w:val="bottom"/>
          </w:tcPr>
          <w:p>
            <w:pPr>
              <w:spacing w:after="0"/>
              <w:rPr>
                <w:sz w:val="12"/>
                <w:szCs w:val="12"/>
                <w:color w:val="auto"/>
              </w:rPr>
            </w:pPr>
          </w:p>
        </w:tc>
        <w:tc>
          <w:tcPr>
            <w:tcW w:w="3580" w:type="dxa"/>
            <w:vAlign w:val="bottom"/>
            <w:gridSpan w:val="5"/>
          </w:tcPr>
          <w:p>
            <w:pPr>
              <w:ind w:left="120"/>
              <w:spacing w:after="0" w:line="138" w:lineRule="exact"/>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w:t>
            </w:r>
          </w:p>
        </w:tc>
        <w:tc>
          <w:tcPr>
            <w:tcW w:w="260" w:type="dxa"/>
            <w:vAlign w:val="bottom"/>
            <w:tcBorders>
              <w:right w:val="single" w:sz="8" w:color="auto"/>
            </w:tcBorders>
          </w:tcPr>
          <w:p>
            <w:pPr>
              <w:spacing w:after="0"/>
              <w:rPr>
                <w:sz w:val="12"/>
                <w:szCs w:val="12"/>
                <w:color w:val="auto"/>
              </w:rPr>
            </w:pPr>
          </w:p>
        </w:tc>
        <w:tc>
          <w:tcPr>
            <w:tcW w:w="1980" w:type="dxa"/>
            <w:vAlign w:val="bottom"/>
            <w:gridSpan w:val="2"/>
            <w:vMerge w:val="restart"/>
          </w:tcPr>
          <w:p>
            <w:pPr>
              <w:ind w:left="80"/>
              <w:spacing w:after="0" w:line="230" w:lineRule="exact"/>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3"/>
                <w:szCs w:val="13"/>
                <w:color w:val="auto"/>
              </w:rPr>
              <w:t xml:space="preserve"> Subject to postponement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920" w:type="dxa"/>
            <w:vAlign w:val="bottom"/>
          </w:tcPr>
          <w:p>
            <w:pPr>
              <w:spacing w:after="0"/>
              <w:rPr>
                <w:sz w:val="7"/>
                <w:szCs w:val="7"/>
                <w:color w:val="auto"/>
              </w:rPr>
            </w:pP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Underlying Stock on the related calculation day is</w:t>
            </w:r>
          </w:p>
        </w:tc>
        <w:tc>
          <w:tcPr>
            <w:tcW w:w="260" w:type="dxa"/>
            <w:vAlign w:val="bottom"/>
            <w:tcBorders>
              <w:right w:val="single" w:sz="8" w:color="auto"/>
            </w:tcBorders>
          </w:tcPr>
          <w:p>
            <w:pPr>
              <w:spacing w:after="0"/>
              <w:rPr>
                <w:sz w:val="7"/>
                <w:szCs w:val="7"/>
                <w:color w:val="auto"/>
              </w:rPr>
            </w:pPr>
          </w:p>
        </w:tc>
        <w:tc>
          <w:tcPr>
            <w:tcW w:w="1980" w:type="dxa"/>
            <w:vAlign w:val="bottom"/>
            <w:tcBorders>
              <w:bottom w:val="single" w:sz="8" w:color="auto"/>
            </w:tcBorders>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920" w:type="dxa"/>
            <w:vAlign w:val="bottom"/>
          </w:tcPr>
          <w:p>
            <w:pPr>
              <w:spacing w:after="0"/>
              <w:rPr>
                <w:sz w:val="4"/>
                <w:szCs w:val="4"/>
                <w:color w:val="auto"/>
              </w:rPr>
            </w:pPr>
          </w:p>
        </w:tc>
        <w:tc>
          <w:tcPr>
            <w:tcW w:w="35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5480" w:type="dxa"/>
            <w:vAlign w:val="bottom"/>
            <w:gridSpan w:val="7"/>
            <w:vMerge w:val="restart"/>
          </w:tcPr>
          <w:p>
            <w:pPr>
              <w:ind w:left="20"/>
              <w:spacing w:after="0" w:line="51" w:lineRule="exact"/>
              <w:rPr>
                <w:sz w:val="20"/>
                <w:szCs w:val="20"/>
                <w:color w:val="auto"/>
              </w:rPr>
            </w:pPr>
            <w:r>
              <w:rPr>
                <w:rFonts w:ascii="Verdana" w:cs="Verdana" w:eastAsia="Verdana" w:hAnsi="Verdana"/>
                <w:sz w:val="5"/>
                <w:szCs w:val="5"/>
                <w:color w:val="8F8F8F"/>
              </w:rPr>
              <w:t>Hypothetical Payout Profile (Maturity Payment</w:t>
            </w:r>
          </w:p>
        </w:tc>
        <w:tc>
          <w:tcPr>
            <w:tcW w:w="0" w:type="dxa"/>
            <w:vAlign w:val="bottom"/>
          </w:tcPr>
          <w:p>
            <w:pPr>
              <w:spacing w:after="0"/>
              <w:rPr>
                <w:sz w:val="1"/>
                <w:szCs w:val="1"/>
                <w:color w:val="auto"/>
              </w:rPr>
            </w:pPr>
          </w:p>
        </w:tc>
      </w:tr>
      <w:tr>
        <w:trPr>
          <w:trHeight w:val="0"/>
        </w:trPr>
        <w:tc>
          <w:tcPr>
            <w:tcW w:w="1920" w:type="dxa"/>
            <w:vAlign w:val="bottom"/>
          </w:tcPr>
          <w:p>
            <w:pPr>
              <w:spacing w:after="0" w:line="20" w:lineRule="exact"/>
              <w:rPr>
                <w:sz w:val="1"/>
                <w:szCs w:val="1"/>
                <w:color w:val="auto"/>
              </w:rPr>
            </w:pPr>
          </w:p>
        </w:tc>
        <w:tc>
          <w:tcPr>
            <w:tcW w:w="3580" w:type="dxa"/>
            <w:vAlign w:val="bottom"/>
            <w:gridSpan w:val="5"/>
          </w:tcPr>
          <w:p>
            <w:pPr>
              <w:ind w:left="120"/>
              <w:spacing w:after="0" w:line="1" w:lineRule="exact"/>
              <w:rPr>
                <w:sz w:val="20"/>
                <w:szCs w:val="20"/>
                <w:color w:val="auto"/>
              </w:rPr>
            </w:pPr>
            <w:r>
              <w:rPr>
                <w:rFonts w:ascii="Georgia" w:cs="Georgia" w:eastAsia="Georgia" w:hAnsi="Georgia"/>
                <w:sz w:val="1"/>
                <w:szCs w:val="1"/>
                <w:color w:val="auto"/>
              </w:rPr>
              <w:t>“contingent coupon payment,” if any, will be</w:t>
            </w:r>
          </w:p>
        </w:tc>
        <w:tc>
          <w:tcPr>
            <w:tcW w:w="260" w:type="dxa"/>
            <w:vAlign w:val="bottom"/>
          </w:tcPr>
          <w:p>
            <w:pPr>
              <w:spacing w:after="0" w:line="20" w:lineRule="exact"/>
              <w:rPr>
                <w:sz w:val="1"/>
                <w:szCs w:val="1"/>
                <w:color w:val="auto"/>
              </w:rPr>
            </w:pPr>
          </w:p>
        </w:tc>
        <w:tc>
          <w:tcPr>
            <w:tcW w:w="548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greater than or equal to the threshold price. Each</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1980" w:type="dxa"/>
            <w:vAlign w:val="bottom"/>
            <w:gridSpan w:val="2"/>
            <w:vMerge w:val="restart"/>
          </w:tcPr>
          <w:p>
            <w:pPr>
              <w:ind w:left="20"/>
              <w:spacing w:after="0"/>
              <w:rPr>
                <w:sz w:val="20"/>
                <w:szCs w:val="20"/>
                <w:color w:val="auto"/>
              </w:rPr>
            </w:pPr>
            <w:r>
              <w:rPr>
                <w:rFonts w:ascii="Verdana" w:cs="Verdana" w:eastAsia="Verdana" w:hAnsi="Verdana"/>
                <w:sz w:val="23"/>
                <w:szCs w:val="23"/>
                <w:color w:val="8F8F8F"/>
              </w:rPr>
              <w:t>Amount)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calculated per security as follows:</w:t>
            </w:r>
          </w:p>
        </w:tc>
        <w:tc>
          <w:tcPr>
            <w:tcW w:w="260" w:type="dxa"/>
            <w:vAlign w:val="bottom"/>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3580" w:type="dxa"/>
            <w:vAlign w:val="bottom"/>
            <w:gridSpan w:val="5"/>
            <w:vMerge w:val="continue"/>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center"/>
              <w:ind w:right="88"/>
              <w:spacing w:after="0"/>
              <w:rPr>
                <w:sz w:val="20"/>
                <w:szCs w:val="20"/>
                <w:color w:val="auto"/>
              </w:rPr>
            </w:pPr>
            <w:r>
              <w:rPr>
                <w:rFonts w:ascii="Georgia" w:cs="Georgia" w:eastAsia="Georgia" w:hAnsi="Georgia"/>
                <w:sz w:val="14"/>
                <w:szCs w:val="14"/>
                <w:color w:val="auto"/>
              </w:rPr>
              <w:t>($1,000 × contingent coupon rate) / 4</w:t>
            </w: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00"/>
              <w:spacing w:after="0"/>
              <w:rPr>
                <w:sz w:val="20"/>
                <w:szCs w:val="20"/>
                <w:color w:val="auto"/>
              </w:rPr>
            </w:pPr>
            <w:r>
              <w:rPr>
                <w:rFonts w:ascii="Georgia" w:cs="Georgia" w:eastAsia="Georgia" w:hAnsi="Georgia"/>
                <w:sz w:val="14"/>
                <w:szCs w:val="14"/>
                <w:color w:val="auto"/>
              </w:rPr>
              <w:t>Contingent Coupon</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Quarterly, on the third business day following each</w:t>
            </w:r>
          </w:p>
        </w:tc>
        <w:tc>
          <w:tcPr>
            <w:tcW w:w="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0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3580" w:type="dxa"/>
            <w:vAlign w:val="bottom"/>
            <w:gridSpan w:val="5"/>
          </w:tcPr>
          <w:p>
            <w:pPr>
              <w:ind w:left="120"/>
              <w:spacing w:after="0" w:line="152" w:lineRule="exact"/>
              <w:rPr>
                <w:sz w:val="20"/>
                <w:szCs w:val="20"/>
                <w:color w:val="auto"/>
              </w:rPr>
            </w:pPr>
            <w:r>
              <w:rPr>
                <w:rFonts w:ascii="Georgia" w:cs="Georgia" w:eastAsia="Georgia" w:hAnsi="Georgia"/>
                <w:sz w:val="14"/>
                <w:szCs w:val="14"/>
                <w:color w:val="auto"/>
              </w:rPr>
              <w:t>coupon payment date with respect to the final</w:t>
            </w:r>
          </w:p>
        </w:tc>
        <w:tc>
          <w:tcPr>
            <w:tcW w:w="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5"/>
          </w:tcPr>
          <w:p>
            <w:pPr>
              <w:ind w:left="120"/>
              <w:spacing w:after="0"/>
              <w:rPr>
                <w:sz w:val="20"/>
                <w:szCs w:val="20"/>
                <w:color w:val="auto"/>
              </w:rPr>
            </w:pPr>
            <w:r>
              <w:rPr>
                <w:rFonts w:ascii="Georgia" w:cs="Georgia" w:eastAsia="Georgia" w:hAnsi="Georgia"/>
                <w:sz w:val="14"/>
                <w:szCs w:val="14"/>
                <w:color w:val="auto"/>
              </w:rPr>
              <w:t>calculation day will be the stated maturity date</w:t>
            </w:r>
          </w:p>
        </w:tc>
        <w:tc>
          <w:tcPr>
            <w:tcW w:w="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00"/>
              <w:spacing w:after="0"/>
              <w:rPr>
                <w:sz w:val="20"/>
                <w:szCs w:val="20"/>
                <w:color w:val="auto"/>
              </w:rPr>
            </w:pPr>
            <w:r>
              <w:rPr>
                <w:rFonts w:ascii="Georgia" w:cs="Georgia" w:eastAsia="Georgia" w:hAnsi="Georgia"/>
                <w:sz w:val="14"/>
                <w:szCs w:val="14"/>
                <w:color w:val="auto"/>
              </w:rPr>
              <w:t>Contingent Coupon Rate:</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At least 12.40% per annum (to be provided in the</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pricing supplement)</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00"/>
              <w:spacing w:after="0"/>
              <w:rPr>
                <w:sz w:val="20"/>
                <w:szCs w:val="20"/>
                <w:color w:val="auto"/>
              </w:rPr>
            </w:pPr>
            <w:r>
              <w:rPr>
                <w:rFonts w:ascii="Georgia" w:cs="Georgia" w:eastAsia="Georgia" w:hAnsi="Georgia"/>
                <w:sz w:val="14"/>
                <w:szCs w:val="14"/>
                <w:color w:val="auto"/>
              </w:rPr>
              <w:t>Automatic Call:</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If the stock closing price of the Underlying Stock on</w:t>
            </w:r>
          </w:p>
        </w:tc>
        <w:tc>
          <w:tcPr>
            <w:tcW w:w="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any of the calculation days from March 2026 to</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September 2028, inclusive, is greater than or equal</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to the starting price, the securities will be</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automatically called, and on the related call</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settlement date you will be entitled to receive a cash</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payment per security in U.S. dollars equal to the</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 xml:space="preserve">principal 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 final contingent</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5"/>
          </w:tcPr>
          <w:p>
            <w:pPr>
              <w:ind w:left="120"/>
              <w:spacing w:after="0"/>
              <w:rPr>
                <w:sz w:val="20"/>
                <w:szCs w:val="20"/>
                <w:color w:val="auto"/>
              </w:rPr>
            </w:pPr>
            <w:r>
              <w:rPr>
                <w:rFonts w:ascii="Georgia" w:cs="Georgia" w:eastAsia="Georgia" w:hAnsi="Georgia"/>
                <w:sz w:val="14"/>
                <w:szCs w:val="14"/>
                <w:color w:val="auto"/>
              </w:rPr>
              <w:t>coupon payment.</w:t>
            </w:r>
          </w:p>
        </w:tc>
        <w:tc>
          <w:tcPr>
            <w:tcW w:w="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10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80" w:type="dxa"/>
            <w:vAlign w:val="bottom"/>
            <w:gridSpan w:val="5"/>
          </w:tcPr>
          <w:p>
            <w:pPr>
              <w:ind w:left="120"/>
              <w:spacing w:after="0" w:line="185" w:lineRule="exact"/>
              <w:rPr>
                <w:sz w:val="20"/>
                <w:szCs w:val="20"/>
                <w:color w:val="auto"/>
              </w:rPr>
            </w:pPr>
            <w:r>
              <w:rPr>
                <w:rFonts w:ascii="Georgia" w:cs="Georgia" w:eastAsia="Georgia" w:hAnsi="Georgia"/>
                <w:sz w:val="13"/>
                <w:szCs w:val="13"/>
                <w:color w:val="auto"/>
              </w:rPr>
              <w:t>Quarterly, on the 19</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March, June,</w:t>
            </w: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September and December, commencing March</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2026 and ending December 2028. We refer to</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5"/>
          </w:tcPr>
          <w:p>
            <w:pPr>
              <w:ind w:left="120"/>
              <w:spacing w:after="0" w:line="146" w:lineRule="exact"/>
              <w:rPr>
                <w:sz w:val="20"/>
                <w:szCs w:val="20"/>
                <w:color w:val="auto"/>
              </w:rPr>
            </w:pPr>
            <w:r>
              <w:rPr>
                <w:rFonts w:ascii="Georgia" w:cs="Georgia" w:eastAsia="Georgia" w:hAnsi="Georgia"/>
                <w:sz w:val="14"/>
                <w:szCs w:val="14"/>
                <w:color w:val="auto"/>
              </w:rPr>
              <w:t>December 19, 2028 as the “final calculation day.”</w:t>
            </w:r>
          </w:p>
        </w:tc>
        <w:tc>
          <w:tcPr>
            <w:tcW w:w="260" w:type="dxa"/>
            <w:vAlign w:val="bottom"/>
          </w:tcPr>
          <w:p>
            <w:pPr>
              <w:spacing w:after="0"/>
              <w:rPr>
                <w:sz w:val="13"/>
                <w:szCs w:val="13"/>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If the securities are not automatically called prior to maturity and the</w:t>
            </w:r>
          </w:p>
        </w:tc>
        <w:tc>
          <w:tcPr>
            <w:tcW w:w="0" w:type="dxa"/>
            <w:vAlign w:val="bottom"/>
          </w:tcPr>
          <w:p>
            <w:pPr>
              <w:spacing w:after="0"/>
              <w:rPr>
                <w:sz w:val="1"/>
                <w:szCs w:val="1"/>
                <w:color w:val="auto"/>
              </w:rPr>
            </w:pPr>
          </w:p>
        </w:tc>
      </w:tr>
      <w:tr>
        <w:trPr>
          <w:trHeight w:val="98"/>
        </w:trPr>
        <w:tc>
          <w:tcPr>
            <w:tcW w:w="1920" w:type="dxa"/>
            <w:vAlign w:val="bottom"/>
            <w:vMerge w:val="restart"/>
          </w:tcPr>
          <w:p>
            <w:pPr>
              <w:ind w:left="10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Three business days after the applicable calculation</w:t>
            </w:r>
          </w:p>
        </w:tc>
        <w:tc>
          <w:tcPr>
            <w:tcW w:w="260" w:type="dxa"/>
            <w:vAlign w:val="bottom"/>
          </w:tcPr>
          <w:p>
            <w:pPr>
              <w:spacing w:after="0"/>
              <w:rPr>
                <w:sz w:val="8"/>
                <w:szCs w:val="8"/>
                <w:color w:val="auto"/>
              </w:rPr>
            </w:pPr>
          </w:p>
        </w:tc>
        <w:tc>
          <w:tcPr>
            <w:tcW w:w="54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920" w:type="dxa"/>
            <w:vAlign w:val="bottom"/>
            <w:vMerge w:val="continue"/>
          </w:tcPr>
          <w:p>
            <w:pPr>
              <w:spacing w:after="0"/>
              <w:rPr>
                <w:sz w:val="6"/>
                <w:szCs w:val="6"/>
                <w:color w:val="auto"/>
              </w:rPr>
            </w:pPr>
          </w:p>
        </w:tc>
        <w:tc>
          <w:tcPr>
            <w:tcW w:w="358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ending price is less than the threshold price, you will lose more than</w:t>
            </w:r>
          </w:p>
        </w:tc>
        <w:tc>
          <w:tcPr>
            <w:tcW w:w="0" w:type="dxa"/>
            <w:vAlign w:val="bottom"/>
          </w:tcPr>
          <w:p>
            <w:pPr>
              <w:spacing w:after="0"/>
              <w:rPr>
                <w:sz w:val="1"/>
                <w:szCs w:val="1"/>
                <w:color w:val="auto"/>
              </w:rPr>
            </w:pPr>
          </w:p>
        </w:tc>
      </w:tr>
      <w:tr>
        <w:trPr>
          <w:trHeight w:val="84"/>
        </w:trPr>
        <w:tc>
          <w:tcPr>
            <w:tcW w:w="1920" w:type="dxa"/>
            <w:vAlign w:val="bottom"/>
          </w:tcPr>
          <w:p>
            <w:pPr>
              <w:spacing w:after="0"/>
              <w:rPr>
                <w:sz w:val="7"/>
                <w:szCs w:val="7"/>
                <w:color w:val="auto"/>
              </w:rPr>
            </w:pPr>
          </w:p>
        </w:tc>
        <w:tc>
          <w:tcPr>
            <w:tcW w:w="3580" w:type="dxa"/>
            <w:vAlign w:val="bottom"/>
            <w:gridSpan w:val="5"/>
            <w:vMerge w:val="restart"/>
          </w:tcPr>
          <w:p>
            <w:pPr>
              <w:ind w:left="120"/>
              <w:spacing w:after="0" w:line="149" w:lineRule="exact"/>
              <w:rPr>
                <w:sz w:val="20"/>
                <w:szCs w:val="20"/>
                <w:color w:val="auto"/>
              </w:rPr>
            </w:pPr>
            <w:r>
              <w:rPr>
                <w:rFonts w:ascii="Georgia" w:cs="Georgia" w:eastAsia="Georgia" w:hAnsi="Georgia"/>
                <w:sz w:val="14"/>
                <w:szCs w:val="14"/>
                <w:color w:val="auto"/>
              </w:rPr>
              <w:t>day</w:t>
            </w:r>
          </w:p>
        </w:tc>
        <w:tc>
          <w:tcPr>
            <w:tcW w:w="260" w:type="dxa"/>
            <w:vAlign w:val="bottom"/>
          </w:tcPr>
          <w:p>
            <w:pPr>
              <w:spacing w:after="0"/>
              <w:rPr>
                <w:sz w:val="7"/>
                <w:szCs w:val="7"/>
                <w:color w:val="auto"/>
              </w:rPr>
            </w:pPr>
          </w:p>
        </w:tc>
        <w:tc>
          <w:tcPr>
            <w:tcW w:w="5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920" w:type="dxa"/>
            <w:vAlign w:val="bottom"/>
            <w:tcBorders>
              <w:bottom w:val="single" w:sz="8" w:color="auto"/>
            </w:tcBorders>
          </w:tcPr>
          <w:p>
            <w:pPr>
              <w:spacing w:after="0"/>
              <w:rPr>
                <w:sz w:val="5"/>
                <w:szCs w:val="5"/>
                <w:color w:val="auto"/>
              </w:rPr>
            </w:pPr>
          </w:p>
        </w:tc>
        <w:tc>
          <w:tcPr>
            <w:tcW w:w="3580" w:type="dxa"/>
            <w:vAlign w:val="bottom"/>
            <w:tcBorders>
              <w:bottom w:val="single" w:sz="8" w:color="auto"/>
            </w:tcBorders>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40%, and possibly all, of the principal amount of your securities at</w:t>
            </w:r>
          </w:p>
        </w:tc>
        <w:tc>
          <w:tcPr>
            <w:tcW w:w="0" w:type="dxa"/>
            <w:vAlign w:val="bottom"/>
          </w:tcPr>
          <w:p>
            <w:pPr>
              <w:spacing w:after="0"/>
              <w:rPr>
                <w:sz w:val="1"/>
                <w:szCs w:val="1"/>
                <w:color w:val="auto"/>
              </w:rPr>
            </w:pPr>
          </w:p>
        </w:tc>
      </w:tr>
      <w:tr>
        <w:trPr>
          <w:trHeight w:val="78"/>
        </w:trPr>
        <w:tc>
          <w:tcPr>
            <w:tcW w:w="1920" w:type="dxa"/>
            <w:vAlign w:val="bottom"/>
            <w:vMerge w:val="restart"/>
          </w:tcPr>
          <w:p>
            <w:pPr>
              <w:ind w:left="100"/>
              <w:spacing w:after="0" w:line="146" w:lineRule="exact"/>
              <w:rPr>
                <w:sz w:val="20"/>
                <w:szCs w:val="20"/>
                <w:color w:val="auto"/>
              </w:rPr>
            </w:pPr>
            <w:r>
              <w:rPr>
                <w:rFonts w:ascii="Georgia" w:cs="Georgia" w:eastAsia="Georgia" w:hAnsi="Georgia"/>
                <w:sz w:val="14"/>
                <w:szCs w:val="14"/>
                <w:color w:val="auto"/>
              </w:rPr>
              <w:t>Maturity Payment Amount</w:t>
            </w:r>
          </w:p>
        </w:tc>
        <w:tc>
          <w:tcPr>
            <w:tcW w:w="3580" w:type="dxa"/>
            <w:vAlign w:val="bottom"/>
            <w:gridSpan w:val="5"/>
            <w:vMerge w:val="restart"/>
          </w:tcPr>
          <w:p>
            <w:pPr>
              <w:ind w:left="120"/>
              <w:spacing w:after="0" w:line="146" w:lineRule="exact"/>
              <w:rPr>
                <w:sz w:val="20"/>
                <w:szCs w:val="20"/>
                <w:color w:val="auto"/>
              </w:rPr>
            </w:pPr>
            <w:r>
              <w:rPr>
                <w:rFonts w:ascii="Georgia" w:cs="Georgia" w:eastAsia="Georgia" w:hAnsi="Georgia"/>
                <w:sz w:val="14"/>
                <w:szCs w:val="14"/>
                <w:color w:val="auto"/>
              </w:rPr>
              <w:t>If the securities are not automatically called:</w:t>
            </w:r>
          </w:p>
        </w:tc>
        <w:tc>
          <w:tcPr>
            <w:tcW w:w="260" w:type="dxa"/>
            <w:vAlign w:val="bottom"/>
          </w:tcPr>
          <w:p>
            <w:pPr>
              <w:spacing w:after="0"/>
              <w:rPr>
                <w:sz w:val="6"/>
                <w:szCs w:val="6"/>
                <w:color w:val="auto"/>
              </w:rPr>
            </w:pPr>
          </w:p>
        </w:tc>
        <w:tc>
          <w:tcPr>
            <w:tcW w:w="5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920" w:type="dxa"/>
            <w:vAlign w:val="bottom"/>
            <w:vMerge w:val="continue"/>
          </w:tcPr>
          <w:p>
            <w:pPr>
              <w:spacing w:after="0"/>
              <w:rPr>
                <w:sz w:val="5"/>
                <w:szCs w:val="5"/>
                <w:color w:val="auto"/>
              </w:rPr>
            </w:pPr>
          </w:p>
        </w:tc>
        <w:tc>
          <w:tcPr>
            <w:tcW w:w="358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980" w:type="dxa"/>
            <w:vAlign w:val="bottom"/>
            <w:gridSpan w:val="2"/>
            <w:vMerge w:val="restart"/>
          </w:tcPr>
          <w:p>
            <w:pPr>
              <w:ind w:left="100"/>
              <w:spacing w:after="0"/>
              <w:rPr>
                <w:sz w:val="20"/>
                <w:szCs w:val="20"/>
                <w:color w:val="auto"/>
              </w:rPr>
            </w:pPr>
            <w:r>
              <w:rPr>
                <w:rFonts w:ascii="Georgia" w:cs="Georgia" w:eastAsia="Georgia" w:hAnsi="Georgia"/>
                <w:sz w:val="14"/>
                <w:szCs w:val="14"/>
                <w:b w:val="1"/>
                <w:bCs w:val="1"/>
                <w:color w:val="auto"/>
              </w:rPr>
              <w:t>maturity.</w:t>
            </w: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920" w:type="dxa"/>
            <w:vAlign w:val="bottom"/>
            <w:vMerge w:val="restart"/>
          </w:tcPr>
          <w:p>
            <w:pPr>
              <w:ind w:left="100"/>
              <w:spacing w:after="0"/>
              <w:rPr>
                <w:sz w:val="20"/>
                <w:szCs w:val="20"/>
                <w:color w:val="auto"/>
              </w:rPr>
            </w:pPr>
            <w:r>
              <w:rPr>
                <w:rFonts w:ascii="Georgia" w:cs="Georgia" w:eastAsia="Georgia" w:hAnsi="Georgia"/>
                <w:sz w:val="14"/>
                <w:szCs w:val="14"/>
                <w:color w:val="auto"/>
              </w:rPr>
              <w:t>(per Security):</w:t>
            </w:r>
          </w:p>
        </w:tc>
        <w:tc>
          <w:tcPr>
            <w:tcW w:w="35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is greater than or equal to the</w:t>
            </w:r>
          </w:p>
        </w:tc>
        <w:tc>
          <w:tcPr>
            <w:tcW w:w="26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20" w:type="dxa"/>
            <w:vAlign w:val="bottom"/>
            <w:vMerge w:val="continue"/>
          </w:tcPr>
          <w:p>
            <w:pPr>
              <w:spacing w:after="0"/>
              <w:rPr>
                <w:sz w:val="7"/>
                <w:szCs w:val="7"/>
                <w:color w:val="auto"/>
              </w:rPr>
            </w:pPr>
          </w:p>
        </w:tc>
        <w:tc>
          <w:tcPr>
            <w:tcW w:w="3580" w:type="dxa"/>
            <w:vAlign w:val="bottom"/>
            <w:gridSpan w:val="5"/>
            <w:vMerge w:val="continue"/>
          </w:tcPr>
          <w:p>
            <w:pPr>
              <w:spacing w:after="0"/>
              <w:rPr>
                <w:sz w:val="7"/>
                <w:szCs w:val="7"/>
                <w:color w:val="auto"/>
              </w:rPr>
            </w:pPr>
          </w:p>
        </w:tc>
        <w:tc>
          <w:tcPr>
            <w:tcW w:w="260" w:type="dxa"/>
            <w:vAlign w:val="bottom"/>
          </w:tcPr>
          <w:p>
            <w:pPr>
              <w:spacing w:after="0"/>
              <w:rPr>
                <w:sz w:val="7"/>
                <w:szCs w:val="7"/>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Any return on the securities will be limited to the sum of your contingent</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4"/>
            <w:vMerge w:val="restart"/>
          </w:tcPr>
          <w:p>
            <w:pPr>
              <w:ind w:left="100"/>
              <w:spacing w:after="0"/>
              <w:rPr>
                <w:sz w:val="20"/>
                <w:szCs w:val="20"/>
                <w:color w:val="auto"/>
              </w:rPr>
            </w:pPr>
            <w:r>
              <w:rPr>
                <w:rFonts w:ascii="Georgia" w:cs="Georgia" w:eastAsia="Georgia" w:hAnsi="Georgia"/>
                <w:sz w:val="14"/>
                <w:szCs w:val="14"/>
                <w:color w:val="auto"/>
              </w:rPr>
              <w:t>threshold price: $1,000; or</w:t>
            </w:r>
          </w:p>
        </w:tc>
        <w:tc>
          <w:tcPr>
            <w:tcW w:w="260" w:type="dxa"/>
            <w:vAlign w:val="bottom"/>
          </w:tcPr>
          <w:p>
            <w:pPr>
              <w:spacing w:after="0"/>
              <w:rPr>
                <w:sz w:val="7"/>
                <w:szCs w:val="7"/>
                <w:color w:val="auto"/>
              </w:rPr>
            </w:pPr>
          </w:p>
        </w:tc>
        <w:tc>
          <w:tcPr>
            <w:tcW w:w="5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coupon payments, if any. You will not participate in any appreciation of</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35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is less than the threshold price:</w:t>
            </w:r>
          </w:p>
        </w:tc>
        <w:tc>
          <w:tcPr>
            <w:tcW w:w="260" w:type="dxa"/>
            <w:vAlign w:val="bottom"/>
          </w:tcPr>
          <w:p>
            <w:pPr>
              <w:spacing w:after="0"/>
              <w:rPr>
                <w:sz w:val="7"/>
                <w:szCs w:val="7"/>
                <w:color w:val="auto"/>
              </w:rPr>
            </w:pPr>
          </w:p>
        </w:tc>
        <w:tc>
          <w:tcPr>
            <w:tcW w:w="5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35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5480" w:type="dxa"/>
            <w:vAlign w:val="bottom"/>
            <w:gridSpan w:val="7"/>
          </w:tcPr>
          <w:p>
            <w:pPr>
              <w:ind w:left="100"/>
              <w:spacing w:after="0"/>
              <w:rPr>
                <w:sz w:val="20"/>
                <w:szCs w:val="20"/>
                <w:color w:val="auto"/>
              </w:rPr>
            </w:pPr>
            <w:r>
              <w:rPr>
                <w:rFonts w:ascii="Georgia" w:cs="Georgia" w:eastAsia="Georgia" w:hAnsi="Georgia"/>
                <w:sz w:val="14"/>
                <w:szCs w:val="14"/>
                <w:b w:val="1"/>
                <w:bCs w:val="1"/>
                <w:color w:val="auto"/>
              </w:rPr>
              <w:t>the Underlying Stock, but you will have full downside exposure to the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4"/>
          </w:tcPr>
          <w:p>
            <w:pPr>
              <w:jc w:val="center"/>
              <w:ind w:right="88"/>
              <w:spacing w:after="0"/>
              <w:rPr>
                <w:sz w:val="20"/>
                <w:szCs w:val="20"/>
                <w:color w:val="auto"/>
              </w:rPr>
            </w:pPr>
            <w:r>
              <w:rPr>
                <w:rFonts w:ascii="Georgia" w:cs="Georgia" w:eastAsia="Georgia" w:hAnsi="Georgia"/>
                <w:sz w:val="14"/>
                <w:szCs w:val="14"/>
                <w:color w:val="auto"/>
              </w:rPr>
              <w:t>$1,000 + ($1,000 × stock return)</w:t>
            </w:r>
          </w:p>
        </w:tc>
        <w:tc>
          <w:tcPr>
            <w:tcW w:w="260" w:type="dxa"/>
            <w:vAlign w:val="bottom"/>
          </w:tcPr>
          <w:p>
            <w:pPr>
              <w:spacing w:after="0"/>
              <w:rPr>
                <w:sz w:val="14"/>
                <w:szCs w:val="14"/>
                <w:color w:val="auto"/>
              </w:rPr>
            </w:pPr>
          </w:p>
        </w:tc>
        <w:tc>
          <w:tcPr>
            <w:tcW w:w="5480" w:type="dxa"/>
            <w:vAlign w:val="bottom"/>
            <w:gridSpan w:val="7"/>
          </w:tcPr>
          <w:p>
            <w:pPr>
              <w:ind w:left="100"/>
              <w:spacing w:after="0"/>
              <w:rPr>
                <w:sz w:val="20"/>
                <w:szCs w:val="20"/>
                <w:color w:val="auto"/>
              </w:rPr>
            </w:pPr>
            <w:r>
              <w:rPr>
                <w:rFonts w:ascii="Georgia" w:cs="Georgia" w:eastAsia="Georgia" w:hAnsi="Georgia"/>
                <w:sz w:val="14"/>
                <w:szCs w:val="14"/>
                <w:b w:val="1"/>
                <w:bCs w:val="1"/>
                <w:color w:val="auto"/>
              </w:rPr>
              <w:t>Underlying Stock on the final calculation day if the ending price is less</w:t>
            </w:r>
          </w:p>
        </w:tc>
        <w:tc>
          <w:tcPr>
            <w:tcW w:w="0" w:type="dxa"/>
            <w:vAlign w:val="bottom"/>
          </w:tcPr>
          <w:p>
            <w:pPr>
              <w:spacing w:after="0"/>
              <w:rPr>
                <w:sz w:val="1"/>
                <w:szCs w:val="1"/>
                <w:color w:val="auto"/>
              </w:rPr>
            </w:pPr>
          </w:p>
        </w:tc>
      </w:tr>
      <w:tr>
        <w:trPr>
          <w:trHeight w:val="64"/>
        </w:trPr>
        <w:tc>
          <w:tcPr>
            <w:tcW w:w="1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vMerge w:val="restart"/>
          </w:tcPr>
          <w:p>
            <w:pPr>
              <w:spacing w:after="0"/>
              <w:rPr>
                <w:sz w:val="5"/>
                <w:szCs w:val="5"/>
                <w:color w:val="auto"/>
              </w:rPr>
            </w:pPr>
          </w:p>
        </w:tc>
        <w:tc>
          <w:tcPr>
            <w:tcW w:w="1980" w:type="dxa"/>
            <w:vAlign w:val="bottom"/>
            <w:gridSpan w:val="2"/>
            <w:vMerge w:val="restart"/>
          </w:tcPr>
          <w:p>
            <w:pPr>
              <w:ind w:left="100"/>
              <w:spacing w:after="0"/>
              <w:rPr>
                <w:sz w:val="20"/>
                <w:szCs w:val="20"/>
                <w:color w:val="auto"/>
              </w:rPr>
            </w:pPr>
            <w:r>
              <w:rPr>
                <w:rFonts w:ascii="Georgia" w:cs="Georgia" w:eastAsia="Georgia" w:hAnsi="Georgia"/>
                <w:sz w:val="14"/>
                <w:szCs w:val="14"/>
                <w:b w:val="1"/>
                <w:bCs w:val="1"/>
                <w:color w:val="auto"/>
              </w:rPr>
              <w:t>than the threshold price.</w:t>
            </w: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920" w:type="dxa"/>
            <w:vAlign w:val="bottom"/>
            <w:vMerge w:val="restart"/>
          </w:tcPr>
          <w:p>
            <w:pPr>
              <w:ind w:left="100"/>
              <w:spacing w:after="0"/>
              <w:rPr>
                <w:sz w:val="20"/>
                <w:szCs w:val="20"/>
                <w:color w:val="auto"/>
              </w:rPr>
            </w:pPr>
            <w:r>
              <w:rPr>
                <w:rFonts w:ascii="Georgia" w:cs="Georgia" w:eastAsia="Georgia" w:hAnsi="Georgia"/>
                <w:sz w:val="14"/>
                <w:szCs w:val="14"/>
                <w:color w:val="auto"/>
              </w:rPr>
              <w:t>Starting Price:</w:t>
            </w: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The stock closing price of the Underlying Stock on</w:t>
            </w:r>
          </w:p>
        </w:tc>
        <w:tc>
          <w:tcPr>
            <w:tcW w:w="260" w:type="dxa"/>
            <w:vAlign w:val="bottom"/>
            <w:vMerge w:val="continue"/>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20" w:type="dxa"/>
            <w:vAlign w:val="bottom"/>
            <w:vMerge w:val="continue"/>
          </w:tcPr>
          <w:p>
            <w:pPr>
              <w:spacing w:after="0"/>
              <w:rPr>
                <w:sz w:val="7"/>
                <w:szCs w:val="7"/>
                <w:color w:val="auto"/>
              </w:rPr>
            </w:pPr>
          </w:p>
        </w:tc>
        <w:tc>
          <w:tcPr>
            <w:tcW w:w="3580" w:type="dxa"/>
            <w:vAlign w:val="bottom"/>
            <w:gridSpan w:val="5"/>
            <w:vMerge w:val="continue"/>
          </w:tcPr>
          <w:p>
            <w:pPr>
              <w:spacing w:after="0"/>
              <w:rPr>
                <w:sz w:val="7"/>
                <w:szCs w:val="7"/>
                <w:color w:val="auto"/>
              </w:rPr>
            </w:pPr>
          </w:p>
        </w:tc>
        <w:tc>
          <w:tcPr>
            <w:tcW w:w="260" w:type="dxa"/>
            <w:vAlign w:val="bottom"/>
          </w:tcPr>
          <w:p>
            <w:pPr>
              <w:spacing w:after="0"/>
              <w:rPr>
                <w:sz w:val="7"/>
                <w:szCs w:val="7"/>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color w:val="auto"/>
              </w:rPr>
              <w:t>The securities are unsecured and unsubordinated obligations of JPMorgan Chase</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the pricing date</w:t>
            </w:r>
          </w:p>
        </w:tc>
        <w:tc>
          <w:tcPr>
            <w:tcW w:w="260" w:type="dxa"/>
            <w:vAlign w:val="bottom"/>
          </w:tcPr>
          <w:p>
            <w:pPr>
              <w:spacing w:after="0"/>
              <w:rPr>
                <w:sz w:val="7"/>
                <w:szCs w:val="7"/>
                <w:color w:val="auto"/>
              </w:rPr>
            </w:pPr>
          </w:p>
        </w:tc>
        <w:tc>
          <w:tcPr>
            <w:tcW w:w="5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color w:val="auto"/>
              </w:rPr>
              <w:t>Financial Company LLC, which we refer to as JPMorgan Financial, the payment on</w:t>
            </w:r>
          </w:p>
        </w:tc>
        <w:tc>
          <w:tcPr>
            <w:tcW w:w="0" w:type="dxa"/>
            <w:vAlign w:val="bottom"/>
          </w:tcPr>
          <w:p>
            <w:pPr>
              <w:spacing w:after="0"/>
              <w:rPr>
                <w:sz w:val="1"/>
                <w:szCs w:val="1"/>
                <w:color w:val="auto"/>
              </w:rPr>
            </w:pPr>
          </w:p>
        </w:tc>
      </w:tr>
      <w:tr>
        <w:trPr>
          <w:trHeight w:val="64"/>
        </w:trPr>
        <w:tc>
          <w:tcPr>
            <w:tcW w:w="1920" w:type="dxa"/>
            <w:vAlign w:val="bottom"/>
            <w:vMerge w:val="restart"/>
          </w:tcPr>
          <w:p>
            <w:pPr>
              <w:ind w:left="100"/>
              <w:spacing w:after="0"/>
              <w:rPr>
                <w:sz w:val="20"/>
                <w:szCs w:val="20"/>
                <w:color w:val="auto"/>
              </w:rPr>
            </w:pPr>
            <w:r>
              <w:rPr>
                <w:rFonts w:ascii="Georgia" w:cs="Georgia" w:eastAsia="Georgia" w:hAnsi="Georgia"/>
                <w:sz w:val="14"/>
                <w:szCs w:val="14"/>
                <w:color w:val="auto"/>
              </w:rPr>
              <w:t>Ending Price:</w:t>
            </w: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The stock closing price of the Underlying Stock on</w:t>
            </w:r>
          </w:p>
        </w:tc>
        <w:tc>
          <w:tcPr>
            <w:tcW w:w="260" w:type="dxa"/>
            <w:vAlign w:val="bottom"/>
          </w:tcPr>
          <w:p>
            <w:pPr>
              <w:spacing w:after="0"/>
              <w:rPr>
                <w:sz w:val="5"/>
                <w:szCs w:val="5"/>
                <w:color w:val="auto"/>
              </w:rPr>
            </w:pPr>
          </w:p>
        </w:tc>
        <w:tc>
          <w:tcPr>
            <w:tcW w:w="5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58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color w:val="auto"/>
              </w:rPr>
              <w:t xml:space="preserve">which is fully and unconditionally guaranteed by JPMorgan Chase &amp; Co. </w:t>
            </w:r>
            <w:r>
              <w:rPr>
                <w:rFonts w:ascii="Georgia" w:cs="Georgia" w:eastAsia="Georgia" w:hAnsi="Georgia"/>
                <w:sz w:val="14"/>
                <w:szCs w:val="14"/>
                <w:b w:val="1"/>
                <w:bCs w:val="1"/>
                <w:color w:val="auto"/>
              </w:rPr>
              <w:t>Any</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3580" w:type="dxa"/>
            <w:vAlign w:val="bottom"/>
            <w:gridSpan w:val="5"/>
            <w:vMerge w:val="restart"/>
          </w:tcPr>
          <w:p>
            <w:pPr>
              <w:ind w:left="120"/>
              <w:spacing w:after="0"/>
              <w:rPr>
                <w:sz w:val="20"/>
                <w:szCs w:val="20"/>
                <w:color w:val="auto"/>
              </w:rPr>
            </w:pPr>
            <w:r>
              <w:rPr>
                <w:rFonts w:ascii="Georgia" w:cs="Georgia" w:eastAsia="Georgia" w:hAnsi="Georgia"/>
                <w:sz w:val="14"/>
                <w:szCs w:val="14"/>
                <w:color w:val="auto"/>
              </w:rPr>
              <w:t>the final calculation day</w:t>
            </w:r>
          </w:p>
        </w:tc>
        <w:tc>
          <w:tcPr>
            <w:tcW w:w="260" w:type="dxa"/>
            <w:vAlign w:val="bottom"/>
          </w:tcPr>
          <w:p>
            <w:pPr>
              <w:spacing w:after="0"/>
              <w:rPr>
                <w:sz w:val="5"/>
                <w:szCs w:val="5"/>
                <w:color w:val="auto"/>
              </w:rPr>
            </w:pPr>
          </w:p>
        </w:tc>
        <w:tc>
          <w:tcPr>
            <w:tcW w:w="5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gridSpan w:val="5"/>
            <w:vMerge w:val="continue"/>
          </w:tcPr>
          <w:p>
            <w:pPr>
              <w:spacing w:after="0"/>
              <w:rPr>
                <w:sz w:val="7"/>
                <w:szCs w:val="7"/>
                <w:color w:val="auto"/>
              </w:rPr>
            </w:pPr>
          </w:p>
        </w:tc>
        <w:tc>
          <w:tcPr>
            <w:tcW w:w="260" w:type="dxa"/>
            <w:vAlign w:val="bottom"/>
          </w:tcPr>
          <w:p>
            <w:pPr>
              <w:spacing w:after="0"/>
              <w:rPr>
                <w:sz w:val="7"/>
                <w:szCs w:val="7"/>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payment on the securities is subject to the credit risk of JPMorgan</w:t>
            </w:r>
          </w:p>
        </w:tc>
        <w:tc>
          <w:tcPr>
            <w:tcW w:w="0" w:type="dxa"/>
            <w:vAlign w:val="bottom"/>
          </w:tcPr>
          <w:p>
            <w:pPr>
              <w:spacing w:after="0"/>
              <w:rPr>
                <w:sz w:val="1"/>
                <w:szCs w:val="1"/>
                <w:color w:val="auto"/>
              </w:rPr>
            </w:pPr>
          </w:p>
        </w:tc>
      </w:tr>
      <w:tr>
        <w:trPr>
          <w:trHeight w:val="50"/>
        </w:trPr>
        <w:tc>
          <w:tcPr>
            <w:tcW w:w="1920" w:type="dxa"/>
            <w:vAlign w:val="bottom"/>
            <w:vMerge w:val="restart"/>
          </w:tcPr>
          <w:p>
            <w:pPr>
              <w:ind w:left="100"/>
              <w:spacing w:after="0" w:line="156" w:lineRule="exact"/>
              <w:rPr>
                <w:sz w:val="20"/>
                <w:szCs w:val="20"/>
                <w:color w:val="auto"/>
              </w:rPr>
            </w:pPr>
            <w:r>
              <w:rPr>
                <w:rFonts w:ascii="Georgia" w:cs="Georgia" w:eastAsia="Georgia" w:hAnsi="Georgia"/>
                <w:sz w:val="14"/>
                <w:szCs w:val="14"/>
                <w:color w:val="auto"/>
              </w:rPr>
              <w:t>Stock Return:</w:t>
            </w:r>
          </w:p>
        </w:tc>
        <w:tc>
          <w:tcPr>
            <w:tcW w:w="3580" w:type="dxa"/>
            <w:vAlign w:val="bottom"/>
            <w:gridSpan w:val="5"/>
            <w:vMerge w:val="restart"/>
          </w:tcPr>
          <w:p>
            <w:pPr>
              <w:ind w:left="120"/>
              <w:spacing w:after="0" w:line="156" w:lineRule="exact"/>
              <w:rPr>
                <w:sz w:val="20"/>
                <w:szCs w:val="20"/>
                <w:color w:val="auto"/>
              </w:rPr>
            </w:pPr>
            <w:r>
              <w:rPr>
                <w:rFonts w:ascii="Georgia" w:cs="Georgia" w:eastAsia="Georgia" w:hAnsi="Georgia"/>
                <w:sz w:val="14"/>
                <w:szCs w:val="14"/>
                <w:color w:val="auto"/>
              </w:rPr>
              <w:t>(ending price – starting price) / starting price</w:t>
            </w:r>
          </w:p>
        </w:tc>
        <w:tc>
          <w:tcPr>
            <w:tcW w:w="260" w:type="dxa"/>
            <w:vAlign w:val="bottom"/>
          </w:tcPr>
          <w:p>
            <w:pPr>
              <w:spacing w:after="0"/>
              <w:rPr>
                <w:sz w:val="4"/>
                <w:szCs w:val="4"/>
                <w:color w:val="auto"/>
              </w:rPr>
            </w:pPr>
          </w:p>
        </w:tc>
        <w:tc>
          <w:tcPr>
            <w:tcW w:w="5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920" w:type="dxa"/>
            <w:vAlign w:val="bottom"/>
            <w:tcBorders>
              <w:bottom w:val="single" w:sz="8" w:color="auto"/>
            </w:tcBorders>
            <w:vMerge w:val="continue"/>
          </w:tcPr>
          <w:p>
            <w:pPr>
              <w:spacing w:after="0"/>
              <w:rPr>
                <w:sz w:val="9"/>
                <w:szCs w:val="9"/>
                <w:color w:val="auto"/>
              </w:rPr>
            </w:pPr>
          </w:p>
        </w:tc>
        <w:tc>
          <w:tcPr>
            <w:tcW w:w="3580" w:type="dxa"/>
            <w:vAlign w:val="bottom"/>
            <w:tcBorders>
              <w:bottom w:val="single" w:sz="8" w:color="auto"/>
            </w:tcBorders>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5480" w:type="dxa"/>
            <w:vAlign w:val="bottom"/>
            <w:gridSpan w:val="7"/>
            <w:vMerge w:val="restart"/>
          </w:tcPr>
          <w:p>
            <w:pPr>
              <w:ind w:left="100"/>
              <w:spacing w:after="0"/>
              <w:rPr>
                <w:sz w:val="20"/>
                <w:szCs w:val="20"/>
                <w:color w:val="auto"/>
              </w:rPr>
            </w:pPr>
            <w:r>
              <w:rPr>
                <w:rFonts w:ascii="Georgia" w:cs="Georgia" w:eastAsia="Georgia" w:hAnsi="Georgia"/>
                <w:sz w:val="14"/>
                <w:szCs w:val="14"/>
                <w:b w:val="1"/>
                <w:bCs w:val="1"/>
                <w:color w:val="auto"/>
              </w:rPr>
              <w:t>Financial, as issuer of the securities, and the credit risk of JPMorgan</w:t>
            </w:r>
          </w:p>
        </w:tc>
        <w:tc>
          <w:tcPr>
            <w:tcW w:w="0" w:type="dxa"/>
            <w:vAlign w:val="bottom"/>
          </w:tcPr>
          <w:p>
            <w:pPr>
              <w:spacing w:after="0"/>
              <w:rPr>
                <w:sz w:val="1"/>
                <w:szCs w:val="1"/>
                <w:color w:val="auto"/>
              </w:rPr>
            </w:pPr>
          </w:p>
        </w:tc>
      </w:tr>
      <w:tr>
        <w:trPr>
          <w:trHeight w:val="37"/>
        </w:trPr>
        <w:tc>
          <w:tcPr>
            <w:tcW w:w="1920" w:type="dxa"/>
            <w:vAlign w:val="bottom"/>
            <w:vMerge w:val="restart"/>
          </w:tcPr>
          <w:p>
            <w:pPr>
              <w:ind w:left="100"/>
              <w:spacing w:after="0" w:line="156" w:lineRule="exact"/>
              <w:rPr>
                <w:sz w:val="20"/>
                <w:szCs w:val="20"/>
                <w:color w:val="auto"/>
              </w:rPr>
            </w:pPr>
            <w:r>
              <w:rPr>
                <w:rFonts w:ascii="Georgia" w:cs="Georgia" w:eastAsia="Georgia" w:hAnsi="Georgia"/>
                <w:sz w:val="14"/>
                <w:szCs w:val="14"/>
                <w:color w:val="auto"/>
              </w:rPr>
              <w:t>Threshold Price:</w:t>
            </w:r>
          </w:p>
        </w:tc>
        <w:tc>
          <w:tcPr>
            <w:tcW w:w="3580" w:type="dxa"/>
            <w:vAlign w:val="bottom"/>
            <w:gridSpan w:val="5"/>
            <w:vMerge w:val="restart"/>
          </w:tcPr>
          <w:p>
            <w:pPr>
              <w:ind w:left="120"/>
              <w:spacing w:after="0" w:line="156" w:lineRule="exact"/>
              <w:rPr>
                <w:sz w:val="20"/>
                <w:szCs w:val="20"/>
                <w:color w:val="auto"/>
              </w:rPr>
            </w:pPr>
            <w:r>
              <w:rPr>
                <w:rFonts w:ascii="Georgia" w:cs="Georgia" w:eastAsia="Georgia" w:hAnsi="Georgia"/>
                <w:sz w:val="14"/>
                <w:szCs w:val="14"/>
                <w:color w:val="auto"/>
              </w:rPr>
              <w:t>60% of the starting price</w:t>
            </w:r>
          </w:p>
        </w:tc>
        <w:tc>
          <w:tcPr>
            <w:tcW w:w="260" w:type="dxa"/>
            <w:vAlign w:val="bottom"/>
          </w:tcPr>
          <w:p>
            <w:pPr>
              <w:spacing w:after="0"/>
              <w:rPr>
                <w:sz w:val="3"/>
                <w:szCs w:val="3"/>
                <w:color w:val="auto"/>
              </w:rPr>
            </w:pPr>
          </w:p>
        </w:tc>
        <w:tc>
          <w:tcPr>
            <w:tcW w:w="54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920" w:type="dxa"/>
            <w:vAlign w:val="bottom"/>
            <w:tcBorders>
              <w:bottom w:val="single" w:sz="8" w:color="auto"/>
            </w:tcBorders>
            <w:vMerge w:val="continue"/>
          </w:tcPr>
          <w:p>
            <w:pPr>
              <w:spacing w:after="0"/>
              <w:rPr>
                <w:sz w:val="10"/>
                <w:szCs w:val="10"/>
                <w:color w:val="auto"/>
              </w:rPr>
            </w:pPr>
          </w:p>
        </w:tc>
        <w:tc>
          <w:tcPr>
            <w:tcW w:w="3580" w:type="dxa"/>
            <w:vAlign w:val="bottom"/>
            <w:tcBorders>
              <w:bottom w:val="single" w:sz="8" w:color="auto"/>
            </w:tcBorders>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5480" w:type="dxa"/>
            <w:vAlign w:val="bottom"/>
            <w:gridSpan w:val="7"/>
          </w:tcPr>
          <w:p>
            <w:pPr>
              <w:ind w:left="100"/>
              <w:spacing w:after="0" w:line="112" w:lineRule="exact"/>
              <w:rPr>
                <w:sz w:val="20"/>
                <w:szCs w:val="20"/>
                <w:color w:val="auto"/>
              </w:rPr>
            </w:pPr>
            <w:r>
              <w:rPr>
                <w:rFonts w:ascii="Georgia" w:cs="Georgia" w:eastAsia="Georgia" w:hAnsi="Georgia"/>
                <w:sz w:val="13"/>
                <w:szCs w:val="13"/>
                <w:b w:val="1"/>
                <w:bCs w:val="1"/>
                <w:color w:val="auto"/>
              </w:rPr>
              <w:t>Chase &amp; Co., as guarantor of the securities.</w:t>
            </w: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2000" w:type="dxa"/>
            <w:vAlign w:val="bottom"/>
            <w:tcBorders>
              <w:bottom w:val="single" w:sz="8" w:color="auto"/>
            </w:tcBorders>
            <w:gridSpan w:val="3"/>
          </w:tcPr>
          <w:p>
            <w:pPr>
              <w:ind w:left="120"/>
              <w:spacing w:after="0" w:line="142" w:lineRule="exact"/>
              <w:rPr>
                <w:sz w:val="20"/>
                <w:szCs w:val="20"/>
                <w:color w:val="auto"/>
              </w:rPr>
            </w:pPr>
            <w:r>
              <w:rPr>
                <w:rFonts w:ascii="Georgia" w:cs="Georgia" w:eastAsia="Georgia" w:hAnsi="Georgia"/>
                <w:sz w:val="14"/>
                <w:szCs w:val="14"/>
                <w:color w:val="auto"/>
              </w:rPr>
              <w:t>J.P. Morgan Securities LLC (“</w:t>
            </w:r>
          </w:p>
        </w:tc>
        <w:tc>
          <w:tcPr>
            <w:tcW w:w="380" w:type="dxa"/>
            <w:vAlign w:val="bottom"/>
            <w:tcBorders>
              <w:bottom w:val="single" w:sz="8" w:color="auto"/>
            </w:tcBorders>
          </w:tcPr>
          <w:p>
            <w:pPr>
              <w:spacing w:after="0" w:line="128" w:lineRule="exact"/>
              <w:rPr>
                <w:sz w:val="20"/>
                <w:szCs w:val="20"/>
                <w:color w:val="auto"/>
              </w:rPr>
            </w:pPr>
            <w:r>
              <w:rPr>
                <w:rFonts w:ascii="Georgia" w:cs="Georgia" w:eastAsia="Georgia" w:hAnsi="Georgia"/>
                <w:sz w:val="14"/>
                <w:szCs w:val="14"/>
                <w:color w:val="auto"/>
                <w:w w:val="98"/>
              </w:rPr>
              <w:t>JPMS</w:t>
            </w:r>
          </w:p>
        </w:tc>
        <w:tc>
          <w:tcPr>
            <w:tcW w:w="1200" w:type="dxa"/>
            <w:vAlign w:val="bottom"/>
            <w:tcBorders>
              <w:bottom w:val="single" w:sz="8" w:color="auto"/>
            </w:tcBorders>
          </w:tcPr>
          <w:p>
            <w:pPr>
              <w:spacing w:after="0" w:line="142" w:lineRule="exact"/>
              <w:rPr>
                <w:sz w:val="20"/>
                <w:szCs w:val="20"/>
                <w:color w:val="auto"/>
              </w:rPr>
            </w:pPr>
            <w:r>
              <w:rPr>
                <w:rFonts w:ascii="Georgia" w:cs="Georgia" w:eastAsia="Georgia" w:hAnsi="Georgia"/>
                <w:sz w:val="14"/>
                <w:szCs w:val="14"/>
                <w:color w:val="auto"/>
              </w:rPr>
              <w:t>”)</w:t>
            </w:r>
          </w:p>
        </w:tc>
        <w:tc>
          <w:tcPr>
            <w:tcW w:w="260" w:type="dxa"/>
            <w:vAlign w:val="bottom"/>
          </w:tcPr>
          <w:p>
            <w:pPr>
              <w:spacing w:after="0"/>
              <w:rPr>
                <w:sz w:val="14"/>
                <w:szCs w:val="14"/>
                <w:color w:val="auto"/>
              </w:rPr>
            </w:pPr>
          </w:p>
        </w:tc>
        <w:tc>
          <w:tcPr>
            <w:tcW w:w="5480" w:type="dxa"/>
            <w:vAlign w:val="bottom"/>
            <w:gridSpan w:val="7"/>
          </w:tcPr>
          <w:p>
            <w:pPr>
              <w:ind w:left="100"/>
              <w:spacing w:after="0" w:line="142" w:lineRule="exact"/>
              <w:rPr>
                <w:sz w:val="20"/>
                <w:szCs w:val="20"/>
                <w:color w:val="auto"/>
              </w:rPr>
            </w:pPr>
            <w:r>
              <w:rPr>
                <w:rFonts w:ascii="Georgia" w:cs="Georgia" w:eastAsia="Georgia" w:hAnsi="Georgia"/>
                <w:sz w:val="14"/>
                <w:szCs w:val="14"/>
                <w:color w:val="auto"/>
              </w:rPr>
              <w:t>If the securities priced on the date of the accompanying preliminary pricing</w:t>
            </w:r>
          </w:p>
        </w:tc>
        <w:tc>
          <w:tcPr>
            <w:tcW w:w="0" w:type="dxa"/>
            <w:vAlign w:val="bottom"/>
          </w:tcPr>
          <w:p>
            <w:pPr>
              <w:spacing w:after="0"/>
              <w:rPr>
                <w:sz w:val="1"/>
                <w:szCs w:val="1"/>
                <w:color w:val="auto"/>
              </w:rPr>
            </w:pPr>
          </w:p>
        </w:tc>
      </w:tr>
      <w:tr>
        <w:trPr>
          <w:trHeight w:val="149"/>
        </w:trPr>
        <w:tc>
          <w:tcPr>
            <w:tcW w:w="1920" w:type="dxa"/>
            <w:vAlign w:val="bottom"/>
            <w:tcBorders>
              <w:bottom w:val="single" w:sz="8" w:color="auto"/>
            </w:tcBorders>
          </w:tcPr>
          <w:p>
            <w:pPr>
              <w:ind w:left="100"/>
              <w:spacing w:after="0" w:line="149" w:lineRule="exact"/>
              <w:rPr>
                <w:sz w:val="20"/>
                <w:szCs w:val="20"/>
                <w:color w:val="auto"/>
              </w:rPr>
            </w:pPr>
            <w:r>
              <w:rPr>
                <w:rFonts w:ascii="Georgia" w:cs="Georgia" w:eastAsia="Georgia" w:hAnsi="Georgia"/>
                <w:sz w:val="14"/>
                <w:szCs w:val="14"/>
                <w:color w:val="auto"/>
              </w:rPr>
              <w:t>Denominations:</w:t>
            </w:r>
          </w:p>
        </w:tc>
        <w:tc>
          <w:tcPr>
            <w:tcW w:w="3580" w:type="dxa"/>
            <w:vAlign w:val="bottom"/>
            <w:tcBorders>
              <w:bottom w:val="single" w:sz="8" w:color="auto"/>
            </w:tcBorders>
            <w:gridSpan w:val="5"/>
          </w:tcPr>
          <w:p>
            <w:pPr>
              <w:ind w:left="120"/>
              <w:spacing w:after="0" w:line="149" w:lineRule="exact"/>
              <w:rPr>
                <w:sz w:val="20"/>
                <w:szCs w:val="20"/>
                <w:color w:val="auto"/>
              </w:rPr>
            </w:pPr>
            <w:r>
              <w:rPr>
                <w:rFonts w:ascii="Georgia" w:cs="Georgia" w:eastAsia="Georgia" w:hAnsi="Georgia"/>
                <w:sz w:val="14"/>
                <w:szCs w:val="14"/>
                <w:color w:val="auto"/>
              </w:rPr>
              <w:t>$1,000 and any integral multiple of $1,000</w:t>
            </w:r>
          </w:p>
        </w:tc>
        <w:tc>
          <w:tcPr>
            <w:tcW w:w="260" w:type="dxa"/>
            <w:vAlign w:val="bottom"/>
          </w:tcPr>
          <w:p>
            <w:pPr>
              <w:spacing w:after="0"/>
              <w:rPr>
                <w:sz w:val="12"/>
                <w:szCs w:val="12"/>
                <w:color w:val="auto"/>
              </w:rPr>
            </w:pPr>
          </w:p>
        </w:tc>
        <w:tc>
          <w:tcPr>
            <w:tcW w:w="5480" w:type="dxa"/>
            <w:vAlign w:val="bottom"/>
            <w:gridSpan w:val="7"/>
          </w:tcPr>
          <w:p>
            <w:pPr>
              <w:ind w:left="100"/>
              <w:spacing w:after="0" w:line="149" w:lineRule="exact"/>
              <w:rPr>
                <w:sz w:val="20"/>
                <w:szCs w:val="20"/>
                <w:color w:val="auto"/>
              </w:rPr>
            </w:pPr>
            <w:r>
              <w:rPr>
                <w:rFonts w:ascii="Georgia" w:cs="Georgia" w:eastAsia="Georgia" w:hAnsi="Georgia"/>
                <w:sz w:val="14"/>
                <w:szCs w:val="14"/>
                <w:color w:val="auto"/>
              </w:rPr>
              <w:t>supplement, the estimated value of the securities would be approximately $955.30</w:t>
            </w:r>
          </w:p>
        </w:tc>
        <w:tc>
          <w:tcPr>
            <w:tcW w:w="0" w:type="dxa"/>
            <w:vAlign w:val="bottom"/>
          </w:tcPr>
          <w:p>
            <w:pPr>
              <w:spacing w:after="0"/>
              <w:rPr>
                <w:sz w:val="1"/>
                <w:szCs w:val="1"/>
                <w:color w:val="auto"/>
              </w:rPr>
            </w:pPr>
          </w:p>
        </w:tc>
      </w:tr>
      <w:tr>
        <w:trPr>
          <w:trHeight w:val="159"/>
        </w:trPr>
        <w:tc>
          <w:tcPr>
            <w:tcW w:w="1920" w:type="dxa"/>
            <w:vAlign w:val="bottom"/>
          </w:tcPr>
          <w:p>
            <w:pPr>
              <w:ind w:left="100"/>
              <w:spacing w:after="0"/>
              <w:rPr>
                <w:sz w:val="20"/>
                <w:szCs w:val="20"/>
                <w:color w:val="auto"/>
              </w:rPr>
            </w:pPr>
            <w:r>
              <w:rPr>
                <w:rFonts w:ascii="Georgia" w:cs="Georgia" w:eastAsia="Georgia" w:hAnsi="Georgia"/>
                <w:sz w:val="14"/>
                <w:szCs w:val="14"/>
                <w:color w:val="auto"/>
              </w:rPr>
              <w:t>CUSIP:</w:t>
            </w:r>
          </w:p>
        </w:tc>
        <w:tc>
          <w:tcPr>
            <w:tcW w:w="3580" w:type="dxa"/>
            <w:vAlign w:val="bottom"/>
            <w:gridSpan w:val="5"/>
          </w:tcPr>
          <w:p>
            <w:pPr>
              <w:ind w:left="120"/>
              <w:spacing w:after="0"/>
              <w:rPr>
                <w:sz w:val="20"/>
                <w:szCs w:val="20"/>
                <w:color w:val="auto"/>
              </w:rPr>
            </w:pPr>
            <w:r>
              <w:rPr>
                <w:rFonts w:ascii="Georgia" w:cs="Georgia" w:eastAsia="Georgia" w:hAnsi="Georgia"/>
                <w:sz w:val="14"/>
                <w:szCs w:val="14"/>
                <w:color w:val="auto"/>
              </w:rPr>
              <w:t>48136LM71</w:t>
            </w:r>
          </w:p>
        </w:tc>
        <w:tc>
          <w:tcPr>
            <w:tcW w:w="260" w:type="dxa"/>
            <w:vAlign w:val="bottom"/>
          </w:tcPr>
          <w:p>
            <w:pPr>
              <w:spacing w:after="0"/>
              <w:rPr>
                <w:sz w:val="13"/>
                <w:szCs w:val="13"/>
                <w:color w:val="auto"/>
              </w:rPr>
            </w:pPr>
          </w:p>
        </w:tc>
        <w:tc>
          <w:tcPr>
            <w:tcW w:w="5480" w:type="dxa"/>
            <w:vAlign w:val="bottom"/>
            <w:gridSpan w:val="7"/>
          </w:tcPr>
          <w:p>
            <w:pPr>
              <w:ind w:left="100"/>
              <w:spacing w:after="0"/>
              <w:rPr>
                <w:sz w:val="20"/>
                <w:szCs w:val="20"/>
                <w:color w:val="auto"/>
              </w:rPr>
            </w:pPr>
            <w:r>
              <w:rPr>
                <w:rFonts w:ascii="Georgia" w:cs="Georgia" w:eastAsia="Georgia" w:hAnsi="Georgia"/>
                <w:sz w:val="14"/>
                <w:szCs w:val="14"/>
                <w:color w:val="auto"/>
              </w:rPr>
              <w:t>per security. The estimated value of the securities, when the terms of the securities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-5744845</wp:posOffset>
            </wp:positionV>
            <wp:extent cx="6858000" cy="5751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5751830"/>
                    </a:xfrm>
                    <a:prstGeom prst="rect">
                      <a:avLst/>
                    </a:prstGeom>
                    <a:noFill/>
                  </pic:spPr>
                </pic:pic>
              </a:graphicData>
            </a:graphic>
          </wp:anchor>
        </w:drawing>
      </w:r>
    </w:p>
    <w:p>
      <w:pPr>
        <w:ind w:left="5860"/>
        <w:spacing w:after="0"/>
        <w:rPr>
          <w:sz w:val="20"/>
          <w:szCs w:val="20"/>
          <w:color w:val="auto"/>
        </w:rPr>
      </w:pPr>
      <w:r>
        <w:rPr>
          <w:rFonts w:ascii="Georgia" w:cs="Georgia" w:eastAsia="Georgia" w:hAnsi="Georgia"/>
          <w:sz w:val="14"/>
          <w:szCs w:val="14"/>
          <w:color w:val="auto"/>
        </w:rPr>
        <w:t>are set, will be provided in the pricing supplement and will not be less than $930.00</w:t>
      </w:r>
    </w:p>
    <w:p>
      <w:pPr>
        <w:ind w:left="5860"/>
        <w:spacing w:after="0"/>
        <w:rPr>
          <w:sz w:val="20"/>
          <w:szCs w:val="20"/>
          <w:color w:val="auto"/>
        </w:rPr>
      </w:pPr>
      <w:r>
        <w:rPr>
          <w:rFonts w:ascii="Georgia" w:cs="Georgia" w:eastAsia="Georgia" w:hAnsi="Georgia"/>
          <w:sz w:val="14"/>
          <w:szCs w:val="14"/>
          <w:color w:val="auto"/>
        </w:rPr>
        <w:t>per security. See “The Estimated Value of the Securities” in the preliminary pricing</w:t>
      </w:r>
    </w:p>
    <w:p>
      <w:pPr>
        <w:spacing w:after="0" w:line="3" w:lineRule="exact"/>
        <w:rPr>
          <w:sz w:val="24"/>
          <w:szCs w:val="24"/>
          <w:color w:val="auto"/>
        </w:rPr>
      </w:pPr>
    </w:p>
    <w:p>
      <w:pPr>
        <w:ind w:left="5860"/>
        <w:spacing w:after="0"/>
        <w:rPr>
          <w:sz w:val="20"/>
          <w:szCs w:val="20"/>
          <w:color w:val="auto"/>
        </w:rPr>
      </w:pPr>
      <w:r>
        <w:rPr>
          <w:rFonts w:ascii="Georgia" w:cs="Georgia" w:eastAsia="Georgia" w:hAnsi="Georgia"/>
          <w:sz w:val="14"/>
          <w:szCs w:val="14"/>
          <w:color w:val="auto"/>
        </w:rPr>
        <w:t>supplement for additional information.</w:t>
      </w:r>
    </w:p>
    <w:p>
      <w:pPr>
        <w:spacing w:after="0" w:line="3" w:lineRule="exact"/>
        <w:rPr>
          <w:sz w:val="24"/>
          <w:szCs w:val="24"/>
          <w:color w:val="auto"/>
        </w:rPr>
      </w:pPr>
    </w:p>
    <w:p>
      <w:pPr>
        <w:ind w:left="5860"/>
        <w:spacing w:after="0"/>
        <w:rPr>
          <w:rFonts w:ascii="Georgia" w:cs="Georgia" w:eastAsia="Georgia" w:hAnsi="Georgia"/>
          <w:sz w:val="14"/>
          <w:szCs w:val="14"/>
          <w:color w:val="auto"/>
        </w:rPr>
      </w:pPr>
      <w:hyperlink r:id="rId10">
        <w:r>
          <w:rPr>
            <w:rFonts w:ascii="Georgia" w:cs="Georgia" w:eastAsia="Georgia" w:hAnsi="Georgia"/>
            <w:sz w:val="14"/>
            <w:szCs w:val="14"/>
            <w:color w:val="auto"/>
          </w:rPr>
          <w:t xml:space="preserve">Preliminary Pricing Supplement: </w:t>
        </w:r>
        <w:r>
          <w:rPr>
            <w:rFonts w:ascii="Georgia" w:cs="Georgia" w:eastAsia="Georgia" w:hAnsi="Georgia"/>
            <w:sz w:val="14"/>
            <w:szCs w:val="14"/>
            <w:u w:val="single" w:color="auto"/>
            <w:color w:val="0000EE"/>
          </w:rPr>
          <w:t>http://www.sec.gov/Archives/edgar/data/19617/</w:t>
        </w:r>
      </w:hyperlink>
    </w:p>
    <w:p>
      <w:pPr>
        <w:spacing w:after="0" w:line="3" w:lineRule="exact"/>
        <w:rPr>
          <w:sz w:val="24"/>
          <w:szCs w:val="24"/>
          <w:color w:val="auto"/>
        </w:rPr>
      </w:pPr>
    </w:p>
    <w:p>
      <w:pPr>
        <w:ind w:left="5860"/>
        <w:spacing w:after="0"/>
        <w:rPr>
          <w:rFonts w:ascii="Georgia" w:cs="Georgia" w:eastAsia="Georgia" w:hAnsi="Georgia"/>
          <w:sz w:val="14"/>
          <w:szCs w:val="14"/>
          <w:u w:val="single" w:color="auto"/>
          <w:color w:val="0000EE"/>
        </w:rPr>
      </w:pPr>
      <w:hyperlink r:id="rId10">
        <w:r>
          <w:rPr>
            <w:rFonts w:ascii="Georgia" w:cs="Georgia" w:eastAsia="Georgia" w:hAnsi="Georgia"/>
            <w:sz w:val="14"/>
            <w:szCs w:val="14"/>
            <w:u w:val="single" w:color="auto"/>
            <w:color w:val="0000EE"/>
          </w:rPr>
          <w:t>000121390025117812/ea0268390-01_424b2.htm</w:t>
        </w:r>
      </w:hyperlink>
    </w:p>
    <w:p>
      <w:pPr>
        <w:spacing w:after="0" w:line="3" w:lineRule="exact"/>
        <w:rPr>
          <w:sz w:val="24"/>
          <w:szCs w:val="24"/>
          <w:color w:val="auto"/>
        </w:rPr>
      </w:pPr>
    </w:p>
    <w:p>
      <w:pPr>
        <w:ind w:right="20"/>
        <w:spacing w:after="0" w:line="244"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right="40" w:hanging="315"/>
        <w:spacing w:after="0" w:line="25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Is Less Than the Threshold Price, You Will Lose More Than 40%,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20" w:right="100" w:hanging="315"/>
        <w:spacing w:after="0" w:line="257"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the Underlying Stock.</w:t>
      </w:r>
    </w:p>
    <w:p>
      <w:pPr>
        <w:spacing w:after="0" w:line="32"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0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58"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46"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220" w:hanging="319"/>
        <w:spacing w:after="0" w:line="257"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319" w:right="96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319" w:right="120" w:hanging="319"/>
        <w:spacing w:after="0" w:line="25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19" w:right="5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the Underlying Stock Issuer</w:t>
      </w:r>
    </w:p>
    <w:p>
      <w:pPr>
        <w:spacing w:after="0" w:line="60" w:lineRule="exact"/>
        <w:rPr>
          <w:rFonts w:ascii="Times New Roman" w:cs="Times New Roman" w:eastAsia="Times New Roman" w:hAnsi="Times New Roman"/>
          <w:sz w:val="16"/>
          <w:szCs w:val="16"/>
          <w:color w:val="auto"/>
        </w:rPr>
      </w:pPr>
    </w:p>
    <w:p>
      <w:pPr>
        <w:ind w:left="319" w:right="92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15" w:lineRule="exact"/>
        <w:rPr>
          <w:rFonts w:ascii="Times New Roman" w:cs="Times New Roman" w:eastAsia="Times New Roman" w:hAnsi="Times New Roman"/>
          <w:sz w:val="16"/>
          <w:szCs w:val="16"/>
          <w:color w:val="auto"/>
        </w:rPr>
      </w:pPr>
    </w:p>
    <w:p>
      <w:pPr>
        <w:ind w:left="319" w:right="300" w:hanging="319"/>
        <w:spacing w:after="0" w:line="253"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spacing w:after="0" w:line="1639"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0" Type="http://schemas.openxmlformats.org/officeDocument/2006/relationships/hyperlink" Target="https://www.sec.gov/Archives/edgar/data/19617/000121390025117812/ea0268390-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2025-12-04T05:10:58Z</dcterms:created>
  <dcterms:modified xsi:type="dcterms:W3CDTF">2025-12-04T05:10:58Z</dcterms:modified>
</cp:coreProperties>
</file>