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2291-01_fwp.htm"/>
      <w:bookmarkStart w:id="1" w:name="ksea0302291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August 14,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1-Year PLTR Contingent Income Auto-Callable Securities</w:t>
      </w:r>
    </w:p>
    <w:p>
      <w:pPr>
        <w:pStyle w:val="TextBody"/>
        <w:bidi w:val="0"/>
        <w:ind w:left="86" w:right="0" w:hanging="0"/>
        <w:jc w:val="left"/>
        <w:rPr>
          <w:rFonts w:ascii="Arial;Helvetica;Sans-Serif" w:hAnsi="Arial;Helvetica;Sans-Serif"/>
          <w:b/>
          <w:i/>
          <w:caps w:val="false"/>
          <w:smallCaps w:val="false"/>
          <w:sz w:val="17"/>
        </w:rPr>
      </w:pPr>
      <w:r>
        <w:rPr>
          <w:rFonts w:ascii="Arial;Helvetica;Sans-Serif" w:hAnsi="Arial;Helvetica;Sans-Serif"/>
          <w:b/>
          <w:i/>
          <w:caps w:val="false"/>
          <w:smallCaps w:val="false"/>
          <w:sz w:val="17"/>
        </w:rPr>
        <w:t>This document provides a summary of the terms of the securities. Investors must carefully review the accompanying preliminary pricing supplement referenced below, product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7081520"/>
                <wp:effectExtent l="0" t="0" r="0" b="0"/>
                <wp:wrapSquare wrapText="right"/>
                <wp:docPr id="1" name="Frame1"/>
                <a:graphic xmlns:a="http://schemas.openxmlformats.org/drawingml/2006/main">
                  <a:graphicData uri="http://schemas.microsoft.com/office/word/2010/wordprocessingShape">
                    <wps:wsp>
                      <wps:cNvSpPr txBox="1"/>
                      <wps:spPr>
                        <a:xfrm>
                          <a:off x="0" y="0"/>
                          <a:ext cx="3175000" cy="708152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362"/>
                              <w:gridCol w:w="8843"/>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SUMMARY TERMS</w:t>
                                  </w:r>
                                </w:p>
                              </w:tc>
                            </w:tr>
                            <w:tr>
                              <w:trPr/>
                              <w:tc>
                                <w:tcPr>
                                  <w:tcW w:w="1362"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843"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36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843" w:type="dxa"/>
                                  <w:tcBorders/>
                                  <w:shd w:fill="DCEBF4" w:val="clear"/>
                                  <w:vAlign w:val="center"/>
                                </w:tcPr>
                                <w:p>
                                  <w:pPr>
                                    <w:pStyle w:val="TableContents"/>
                                    <w:bidi w:val="0"/>
                                    <w:spacing w:before="0" w:after="283"/>
                                    <w:jc w:val="left"/>
                                    <w:rPr>
                                      <w:sz w:val="16"/>
                                    </w:rPr>
                                  </w:pPr>
                                  <w:r>
                                    <w:rPr>
                                      <w:sz w:val="16"/>
                                    </w:rPr>
                                    <w:t>JPMorgan Chase &amp; Co.</w:t>
                                  </w:r>
                                </w:p>
                              </w:tc>
                            </w:tr>
                            <w:tr>
                              <w:trPr/>
                              <w:tc>
                                <w:tcPr>
                                  <w:tcW w:w="136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stock: </w:t>
                                  </w:r>
                                </w:p>
                              </w:tc>
                              <w:tc>
                                <w:tcPr>
                                  <w:tcW w:w="8843" w:type="dxa"/>
                                  <w:tcBorders/>
                                  <w:vAlign w:val="center"/>
                                </w:tcPr>
                                <w:p>
                                  <w:pPr>
                                    <w:pStyle w:val="TableContents"/>
                                    <w:bidi w:val="0"/>
                                    <w:spacing w:before="0" w:after="283"/>
                                    <w:jc w:val="left"/>
                                    <w:rPr>
                                      <w:sz w:val="16"/>
                                    </w:rPr>
                                  </w:pPr>
                                  <w:r>
                                    <w:rPr>
                                      <w:sz w:val="16"/>
                                    </w:rPr>
                                    <w:t>Class A common stock of Palantir Technologies Inc. (Bloomberg ticker: PLTR UW Equity)  </w:t>
                                  </w:r>
                                </w:p>
                              </w:tc>
                            </w:tr>
                            <w:tr>
                              <w:trPr/>
                              <w:tc>
                                <w:tcPr>
                                  <w:tcW w:w="136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w:t>
                                  </w:r>
                                </w:p>
                              </w:tc>
                              <w:tc>
                                <w:tcPr>
                                  <w:tcW w:w="8843" w:type="dxa"/>
                                  <w:tcBorders/>
                                  <w:shd w:fill="DCEBF4" w:val="clear"/>
                                  <w:vAlign w:val="center"/>
                                </w:tcPr>
                                <w:p>
                                  <w:pPr>
                                    <w:pStyle w:val="TableContents"/>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on any determination date (other than the final determination date), the closing price of the underlying stock is </w:t>
                                  </w:r>
                                  <w:r>
                                    <w:rPr>
                                      <w:rFonts w:ascii="Arial;Helvetica;Sans-Serif" w:hAnsi="Arial;Helvetica;Sans-Serif"/>
                                      <w:b/>
                                      <w:i w:val="false"/>
                                      <w:caps w:val="false"/>
                                      <w:smallCaps w:val="false"/>
                                      <w:sz w:val="16"/>
                                    </w:rPr>
                                    <w:t xml:space="preserve">greater than or equal to </w:t>
                                  </w:r>
                                  <w:r>
                                    <w:rPr>
                                      <w:rFonts w:ascii="Arial;Helvetica;Sans-Serif" w:hAnsi="Arial;Helvetica;Sans-Serif"/>
                                      <w:b w:val="false"/>
                                      <w:i w:val="false"/>
                                      <w:caps w:val="false"/>
                                      <w:smallCaps w:val="false"/>
                                      <w:sz w:val="16"/>
                                    </w:rPr>
                                    <w:t>the initial stock price, the securities will be automatically redeemed for an early redemption payment on the first contingent payment date immediately following the related determination date. No further payments will be made on the securities once they have been redeemed.</w:t>
                                  </w:r>
                                </w:p>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The securities will not be redeemed early on any contingent payment date if the closing price of the underlying stock is below the initial stock price on the related determination date.</w:t>
                                  </w:r>
                                </w:p>
                              </w:tc>
                            </w:tr>
                            <w:tr>
                              <w:trPr/>
                              <w:tc>
                                <w:tcPr>
                                  <w:tcW w:w="136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 payment:</w:t>
                                  </w:r>
                                </w:p>
                              </w:tc>
                              <w:tc>
                                <w:tcPr>
                                  <w:tcW w:w="8843" w:type="dxa"/>
                                  <w:tcBorders/>
                                  <w:vAlign w:val="center"/>
                                </w:tcPr>
                                <w:p>
                                  <w:pPr>
                                    <w:pStyle w:val="TableContents"/>
                                    <w:bidi w:val="0"/>
                                    <w:spacing w:before="0" w:after="283"/>
                                    <w:jc w:val="left"/>
                                    <w:rPr>
                                      <w:sz w:val="16"/>
                                    </w:rPr>
                                  </w:pPr>
                                  <w:r>
                                    <w:rPr>
                                      <w:sz w:val="16"/>
                                    </w:rPr>
                                    <w:t xml:space="preserve">The early redemption payment will be an amount equal to (i) the stated principal amount </w:t>
                                  </w:r>
                                  <w:r>
                                    <w:rPr>
                                      <w:i/>
                                      <w:sz w:val="16"/>
                                    </w:rPr>
                                    <w:t>plus</w:t>
                                  </w:r>
                                  <w:r>
                                    <w:rPr>
                                      <w:sz w:val="16"/>
                                    </w:rPr>
                                    <w:t xml:space="preserve"> (ii) the contingent quarterly payment with respect to the related determination date </w:t>
                                  </w:r>
                                  <w:r>
                                    <w:rPr>
                                      <w:i/>
                                      <w:sz w:val="16"/>
                                    </w:rPr>
                                    <w:t>plus</w:t>
                                  </w:r>
                                  <w:r>
                                    <w:rPr>
                                      <w:sz w:val="16"/>
                                    </w:rPr>
                                    <w:t xml:space="preserve"> (iii) any previously unpaid contingent  quarterly payments with respect to any prior determination dates.</w:t>
                                  </w:r>
                                </w:p>
                              </w:tc>
                            </w:tr>
                            <w:tr>
                              <w:trPr/>
                              <w:tc>
                                <w:tcPr>
                                  <w:tcW w:w="136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quarterly payment:</w:t>
                                  </w:r>
                                </w:p>
                              </w:tc>
                              <w:tc>
                                <w:tcPr>
                                  <w:tcW w:w="8843" w:type="dxa"/>
                                  <w:tcBorders/>
                                  <w:shd w:fill="DCEBF4" w:val="clear"/>
                                  <w:vAlign w:val="center"/>
                                </w:tcPr>
                                <w:p>
                                  <w:pPr>
                                    <w:pStyle w:val="TableContents"/>
                                    <w:bidi w:val="0"/>
                                    <w:ind w:left="169" w:right="0" w:hanging="169"/>
                                    <w:jc w:val="left"/>
                                    <w:rPr>
                                      <w:rFonts w:ascii="Arial;Helvetica;Sans-Serif" w:hAnsi="Arial;Helvetica;Sans-Serif"/>
                                      <w:b w:val="false"/>
                                      <w:i w:val="false"/>
                                      <w:caps w:val="false"/>
                                      <w:smallCaps w:val="false"/>
                                      <w:sz w:val="24"/>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24"/>
                                    </w:rPr>
                                    <w:t>  </w:t>
                                  </w:r>
                                  <w:r>
                                    <w:rPr>
                                      <w:rFonts w:ascii="Arial;Helvetica;Sans-Serif" w:hAnsi="Arial;Helvetica;Sans-Serif"/>
                                      <w:b w:val="false"/>
                                      <w:i w:val="false"/>
                                      <w:caps w:val="false"/>
                                      <w:smallCaps w:val="false"/>
                                      <w:sz w:val="16"/>
                                    </w:rPr>
                                    <w:t xml:space="preserve">If, on any determination date, the closing price of the underlying stock is greater than or equal to the downside threshold level, we will pay a contingent quarterly payment of at least $38.125 (at least 3.8125% of the stated principal amount) per security on the related contingent payment date </w:t>
                                  </w:r>
                                  <w:r>
                                    <w:rPr>
                                      <w:rFonts w:ascii="Arial;Helvetica;Sans-Serif" w:hAnsi="Arial;Helvetica;Sans-Serif"/>
                                      <w:b w:val="false"/>
                                      <w:i/>
                                      <w:caps w:val="false"/>
                                      <w:smallCaps w:val="false"/>
                                      <w:sz w:val="16"/>
                                    </w:rPr>
                                    <w:t>plus</w:t>
                                  </w:r>
                                  <w:r>
                                    <w:rPr>
                                      <w:rFonts w:ascii="Arial;Helvetica;Sans-Serif" w:hAnsi="Arial;Helvetica;Sans-Serif"/>
                                      <w:b w:val="false"/>
                                      <w:i w:val="false"/>
                                      <w:caps w:val="false"/>
                                      <w:smallCaps w:val="false"/>
                                      <w:sz w:val="16"/>
                                    </w:rPr>
                                    <w:t xml:space="preserve"> any previously unpaid contingent quarterly payments with respect to any prior determination dates. The actual contingent quarterly payment will be provided in the pricing supplement. </w:t>
                                  </w:r>
                                  <w:r>
                                    <w:rPr>
                                      <w:rFonts w:ascii="Arial;Helvetica;Sans-Serif" w:hAnsi="Arial;Helvetica;Sans-Serif"/>
                                      <w:b/>
                                      <w:i w:val="false"/>
                                      <w:caps w:val="false"/>
                                      <w:smallCaps w:val="false"/>
                                      <w:sz w:val="16"/>
                                    </w:rPr>
                                    <w:t xml:space="preserve">However, even if any unpaid contingent quarterly payment is payable on a later contingent payment date, no additional interest will accrue or be payable in respect of that unpaid contingent quarterly payment. </w:t>
                                  </w:r>
                                </w:p>
                                <w:p>
                                  <w:pPr>
                                    <w:pStyle w:val="TableContents"/>
                                    <w:bidi w:val="0"/>
                                    <w:spacing w:before="0" w:after="0"/>
                                    <w:ind w:left="147" w:right="0" w:hanging="147"/>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17"/>
                                    </w:rPr>
                                    <w:t>  </w:t>
                                  </w:r>
                                  <w:r>
                                    <w:rPr>
                                      <w:rFonts w:ascii="Arial;Helvetica;Sans-Serif" w:hAnsi="Arial;Helvetica;Sans-Serif"/>
                                      <w:b w:val="false"/>
                                      <w:i w:val="false"/>
                                      <w:caps w:val="false"/>
                                      <w:smallCaps w:val="false"/>
                                      <w:sz w:val="16"/>
                                    </w:rPr>
                                    <w:t xml:space="preserve">If, on any determination date, the closing price of the underlying stock is less than the downside threshold level, no contingent quarterly payment will be made with respect to that determination date. </w:t>
                                  </w:r>
                                  <w:r>
                                    <w:rPr>
                                      <w:rFonts w:ascii="Arial;Helvetica;Sans-Serif" w:hAnsi="Arial;Helvetica;Sans-Serif"/>
                                      <w:b/>
                                      <w:i w:val="false"/>
                                      <w:caps w:val="false"/>
                                      <w:smallCaps w:val="false"/>
                                      <w:sz w:val="16"/>
                                    </w:rPr>
                                    <w:t>It is possible that the closing price of the underlying stock will be below the downside threshold level on most or all of the determination dates so that you will receive few or no contingent quarterly payments.</w:t>
                                  </w:r>
                                </w:p>
                              </w:tc>
                            </w:tr>
                            <w:tr>
                              <w:trPr/>
                              <w:tc>
                                <w:tcPr>
                                  <w:tcW w:w="136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843" w:type="dxa"/>
                                  <w:tcBorders/>
                                  <w:vAlign w:val="center"/>
                                </w:tcPr>
                                <w:p>
                                  <w:pPr>
                                    <w:pStyle w:val="TableContents"/>
                                    <w:bidi w:val="0"/>
                                    <w:spacing w:before="0" w:after="283"/>
                                    <w:jc w:val="left"/>
                                    <w:rPr>
                                      <w:sz w:val="16"/>
                                    </w:rPr>
                                  </w:pPr>
                                  <w:r>
                                    <w:rPr>
                                      <w:sz w:val="16"/>
                                    </w:rPr>
                                    <w:t>November 23, 2026, February 22, 2027, May 21, 2027 and August 23, 2027</w:t>
                                  </w:r>
                                </w:p>
                              </w:tc>
                            </w:tr>
                            <w:tr>
                              <w:trPr/>
                              <w:tc>
                                <w:tcPr>
                                  <w:tcW w:w="136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843" w:type="dxa"/>
                                  <w:tcBorders/>
                                  <w:shd w:fill="DCEBF4" w:val="clear"/>
                                  <w:vAlign w:val="center"/>
                                </w:tcPr>
                                <w:p>
                                  <w:pPr>
                                    <w:pStyle w:val="TableContents"/>
                                    <w:bidi w:val="0"/>
                                    <w:spacing w:before="0" w:after="283"/>
                                    <w:jc w:val="left"/>
                                    <w:rPr>
                                      <w:sz w:val="16"/>
                                    </w:rPr>
                                  </w:pPr>
                                  <w:r>
                                    <w:rPr>
                                      <w:sz w:val="16"/>
                                    </w:rPr>
                                    <w:t>November 27, 2026, February 25, 2027, May 26, 2027 and the maturity date</w:t>
                                  </w:r>
                                </w:p>
                              </w:tc>
                            </w:tr>
                          </w:tbl>
                          <w:tbl>
                            <w:tblPr>
                              <w:tblW w:w="10205" w:type="dxa"/>
                              <w:jc w:val="left"/>
                              <w:tblInd w:w="0" w:type="dxa"/>
                              <w:tblLayout w:type="fixed"/>
                              <w:tblCellMar>
                                <w:top w:w="0" w:type="dxa"/>
                                <w:left w:w="0" w:type="dxa"/>
                                <w:bottom w:w="0" w:type="dxa"/>
                                <w:right w:w="0" w:type="dxa"/>
                              </w:tblCellMar>
                            </w:tblPr>
                            <w:tblGrid>
                              <w:gridCol w:w="1001"/>
                              <w:gridCol w:w="2612"/>
                              <w:gridCol w:w="6592"/>
                            </w:tblGrid>
                            <w:tr>
                              <w:trPr/>
                              <w:tc>
                                <w:tcPr>
                                  <w:tcW w:w="1001" w:type="dxa"/>
                                  <w:tcBorders/>
                                  <w:vAlign w:val="center"/>
                                </w:tcPr>
                                <w:p>
                                  <w:pPr>
                                    <w:pStyle w:val="TableContents"/>
                                    <w:bidi w:val="0"/>
                                    <w:spacing w:before="0" w:after="283"/>
                                    <w:ind w:left="0" w:right="0" w:hanging="147"/>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2612" w:type="dxa"/>
                                  <w:tcBorders/>
                                  <w:vAlign w:val="center"/>
                                </w:tcPr>
                                <w:p>
                                  <w:pPr>
                                    <w:pStyle w:val="TableContents"/>
                                    <w:bidi w:val="0"/>
                                    <w:spacing w:before="0" w:after="283"/>
                                    <w:jc w:val="left"/>
                                    <w:rPr>
                                      <w:sz w:val="17"/>
                                    </w:rPr>
                                  </w:pPr>
                                  <w:r>
                                    <w:rPr>
                                      <w:rFonts w:ascii="Symbol" w:hAnsi="Symbol"/>
                                      <w:sz w:val="16"/>
                                    </w:rPr>
                                    <w:t>·</w:t>
                                  </w:r>
                                  <w:r>
                                    <w:rPr>
                                      <w:sz w:val="17"/>
                                    </w:rPr>
                                    <w:t>  </w:t>
                                  </w:r>
                                  <w:r>
                                    <w:rPr>
                                      <w:sz w:val="16"/>
                                    </w:rPr>
                                    <w:t xml:space="preserve">If the final stock price is </w:t>
                                  </w:r>
                                  <w:r>
                                    <w:rPr>
                                      <w:b/>
                                      <w:sz w:val="16"/>
                                    </w:rPr>
                                    <w:t>greater than or equal to</w:t>
                                  </w:r>
                                  <w:r>
                                    <w:rPr>
                                      <w:sz w:val="16"/>
                                    </w:rPr>
                                    <w:t xml:space="preserve"> the downside threshold level:</w:t>
                                  </w:r>
                                </w:p>
                              </w:tc>
                              <w:tc>
                                <w:tcPr>
                                  <w:tcW w:w="6592" w:type="dxa"/>
                                  <w:tcBorders/>
                                  <w:vAlign w:val="center"/>
                                </w:tcPr>
                                <w:p>
                                  <w:pPr>
                                    <w:pStyle w:val="TableContents"/>
                                    <w:bidi w:val="0"/>
                                    <w:spacing w:before="0" w:after="283"/>
                                    <w:jc w:val="left"/>
                                    <w:rPr>
                                      <w:sz w:val="16"/>
                                    </w:rPr>
                                  </w:pPr>
                                  <w:r>
                                    <w:rPr>
                                      <w:sz w:val="16"/>
                                    </w:rPr>
                                    <w:t xml:space="preserve">(i) the stated principal amount </w:t>
                                  </w:r>
                                  <w:r>
                                    <w:rPr>
                                      <w:i/>
                                      <w:sz w:val="16"/>
                                    </w:rPr>
                                    <w:t>plus</w:t>
                                  </w:r>
                                  <w:r>
                                    <w:rPr>
                                      <w:sz w:val="16"/>
                                    </w:rPr>
                                    <w:t xml:space="preserve"> (ii) the contingent quarterly payment with respect to the final determination date </w:t>
                                  </w:r>
                                  <w:r>
                                    <w:rPr>
                                      <w:i/>
                                      <w:sz w:val="16"/>
                                    </w:rPr>
                                    <w:t>plus</w:t>
                                  </w:r>
                                  <w:r>
                                    <w:rPr>
                                      <w:sz w:val="16"/>
                                    </w:rPr>
                                    <w:t xml:space="preserve"> (iii) any previously unpaid contingent quarterly payments with respect to any prior determination dates.</w:t>
                                  </w:r>
                                </w:p>
                              </w:tc>
                            </w:tr>
                            <w:tr>
                              <w:trPr/>
                              <w:tc>
                                <w:tcPr>
                                  <w:tcW w:w="1001" w:type="dxa"/>
                                  <w:tcBorders/>
                                  <w:vAlign w:val="center"/>
                                </w:tcPr>
                                <w:p>
                                  <w:pPr>
                                    <w:pStyle w:val="TableContents"/>
                                    <w:bidi w:val="0"/>
                                    <w:spacing w:before="0" w:after="283"/>
                                    <w:ind w:left="0" w:right="0" w:hanging="147"/>
                                    <w:jc w:val="left"/>
                                    <w:rPr>
                                      <w:color w:val="296DC1"/>
                                    </w:rPr>
                                  </w:pPr>
                                  <w:r>
                                    <w:rPr>
                                      <w:color w:val="296DC1"/>
                                    </w:rPr>
                                    <w:t> </w:t>
                                  </w:r>
                                </w:p>
                              </w:tc>
                              <w:tc>
                                <w:tcPr>
                                  <w:tcW w:w="2612" w:type="dxa"/>
                                  <w:tcBorders/>
                                  <w:vAlign w:val="center"/>
                                </w:tcPr>
                                <w:p>
                                  <w:pPr>
                                    <w:pStyle w:val="TableContents"/>
                                    <w:bidi w:val="0"/>
                                    <w:spacing w:before="0" w:after="283"/>
                                    <w:jc w:val="left"/>
                                    <w:rPr>
                                      <w:sz w:val="17"/>
                                    </w:rPr>
                                  </w:pPr>
                                  <w:r>
                                    <w:rPr>
                                      <w:rFonts w:ascii="Symbol" w:hAnsi="Symbol"/>
                                      <w:sz w:val="16"/>
                                    </w:rPr>
                                    <w:t>·</w:t>
                                  </w:r>
                                  <w:r>
                                    <w:rPr>
                                      <w:sz w:val="17"/>
                                    </w:rPr>
                                    <w:t>  </w:t>
                                  </w:r>
                                  <w:r>
                                    <w:rPr>
                                      <w:sz w:val="16"/>
                                    </w:rPr>
                                    <w:t xml:space="preserve">If the final stock price is </w:t>
                                  </w:r>
                                  <w:r>
                                    <w:rPr>
                                      <w:b/>
                                      <w:sz w:val="16"/>
                                    </w:rPr>
                                    <w:t>less than</w:t>
                                  </w:r>
                                  <w:r>
                                    <w:rPr>
                                      <w:sz w:val="16"/>
                                    </w:rPr>
                                    <w:t xml:space="preserve"> the downside threshold level:</w:t>
                                  </w:r>
                                </w:p>
                              </w:tc>
                              <w:tc>
                                <w:tcPr>
                                  <w:tcW w:w="6592" w:type="dxa"/>
                                  <w:tcBorders/>
                                  <w:vAlign w:val="center"/>
                                </w:tcPr>
                                <w:p>
                                  <w:pPr>
                                    <w:pStyle w:val="TableContents"/>
                                    <w:bidi w:val="0"/>
                                    <w:spacing w:before="0" w:after="283"/>
                                    <w:jc w:val="left"/>
                                    <w:rPr>
                                      <w:sz w:val="16"/>
                                    </w:rPr>
                                  </w:pPr>
                                  <w:r>
                                    <w:rPr>
                                      <w:sz w:val="16"/>
                                    </w:rPr>
                                    <w:t xml:space="preserve">(i) the stated principal amount </w:t>
                                  </w:r>
                                  <w:r>
                                    <w:rPr>
                                      <w:i/>
                                      <w:sz w:val="16"/>
                                    </w:rPr>
                                    <w:t>times</w:t>
                                  </w:r>
                                  <w:r>
                                    <w:rPr>
                                      <w:sz w:val="16"/>
                                    </w:rPr>
                                    <w:t xml:space="preserve"> (ii) the stock performance factor.  This cash payment will be less than 50% of the stated principal amount of the securities and could be zero.</w:t>
                                  </w:r>
                                </w:p>
                              </w:tc>
                            </w:tr>
                          </w:tbl>
                          <w:tbl>
                            <w:tblPr>
                              <w:tblW w:w="7180" w:type="dxa"/>
                              <w:jc w:val="left"/>
                              <w:tblInd w:w="0" w:type="dxa"/>
                              <w:tblLayout w:type="fixed"/>
                              <w:tblCellMar>
                                <w:top w:w="0" w:type="dxa"/>
                                <w:left w:w="0" w:type="dxa"/>
                                <w:bottom w:w="0" w:type="dxa"/>
                                <w:right w:w="0" w:type="dxa"/>
                              </w:tblCellMar>
                            </w:tblPr>
                            <w:tblGrid>
                              <w:gridCol w:w="2105"/>
                              <w:gridCol w:w="5075"/>
                            </w:tblGrid>
                            <w:tr>
                              <w:trPr/>
                              <w:tc>
                                <w:tcPr>
                                  <w:tcW w:w="210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5075" w:type="dxa"/>
                                  <w:tcBorders/>
                                  <w:shd w:fill="DCEBF4" w:val="clear"/>
                                  <w:vAlign w:val="center"/>
                                </w:tcPr>
                                <w:p>
                                  <w:pPr>
                                    <w:pStyle w:val="TableContents"/>
                                    <w:bidi w:val="0"/>
                                    <w:spacing w:before="0" w:after="283"/>
                                    <w:jc w:val="left"/>
                                    <w:rPr>
                                      <w:sz w:val="16"/>
                                    </w:rPr>
                                  </w:pPr>
                                  <w:r>
                                    <w:rPr>
                                      <w:sz w:val="16"/>
                                    </w:rPr>
                                    <w:t xml:space="preserve">50% of the initial stock price </w:t>
                                  </w:r>
                                </w:p>
                              </w:tc>
                            </w:tr>
                            <w:tr>
                              <w:trPr/>
                              <w:tc>
                                <w:tcPr>
                                  <w:tcW w:w="210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stock price:</w:t>
                                  </w:r>
                                </w:p>
                              </w:tc>
                              <w:tc>
                                <w:tcPr>
                                  <w:tcW w:w="5075" w:type="dxa"/>
                                  <w:tcBorders/>
                                  <w:vAlign w:val="center"/>
                                </w:tcPr>
                                <w:p>
                                  <w:pPr>
                                    <w:pStyle w:val="TableContents"/>
                                    <w:bidi w:val="0"/>
                                    <w:spacing w:before="0" w:after="283"/>
                                    <w:jc w:val="left"/>
                                    <w:rPr>
                                      <w:sz w:val="16"/>
                                    </w:rPr>
                                  </w:pPr>
                                  <w:r>
                                    <w:rPr>
                                      <w:sz w:val="16"/>
                                    </w:rPr>
                                    <w:t>The closing price of the underlying stock on the pricing date</w:t>
                                  </w:r>
                                </w:p>
                              </w:tc>
                            </w:tr>
                            <w:tr>
                              <w:trPr/>
                              <w:tc>
                                <w:tcPr>
                                  <w:tcW w:w="210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stock price:</w:t>
                                  </w:r>
                                </w:p>
                              </w:tc>
                              <w:tc>
                                <w:tcPr>
                                  <w:tcW w:w="5075" w:type="dxa"/>
                                  <w:tcBorders/>
                                  <w:shd w:fill="DCEBF4" w:val="clear"/>
                                  <w:vAlign w:val="center"/>
                                </w:tcPr>
                                <w:p>
                                  <w:pPr>
                                    <w:pStyle w:val="TableContents"/>
                                    <w:bidi w:val="0"/>
                                    <w:spacing w:before="0" w:after="283"/>
                                    <w:jc w:val="left"/>
                                    <w:rPr>
                                      <w:sz w:val="16"/>
                                    </w:rPr>
                                  </w:pPr>
                                  <w:r>
                                    <w:rPr>
                                      <w:sz w:val="16"/>
                                    </w:rPr>
                                    <w:t>The closing price of the underlying stock on the final determination date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57.6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362"/>
                        <w:gridCol w:w="8843"/>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SUMMARY TERMS</w:t>
                            </w:r>
                          </w:p>
                        </w:tc>
                      </w:tr>
                      <w:tr>
                        <w:trPr/>
                        <w:tc>
                          <w:tcPr>
                            <w:tcW w:w="1362"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843"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36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843" w:type="dxa"/>
                            <w:tcBorders/>
                            <w:shd w:fill="DCEBF4" w:val="clear"/>
                            <w:vAlign w:val="center"/>
                          </w:tcPr>
                          <w:p>
                            <w:pPr>
                              <w:pStyle w:val="TableContents"/>
                              <w:bidi w:val="0"/>
                              <w:spacing w:before="0" w:after="283"/>
                              <w:jc w:val="left"/>
                              <w:rPr>
                                <w:sz w:val="16"/>
                              </w:rPr>
                            </w:pPr>
                            <w:r>
                              <w:rPr>
                                <w:sz w:val="16"/>
                              </w:rPr>
                              <w:t>JPMorgan Chase &amp; Co.</w:t>
                            </w:r>
                          </w:p>
                        </w:tc>
                      </w:tr>
                      <w:tr>
                        <w:trPr/>
                        <w:tc>
                          <w:tcPr>
                            <w:tcW w:w="136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stock: </w:t>
                            </w:r>
                          </w:p>
                        </w:tc>
                        <w:tc>
                          <w:tcPr>
                            <w:tcW w:w="8843" w:type="dxa"/>
                            <w:tcBorders/>
                            <w:vAlign w:val="center"/>
                          </w:tcPr>
                          <w:p>
                            <w:pPr>
                              <w:pStyle w:val="TableContents"/>
                              <w:bidi w:val="0"/>
                              <w:spacing w:before="0" w:after="283"/>
                              <w:jc w:val="left"/>
                              <w:rPr>
                                <w:sz w:val="16"/>
                              </w:rPr>
                            </w:pPr>
                            <w:r>
                              <w:rPr>
                                <w:sz w:val="16"/>
                              </w:rPr>
                              <w:t>Class A common stock of Palantir Technologies Inc. (Bloomberg ticker: PLTR UW Equity)  </w:t>
                            </w:r>
                          </w:p>
                        </w:tc>
                      </w:tr>
                      <w:tr>
                        <w:trPr/>
                        <w:tc>
                          <w:tcPr>
                            <w:tcW w:w="136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w:t>
                            </w:r>
                          </w:p>
                        </w:tc>
                        <w:tc>
                          <w:tcPr>
                            <w:tcW w:w="8843" w:type="dxa"/>
                            <w:tcBorders/>
                            <w:shd w:fill="DCEBF4" w:val="clear"/>
                            <w:vAlign w:val="center"/>
                          </w:tcPr>
                          <w:p>
                            <w:pPr>
                              <w:pStyle w:val="TableContents"/>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If, on any determination date (other than the final determination date), the closing price of the underlying stock is </w:t>
                            </w:r>
                            <w:r>
                              <w:rPr>
                                <w:rFonts w:ascii="Arial;Helvetica;Sans-Serif" w:hAnsi="Arial;Helvetica;Sans-Serif"/>
                                <w:b/>
                                <w:i w:val="false"/>
                                <w:caps w:val="false"/>
                                <w:smallCaps w:val="false"/>
                                <w:sz w:val="16"/>
                              </w:rPr>
                              <w:t xml:space="preserve">greater than or equal to </w:t>
                            </w:r>
                            <w:r>
                              <w:rPr>
                                <w:rFonts w:ascii="Arial;Helvetica;Sans-Serif" w:hAnsi="Arial;Helvetica;Sans-Serif"/>
                                <w:b w:val="false"/>
                                <w:i w:val="false"/>
                                <w:caps w:val="false"/>
                                <w:smallCaps w:val="false"/>
                                <w:sz w:val="16"/>
                              </w:rPr>
                              <w:t>the initial stock price, the securities will be automatically redeemed for an early redemption payment on the first contingent payment date immediately following the related determination date. No further payments will be made on the securities once they have been redeemed.</w:t>
                            </w:r>
                          </w:p>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The securities will not be redeemed early on any contingent payment date if the closing price of the underlying stock is below the initial stock price on the related determination date.</w:t>
                            </w:r>
                          </w:p>
                        </w:tc>
                      </w:tr>
                      <w:tr>
                        <w:trPr/>
                        <w:tc>
                          <w:tcPr>
                            <w:tcW w:w="136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 payment:</w:t>
                            </w:r>
                          </w:p>
                        </w:tc>
                        <w:tc>
                          <w:tcPr>
                            <w:tcW w:w="8843" w:type="dxa"/>
                            <w:tcBorders/>
                            <w:vAlign w:val="center"/>
                          </w:tcPr>
                          <w:p>
                            <w:pPr>
                              <w:pStyle w:val="TableContents"/>
                              <w:bidi w:val="0"/>
                              <w:spacing w:before="0" w:after="283"/>
                              <w:jc w:val="left"/>
                              <w:rPr>
                                <w:sz w:val="16"/>
                              </w:rPr>
                            </w:pPr>
                            <w:r>
                              <w:rPr>
                                <w:sz w:val="16"/>
                              </w:rPr>
                              <w:t xml:space="preserve">The early redemption payment will be an amount equal to (i) the stated principal amount </w:t>
                            </w:r>
                            <w:r>
                              <w:rPr>
                                <w:i/>
                                <w:sz w:val="16"/>
                              </w:rPr>
                              <w:t>plus</w:t>
                            </w:r>
                            <w:r>
                              <w:rPr>
                                <w:sz w:val="16"/>
                              </w:rPr>
                              <w:t xml:space="preserve"> (ii) the contingent quarterly payment with respect to the related determination date </w:t>
                            </w:r>
                            <w:r>
                              <w:rPr>
                                <w:i/>
                                <w:sz w:val="16"/>
                              </w:rPr>
                              <w:t>plus</w:t>
                            </w:r>
                            <w:r>
                              <w:rPr>
                                <w:sz w:val="16"/>
                              </w:rPr>
                              <w:t xml:space="preserve"> (iii) any previously unpaid contingent  quarterly payments with respect to any prior determination dates.</w:t>
                            </w:r>
                          </w:p>
                        </w:tc>
                      </w:tr>
                      <w:tr>
                        <w:trPr/>
                        <w:tc>
                          <w:tcPr>
                            <w:tcW w:w="136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quarterly payment:</w:t>
                            </w:r>
                          </w:p>
                        </w:tc>
                        <w:tc>
                          <w:tcPr>
                            <w:tcW w:w="8843" w:type="dxa"/>
                            <w:tcBorders/>
                            <w:shd w:fill="DCEBF4" w:val="clear"/>
                            <w:vAlign w:val="center"/>
                          </w:tcPr>
                          <w:p>
                            <w:pPr>
                              <w:pStyle w:val="TableContents"/>
                              <w:bidi w:val="0"/>
                              <w:ind w:left="169" w:right="0" w:hanging="169"/>
                              <w:jc w:val="left"/>
                              <w:rPr>
                                <w:rFonts w:ascii="Arial;Helvetica;Sans-Serif" w:hAnsi="Arial;Helvetica;Sans-Serif"/>
                                <w:b w:val="false"/>
                                <w:i w:val="false"/>
                                <w:caps w:val="false"/>
                                <w:smallCaps w:val="false"/>
                                <w:sz w:val="24"/>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24"/>
                              </w:rPr>
                              <w:t>  </w:t>
                            </w:r>
                            <w:r>
                              <w:rPr>
                                <w:rFonts w:ascii="Arial;Helvetica;Sans-Serif" w:hAnsi="Arial;Helvetica;Sans-Serif"/>
                                <w:b w:val="false"/>
                                <w:i w:val="false"/>
                                <w:caps w:val="false"/>
                                <w:smallCaps w:val="false"/>
                                <w:sz w:val="16"/>
                              </w:rPr>
                              <w:t xml:space="preserve">If, on any determination date, the closing price of the underlying stock is greater than or equal to the downside threshold level, we will pay a contingent quarterly payment of at least $38.125 (at least 3.8125% of the stated principal amount) per security on the related contingent payment date </w:t>
                            </w:r>
                            <w:r>
                              <w:rPr>
                                <w:rFonts w:ascii="Arial;Helvetica;Sans-Serif" w:hAnsi="Arial;Helvetica;Sans-Serif"/>
                                <w:b w:val="false"/>
                                <w:i/>
                                <w:caps w:val="false"/>
                                <w:smallCaps w:val="false"/>
                                <w:sz w:val="16"/>
                              </w:rPr>
                              <w:t>plus</w:t>
                            </w:r>
                            <w:r>
                              <w:rPr>
                                <w:rFonts w:ascii="Arial;Helvetica;Sans-Serif" w:hAnsi="Arial;Helvetica;Sans-Serif"/>
                                <w:b w:val="false"/>
                                <w:i w:val="false"/>
                                <w:caps w:val="false"/>
                                <w:smallCaps w:val="false"/>
                                <w:sz w:val="16"/>
                              </w:rPr>
                              <w:t xml:space="preserve"> any previously unpaid contingent quarterly payments with respect to any prior determination dates. The actual contingent quarterly payment will be provided in the pricing supplement. </w:t>
                            </w:r>
                            <w:r>
                              <w:rPr>
                                <w:rFonts w:ascii="Arial;Helvetica;Sans-Serif" w:hAnsi="Arial;Helvetica;Sans-Serif"/>
                                <w:b/>
                                <w:i w:val="false"/>
                                <w:caps w:val="false"/>
                                <w:smallCaps w:val="false"/>
                                <w:sz w:val="16"/>
                              </w:rPr>
                              <w:t xml:space="preserve">However, even if any unpaid contingent quarterly payment is payable on a later contingent payment date, no additional interest will accrue or be payable in respect of that unpaid contingent quarterly payment. </w:t>
                            </w:r>
                          </w:p>
                          <w:p>
                            <w:pPr>
                              <w:pStyle w:val="TableContents"/>
                              <w:bidi w:val="0"/>
                              <w:spacing w:before="0" w:after="0"/>
                              <w:ind w:left="147" w:right="0" w:hanging="147"/>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6"/>
                              </w:rPr>
                              <w:t>·</w:t>
                            </w:r>
                            <w:r>
                              <w:rPr>
                                <w:rFonts w:ascii="Arial;Helvetica;Sans-Serif" w:hAnsi="Arial;Helvetica;Sans-Serif"/>
                                <w:b w:val="false"/>
                                <w:i w:val="false"/>
                                <w:caps w:val="false"/>
                                <w:smallCaps w:val="false"/>
                                <w:sz w:val="17"/>
                              </w:rPr>
                              <w:t>  </w:t>
                            </w:r>
                            <w:r>
                              <w:rPr>
                                <w:rFonts w:ascii="Arial;Helvetica;Sans-Serif" w:hAnsi="Arial;Helvetica;Sans-Serif"/>
                                <w:b w:val="false"/>
                                <w:i w:val="false"/>
                                <w:caps w:val="false"/>
                                <w:smallCaps w:val="false"/>
                                <w:sz w:val="16"/>
                              </w:rPr>
                              <w:t xml:space="preserve">If, on any determination date, the closing price of the underlying stock is less than the downside threshold level, no contingent quarterly payment will be made with respect to that determination date. </w:t>
                            </w:r>
                            <w:r>
                              <w:rPr>
                                <w:rFonts w:ascii="Arial;Helvetica;Sans-Serif" w:hAnsi="Arial;Helvetica;Sans-Serif"/>
                                <w:b/>
                                <w:i w:val="false"/>
                                <w:caps w:val="false"/>
                                <w:smallCaps w:val="false"/>
                                <w:sz w:val="16"/>
                              </w:rPr>
                              <w:t>It is possible that the closing price of the underlying stock will be below the downside threshold level on most or all of the determination dates so that you will receive few or no contingent quarterly payments.</w:t>
                            </w:r>
                          </w:p>
                        </w:tc>
                      </w:tr>
                      <w:tr>
                        <w:trPr/>
                        <w:tc>
                          <w:tcPr>
                            <w:tcW w:w="1362"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843" w:type="dxa"/>
                            <w:tcBorders/>
                            <w:vAlign w:val="center"/>
                          </w:tcPr>
                          <w:p>
                            <w:pPr>
                              <w:pStyle w:val="TableContents"/>
                              <w:bidi w:val="0"/>
                              <w:spacing w:before="0" w:after="283"/>
                              <w:jc w:val="left"/>
                              <w:rPr>
                                <w:sz w:val="16"/>
                              </w:rPr>
                            </w:pPr>
                            <w:r>
                              <w:rPr>
                                <w:sz w:val="16"/>
                              </w:rPr>
                              <w:t>November 23, 2026, February 22, 2027, May 21, 2027 and August 23, 2027</w:t>
                            </w:r>
                          </w:p>
                        </w:tc>
                      </w:tr>
                      <w:tr>
                        <w:trPr/>
                        <w:tc>
                          <w:tcPr>
                            <w:tcW w:w="1362"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843" w:type="dxa"/>
                            <w:tcBorders/>
                            <w:shd w:fill="DCEBF4" w:val="clear"/>
                            <w:vAlign w:val="center"/>
                          </w:tcPr>
                          <w:p>
                            <w:pPr>
                              <w:pStyle w:val="TableContents"/>
                              <w:bidi w:val="0"/>
                              <w:spacing w:before="0" w:after="283"/>
                              <w:jc w:val="left"/>
                              <w:rPr>
                                <w:sz w:val="16"/>
                              </w:rPr>
                            </w:pPr>
                            <w:r>
                              <w:rPr>
                                <w:sz w:val="16"/>
                              </w:rPr>
                              <w:t>November 27, 2026, February 25, 2027, May 26, 2027 and the maturity date</w:t>
                            </w:r>
                          </w:p>
                        </w:tc>
                      </w:tr>
                    </w:tbl>
                    <w:tbl>
                      <w:tblPr>
                        <w:tblW w:w="10205" w:type="dxa"/>
                        <w:jc w:val="left"/>
                        <w:tblInd w:w="0" w:type="dxa"/>
                        <w:tblLayout w:type="fixed"/>
                        <w:tblCellMar>
                          <w:top w:w="0" w:type="dxa"/>
                          <w:left w:w="0" w:type="dxa"/>
                          <w:bottom w:w="0" w:type="dxa"/>
                          <w:right w:w="0" w:type="dxa"/>
                        </w:tblCellMar>
                      </w:tblPr>
                      <w:tblGrid>
                        <w:gridCol w:w="1001"/>
                        <w:gridCol w:w="2612"/>
                        <w:gridCol w:w="6592"/>
                      </w:tblGrid>
                      <w:tr>
                        <w:trPr/>
                        <w:tc>
                          <w:tcPr>
                            <w:tcW w:w="1001" w:type="dxa"/>
                            <w:tcBorders/>
                            <w:vAlign w:val="center"/>
                          </w:tcPr>
                          <w:p>
                            <w:pPr>
                              <w:pStyle w:val="TableContents"/>
                              <w:bidi w:val="0"/>
                              <w:spacing w:before="0" w:after="283"/>
                              <w:ind w:left="0" w:right="0" w:hanging="147"/>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2612" w:type="dxa"/>
                            <w:tcBorders/>
                            <w:vAlign w:val="center"/>
                          </w:tcPr>
                          <w:p>
                            <w:pPr>
                              <w:pStyle w:val="TableContents"/>
                              <w:bidi w:val="0"/>
                              <w:spacing w:before="0" w:after="283"/>
                              <w:jc w:val="left"/>
                              <w:rPr>
                                <w:sz w:val="17"/>
                              </w:rPr>
                            </w:pPr>
                            <w:r>
                              <w:rPr>
                                <w:rFonts w:ascii="Symbol" w:hAnsi="Symbol"/>
                                <w:sz w:val="16"/>
                              </w:rPr>
                              <w:t>·</w:t>
                            </w:r>
                            <w:r>
                              <w:rPr>
                                <w:sz w:val="17"/>
                              </w:rPr>
                              <w:t>  </w:t>
                            </w:r>
                            <w:r>
                              <w:rPr>
                                <w:sz w:val="16"/>
                              </w:rPr>
                              <w:t xml:space="preserve">If the final stock price is </w:t>
                            </w:r>
                            <w:r>
                              <w:rPr>
                                <w:b/>
                                <w:sz w:val="16"/>
                              </w:rPr>
                              <w:t>greater than or equal to</w:t>
                            </w:r>
                            <w:r>
                              <w:rPr>
                                <w:sz w:val="16"/>
                              </w:rPr>
                              <w:t xml:space="preserve"> the downside threshold level:</w:t>
                            </w:r>
                          </w:p>
                        </w:tc>
                        <w:tc>
                          <w:tcPr>
                            <w:tcW w:w="6592" w:type="dxa"/>
                            <w:tcBorders/>
                            <w:vAlign w:val="center"/>
                          </w:tcPr>
                          <w:p>
                            <w:pPr>
                              <w:pStyle w:val="TableContents"/>
                              <w:bidi w:val="0"/>
                              <w:spacing w:before="0" w:after="283"/>
                              <w:jc w:val="left"/>
                              <w:rPr>
                                <w:sz w:val="16"/>
                              </w:rPr>
                            </w:pPr>
                            <w:r>
                              <w:rPr>
                                <w:sz w:val="16"/>
                              </w:rPr>
                              <w:t xml:space="preserve">(i) the stated principal amount </w:t>
                            </w:r>
                            <w:r>
                              <w:rPr>
                                <w:i/>
                                <w:sz w:val="16"/>
                              </w:rPr>
                              <w:t>plus</w:t>
                            </w:r>
                            <w:r>
                              <w:rPr>
                                <w:sz w:val="16"/>
                              </w:rPr>
                              <w:t xml:space="preserve"> (ii) the contingent quarterly payment with respect to the final determination date </w:t>
                            </w:r>
                            <w:r>
                              <w:rPr>
                                <w:i/>
                                <w:sz w:val="16"/>
                              </w:rPr>
                              <w:t>plus</w:t>
                            </w:r>
                            <w:r>
                              <w:rPr>
                                <w:sz w:val="16"/>
                              </w:rPr>
                              <w:t xml:space="preserve"> (iii) any previously unpaid contingent quarterly payments with respect to any prior determination dates.</w:t>
                            </w:r>
                          </w:p>
                        </w:tc>
                      </w:tr>
                      <w:tr>
                        <w:trPr/>
                        <w:tc>
                          <w:tcPr>
                            <w:tcW w:w="1001" w:type="dxa"/>
                            <w:tcBorders/>
                            <w:vAlign w:val="center"/>
                          </w:tcPr>
                          <w:p>
                            <w:pPr>
                              <w:pStyle w:val="TableContents"/>
                              <w:bidi w:val="0"/>
                              <w:spacing w:before="0" w:after="283"/>
                              <w:ind w:left="0" w:right="0" w:hanging="147"/>
                              <w:jc w:val="left"/>
                              <w:rPr>
                                <w:color w:val="296DC1"/>
                              </w:rPr>
                            </w:pPr>
                            <w:r>
                              <w:rPr>
                                <w:color w:val="296DC1"/>
                              </w:rPr>
                              <w:t> </w:t>
                            </w:r>
                          </w:p>
                        </w:tc>
                        <w:tc>
                          <w:tcPr>
                            <w:tcW w:w="2612" w:type="dxa"/>
                            <w:tcBorders/>
                            <w:vAlign w:val="center"/>
                          </w:tcPr>
                          <w:p>
                            <w:pPr>
                              <w:pStyle w:val="TableContents"/>
                              <w:bidi w:val="0"/>
                              <w:spacing w:before="0" w:after="283"/>
                              <w:jc w:val="left"/>
                              <w:rPr>
                                <w:sz w:val="17"/>
                              </w:rPr>
                            </w:pPr>
                            <w:r>
                              <w:rPr>
                                <w:rFonts w:ascii="Symbol" w:hAnsi="Symbol"/>
                                <w:sz w:val="16"/>
                              </w:rPr>
                              <w:t>·</w:t>
                            </w:r>
                            <w:r>
                              <w:rPr>
                                <w:sz w:val="17"/>
                              </w:rPr>
                              <w:t>  </w:t>
                            </w:r>
                            <w:r>
                              <w:rPr>
                                <w:sz w:val="16"/>
                              </w:rPr>
                              <w:t xml:space="preserve">If the final stock price is </w:t>
                            </w:r>
                            <w:r>
                              <w:rPr>
                                <w:b/>
                                <w:sz w:val="16"/>
                              </w:rPr>
                              <w:t>less than</w:t>
                            </w:r>
                            <w:r>
                              <w:rPr>
                                <w:sz w:val="16"/>
                              </w:rPr>
                              <w:t xml:space="preserve"> the downside threshold level:</w:t>
                            </w:r>
                          </w:p>
                        </w:tc>
                        <w:tc>
                          <w:tcPr>
                            <w:tcW w:w="6592" w:type="dxa"/>
                            <w:tcBorders/>
                            <w:vAlign w:val="center"/>
                          </w:tcPr>
                          <w:p>
                            <w:pPr>
                              <w:pStyle w:val="TableContents"/>
                              <w:bidi w:val="0"/>
                              <w:spacing w:before="0" w:after="283"/>
                              <w:jc w:val="left"/>
                              <w:rPr>
                                <w:sz w:val="16"/>
                              </w:rPr>
                            </w:pPr>
                            <w:r>
                              <w:rPr>
                                <w:sz w:val="16"/>
                              </w:rPr>
                              <w:t xml:space="preserve">(i) the stated principal amount </w:t>
                            </w:r>
                            <w:r>
                              <w:rPr>
                                <w:i/>
                                <w:sz w:val="16"/>
                              </w:rPr>
                              <w:t>times</w:t>
                            </w:r>
                            <w:r>
                              <w:rPr>
                                <w:sz w:val="16"/>
                              </w:rPr>
                              <w:t xml:space="preserve"> (ii) the stock performance factor.  This cash payment will be less than 50% of the stated principal amount of the securities and could be zero.</w:t>
                            </w:r>
                          </w:p>
                        </w:tc>
                      </w:tr>
                    </w:tbl>
                    <w:tbl>
                      <w:tblPr>
                        <w:tblW w:w="7180" w:type="dxa"/>
                        <w:jc w:val="left"/>
                        <w:tblInd w:w="0" w:type="dxa"/>
                        <w:tblLayout w:type="fixed"/>
                        <w:tblCellMar>
                          <w:top w:w="0" w:type="dxa"/>
                          <w:left w:w="0" w:type="dxa"/>
                          <w:bottom w:w="0" w:type="dxa"/>
                          <w:right w:w="0" w:type="dxa"/>
                        </w:tblCellMar>
                      </w:tblPr>
                      <w:tblGrid>
                        <w:gridCol w:w="2105"/>
                        <w:gridCol w:w="5075"/>
                      </w:tblGrid>
                      <w:tr>
                        <w:trPr/>
                        <w:tc>
                          <w:tcPr>
                            <w:tcW w:w="210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5075" w:type="dxa"/>
                            <w:tcBorders/>
                            <w:shd w:fill="DCEBF4" w:val="clear"/>
                            <w:vAlign w:val="center"/>
                          </w:tcPr>
                          <w:p>
                            <w:pPr>
                              <w:pStyle w:val="TableContents"/>
                              <w:bidi w:val="0"/>
                              <w:spacing w:before="0" w:after="283"/>
                              <w:jc w:val="left"/>
                              <w:rPr>
                                <w:sz w:val="16"/>
                              </w:rPr>
                            </w:pPr>
                            <w:r>
                              <w:rPr>
                                <w:sz w:val="16"/>
                              </w:rPr>
                              <w:t xml:space="preserve">50% of the initial stock price </w:t>
                            </w:r>
                          </w:p>
                        </w:tc>
                      </w:tr>
                      <w:tr>
                        <w:trPr/>
                        <w:tc>
                          <w:tcPr>
                            <w:tcW w:w="2105"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stock price:</w:t>
                            </w:r>
                          </w:p>
                        </w:tc>
                        <w:tc>
                          <w:tcPr>
                            <w:tcW w:w="5075" w:type="dxa"/>
                            <w:tcBorders/>
                            <w:vAlign w:val="center"/>
                          </w:tcPr>
                          <w:p>
                            <w:pPr>
                              <w:pStyle w:val="TableContents"/>
                              <w:bidi w:val="0"/>
                              <w:spacing w:before="0" w:after="283"/>
                              <w:jc w:val="left"/>
                              <w:rPr>
                                <w:sz w:val="16"/>
                              </w:rPr>
                            </w:pPr>
                            <w:r>
                              <w:rPr>
                                <w:sz w:val="16"/>
                              </w:rPr>
                              <w:t>The closing price of the underlying stock on the pricing date</w:t>
                            </w:r>
                          </w:p>
                        </w:tc>
                      </w:tr>
                      <w:tr>
                        <w:trPr/>
                        <w:tc>
                          <w:tcPr>
                            <w:tcW w:w="210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stock price:</w:t>
                            </w:r>
                          </w:p>
                        </w:tc>
                        <w:tc>
                          <w:tcPr>
                            <w:tcW w:w="5075" w:type="dxa"/>
                            <w:tcBorders/>
                            <w:shd w:fill="DCEBF4" w:val="clear"/>
                            <w:vAlign w:val="center"/>
                          </w:tcPr>
                          <w:p>
                            <w:pPr>
                              <w:pStyle w:val="TableContents"/>
                              <w:bidi w:val="0"/>
                              <w:spacing w:before="0" w:after="283"/>
                              <w:jc w:val="left"/>
                              <w:rPr>
                                <w:sz w:val="16"/>
                              </w:rPr>
                            </w:pPr>
                            <w:r>
                              <w:rPr>
                                <w:sz w:val="16"/>
                              </w:rPr>
                              <w:t>The closing price of the underlying stock on the final determination date</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28"/>
                              <w:gridCol w:w="8377"/>
                            </w:tblGrid>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adjustment factor:</w:t>
                                  </w:r>
                                </w:p>
                              </w:tc>
                              <w:tc>
                                <w:tcPr>
                                  <w:tcW w:w="8377" w:type="dxa"/>
                                  <w:tcBorders/>
                                  <w:vAlign w:val="center"/>
                                </w:tcPr>
                                <w:p>
                                  <w:pPr>
                                    <w:pStyle w:val="TableContents"/>
                                    <w:bidi w:val="0"/>
                                    <w:spacing w:before="0" w:after="283"/>
                                    <w:jc w:val="left"/>
                                    <w:rPr>
                                      <w:sz w:val="16"/>
                                    </w:rPr>
                                  </w:pPr>
                                  <w:r>
                                    <w:rPr>
                                      <w:sz w:val="16"/>
                                    </w:rPr>
                                    <w:t>The stock adjustment factor is referenced in determining the closing price of the underlying stock and is set initially at 1.0 on the pricing date.  The stock adjustment factor is subject to adjustment in the event of certain corporate events affecting the underlying stock.</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performance factor:</w:t>
                                  </w:r>
                                </w:p>
                              </w:tc>
                              <w:tc>
                                <w:tcPr>
                                  <w:tcW w:w="8377" w:type="dxa"/>
                                  <w:tcBorders/>
                                  <w:shd w:fill="DCEBF4" w:val="clear"/>
                                  <w:vAlign w:val="center"/>
                                </w:tcPr>
                                <w:p>
                                  <w:pPr>
                                    <w:pStyle w:val="TableContents"/>
                                    <w:bidi w:val="0"/>
                                    <w:spacing w:before="0" w:after="283"/>
                                    <w:jc w:val="left"/>
                                    <w:rPr>
                                      <w:sz w:val="16"/>
                                    </w:rPr>
                                  </w:pPr>
                                  <w:r>
                                    <w:rPr>
                                      <w:sz w:val="16"/>
                                    </w:rPr>
                                    <w:t>final stock price / initial stock price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377" w:type="dxa"/>
                                  <w:tcBorders/>
                                  <w:vAlign w:val="center"/>
                                </w:tcPr>
                                <w:p>
                                  <w:pPr>
                                    <w:pStyle w:val="TableContents"/>
                                    <w:bidi w:val="0"/>
                                    <w:spacing w:before="0" w:after="283"/>
                                    <w:jc w:val="left"/>
                                    <w:rPr>
                                      <w:sz w:val="16"/>
                                    </w:rPr>
                                  </w:pPr>
                                  <w:r>
                                    <w:rPr>
                                      <w:sz w:val="16"/>
                                    </w:rPr>
                                    <w:t>$1,000 per security</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377" w:type="dxa"/>
                                  <w:tcBorders/>
                                  <w:shd w:fill="DCEBF4" w:val="clear"/>
                                  <w:vAlign w:val="center"/>
                                </w:tcPr>
                                <w:p>
                                  <w:pPr>
                                    <w:pStyle w:val="TableContents"/>
                                    <w:bidi w:val="0"/>
                                    <w:spacing w:before="0" w:after="283"/>
                                    <w:jc w:val="left"/>
                                    <w:rPr>
                                      <w:sz w:val="16"/>
                                    </w:rPr>
                                  </w:pPr>
                                  <w:r>
                                    <w:rPr>
                                      <w:sz w:val="16"/>
                                    </w:rPr>
                                    <w:t>$1,000 per security</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377" w:type="dxa"/>
                                  <w:tcBorders/>
                                  <w:vAlign w:val="center"/>
                                </w:tcPr>
                                <w:p>
                                  <w:pPr>
                                    <w:pStyle w:val="TableContents"/>
                                    <w:bidi w:val="0"/>
                                    <w:spacing w:before="0" w:after="283"/>
                                    <w:jc w:val="left"/>
                                    <w:rPr>
                                      <w:sz w:val="16"/>
                                    </w:rPr>
                                  </w:pPr>
                                  <w:r>
                                    <w:rPr>
                                      <w:sz w:val="16"/>
                                    </w:rPr>
                                    <w:t>Expected to be August 21, 2026</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377" w:type="dxa"/>
                                  <w:tcBorders/>
                                  <w:shd w:fill="DCEBF4" w:val="clear"/>
                                  <w:vAlign w:val="center"/>
                                </w:tcPr>
                                <w:p>
                                  <w:pPr>
                                    <w:pStyle w:val="TableContents"/>
                                    <w:bidi w:val="0"/>
                                    <w:spacing w:before="0" w:after="283"/>
                                    <w:jc w:val="left"/>
                                    <w:rPr>
                                      <w:sz w:val="16"/>
                                    </w:rPr>
                                  </w:pPr>
                                  <w:r>
                                    <w:rPr>
                                      <w:sz w:val="16"/>
                                    </w:rPr>
                                    <w:t>3 business days after the pricing date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377" w:type="dxa"/>
                                  <w:tcBorders/>
                                  <w:vAlign w:val="center"/>
                                </w:tcPr>
                                <w:p>
                                  <w:pPr>
                                    <w:pStyle w:val="TableContents"/>
                                    <w:bidi w:val="0"/>
                                    <w:spacing w:before="0" w:after="283"/>
                                    <w:jc w:val="left"/>
                                    <w:rPr>
                                      <w:sz w:val="16"/>
                                    </w:rPr>
                                  </w:pPr>
                                  <w:r>
                                    <w:rPr>
                                      <w:sz w:val="16"/>
                                    </w:rPr>
                                    <w:t>August 26, 2027</w:t>
                                  </w:r>
                                </w:p>
                              </w:tc>
                            </w:tr>
                            <w:tr>
                              <w:trPr/>
                              <w:tc>
                                <w:tcPr>
                                  <w:tcW w:w="1828"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377" w:type="dxa"/>
                                  <w:tcBorders/>
                                  <w:shd w:fill="DCEBF4" w:val="clear"/>
                                  <w:vAlign w:val="center"/>
                                </w:tcPr>
                                <w:p>
                                  <w:pPr>
                                    <w:pStyle w:val="TableContents"/>
                                    <w:bidi w:val="0"/>
                                    <w:spacing w:before="0" w:after="283"/>
                                    <w:jc w:val="left"/>
                                    <w:rPr>
                                      <w:sz w:val="24"/>
                                    </w:rPr>
                                  </w:pPr>
                                  <w:r>
                                    <w:rPr>
                                      <w:rFonts w:ascii="Arial;Helvetica;Sans-Serif" w:hAnsi="Arial;Helvetica;Sans-Serif"/>
                                      <w:sz w:val="16"/>
                                    </w:rPr>
                                    <w:t xml:space="preserve">46661KLE6 </w:t>
                                  </w:r>
                                  <w:r>
                                    <w:rPr>
                                      <w:sz w:val="16"/>
                                    </w:rPr>
                                    <w:t xml:space="preserve">/ </w:t>
                                  </w:r>
                                  <w:r>
                                    <w:rPr>
                                      <w:rFonts w:ascii="Arial;Helvetica;Sans-Serif" w:hAnsi="Arial;Helvetica;Sans-Serif"/>
                                      <w:sz w:val="16"/>
                                    </w:rPr>
                                    <w:t>US46661KLE63</w:t>
                                  </w:r>
                                </w:p>
                              </w:tc>
                            </w:tr>
                            <w:tr>
                              <w:trPr/>
                              <w:tc>
                                <w:tcPr>
                                  <w:tcW w:w="1828"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377" w:type="dxa"/>
                                  <w:tcBorders/>
                                  <w:vAlign w:val="center"/>
                                </w:tcPr>
                                <w:p>
                                  <w:pPr>
                                    <w:pStyle w:val="TableContents"/>
                                    <w:bidi w:val="0"/>
                                    <w:spacing w:before="0" w:after="283"/>
                                    <w:jc w:val="left"/>
                                    <w:rPr/>
                                  </w:pPr>
                                  <w:hyperlink r:id="rId2">
                                    <w:r>
                                      <w:rPr>
                                        <w:rStyle w:val="InternetLink"/>
                                        <w:sz w:val="16"/>
                                      </w:rPr>
                                      <w:t>http://www.sec.gov/Archives/edgar/data</w:t>
                                      <w:br/>
                                      <w:t>/19617/000121390026090137/ea0302207-01_424b2.htm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spacing w:before="0" w:after="0"/>
                              <w:ind w:left="108"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estimated value of the securities on the pricing date will be provided in the pricing supplement and will not be less than $950.00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0"/>
                              <w:ind w:left="108"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Any payment on the securities is subject to the credit risk of JPMorgan Financial, as issuer of the securities, and the credit risk of JPMorgan Chase &amp; Co., as guarantor of the securities.</w:t>
                            </w:r>
                          </w:p>
                          <w:tbl>
                            <w:tblPr>
                              <w:tblW w:w="9100" w:type="dxa"/>
                              <w:jc w:val="left"/>
                              <w:tblInd w:w="0" w:type="dxa"/>
                              <w:tblLayout w:type="fixed"/>
                              <w:tblCellMar>
                                <w:top w:w="0" w:type="dxa"/>
                                <w:left w:w="0" w:type="dxa"/>
                                <w:bottom w:w="0" w:type="dxa"/>
                                <w:right w:w="0" w:type="dxa"/>
                              </w:tblCellMar>
                            </w:tblPr>
                            <w:tblGrid>
                              <w:gridCol w:w="2255"/>
                              <w:gridCol w:w="6845"/>
                            </w:tblGrid>
                            <w:tr>
                              <w:trPr/>
                              <w:tc>
                                <w:tcPr>
                                  <w:tcW w:w="9100" w:type="dxa"/>
                                  <w:gridSpan w:val="2"/>
                                  <w:tcBorders/>
                                  <w:shd w:fill="296DC1" w:val="clear"/>
                                  <w:vAlign w:val="center"/>
                                </w:tcPr>
                                <w:p>
                                  <w:pPr>
                                    <w:pStyle w:val="TableContents"/>
                                    <w:bidi w:val="0"/>
                                    <w:spacing w:before="20" w:after="20"/>
                                    <w:ind w:left="20" w:right="20" w:hanging="0"/>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p>
                                  <w:pPr>
                                    <w:pStyle w:val="TableContents"/>
                                    <w:bidi w:val="0"/>
                                    <w:spacing w:before="20" w:after="20"/>
                                    <w:ind w:left="20" w:right="20" w:hanging="0"/>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 xml:space="preserve">(if the securities have not previously been redeemed) </w:t>
                                  </w:r>
                                </w:p>
                              </w:tc>
                            </w:tr>
                            <w:tr>
                              <w:trPr/>
                              <w:tc>
                                <w:tcPr>
                                  <w:tcW w:w="2255" w:type="dxa"/>
                                  <w:tcBorders/>
                                  <w:shd w:fill="296DC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Change in Underlying Stock</w:t>
                                  </w:r>
                                </w:p>
                              </w:tc>
                              <w:tc>
                                <w:tcPr>
                                  <w:tcW w:w="6845" w:type="dxa"/>
                                  <w:tcBorders/>
                                  <w:shd w:fill="296DC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Payment at Maturity (excluding any contingent quarterly payment payable at maturity)</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40.00%</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20.00%</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bl>
                          <w:tbl>
                            <w:tblPr>
                              <w:tblW w:w="1495" w:type="dxa"/>
                              <w:jc w:val="left"/>
                              <w:tblInd w:w="0" w:type="dxa"/>
                              <w:tblLayout w:type="fixed"/>
                              <w:tblCellMar>
                                <w:top w:w="0" w:type="dxa"/>
                                <w:left w:w="0" w:type="dxa"/>
                                <w:bottom w:w="0" w:type="dxa"/>
                                <w:right w:w="0" w:type="dxa"/>
                              </w:tblCellMar>
                            </w:tblPr>
                            <w:tblGrid>
                              <w:gridCol w:w="740"/>
                              <w:gridCol w:w="755"/>
                            </w:tblGrid>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-50.01%</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$499.90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828"/>
                        <w:gridCol w:w="8377"/>
                      </w:tblGrid>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adjustment factor:</w:t>
                            </w:r>
                          </w:p>
                        </w:tc>
                        <w:tc>
                          <w:tcPr>
                            <w:tcW w:w="8377" w:type="dxa"/>
                            <w:tcBorders/>
                            <w:vAlign w:val="center"/>
                          </w:tcPr>
                          <w:p>
                            <w:pPr>
                              <w:pStyle w:val="TableContents"/>
                              <w:bidi w:val="0"/>
                              <w:spacing w:before="0" w:after="283"/>
                              <w:jc w:val="left"/>
                              <w:rPr>
                                <w:sz w:val="16"/>
                              </w:rPr>
                            </w:pPr>
                            <w:r>
                              <w:rPr>
                                <w:sz w:val="16"/>
                              </w:rPr>
                              <w:t>The stock adjustment factor is referenced in determining the closing price of the underlying stock and is set initially at 1.0 on the pricing date.  The stock adjustment factor is subject to adjustment in the event of certain corporate events affecting the underlying stock.</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Stock performance factor:</w:t>
                            </w:r>
                          </w:p>
                        </w:tc>
                        <w:tc>
                          <w:tcPr>
                            <w:tcW w:w="8377" w:type="dxa"/>
                            <w:tcBorders/>
                            <w:shd w:fill="DCEBF4" w:val="clear"/>
                            <w:vAlign w:val="center"/>
                          </w:tcPr>
                          <w:p>
                            <w:pPr>
                              <w:pStyle w:val="TableContents"/>
                              <w:bidi w:val="0"/>
                              <w:spacing w:before="0" w:after="283"/>
                              <w:jc w:val="left"/>
                              <w:rPr>
                                <w:sz w:val="16"/>
                              </w:rPr>
                            </w:pPr>
                            <w:r>
                              <w:rPr>
                                <w:sz w:val="16"/>
                              </w:rPr>
                              <w:t>final stock price / initial stock price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8377" w:type="dxa"/>
                            <w:tcBorders/>
                            <w:vAlign w:val="center"/>
                          </w:tcPr>
                          <w:p>
                            <w:pPr>
                              <w:pStyle w:val="TableContents"/>
                              <w:bidi w:val="0"/>
                              <w:spacing w:before="0" w:after="283"/>
                              <w:jc w:val="left"/>
                              <w:rPr>
                                <w:sz w:val="16"/>
                              </w:rPr>
                            </w:pPr>
                            <w:r>
                              <w:rPr>
                                <w:sz w:val="16"/>
                              </w:rPr>
                              <w:t>$1,000 per security</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8377" w:type="dxa"/>
                            <w:tcBorders/>
                            <w:shd w:fill="DCEBF4" w:val="clear"/>
                            <w:vAlign w:val="center"/>
                          </w:tcPr>
                          <w:p>
                            <w:pPr>
                              <w:pStyle w:val="TableContents"/>
                              <w:bidi w:val="0"/>
                              <w:spacing w:before="0" w:after="283"/>
                              <w:jc w:val="left"/>
                              <w:rPr>
                                <w:sz w:val="16"/>
                              </w:rPr>
                            </w:pPr>
                            <w:r>
                              <w:rPr>
                                <w:sz w:val="16"/>
                              </w:rPr>
                              <w:t>$1,000 per security</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8377" w:type="dxa"/>
                            <w:tcBorders/>
                            <w:vAlign w:val="center"/>
                          </w:tcPr>
                          <w:p>
                            <w:pPr>
                              <w:pStyle w:val="TableContents"/>
                              <w:bidi w:val="0"/>
                              <w:spacing w:before="0" w:after="283"/>
                              <w:jc w:val="left"/>
                              <w:rPr>
                                <w:sz w:val="16"/>
                              </w:rPr>
                            </w:pPr>
                            <w:r>
                              <w:rPr>
                                <w:sz w:val="16"/>
                              </w:rPr>
                              <w:t>Expected to be August 21, 2026</w:t>
                            </w:r>
                          </w:p>
                        </w:tc>
                      </w:tr>
                      <w:tr>
                        <w:trPr/>
                        <w:tc>
                          <w:tcPr>
                            <w:tcW w:w="1828"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8377" w:type="dxa"/>
                            <w:tcBorders/>
                            <w:shd w:fill="DCEBF4" w:val="clear"/>
                            <w:vAlign w:val="center"/>
                          </w:tcPr>
                          <w:p>
                            <w:pPr>
                              <w:pStyle w:val="TableContents"/>
                              <w:bidi w:val="0"/>
                              <w:spacing w:before="0" w:after="283"/>
                              <w:jc w:val="left"/>
                              <w:rPr>
                                <w:sz w:val="16"/>
                              </w:rPr>
                            </w:pPr>
                            <w:r>
                              <w:rPr>
                                <w:sz w:val="16"/>
                              </w:rPr>
                              <w:t>3 business days after the pricing date</w:t>
                            </w:r>
                          </w:p>
                        </w:tc>
                      </w:tr>
                      <w:tr>
                        <w:trPr/>
                        <w:tc>
                          <w:tcPr>
                            <w:tcW w:w="1828"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377" w:type="dxa"/>
                            <w:tcBorders/>
                            <w:vAlign w:val="center"/>
                          </w:tcPr>
                          <w:p>
                            <w:pPr>
                              <w:pStyle w:val="TableContents"/>
                              <w:bidi w:val="0"/>
                              <w:spacing w:before="0" w:after="283"/>
                              <w:jc w:val="left"/>
                              <w:rPr>
                                <w:sz w:val="16"/>
                              </w:rPr>
                            </w:pPr>
                            <w:r>
                              <w:rPr>
                                <w:sz w:val="16"/>
                              </w:rPr>
                              <w:t>August 26, 2027</w:t>
                            </w:r>
                          </w:p>
                        </w:tc>
                      </w:tr>
                      <w:tr>
                        <w:trPr/>
                        <w:tc>
                          <w:tcPr>
                            <w:tcW w:w="1828"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8377" w:type="dxa"/>
                            <w:tcBorders/>
                            <w:shd w:fill="DCEBF4" w:val="clear"/>
                            <w:vAlign w:val="center"/>
                          </w:tcPr>
                          <w:p>
                            <w:pPr>
                              <w:pStyle w:val="TableContents"/>
                              <w:bidi w:val="0"/>
                              <w:spacing w:before="0" w:after="283"/>
                              <w:jc w:val="left"/>
                              <w:rPr>
                                <w:sz w:val="24"/>
                              </w:rPr>
                            </w:pPr>
                            <w:r>
                              <w:rPr>
                                <w:rFonts w:ascii="Arial;Helvetica;Sans-Serif" w:hAnsi="Arial;Helvetica;Sans-Serif"/>
                                <w:sz w:val="16"/>
                              </w:rPr>
                              <w:t xml:space="preserve">46661KLE6 </w:t>
                            </w:r>
                            <w:r>
                              <w:rPr>
                                <w:sz w:val="16"/>
                              </w:rPr>
                              <w:t xml:space="preserve">/ </w:t>
                            </w:r>
                            <w:r>
                              <w:rPr>
                                <w:rFonts w:ascii="Arial;Helvetica;Sans-Serif" w:hAnsi="Arial;Helvetica;Sans-Serif"/>
                                <w:sz w:val="16"/>
                              </w:rPr>
                              <w:t>US46661KLE63</w:t>
                            </w:r>
                          </w:p>
                        </w:tc>
                      </w:tr>
                      <w:tr>
                        <w:trPr/>
                        <w:tc>
                          <w:tcPr>
                            <w:tcW w:w="1828"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377" w:type="dxa"/>
                            <w:tcBorders/>
                            <w:vAlign w:val="center"/>
                          </w:tcPr>
                          <w:p>
                            <w:pPr>
                              <w:pStyle w:val="TableContents"/>
                              <w:bidi w:val="0"/>
                              <w:spacing w:before="0" w:after="283"/>
                              <w:jc w:val="left"/>
                              <w:rPr/>
                            </w:pPr>
                            <w:hyperlink r:id="rId3">
                              <w:r>
                                <w:rPr>
                                  <w:rStyle w:val="InternetLink"/>
                                  <w:sz w:val="16"/>
                                </w:rPr>
                                <w:t>http://www.sec.gov/Archives/edgar/data</w:t>
                                <w:br/>
                                <w:t>/19617/000121390026090137/ea0302207-01_424b2.htm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spacing w:before="0" w:after="0"/>
                        <w:ind w:left="108"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estimated value of the securities on the pricing date will be provided in the pricing supplement and will not be less than $950.00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0"/>
                        <w:ind w:left="108"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Any payment on the securities is subject to the credit risk of JPMorgan Financial, as issuer of the securities, and the credit risk of JPMorgan Chase &amp; Co., as guarantor of the securities.</w:t>
                      </w:r>
                    </w:p>
                    <w:tbl>
                      <w:tblPr>
                        <w:tblW w:w="9100" w:type="dxa"/>
                        <w:jc w:val="left"/>
                        <w:tblInd w:w="0" w:type="dxa"/>
                        <w:tblLayout w:type="fixed"/>
                        <w:tblCellMar>
                          <w:top w:w="0" w:type="dxa"/>
                          <w:left w:w="0" w:type="dxa"/>
                          <w:bottom w:w="0" w:type="dxa"/>
                          <w:right w:w="0" w:type="dxa"/>
                        </w:tblCellMar>
                      </w:tblPr>
                      <w:tblGrid>
                        <w:gridCol w:w="2255"/>
                        <w:gridCol w:w="6845"/>
                      </w:tblGrid>
                      <w:tr>
                        <w:trPr/>
                        <w:tc>
                          <w:tcPr>
                            <w:tcW w:w="9100" w:type="dxa"/>
                            <w:gridSpan w:val="2"/>
                            <w:tcBorders/>
                            <w:shd w:fill="296DC1" w:val="clear"/>
                            <w:vAlign w:val="center"/>
                          </w:tcPr>
                          <w:p>
                            <w:pPr>
                              <w:pStyle w:val="TableContents"/>
                              <w:bidi w:val="0"/>
                              <w:spacing w:before="20" w:after="20"/>
                              <w:ind w:left="20" w:right="20" w:hanging="0"/>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p>
                            <w:pPr>
                              <w:pStyle w:val="TableContents"/>
                              <w:bidi w:val="0"/>
                              <w:spacing w:before="20" w:after="20"/>
                              <w:ind w:left="20" w:right="20" w:hanging="0"/>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 xml:space="preserve">(if the securities have not previously been redeemed) </w:t>
                            </w:r>
                          </w:p>
                        </w:tc>
                      </w:tr>
                      <w:tr>
                        <w:trPr/>
                        <w:tc>
                          <w:tcPr>
                            <w:tcW w:w="2255" w:type="dxa"/>
                            <w:tcBorders/>
                            <w:shd w:fill="296DC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Change in Underlying Stock</w:t>
                            </w:r>
                          </w:p>
                        </w:tc>
                        <w:tc>
                          <w:tcPr>
                            <w:tcW w:w="6845" w:type="dxa"/>
                            <w:tcBorders/>
                            <w:shd w:fill="296DC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Payment at Maturity (excluding any contingent quarterly payment payable at maturity)</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40.00%</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20.00%</w:t>
                            </w:r>
                          </w:p>
                        </w:tc>
                        <w:tc>
                          <w:tcPr>
                            <w:tcW w:w="68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r>
                        <w:trPr/>
                        <w:tc>
                          <w:tcPr>
                            <w:tcW w:w="225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w:t>
                            </w:r>
                          </w:p>
                        </w:tc>
                        <w:tc>
                          <w:tcPr>
                            <w:tcW w:w="6845" w:type="dxa"/>
                            <w:tcBorders/>
                            <w:shd w:fill="D9D9D9"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$1,000.00</w:t>
                            </w:r>
                          </w:p>
                        </w:tc>
                      </w:tr>
                    </w:tbl>
                    <w:tbl>
                      <w:tblPr>
                        <w:tblW w:w="1495" w:type="dxa"/>
                        <w:jc w:val="left"/>
                        <w:tblInd w:w="0" w:type="dxa"/>
                        <w:tblLayout w:type="fixed"/>
                        <w:tblCellMar>
                          <w:top w:w="0" w:type="dxa"/>
                          <w:left w:w="0" w:type="dxa"/>
                          <w:bottom w:w="0" w:type="dxa"/>
                          <w:right w:w="0" w:type="dxa"/>
                        </w:tblCellMar>
                      </w:tblPr>
                      <w:tblGrid>
                        <w:gridCol w:w="740"/>
                        <w:gridCol w:w="755"/>
                      </w:tblGrid>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-50.01%</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$499.90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0" w:after="283"/>
                        <w:jc w:val="left"/>
                        <w:rPr/>
                      </w:pPr>
                      <w:r>
                        <w:rPr/>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1-Year PLTR Contingent Income Auto-Callable Securities</w:t>
      </w:r>
    </w:p>
    <w:p>
      <w:pPr>
        <w:pStyle w:val="TextBody"/>
        <w:bidi w:val="0"/>
        <w:spacing w:before="20" w:after="40"/>
        <w:ind w:left="20" w:right="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Stock</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stock, including historical performance information, see the accompanying preliminary pricing supplement.</w:t>
      </w:r>
    </w:p>
    <w:p>
      <w:pPr>
        <w:pStyle w:val="TextBody"/>
        <w:bidi w:val="0"/>
        <w:spacing w:before="60" w:after="60"/>
        <w:ind w:left="60" w:right="6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6"/>
        <w:gridCol w:w="152"/>
        <w:gridCol w:w="10007"/>
      </w:tblGrid>
      <w:tr>
        <w:trP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7" w:type="dxa"/>
            <w:tcBorders/>
            <w:vAlign w:val="center"/>
          </w:tcPr>
          <w:p>
            <w:pPr>
              <w:pStyle w:val="TableContents"/>
              <w:bidi w:val="0"/>
              <w:spacing w:before="0" w:after="283"/>
              <w:jc w:val="left"/>
              <w:rPr>
                <w:sz w:val="18"/>
              </w:rPr>
            </w:pPr>
            <w:r>
              <w:rPr>
                <w:sz w:val="18"/>
              </w:rPr>
              <w:t xml:space="preserve">The securities do not guarantee the return of any principal and your investment in the securities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You will not receive any contingent quarterly payment for any quarterly period (or any previously unpaid contingent quarterly payments) if the closing price of the underlying stock on the relevant determination date is less than the downside threshold level. </w:t>
            </w:r>
          </w:p>
        </w:tc>
      </w:tr>
    </w:tbl>
    <w:tbl>
      <w:tblPr>
        <w:tblW w:w="5000" w:type="pct"/>
        <w:jc w:val="left"/>
        <w:tblInd w:w="0" w:type="dxa"/>
        <w:tblLayout w:type="fixed"/>
        <w:tblCellMar>
          <w:top w:w="0" w:type="dxa"/>
          <w:left w:w="0" w:type="dxa"/>
          <w:bottom w:w="0" w:type="dxa"/>
          <w:right w:w="0" w:type="dxa"/>
        </w:tblCellMar>
      </w:tblPr>
      <w:tblGrid>
        <w:gridCol w:w="40"/>
        <w:gridCol w:w="135"/>
        <w:gridCol w:w="10030"/>
      </w:tblGrid>
      <w:tr>
        <w:trPr/>
        <w:tc>
          <w:tcPr>
            <w:tcW w:w="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30" w:type="dxa"/>
            <w:tcBorders/>
            <w:vAlign w:val="center"/>
          </w:tcPr>
          <w:p>
            <w:pPr>
              <w:pStyle w:val="TableContents"/>
              <w:bidi w:val="0"/>
              <w:spacing w:before="0" w:after="283"/>
              <w:jc w:val="left"/>
              <w:rPr>
                <w:sz w:val="18"/>
              </w:rPr>
            </w:pPr>
            <w:r>
              <w:rPr>
                <w:sz w:val="18"/>
              </w:rPr>
              <w:t>The contingent quarterly payment is based solely on the closing prices of the underlying stock on the specified determination dates.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72"/>
        <w:gridCol w:w="240"/>
        <w:gridCol w:w="9893"/>
      </w:tblGrid>
      <w:tr>
        <w:trPr/>
        <w:tc>
          <w:tcPr>
            <w:tcW w:w="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93" w:type="dxa"/>
            <w:tcBorders/>
            <w:vAlign w:val="center"/>
          </w:tcPr>
          <w:p>
            <w:pPr>
              <w:pStyle w:val="TableContents"/>
              <w:bidi w:val="0"/>
              <w:spacing w:before="0" w:after="283"/>
              <w:jc w:val="left"/>
              <w:rPr>
                <w:sz w:val="18"/>
              </w:rPr>
            </w:pPr>
            <w:r>
              <w:rPr>
                <w:sz w:val="18"/>
              </w:rPr>
              <w:t>Investors will not participate in any appreciation of the underlying stock.</w:t>
            </w:r>
          </w:p>
        </w:tc>
      </w:tr>
    </w:tbl>
    <w:tbl>
      <w:tblPr>
        <w:tblW w:w="5000" w:type="pct"/>
        <w:jc w:val="left"/>
        <w:tblInd w:w="0" w:type="dxa"/>
        <w:tblLayout w:type="fixed"/>
        <w:tblCellMar>
          <w:top w:w="0" w:type="dxa"/>
          <w:left w:w="0" w:type="dxa"/>
          <w:bottom w:w="0" w:type="dxa"/>
          <w:right w:w="0" w:type="dxa"/>
        </w:tblCellMar>
      </w:tblPr>
      <w:tblGrid>
        <w:gridCol w:w="218"/>
        <w:gridCol w:w="720"/>
        <w:gridCol w:w="9267"/>
      </w:tblGrid>
      <w:tr>
        <w:trPr/>
        <w:tc>
          <w:tcPr>
            <w:tcW w:w="2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67" w:type="dxa"/>
            <w:tcBorders/>
            <w:vAlign w:val="center"/>
          </w:tcPr>
          <w:p>
            <w:pPr>
              <w:pStyle w:val="TableContents"/>
              <w:bidi w:val="0"/>
              <w:spacing w:before="0" w:after="283"/>
              <w:jc w:val="left"/>
              <w:rPr>
                <w:sz w:val="18"/>
              </w:rPr>
            </w:pPr>
            <w:r>
              <w:rPr>
                <w:sz w:val="18"/>
              </w:rPr>
              <w:t>Early redemption risk.</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securities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rP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53"/>
        <w:gridCol w:w="178"/>
        <w:gridCol w:w="9974"/>
      </w:tblGrid>
      <w:tr>
        <w:trP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59"/>
        <w:gridCol w:w="195"/>
        <w:gridCol w:w="9951"/>
      </w:tblGrid>
      <w:tr>
        <w:trPr/>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51" w:type="dxa"/>
            <w:tcBorders/>
            <w:vAlign w:val="center"/>
          </w:tcPr>
          <w:p>
            <w:pPr>
              <w:pStyle w:val="TableContents"/>
              <w:bidi w:val="0"/>
              <w:spacing w:before="0" w:after="283"/>
              <w:jc w:val="left"/>
              <w:rPr>
                <w:sz w:val="18"/>
              </w:rPr>
            </w:pPr>
            <w:r>
              <w:rPr>
                <w:sz w:val="18"/>
              </w:rPr>
              <w:t>The U.S. federal income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2" w:type="dxa"/>
            <w:tcBorders/>
            <w:vAlign w:val="center"/>
          </w:tcPr>
          <w:p>
            <w:pPr>
              <w:pStyle w:val="TableContents"/>
              <w:bidi w:val="0"/>
              <w:spacing w:before="0" w:after="283"/>
              <w:jc w:val="both"/>
              <w:rPr>
                <w:sz w:val="18"/>
              </w:rPr>
            </w:pPr>
            <w:r>
              <w:rPr>
                <w:sz w:val="18"/>
              </w:rPr>
              <w:t>Economic interests of the issuer, the guarantor, the calculation agent, the agent of the offering of the securities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sz w:val="18"/>
              </w:rPr>
            </w:pPr>
            <w:r>
              <w:rPr>
                <w:sz w:val="18"/>
              </w:rPr>
              <w:t>The estimated value of the securities will be lower than the original issue price (price to public) of the securities</w:t>
            </w:r>
            <w:r>
              <w:rPr>
                <w:rFonts w:ascii="Arial;Helvetica;Sans-Serif" w:hAnsi="Arial;Helvetica;Sans-Serif"/>
                <w:b w:val="false"/>
                <w:sz w:val="18"/>
              </w:rPr>
              <w:t>.</w:t>
            </w:r>
          </w:p>
        </w:tc>
      </w:tr>
    </w:tbl>
    <w:tbl>
      <w:tblPr>
        <w:tblW w:w="5000" w:type="pct"/>
        <w:jc w:val="left"/>
        <w:tblInd w:w="0" w:type="dxa"/>
        <w:tblLayout w:type="fixed"/>
        <w:tblCellMar>
          <w:top w:w="0" w:type="dxa"/>
          <w:left w:w="0" w:type="dxa"/>
          <w:bottom w:w="0" w:type="dxa"/>
          <w:right w:w="0" w:type="dxa"/>
        </w:tblCellMar>
      </w:tblPr>
      <w:tblGrid>
        <w:gridCol w:w="43"/>
        <w:gridCol w:w="142"/>
        <w:gridCol w:w="10020"/>
      </w:tblGrid>
      <w:tr>
        <w:trPr/>
        <w:tc>
          <w:tcPr>
            <w:tcW w:w="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0" w:type="dxa"/>
            <w:tcBorders/>
            <w:vAlign w:val="center"/>
          </w:tcPr>
          <w:p>
            <w:pPr>
              <w:pStyle w:val="TableContents"/>
              <w:bidi w:val="0"/>
              <w:spacing w:before="0" w:after="283"/>
              <w:jc w:val="left"/>
              <w:rPr/>
            </w:pPr>
            <w:r>
              <w:rPr>
                <w:sz w:val="18"/>
              </w:rPr>
              <w:t>The estimated value of the securities does not represent future values of the securities and may differ from others’ estimates</w:t>
            </w:r>
            <w:r>
              <w:rPr/>
              <w:t>.</w:t>
            </w:r>
          </w:p>
        </w:tc>
      </w:tr>
    </w:tbl>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6"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estimated value of the securities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value of the securities as published by J.P. Morgan Securities LLC (and which may be reflected on customer account statements) may be higher than the then-current estimated value of the securities for a limited time period.</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sz w:val="18"/>
              </w:rPr>
            </w:pPr>
            <w:r>
              <w:rPr>
                <w:sz w:val="18"/>
              </w:rPr>
              <w:t>Secondary market prices of the securities will likely be lower than the original issue price of the securities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7"/>
        <w:gridCol w:w="158"/>
        <w:gridCol w:w="10000"/>
      </w:tblGrid>
      <w:tr>
        <w:trP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Secondary market prices of the securities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Stock</w:t>
      </w:r>
    </w:p>
    <w:tbl>
      <w:tblPr>
        <w:tblW w:w="5000" w:type="pct"/>
        <w:jc w:val="left"/>
        <w:tblInd w:w="0" w:type="dxa"/>
        <w:tblLayout w:type="fixed"/>
        <w:tblCellMar>
          <w:top w:w="0" w:type="dxa"/>
          <w:left w:w="0" w:type="dxa"/>
          <w:bottom w:w="0" w:type="dxa"/>
          <w:right w:w="0" w:type="dxa"/>
        </w:tblCellMar>
      </w:tblPr>
      <w:tblGrid>
        <w:gridCol w:w="58"/>
        <w:gridCol w:w="194"/>
        <w:gridCol w:w="9953"/>
      </w:tblGrid>
      <w:tr>
        <w:trPr/>
        <w:tc>
          <w:tcPr>
            <w:tcW w:w="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5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Investing in the securities is not equivalent to investing in the underlying stock. </w:t>
            </w:r>
          </w:p>
        </w:tc>
      </w:tr>
    </w:tbl>
    <w:tbl>
      <w:tblPr>
        <w:tblW w:w="5000" w:type="pct"/>
        <w:jc w:val="left"/>
        <w:tblInd w:w="0" w:type="dxa"/>
        <w:tblLayout w:type="fixed"/>
        <w:tblCellMar>
          <w:top w:w="0" w:type="dxa"/>
          <w:left w:w="0" w:type="dxa"/>
          <w:bottom w:w="0" w:type="dxa"/>
          <w:right w:w="0" w:type="dxa"/>
        </w:tblCellMar>
      </w:tblPr>
      <w:tblGrid>
        <w:gridCol w:w="101"/>
        <w:gridCol w:w="336"/>
        <w:gridCol w:w="9768"/>
      </w:tblGrid>
      <w:tr>
        <w:trPr/>
        <w:tc>
          <w:tcPr>
            <w:tcW w:w="10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768"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No affiliation with Palantir Technologies Inc. </w:t>
            </w:r>
          </w:p>
        </w:tc>
      </w:tr>
    </w:tbl>
    <w:tbl>
      <w:tblPr>
        <w:tblW w:w="5000" w:type="pct"/>
        <w:jc w:val="left"/>
        <w:tblInd w:w="0" w:type="dxa"/>
        <w:tblLayout w:type="fixed"/>
        <w:tblCellMar>
          <w:top w:w="0" w:type="dxa"/>
          <w:left w:w="0" w:type="dxa"/>
          <w:bottom w:w="0" w:type="dxa"/>
          <w:right w:w="0" w:type="dxa"/>
        </w:tblCellMar>
      </w:tblPr>
      <w:tblGrid>
        <w:gridCol w:w="44"/>
        <w:gridCol w:w="148"/>
        <w:gridCol w:w="10013"/>
      </w:tblGrid>
      <w:tr>
        <w:trPr/>
        <w:tc>
          <w:tcPr>
            <w:tcW w:w="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1001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We may engage in business with or involving Palantir Technologies Inc. without regard to your interests.</w:t>
            </w:r>
          </w:p>
        </w:tc>
      </w:tr>
    </w:tbl>
    <w:tbl>
      <w:tblPr>
        <w:tblW w:w="5000" w:type="pct"/>
        <w:jc w:val="left"/>
        <w:tblInd w:w="0" w:type="dxa"/>
        <w:tblLayout w:type="fixed"/>
        <w:tblCellMar>
          <w:top w:w="0" w:type="dxa"/>
          <w:left w:w="0" w:type="dxa"/>
          <w:bottom w:w="0" w:type="dxa"/>
          <w:right w:w="0" w:type="dxa"/>
        </w:tblCellMar>
      </w:tblPr>
      <w:tblGrid>
        <w:gridCol w:w="53"/>
        <w:gridCol w:w="177"/>
        <w:gridCol w:w="9975"/>
      </w:tblGrid>
      <w:tr>
        <w:trPr/>
        <w:tc>
          <w:tcPr>
            <w:tcW w:w="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Wingdings" w:hAnsi="Wingdings"/>
                <w:color w:val="A3C4EB"/>
              </w:rPr>
            </w:pPr>
            <w:r>
              <w:rPr>
                <w:rFonts w:ascii="Wingdings" w:hAnsi="Wingdings"/>
                <w:color w:val="A3C4EB"/>
              </w:rPr>
              <w:t>§</w:t>
            </w:r>
          </w:p>
        </w:tc>
        <w:tc>
          <w:tcPr>
            <w:tcW w:w="997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anti-dilution protection for the underlying stock is limited and may be discretionary.</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Tax Considerations</w:t>
      </w:r>
    </w:p>
    <w:p>
      <w:pPr>
        <w:pStyle w:val="TextBody"/>
        <w:bidi w:val="0"/>
        <w:spacing w:before="0" w:after="6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120" w:after="120"/>
        <w:ind w:left="120" w:right="12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90137/ea0302207-01_424b2.htm" TargetMode="External"/><Relationship Id="rId3" Type="http://schemas.openxmlformats.org/officeDocument/2006/relationships/hyperlink" Target="http://www.sec.gov/Archives/edgar/data/19617/000121390026090137/ea0302207-01_424b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1591</Words>
  <Characters>8843</Characters>
  <CharactersWithSpaces>10313</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