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line="262" w:lineRule="auto"/>
        <w:rPr>
          <w:sz w:val="20"/>
          <w:szCs w:val="20"/>
          <w:color w:val="auto"/>
        </w:rPr>
      </w:pPr>
      <w:r>
        <w:rPr>
          <w:rFonts w:ascii="Arial" w:cs="Arial" w:eastAsia="Arial" w:hAnsi="Arial"/>
          <w:sz w:val="14"/>
          <w:szCs w:val="14"/>
          <w:b w:val="1"/>
          <w:bCs w:val="1"/>
          <w:color w:val="FF0000"/>
        </w:rPr>
        <w:t>The information in this preliminary pricing supplement is not complete and may be changed. This preliminary pricing supplement is not an offer to sell nor does it seek an offer to buy these securities in any jurisdiction where the offer or sale is not permitted. Subject to completion dated February 3, 2021</w:t>
      </w:r>
    </w:p>
    <w:p>
      <w:pPr>
        <w:spacing w:after="0" w:line="210" w:lineRule="exact"/>
        <w:rPr>
          <w:sz w:val="24"/>
          <w:szCs w:val="24"/>
          <w:color w:val="auto"/>
        </w:rPr>
      </w:pPr>
    </w:p>
    <w:p>
      <w:pPr>
        <w:spacing w:after="0"/>
        <w:tabs>
          <w:tab w:leader="none" w:pos="740" w:val="left"/>
          <w:tab w:leader="none" w:pos="6400" w:val="left"/>
        </w:tabs>
        <w:rPr>
          <w:sz w:val="20"/>
          <w:szCs w:val="20"/>
          <w:color w:val="auto"/>
        </w:rPr>
      </w:pPr>
      <w:r>
        <w:rPr>
          <w:rFonts w:ascii="Arial" w:cs="Arial" w:eastAsia="Arial" w:hAnsi="Arial"/>
          <w:sz w:val="14"/>
          <w:szCs w:val="14"/>
          <w:color w:val="auto"/>
        </w:rPr>
        <w:t>February</w:t>
        <w:tab/>
        <w:t>, 2021</w:t>
      </w:r>
      <w:r>
        <w:rPr>
          <w:sz w:val="20"/>
          <w:szCs w:val="20"/>
          <w:color w:val="auto"/>
        </w:rPr>
        <w:tab/>
      </w:r>
      <w:r>
        <w:rPr>
          <w:rFonts w:ascii="Arial" w:cs="Arial" w:eastAsia="Arial" w:hAnsi="Arial"/>
          <w:sz w:val="14"/>
          <w:szCs w:val="14"/>
          <w:color w:val="auto"/>
        </w:rPr>
        <w:t>Registration Statement Nos. 333-236659 and 333-236659-01;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97090" cy="4737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47371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120"/>
        <w:spacing w:after="0"/>
        <w:rPr>
          <w:sz w:val="20"/>
          <w:szCs w:val="20"/>
          <w:color w:val="auto"/>
        </w:rPr>
      </w:pPr>
      <w:r>
        <w:rPr>
          <w:rFonts w:ascii="Arial" w:cs="Arial" w:eastAsia="Arial" w:hAnsi="Arial"/>
          <w:sz w:val="25"/>
          <w:szCs w:val="25"/>
          <w:color w:val="404040"/>
        </w:rPr>
        <w:t>JPMorgan Chase Financial Company LLC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25"/>
          <w:szCs w:val="25"/>
          <w:color w:val="404040"/>
        </w:rPr>
        <w:t>Structured Investments</w:t>
      </w:r>
    </w:p>
    <w:p>
      <w:pPr>
        <w:spacing w:after="0" w:line="110" w:lineRule="exact"/>
        <w:rPr>
          <w:sz w:val="24"/>
          <w:szCs w:val="24"/>
          <w:color w:val="auto"/>
        </w:rPr>
      </w:pPr>
    </w:p>
    <w:p>
      <w:pPr>
        <w:ind w:left="120" w:right="160"/>
        <w:spacing w:after="0" w:line="243" w:lineRule="auto"/>
        <w:rPr>
          <w:sz w:val="20"/>
          <w:szCs w:val="20"/>
          <w:color w:val="auto"/>
        </w:rPr>
      </w:pPr>
      <w:r>
        <w:rPr>
          <w:rFonts w:ascii="Arial" w:cs="Arial" w:eastAsia="Arial" w:hAnsi="Arial"/>
          <w:sz w:val="34"/>
          <w:szCs w:val="34"/>
          <w:color w:val="54301A"/>
        </w:rPr>
        <w:t>Auto Callable Contingent Interest Notes Linked to the ARK Innovation ETF due February 18, 2026</w:t>
      </w:r>
    </w:p>
    <w:p>
      <w:pPr>
        <w:spacing w:after="0" w:line="83" w:lineRule="exact"/>
        <w:rPr>
          <w:sz w:val="24"/>
          <w:szCs w:val="24"/>
          <w:color w:val="auto"/>
        </w:rPr>
      </w:pPr>
    </w:p>
    <w:p>
      <w:pPr>
        <w:ind w:left="120"/>
        <w:spacing w:after="0"/>
        <w:rPr>
          <w:sz w:val="20"/>
          <w:szCs w:val="20"/>
          <w:color w:val="auto"/>
        </w:rPr>
      </w:pPr>
      <w:r>
        <w:rPr>
          <w:rFonts w:ascii="Arial" w:cs="Arial" w:eastAsia="Arial" w:hAnsi="Arial"/>
          <w:sz w:val="25"/>
          <w:szCs w:val="25"/>
          <w:color w:val="54301A"/>
        </w:rPr>
        <w:t>Fully and Unconditionally Guaranteed by JPMorgan Chase &amp; Co.</w:t>
      </w:r>
    </w:p>
    <w:p>
      <w:pPr>
        <w:spacing w:after="0" w:line="110" w:lineRule="exact"/>
        <w:rPr>
          <w:sz w:val="24"/>
          <w:szCs w:val="24"/>
          <w:color w:val="auto"/>
        </w:rPr>
      </w:pPr>
    </w:p>
    <w:p>
      <w:pPr>
        <w:ind w:left="740" w:right="340" w:hanging="310"/>
        <w:spacing w:after="0" w:line="247" w:lineRule="auto"/>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designed for investors who seek a Contingent Interest Payment with respect to each Review Date for which the closing price of one share of the ARK Innovation ETF, which we refer to as the Fund, is greater than or equal to 80.00% of the Initial Value, which we refer to as the Interest Barrier.</w:t>
      </w:r>
    </w:p>
    <w:p>
      <w:pPr>
        <w:spacing w:after="0" w:line="94" w:lineRule="exact"/>
        <w:rPr>
          <w:rFonts w:ascii="Arial" w:cs="Arial" w:eastAsia="Arial" w:hAnsi="Arial"/>
          <w:sz w:val="16"/>
          <w:szCs w:val="16"/>
          <w:color w:val="262626"/>
        </w:rPr>
      </w:pPr>
    </w:p>
    <w:p>
      <w:pPr>
        <w:ind w:left="740" w:right="160" w:hanging="310"/>
        <w:spacing w:after="0" w:line="252" w:lineRule="auto"/>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will be automatically called if the closing price of one share of the Fund on any Review Date (other than the first through eleventh and final Review Dates) is greater than or equal to the Initial Value.</w:t>
      </w:r>
    </w:p>
    <w:p>
      <w:pPr>
        <w:spacing w:after="0" w:line="90" w:lineRule="exact"/>
        <w:rPr>
          <w:rFonts w:ascii="Arial" w:cs="Arial" w:eastAsia="Arial" w:hAnsi="Arial"/>
          <w:sz w:val="16"/>
          <w:szCs w:val="16"/>
          <w:color w:val="262626"/>
        </w:rPr>
      </w:pPr>
    </w:p>
    <w:p>
      <w:pPr>
        <w:ind w:left="740" w:hanging="310"/>
        <w:spacing w:after="0"/>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earliest date on which an automatic call may be initiated is February 14, 2022.</w:t>
      </w:r>
    </w:p>
    <w:p>
      <w:pPr>
        <w:spacing w:after="0" w:line="120" w:lineRule="exact"/>
        <w:rPr>
          <w:rFonts w:ascii="Arial" w:cs="Arial" w:eastAsia="Arial" w:hAnsi="Arial"/>
          <w:sz w:val="16"/>
          <w:szCs w:val="16"/>
          <w:color w:val="262626"/>
        </w:rPr>
      </w:pPr>
    </w:p>
    <w:p>
      <w:pPr>
        <w:ind w:left="740" w:right="240" w:hanging="310"/>
        <w:spacing w:after="0" w:line="252" w:lineRule="auto"/>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should be willing to accept the risk of losing up to 80.00% of their principal and the risk that no Contingent Interest Payment may be made with respect to some or all Review Dates.</w:t>
      </w:r>
    </w:p>
    <w:p>
      <w:pPr>
        <w:spacing w:after="0" w:line="90" w:lineRule="exact"/>
        <w:rPr>
          <w:rFonts w:ascii="Arial" w:cs="Arial" w:eastAsia="Arial" w:hAnsi="Arial"/>
          <w:sz w:val="16"/>
          <w:szCs w:val="16"/>
          <w:color w:val="262626"/>
        </w:rPr>
      </w:pPr>
    </w:p>
    <w:p>
      <w:pPr>
        <w:ind w:left="740" w:hanging="310"/>
        <w:spacing w:after="0"/>
        <w:tabs>
          <w:tab w:leader="none" w:pos="740" w:val="left"/>
        </w:tabs>
        <w:numPr>
          <w:ilvl w:val="0"/>
          <w:numId w:val="1"/>
        </w:numPr>
        <w:rPr>
          <w:rFonts w:ascii="Arial" w:cs="Arial" w:eastAsia="Arial" w:hAnsi="Arial"/>
          <w:sz w:val="15"/>
          <w:szCs w:val="15"/>
          <w:color w:val="262626"/>
        </w:rPr>
      </w:pPr>
      <w:r>
        <w:rPr>
          <w:rFonts w:ascii="Arial" w:cs="Arial" w:eastAsia="Arial" w:hAnsi="Arial"/>
          <w:sz w:val="15"/>
          <w:szCs w:val="15"/>
          <w:color w:val="262626"/>
        </w:rPr>
        <w:t>Investors should also be willing to forgo fixed interest and dividend payments, in exchange for the opportunity to receive Contingent Interest Payments.</w:t>
      </w:r>
    </w:p>
    <w:p>
      <w:pPr>
        <w:spacing w:after="0" w:line="112" w:lineRule="exact"/>
        <w:rPr>
          <w:rFonts w:ascii="Arial" w:cs="Arial" w:eastAsia="Arial" w:hAnsi="Arial"/>
          <w:sz w:val="15"/>
          <w:szCs w:val="15"/>
          <w:color w:val="262626"/>
        </w:rPr>
      </w:pPr>
    </w:p>
    <w:p>
      <w:pPr>
        <w:ind w:left="740" w:right="120" w:hanging="310"/>
        <w:spacing w:after="0" w:line="254" w:lineRule="auto"/>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b w:val="1"/>
          <w:bCs w:val="1"/>
          <w:color w:val="262626"/>
        </w:rPr>
        <w:t xml:space="preserve">The Fund is actively managed and is subject to additional risks. Unlike a passively managed fund, an actively managed fund does not attempt to track an index or other benchmark, and the investment decisions for an actively managed fund are instead made by its investment adviser. </w:t>
      </w:r>
      <w:r>
        <w:rPr>
          <w:rFonts w:ascii="Arial" w:cs="Arial" w:eastAsia="Arial" w:hAnsi="Arial"/>
          <w:sz w:val="16"/>
          <w:szCs w:val="16"/>
          <w:color w:val="262626"/>
        </w:rPr>
        <w:t>See “Selected Risk Considerations — Risks Relating to the Fund — An Investment in the Notes Is Subject to Risks Associated</w:t>
      </w:r>
      <w:r>
        <w:rPr>
          <w:rFonts w:ascii="Arial" w:cs="Arial" w:eastAsia="Arial" w:hAnsi="Arial"/>
          <w:sz w:val="16"/>
          <w:szCs w:val="16"/>
          <w:b w:val="1"/>
          <w:bCs w:val="1"/>
          <w:color w:val="262626"/>
        </w:rPr>
        <w:t xml:space="preserve"> </w:t>
      </w:r>
      <w:r>
        <w:rPr>
          <w:rFonts w:ascii="Arial" w:cs="Arial" w:eastAsia="Arial" w:hAnsi="Arial"/>
          <w:sz w:val="16"/>
          <w:szCs w:val="16"/>
          <w:color w:val="262626"/>
        </w:rPr>
        <w:t>with Actively Managed Funds” in this pricing supplement for more information.</w:t>
      </w:r>
    </w:p>
    <w:p>
      <w:pPr>
        <w:spacing w:after="0" w:line="62" w:lineRule="exact"/>
        <w:rPr>
          <w:rFonts w:ascii="Arial" w:cs="Arial" w:eastAsia="Arial" w:hAnsi="Arial"/>
          <w:sz w:val="16"/>
          <w:szCs w:val="16"/>
          <w:color w:val="262626"/>
        </w:rPr>
      </w:pPr>
    </w:p>
    <w:p>
      <w:pPr>
        <w:ind w:left="740" w:right="120" w:hanging="310"/>
        <w:spacing w:after="0" w:line="258" w:lineRule="auto"/>
        <w:tabs>
          <w:tab w:leader="none" w:pos="740" w:val="left"/>
        </w:tabs>
        <w:numPr>
          <w:ilvl w:val="0"/>
          <w:numId w:val="1"/>
        </w:numPr>
        <w:rPr>
          <w:rFonts w:ascii="Arial" w:cs="Arial" w:eastAsia="Arial" w:hAnsi="Arial"/>
          <w:sz w:val="15"/>
          <w:szCs w:val="15"/>
          <w:color w:val="262626"/>
        </w:rPr>
      </w:pPr>
      <w:r>
        <w:rPr>
          <w:rFonts w:ascii="Arial" w:cs="Arial" w:eastAsia="Arial" w:hAnsi="Arial"/>
          <w:sz w:val="15"/>
          <w:szCs w:val="15"/>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5"/>
          <w:szCs w:val="15"/>
          <w:b w:val="1"/>
          <w:bCs w:val="1"/>
          <w:color w:val="262626"/>
        </w:rPr>
        <w:t>Any payment on the notes is subject to the credit risk of</w:t>
      </w:r>
    </w:p>
    <w:p>
      <w:pPr>
        <w:ind w:left="740"/>
        <w:spacing w:after="0"/>
        <w:rPr>
          <w:rFonts w:ascii="Arial" w:cs="Arial" w:eastAsia="Arial" w:hAnsi="Arial"/>
          <w:sz w:val="15"/>
          <w:szCs w:val="15"/>
          <w:color w:val="262626"/>
        </w:rPr>
      </w:pPr>
      <w:r>
        <w:rPr>
          <w:rFonts w:ascii="Arial" w:cs="Arial" w:eastAsia="Arial" w:hAnsi="Arial"/>
          <w:sz w:val="16"/>
          <w:szCs w:val="16"/>
          <w:b w:val="1"/>
          <w:bCs w:val="1"/>
          <w:color w:val="262626"/>
        </w:rPr>
        <w:t>JPMorgan Financial, as issuer of the notes, and the credit risk of JPMorgan Chase &amp; Co., as guarantor of the notes.</w:t>
      </w:r>
    </w:p>
    <w:p>
      <w:pPr>
        <w:spacing w:after="0" w:line="1" w:lineRule="exact"/>
        <w:rPr>
          <w:rFonts w:ascii="Arial" w:cs="Arial" w:eastAsia="Arial" w:hAnsi="Arial"/>
          <w:sz w:val="15"/>
          <w:szCs w:val="15"/>
          <w:color w:val="262626"/>
        </w:rPr>
      </w:pPr>
    </w:p>
    <w:p>
      <w:pPr>
        <w:ind w:left="740" w:hanging="310"/>
        <w:spacing w:after="0"/>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Minimum denominations of $1,000 and integral multiples thereof</w:t>
      </w:r>
    </w:p>
    <w:p>
      <w:pPr>
        <w:spacing w:after="0" w:line="120" w:lineRule="exact"/>
        <w:rPr>
          <w:rFonts w:ascii="Arial" w:cs="Arial" w:eastAsia="Arial" w:hAnsi="Arial"/>
          <w:sz w:val="16"/>
          <w:szCs w:val="16"/>
          <w:color w:val="262626"/>
        </w:rPr>
      </w:pPr>
    </w:p>
    <w:p>
      <w:pPr>
        <w:ind w:left="740" w:hanging="310"/>
        <w:spacing w:after="0"/>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expected to price on or about February 12, 2021 and are expected to settle on or about February 18, 2021.</w:t>
      </w:r>
    </w:p>
    <w:p>
      <w:pPr>
        <w:spacing w:after="0" w:line="120" w:lineRule="exact"/>
        <w:rPr>
          <w:rFonts w:ascii="Arial" w:cs="Arial" w:eastAsia="Arial" w:hAnsi="Arial"/>
          <w:sz w:val="16"/>
          <w:szCs w:val="16"/>
          <w:color w:val="262626"/>
        </w:rPr>
      </w:pPr>
    </w:p>
    <w:p>
      <w:pPr>
        <w:ind w:left="740" w:hanging="310"/>
        <w:spacing w:after="0"/>
        <w:tabs>
          <w:tab w:leader="none" w:pos="74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CUSIP: 48132RXX3</w:t>
      </w:r>
    </w:p>
    <w:p>
      <w:pPr>
        <w:spacing w:after="0" w:line="220" w:lineRule="exact"/>
        <w:rPr>
          <w:sz w:val="24"/>
          <w:szCs w:val="24"/>
          <w:color w:val="auto"/>
        </w:rPr>
      </w:pPr>
    </w:p>
    <w:p>
      <w:pPr>
        <w:jc w:val="both"/>
        <w:ind w:right="380"/>
        <w:spacing w:after="0" w:line="260"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S-2 of the accompanying prospectus supplement, “Risk Factors” beginning on page PS-12 of the accompanying product supplement and “Selected Risk Considerations” beginning on page PS-6 of this pricing supplement.</w:t>
      </w:r>
    </w:p>
    <w:p>
      <w:pPr>
        <w:spacing w:after="0" w:line="45" w:lineRule="exact"/>
        <w:rPr>
          <w:sz w:val="24"/>
          <w:szCs w:val="24"/>
          <w:color w:val="auto"/>
        </w:rPr>
      </w:pPr>
    </w:p>
    <w:p>
      <w:pPr>
        <w:ind w:right="160"/>
        <w:spacing w:after="0" w:line="247"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prospectus supplement and prospectus. Any representation to the contrary is a criminal offense.</w:t>
      </w:r>
    </w:p>
    <w:p>
      <w:pPr>
        <w:spacing w:after="0" w:line="93" w:lineRule="exact"/>
        <w:rPr>
          <w:sz w:val="24"/>
          <w:szCs w:val="24"/>
          <w:color w:val="auto"/>
        </w:rPr>
      </w:pPr>
    </w:p>
    <w:tbl>
      <w:tblPr>
        <w:tblLayout w:type="fixed"/>
        <w:tblInd w:w="480" w:type="dxa"/>
        <w:tblCellMar>
          <w:top w:w="0" w:type="dxa"/>
          <w:left w:w="0" w:type="dxa"/>
          <w:bottom w:w="0" w:type="dxa"/>
          <w:right w:w="0" w:type="dxa"/>
        </w:tblCellMar>
      </w:tblPr>
      <w:tr>
        <w:trPr>
          <w:trHeight w:val="185"/>
        </w:trPr>
        <w:tc>
          <w:tcPr>
            <w:tcW w:w="1180" w:type="dxa"/>
            <w:vAlign w:val="bottom"/>
            <w:shd w:val="clear" w:color="auto" w:fill="BFBFBF"/>
          </w:tcPr>
          <w:p>
            <w:pPr>
              <w:spacing w:after="0"/>
              <w:rPr>
                <w:sz w:val="16"/>
                <w:szCs w:val="16"/>
                <w:color w:val="auto"/>
              </w:rPr>
            </w:pPr>
          </w:p>
        </w:tc>
        <w:tc>
          <w:tcPr>
            <w:tcW w:w="2720" w:type="dxa"/>
            <w:vAlign w:val="bottom"/>
            <w:shd w:val="clear" w:color="auto" w:fill="BFBFBF"/>
          </w:tcPr>
          <w:p>
            <w:pPr>
              <w:ind w:left="560"/>
              <w:spacing w:after="0"/>
              <w:rPr>
                <w:sz w:val="20"/>
                <w:szCs w:val="20"/>
                <w:color w:val="auto"/>
              </w:rPr>
            </w:pPr>
            <w:r>
              <w:rPr>
                <w:rFonts w:ascii="Arial" w:cs="Arial" w:eastAsia="Arial" w:hAnsi="Arial"/>
                <w:sz w:val="16"/>
                <w:szCs w:val="16"/>
                <w:color w:val="auto"/>
              </w:rPr>
              <w:t>Price to Public (1)</w:t>
            </w:r>
          </w:p>
        </w:tc>
        <w:tc>
          <w:tcPr>
            <w:tcW w:w="3440" w:type="dxa"/>
            <w:vAlign w:val="bottom"/>
            <w:shd w:val="clear" w:color="auto" w:fill="BFBFBF"/>
          </w:tcPr>
          <w:p>
            <w:pPr>
              <w:ind w:left="900"/>
              <w:spacing w:after="0"/>
              <w:rPr>
                <w:sz w:val="20"/>
                <w:szCs w:val="20"/>
                <w:color w:val="auto"/>
              </w:rPr>
            </w:pPr>
            <w:r>
              <w:rPr>
                <w:rFonts w:ascii="Arial" w:cs="Arial" w:eastAsia="Arial" w:hAnsi="Arial"/>
                <w:sz w:val="16"/>
                <w:szCs w:val="16"/>
                <w:color w:val="auto"/>
              </w:rPr>
              <w:t>Fees and Commissions (2)</w:t>
            </w:r>
          </w:p>
        </w:tc>
        <w:tc>
          <w:tcPr>
            <w:tcW w:w="2960" w:type="dxa"/>
            <w:vAlign w:val="bottom"/>
            <w:shd w:val="clear" w:color="auto" w:fill="BFBFBF"/>
          </w:tcPr>
          <w:p>
            <w:pPr>
              <w:ind w:left="640"/>
              <w:spacing w:after="0"/>
              <w:rPr>
                <w:sz w:val="20"/>
                <w:szCs w:val="20"/>
                <w:color w:val="auto"/>
              </w:rPr>
            </w:pPr>
            <w:r>
              <w:rPr>
                <w:rFonts w:ascii="Arial" w:cs="Arial" w:eastAsia="Arial" w:hAnsi="Arial"/>
                <w:sz w:val="16"/>
                <w:szCs w:val="16"/>
                <w:color w:val="auto"/>
              </w:rPr>
              <w:t>Proceeds to Issuer</w:t>
            </w:r>
          </w:p>
        </w:tc>
      </w:tr>
      <w:tr>
        <w:trPr>
          <w:trHeight w:val="187"/>
        </w:trPr>
        <w:tc>
          <w:tcPr>
            <w:tcW w:w="1180" w:type="dxa"/>
            <w:vAlign w:val="bottom"/>
          </w:tcPr>
          <w:p>
            <w:pPr>
              <w:spacing w:after="0"/>
              <w:rPr>
                <w:sz w:val="20"/>
                <w:szCs w:val="20"/>
                <w:color w:val="auto"/>
              </w:rPr>
            </w:pPr>
            <w:r>
              <w:rPr>
                <w:rFonts w:ascii="Arial" w:cs="Arial" w:eastAsia="Arial" w:hAnsi="Arial"/>
                <w:sz w:val="16"/>
                <w:szCs w:val="16"/>
                <w:color w:val="404040"/>
              </w:rPr>
              <w:t>Per note</w:t>
            </w:r>
          </w:p>
        </w:tc>
        <w:tc>
          <w:tcPr>
            <w:tcW w:w="2720" w:type="dxa"/>
            <w:vAlign w:val="bottom"/>
          </w:tcPr>
          <w:p>
            <w:pPr>
              <w:ind w:left="560"/>
              <w:spacing w:after="0"/>
              <w:rPr>
                <w:sz w:val="20"/>
                <w:szCs w:val="20"/>
                <w:color w:val="auto"/>
              </w:rPr>
            </w:pPr>
            <w:r>
              <w:rPr>
                <w:rFonts w:ascii="Arial" w:cs="Arial" w:eastAsia="Arial" w:hAnsi="Arial"/>
                <w:sz w:val="16"/>
                <w:szCs w:val="16"/>
                <w:color w:val="404040"/>
              </w:rPr>
              <w:t>$1,000</w:t>
            </w:r>
          </w:p>
        </w:tc>
        <w:tc>
          <w:tcPr>
            <w:tcW w:w="3440" w:type="dxa"/>
            <w:vAlign w:val="bottom"/>
          </w:tcPr>
          <w:p>
            <w:pPr>
              <w:ind w:left="900"/>
              <w:spacing w:after="0"/>
              <w:rPr>
                <w:sz w:val="20"/>
                <w:szCs w:val="20"/>
                <w:color w:val="auto"/>
              </w:rPr>
            </w:pPr>
            <w:r>
              <w:rPr>
                <w:rFonts w:ascii="Arial" w:cs="Arial" w:eastAsia="Arial" w:hAnsi="Arial"/>
                <w:sz w:val="16"/>
                <w:szCs w:val="16"/>
                <w:color w:val="404040"/>
              </w:rPr>
              <w:t>$</w:t>
            </w:r>
          </w:p>
        </w:tc>
        <w:tc>
          <w:tcPr>
            <w:tcW w:w="2960" w:type="dxa"/>
            <w:vAlign w:val="bottom"/>
          </w:tcPr>
          <w:p>
            <w:pPr>
              <w:ind w:left="640"/>
              <w:spacing w:after="0"/>
              <w:rPr>
                <w:sz w:val="20"/>
                <w:szCs w:val="20"/>
                <w:color w:val="auto"/>
              </w:rPr>
            </w:pPr>
            <w:r>
              <w:rPr>
                <w:rFonts w:ascii="Arial" w:cs="Arial" w:eastAsia="Arial" w:hAnsi="Arial"/>
                <w:sz w:val="16"/>
                <w:szCs w:val="16"/>
                <w:color w:val="404040"/>
              </w:rPr>
              <w:t>$</w:t>
            </w:r>
          </w:p>
        </w:tc>
      </w:tr>
      <w:tr>
        <w:trPr>
          <w:trHeight w:val="184"/>
        </w:trPr>
        <w:tc>
          <w:tcPr>
            <w:tcW w:w="1180" w:type="dxa"/>
            <w:vAlign w:val="bottom"/>
            <w:tcBorders>
              <w:bottom w:val="single" w:sz="8" w:color="6D6E71"/>
            </w:tcBorders>
          </w:tcPr>
          <w:p>
            <w:pPr>
              <w:spacing w:after="0"/>
              <w:rPr>
                <w:sz w:val="20"/>
                <w:szCs w:val="20"/>
                <w:color w:val="auto"/>
              </w:rPr>
            </w:pPr>
            <w:r>
              <w:rPr>
                <w:rFonts w:ascii="Arial" w:cs="Arial" w:eastAsia="Arial" w:hAnsi="Arial"/>
                <w:sz w:val="16"/>
                <w:szCs w:val="16"/>
                <w:color w:val="404040"/>
              </w:rPr>
              <w:t>Total</w:t>
            </w:r>
          </w:p>
        </w:tc>
        <w:tc>
          <w:tcPr>
            <w:tcW w:w="2720" w:type="dxa"/>
            <w:vAlign w:val="bottom"/>
            <w:tcBorders>
              <w:bottom w:val="single" w:sz="8" w:color="6D6E71"/>
            </w:tcBorders>
          </w:tcPr>
          <w:p>
            <w:pPr>
              <w:ind w:left="560"/>
              <w:spacing w:after="0"/>
              <w:rPr>
                <w:sz w:val="20"/>
                <w:szCs w:val="20"/>
                <w:color w:val="auto"/>
              </w:rPr>
            </w:pPr>
            <w:r>
              <w:rPr>
                <w:rFonts w:ascii="Arial" w:cs="Arial" w:eastAsia="Arial" w:hAnsi="Arial"/>
                <w:sz w:val="16"/>
                <w:szCs w:val="16"/>
                <w:color w:val="404040"/>
              </w:rPr>
              <w:t>$</w:t>
            </w:r>
          </w:p>
        </w:tc>
        <w:tc>
          <w:tcPr>
            <w:tcW w:w="3440" w:type="dxa"/>
            <w:vAlign w:val="bottom"/>
            <w:tcBorders>
              <w:bottom w:val="single" w:sz="8" w:color="6D6E71"/>
            </w:tcBorders>
          </w:tcPr>
          <w:p>
            <w:pPr>
              <w:ind w:left="900"/>
              <w:spacing w:after="0"/>
              <w:rPr>
                <w:sz w:val="20"/>
                <w:szCs w:val="20"/>
                <w:color w:val="auto"/>
              </w:rPr>
            </w:pPr>
            <w:r>
              <w:rPr>
                <w:rFonts w:ascii="Arial" w:cs="Arial" w:eastAsia="Arial" w:hAnsi="Arial"/>
                <w:sz w:val="16"/>
                <w:szCs w:val="16"/>
                <w:color w:val="404040"/>
              </w:rPr>
              <w:t>$</w:t>
            </w:r>
          </w:p>
        </w:tc>
        <w:tc>
          <w:tcPr>
            <w:tcW w:w="2960" w:type="dxa"/>
            <w:vAlign w:val="bottom"/>
            <w:tcBorders>
              <w:bottom w:val="single" w:sz="8" w:color="6D6E71"/>
            </w:tcBorders>
          </w:tcPr>
          <w:p>
            <w:pPr>
              <w:ind w:left="640"/>
              <w:spacing w:after="0"/>
              <w:rPr>
                <w:sz w:val="20"/>
                <w:szCs w:val="20"/>
                <w:color w:val="auto"/>
              </w:rPr>
            </w:pPr>
            <w:r>
              <w:rPr>
                <w:rFonts w:ascii="Arial" w:cs="Arial" w:eastAsia="Arial" w:hAnsi="Arial"/>
                <w:sz w:val="16"/>
                <w:szCs w:val="16"/>
                <w:color w:val="404040"/>
              </w:rPr>
              <w:t>$</w:t>
            </w:r>
          </w:p>
        </w:tc>
      </w:tr>
    </w:tbl>
    <w:p>
      <w:pPr>
        <w:spacing w:after="0" w:line="124" w:lineRule="exact"/>
        <w:rPr>
          <w:sz w:val="24"/>
          <w:szCs w:val="24"/>
          <w:color w:val="auto"/>
        </w:rPr>
      </w:pPr>
    </w:p>
    <w:p>
      <w:pPr>
        <w:ind w:left="680" w:hanging="204"/>
        <w:spacing w:after="0"/>
        <w:tabs>
          <w:tab w:leader="none" w:pos="68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pricing supplement for information about the components of the price to public of the notes.</w:t>
      </w:r>
    </w:p>
    <w:p>
      <w:pPr>
        <w:spacing w:after="0" w:line="51" w:lineRule="exact"/>
        <w:rPr>
          <w:rFonts w:ascii="Arial" w:cs="Arial" w:eastAsia="Arial" w:hAnsi="Arial"/>
          <w:sz w:val="14"/>
          <w:szCs w:val="14"/>
          <w:color w:val="404040"/>
        </w:rPr>
      </w:pPr>
    </w:p>
    <w:p>
      <w:pPr>
        <w:ind w:left="480" w:right="600" w:hanging="4"/>
        <w:spacing w:after="0" w:line="243" w:lineRule="auto"/>
        <w:tabs>
          <w:tab w:leader="none" w:pos="692"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Financial, will pay all of the selling commissions it receives from us to other affiliated or unaffiliated dealers. In no event will these selling commissions exceed $37.50 per $1,000 principal amount note. See “Plan of Distribution (Conflicts of Interest)” in the accompanying product supplement.</w:t>
      </w:r>
    </w:p>
    <w:p>
      <w:pPr>
        <w:spacing w:after="0" w:line="58" w:lineRule="exact"/>
        <w:rPr>
          <w:sz w:val="24"/>
          <w:szCs w:val="24"/>
          <w:color w:val="auto"/>
        </w:rPr>
      </w:pPr>
    </w:p>
    <w:p>
      <w:pPr>
        <w:ind w:right="200"/>
        <w:spacing w:after="0" w:line="260" w:lineRule="auto"/>
        <w:rPr>
          <w:sz w:val="20"/>
          <w:szCs w:val="20"/>
          <w:color w:val="auto"/>
        </w:rPr>
      </w:pPr>
      <w:r>
        <w:rPr>
          <w:rFonts w:ascii="Arial" w:cs="Arial" w:eastAsia="Arial" w:hAnsi="Arial"/>
          <w:sz w:val="16"/>
          <w:szCs w:val="16"/>
          <w:b w:val="1"/>
          <w:bCs w:val="1"/>
          <w:color w:val="auto"/>
        </w:rPr>
        <w:t>If the notes priced today, the estimated value of the notes would be approximately $923.80 per $1,000 principal amount note. The estimated value of the notes, when the terms of the notes are set, will be provided in the pricing supplement and will not be less than $900.00 per $1,000 principal amount note. See “The Estimated Value of the Notes” in this pricing supplement for additional information.</w:t>
      </w:r>
    </w:p>
    <w:p>
      <w:pPr>
        <w:spacing w:after="0" w:line="29" w:lineRule="exact"/>
        <w:rPr>
          <w:sz w:val="24"/>
          <w:szCs w:val="24"/>
          <w:color w:val="auto"/>
        </w:rPr>
      </w:pPr>
    </w:p>
    <w:p>
      <w:pPr>
        <w:ind w:right="140"/>
        <w:spacing w:after="0" w:line="273"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spacing w:after="0" w:line="301" w:lineRule="exact"/>
        <w:rPr>
          <w:sz w:val="24"/>
          <w:szCs w:val="24"/>
          <w:color w:val="auto"/>
        </w:rPr>
      </w:pPr>
    </w:p>
    <w:p>
      <w:pPr>
        <w:spacing w:after="0"/>
        <w:rPr>
          <w:sz w:val="20"/>
          <w:szCs w:val="20"/>
          <w:color w:val="auto"/>
        </w:rPr>
      </w:pPr>
      <w:r>
        <w:rPr>
          <w:rFonts w:ascii="Arial" w:cs="Arial" w:eastAsia="Arial" w:hAnsi="Arial"/>
          <w:sz w:val="14"/>
          <w:szCs w:val="14"/>
          <w:color w:val="6D6E71"/>
        </w:rPr>
        <w:t>Pricing supplement to product supplement no. 4-II dated November 4, 2020</w:t>
      </w:r>
    </w:p>
    <w:p>
      <w:pPr>
        <w:spacing w:after="0"/>
        <w:rPr>
          <w:sz w:val="20"/>
          <w:szCs w:val="20"/>
          <w:color w:val="auto"/>
        </w:rPr>
      </w:pPr>
      <w:r>
        <w:rPr>
          <w:rFonts w:ascii="Arial" w:cs="Arial" w:eastAsia="Arial" w:hAnsi="Arial"/>
          <w:sz w:val="14"/>
          <w:szCs w:val="14"/>
          <w:color w:val="6D6E71"/>
        </w:rPr>
        <w:t>and the prospectus and prospectus supplement, each dated April 8, 2020</w:t>
      </w:r>
    </w:p>
    <w:p>
      <w:pPr>
        <w:sectPr>
          <w:pgSz w:w="11900" w:h="16838" w:orient="portrait"/>
          <w:cols w:equalWidth="0" w:num="1">
            <w:col w:w="11340"/>
          </w:cols>
          <w:pgMar w:left="320" w:top="232" w:right="2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20"/>
          </w:cols>
          <w:pgMar w:left="320" w:top="607" w:right="459" w:bottom="1440" w:gutter="0" w:footer="0" w:header="0"/>
        </w:sectPr>
      </w:pPr>
    </w:p>
    <w:p>
      <w:pPr>
        <w:spacing w:after="0" w:line="48"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an indirect, wholly owned</w:t>
      </w:r>
      <w:r>
        <w:rPr>
          <w:rFonts w:ascii="Arial" w:cs="Arial" w:eastAsia="Arial" w:hAnsi="Arial"/>
          <w:sz w:val="16"/>
          <w:szCs w:val="16"/>
          <w:b w:val="1"/>
          <w:bCs w:val="1"/>
          <w:color w:val="54301A"/>
        </w:rPr>
        <w:t xml:space="preserve"> </w:t>
      </w:r>
      <w:r>
        <w:rPr>
          <w:rFonts w:ascii="Arial" w:cs="Arial" w:eastAsia="Arial" w:hAnsi="Arial"/>
          <w:sz w:val="16"/>
          <w:szCs w:val="16"/>
          <w:color w:val="000000"/>
        </w:rPr>
        <w:t>finance subsidiary of JPMorgan Chase &amp; Co.</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Guarantor: </w:t>
      </w:r>
      <w:r>
        <w:rPr>
          <w:rFonts w:ascii="Arial" w:cs="Arial" w:eastAsia="Arial" w:hAnsi="Arial"/>
          <w:sz w:val="16"/>
          <w:szCs w:val="16"/>
          <w:color w:val="000000"/>
        </w:rPr>
        <w:t>JPMorgan Chase &amp; Co.</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Fund: </w:t>
      </w:r>
      <w:r>
        <w:rPr>
          <w:rFonts w:ascii="Arial" w:cs="Arial" w:eastAsia="Arial" w:hAnsi="Arial"/>
          <w:sz w:val="16"/>
          <w:szCs w:val="16"/>
          <w:color w:val="000000"/>
        </w:rPr>
        <w:t>The ARK Innovation ETF (Bloomberg ticker: ARKK)</w:t>
      </w:r>
    </w:p>
    <w:p>
      <w:pPr>
        <w:spacing w:after="0" w:line="68"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color w:val="54301A"/>
        </w:rPr>
        <w:t xml:space="preserve">Contingent Interest Payments: </w:t>
      </w:r>
      <w:r>
        <w:rPr>
          <w:rFonts w:ascii="Arial" w:cs="Arial" w:eastAsia="Arial" w:hAnsi="Arial"/>
          <w:sz w:val="16"/>
          <w:szCs w:val="16"/>
          <w:color w:val="000000"/>
        </w:rPr>
        <w:t>If the notes have not been automatically</w:t>
      </w:r>
      <w:r>
        <w:rPr>
          <w:rFonts w:ascii="Arial" w:cs="Arial" w:eastAsia="Arial" w:hAnsi="Arial"/>
          <w:sz w:val="16"/>
          <w:szCs w:val="16"/>
          <w:b w:val="1"/>
          <w:bCs w:val="1"/>
          <w:color w:val="54301A"/>
        </w:rPr>
        <w:t xml:space="preserve"> </w:t>
      </w:r>
      <w:r>
        <w:rPr>
          <w:rFonts w:ascii="Arial" w:cs="Arial" w:eastAsia="Arial" w:hAnsi="Arial"/>
          <w:sz w:val="16"/>
          <w:szCs w:val="16"/>
          <w:color w:val="000000"/>
        </w:rPr>
        <w:t>called and the closing price of one share of the Fund on any Review Date is greater than or equal to the Interest Barrier, you will receive on the applicable Interest Payment Date for each $1,000 principal amount note a Contingent Interest Payment equal to at least $10.0417 (equivalent to a Contingent Interest Rate of at least 12.05% per annum, payable at a rate of at least 1.00417% per month) (to be provided in the pricing supplement).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February 18, 2026</w:t>
      </w:r>
    </w:p>
    <w:p>
      <w:pPr>
        <w:spacing w:after="0" w:line="68" w:lineRule="exact"/>
        <w:rPr>
          <w:sz w:val="20"/>
          <w:szCs w:val="20"/>
          <w:color w:val="auto"/>
        </w:rPr>
      </w:pPr>
    </w:p>
    <w:p>
      <w:pPr>
        <w:jc w:val="both"/>
        <w:ind w:left="3" w:right="20"/>
        <w:spacing w:after="0" w:line="260" w:lineRule="auto"/>
        <w:rPr>
          <w:sz w:val="20"/>
          <w:szCs w:val="20"/>
          <w:color w:val="auto"/>
        </w:rPr>
      </w:pPr>
      <w:r>
        <w:rPr>
          <w:rFonts w:ascii="Arial" w:cs="Arial" w:eastAsia="Arial" w:hAnsi="Arial"/>
          <w:sz w:val="16"/>
          <w:szCs w:val="16"/>
          <w:b w:val="1"/>
          <w:bCs w:val="1"/>
          <w:color w:val="54301A"/>
        </w:rPr>
        <w:t xml:space="preserve">Call Settlement Date*: </w:t>
      </w:r>
      <w:r>
        <w:rPr>
          <w:rFonts w:ascii="Arial" w:cs="Arial" w:eastAsia="Arial" w:hAnsi="Arial"/>
          <w:sz w:val="16"/>
          <w:szCs w:val="16"/>
          <w:color w:val="000000"/>
        </w:rPr>
        <w:t>If the notes are automatically called on any Review</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 (other than the first through eleventh and final Review Dates), the first Interest Payment Date immediately following that Review Date</w:t>
      </w:r>
    </w:p>
    <w:p>
      <w:pPr>
        <w:spacing w:after="0" w:line="45" w:lineRule="exact"/>
        <w:rPr>
          <w:sz w:val="20"/>
          <w:szCs w:val="20"/>
          <w:color w:val="auto"/>
        </w:rPr>
      </w:pPr>
    </w:p>
    <w:p>
      <w:pPr>
        <w:ind w:left="3" w:right="20" w:hanging="3"/>
        <w:spacing w:after="0" w:line="244" w:lineRule="auto"/>
        <w:tabs>
          <w:tab w:leader="none" w:pos="109"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 to postponement in the event of a market disruption event and as described under “General Terms of Notes — Postponement of a Determination Date — Notes Linked to a Single Underlying — Notes Linked to a Single Underlying (Other Than a Commodity Index)” and “General Terms of Notes — Postponement of a Payment Date” in the accompanying product supplement</w:t>
      </w:r>
    </w:p>
    <w:p>
      <w:pPr>
        <w:spacing w:after="0" w:line="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54301A"/>
        </w:rPr>
        <w:t>Automatic Call:</w:t>
      </w:r>
    </w:p>
    <w:p>
      <w:pPr>
        <w:spacing w:after="0" w:line="22" w:lineRule="exact"/>
        <w:rPr>
          <w:sz w:val="20"/>
          <w:szCs w:val="20"/>
          <w:color w:val="auto"/>
        </w:rPr>
      </w:pPr>
    </w:p>
    <w:p>
      <w:pPr>
        <w:sectPr>
          <w:pgSz w:w="11900" w:h="16838" w:orient="portrait"/>
          <w:cols w:equalWidth="0" w:num="2">
            <w:col w:w="5420" w:space="357"/>
            <w:col w:w="5343"/>
          </w:cols>
          <w:pgMar w:left="320" w:top="607" w:right="459" w:bottom="1440" w:gutter="0" w:footer="0" w:header="0"/>
          <w:type w:val="continuous"/>
        </w:sectPr>
      </w:pPr>
    </w:p>
    <w:p>
      <w:pPr>
        <w:ind w:right="40"/>
        <w:spacing w:after="0" w:line="247" w:lineRule="auto"/>
        <w:rPr>
          <w:sz w:val="20"/>
          <w:szCs w:val="20"/>
          <w:color w:val="auto"/>
        </w:rPr>
      </w:pPr>
      <w:r>
        <w:rPr>
          <w:rFonts w:ascii="Arial" w:cs="Arial" w:eastAsia="Arial" w:hAnsi="Arial"/>
          <w:sz w:val="16"/>
          <w:szCs w:val="16"/>
          <w:i w:val="1"/>
          <w:iCs w:val="1"/>
          <w:color w:val="auto"/>
        </w:rPr>
        <w:t>If the closing price of one share of the Fund on any Review Date is less than the Interest Barrier, no Contingent Interest Payment will be made with respect to that Review Date.</w:t>
      </w:r>
    </w:p>
    <w:p>
      <w:pPr>
        <w:spacing w:after="0" w:line="35"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color w:val="54301A"/>
        </w:rPr>
        <w:t xml:space="preserve">Contingent Interest Rate: </w:t>
      </w:r>
      <w:r>
        <w:rPr>
          <w:rFonts w:ascii="Arial" w:cs="Arial" w:eastAsia="Arial" w:hAnsi="Arial"/>
          <w:sz w:val="16"/>
          <w:szCs w:val="16"/>
          <w:color w:val="000000"/>
        </w:rPr>
        <w:t>At least 12.05% per annum, payable at a rate of at</w:t>
      </w:r>
      <w:r>
        <w:rPr>
          <w:rFonts w:ascii="Arial" w:cs="Arial" w:eastAsia="Arial" w:hAnsi="Arial"/>
          <w:sz w:val="16"/>
          <w:szCs w:val="16"/>
          <w:b w:val="1"/>
          <w:bCs w:val="1"/>
          <w:color w:val="54301A"/>
        </w:rPr>
        <w:t xml:space="preserve"> </w:t>
      </w:r>
      <w:r>
        <w:rPr>
          <w:rFonts w:ascii="Arial" w:cs="Arial" w:eastAsia="Arial" w:hAnsi="Arial"/>
          <w:sz w:val="16"/>
          <w:szCs w:val="16"/>
          <w:color w:val="000000"/>
        </w:rPr>
        <w:t>least 1.00417% per month (to be provided in the pricing supplement)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Interest Barrier / Buffer Threshold: </w:t>
      </w:r>
      <w:r>
        <w:rPr>
          <w:rFonts w:ascii="Arial" w:cs="Arial" w:eastAsia="Arial" w:hAnsi="Arial"/>
          <w:sz w:val="16"/>
          <w:szCs w:val="16"/>
          <w:color w:val="000000"/>
        </w:rPr>
        <w:t>80.00% of the Initial Value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Buffer Amount: </w:t>
      </w:r>
      <w:r>
        <w:rPr>
          <w:rFonts w:ascii="Arial" w:cs="Arial" w:eastAsia="Arial" w:hAnsi="Arial"/>
          <w:sz w:val="16"/>
          <w:szCs w:val="16"/>
          <w:color w:val="000000"/>
        </w:rPr>
        <w:t>20.00%</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On or about February 12, 2021</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February 18, 2021</w:t>
      </w:r>
    </w:p>
    <w:p>
      <w:pPr>
        <w:spacing w:after="0" w:line="81"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b w:val="1"/>
          <w:bCs w:val="1"/>
          <w:color w:val="54301A"/>
        </w:rPr>
        <w:t xml:space="preserve">Review Dates*: </w:t>
      </w:r>
      <w:r>
        <w:rPr>
          <w:rFonts w:ascii="Arial" w:cs="Arial" w:eastAsia="Arial" w:hAnsi="Arial"/>
          <w:sz w:val="15"/>
          <w:szCs w:val="15"/>
          <w:color w:val="000000"/>
        </w:rPr>
        <w:t>March 12, 2021, April 12, 2021, May 12, 2021, June 14,</w:t>
      </w:r>
      <w:r>
        <w:rPr>
          <w:rFonts w:ascii="Arial" w:cs="Arial" w:eastAsia="Arial" w:hAnsi="Arial"/>
          <w:sz w:val="15"/>
          <w:szCs w:val="15"/>
          <w:b w:val="1"/>
          <w:bCs w:val="1"/>
          <w:color w:val="54301A"/>
        </w:rPr>
        <w:t xml:space="preserve"> </w:t>
      </w:r>
      <w:r>
        <w:rPr>
          <w:rFonts w:ascii="Arial" w:cs="Arial" w:eastAsia="Arial" w:hAnsi="Arial"/>
          <w:sz w:val="15"/>
          <w:szCs w:val="15"/>
          <w:color w:val="000000"/>
        </w:rPr>
        <w:t>2021, July 12, 2021, August 12, 2021, September 13, 2021, October 12, 2021, November 12, 2021, December 13, 2021, January 12, 2022, February 14, 2022, March 14, 2022, April 12, 2022, May 12, 2022, June 13, 2022, July 12, 2022, August 12, 2022, September 12, 2022, October 12, 2022, November 14, 2022, December 12, 2022, January 12, 2023, February 13, 2023, March 13, 2023, April 12, 2023, May 12, 2023, June 12, 2023, July 12, 2023, August 14, 2023, September 12, 2023, October 12, 2023, November 13, 2023, December 12, 2023, January 12, 2024, February 12, 2024, March 12, 2024, April 12, 2024, May 13, 2024, June 12, 2024, July 12, 2024, August 12, 2024, September 12, 2024, October 14, 2024, November 12, 2024, December 12, 2024, January 13, 2025, February 12, 2025, March 12, 2025, April 14, 2025, May 12, 2025, June 12, 2025, July 14, 2025, August 12, 2025, September 12, 2025, October 13, 2025, November 12, 2025, December 12, 2025, January 12, 2026 and February 12, 2026 (final Review Date)</w:t>
      </w:r>
    </w:p>
    <w:p>
      <w:pPr>
        <w:spacing w:after="0" w:line="24" w:lineRule="exact"/>
        <w:rPr>
          <w:sz w:val="20"/>
          <w:szCs w:val="20"/>
          <w:color w:val="auto"/>
        </w:rPr>
      </w:pPr>
    </w:p>
    <w:p>
      <w:pPr>
        <w:ind w:right="20"/>
        <w:spacing w:after="0" w:line="262" w:lineRule="auto"/>
        <w:rPr>
          <w:sz w:val="20"/>
          <w:szCs w:val="20"/>
          <w:color w:val="auto"/>
        </w:rPr>
      </w:pPr>
      <w:r>
        <w:rPr>
          <w:rFonts w:ascii="Arial" w:cs="Arial" w:eastAsia="Arial" w:hAnsi="Arial"/>
          <w:sz w:val="15"/>
          <w:szCs w:val="15"/>
          <w:b w:val="1"/>
          <w:bCs w:val="1"/>
          <w:color w:val="54301A"/>
        </w:rPr>
        <w:t xml:space="preserve">Interest Payment Dates*: </w:t>
      </w:r>
      <w:r>
        <w:rPr>
          <w:rFonts w:ascii="Arial" w:cs="Arial" w:eastAsia="Arial" w:hAnsi="Arial"/>
          <w:sz w:val="15"/>
          <w:szCs w:val="15"/>
          <w:color w:val="000000"/>
        </w:rPr>
        <w:t>March 17, 2021, April 15, 2021, May 17, 2021,</w:t>
      </w:r>
      <w:r>
        <w:rPr>
          <w:rFonts w:ascii="Arial" w:cs="Arial" w:eastAsia="Arial" w:hAnsi="Arial"/>
          <w:sz w:val="15"/>
          <w:szCs w:val="15"/>
          <w:b w:val="1"/>
          <w:bCs w:val="1"/>
          <w:color w:val="54301A"/>
        </w:rPr>
        <w:t xml:space="preserve"> </w:t>
      </w:r>
      <w:r>
        <w:rPr>
          <w:rFonts w:ascii="Arial" w:cs="Arial" w:eastAsia="Arial" w:hAnsi="Arial"/>
          <w:sz w:val="15"/>
          <w:szCs w:val="15"/>
          <w:color w:val="000000"/>
        </w:rPr>
        <w:t>June 17, 2021, July 15, 2021, August 17, 2021, September 16, 2021, October 15, 2021, November 17, 2021, December 16, 2021, January 18, 2022, February 17, 2022, March 17, 2022, April 18, 2022, May 17, 2022, June 16, 2022, July 15, 2022, August 17, 2022, September 15, 2022, October 17, 2022, November 17, 2022, December 15, 2022, January 18, 2023, February 16, 2023, March 16, 2023, April 17, 2023, May 17, 2023, June 15, 2023, July 17, 2023, August 17, 2023, September 15, 2023, October 17, 2023, November 16, 2023, December 15, 2023, January 18, 2024, February 15, 2024, March 15, 2024, April 17, 2024, May 16, 2024, June 17, 2024, July 17, 2024, August 15, 2024, September 17, 2024, October 17, 2024, November 15, 2024, December 17, 2024, January 16, 2025, February 18, 2025, March 17, 2025, April 17, 2025, May 15, 2025, June 17, 2025, July 17, 2025, August 15, 2025, September 17, 2025, October 16, 2025, November 17, 2025, December 17, 2025, January 15, 2026 and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306705</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If the closing price of one share of the Fund on any Review Date (other than the first through eleventh and final Review Dates) is greater than or equal to the Initial Value, the notes will be automatically called for a cash payment,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applicable to that Review Date, payable on the applicable Call Settlement Date. No further payments will be made on the notes.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at Maturity:</w:t>
      </w:r>
    </w:p>
    <w:p>
      <w:pPr>
        <w:spacing w:after="0" w:line="48" w:lineRule="exact"/>
        <w:rPr>
          <w:sz w:val="20"/>
          <w:szCs w:val="20"/>
          <w:color w:val="auto"/>
        </w:rPr>
      </w:pPr>
    </w:p>
    <w:p>
      <w:pPr>
        <w:ind w:right="300"/>
        <w:spacing w:after="0" w:line="241" w:lineRule="auto"/>
        <w:rPr>
          <w:sz w:val="20"/>
          <w:szCs w:val="20"/>
          <w:color w:val="auto"/>
        </w:rPr>
      </w:pPr>
      <w:r>
        <w:rPr>
          <w:rFonts w:ascii="Arial" w:cs="Arial" w:eastAsia="Arial" w:hAnsi="Arial"/>
          <w:sz w:val="16"/>
          <w:szCs w:val="16"/>
          <w:color w:val="auto"/>
        </w:rPr>
        <w:t xml:space="preserve">If the notes have not been automatically called and the Final Value is greater than or equal to the Buffer Threshold, you will receive a cash payment at maturity, for each $1,000 principal amount note, equal to (a) $1,000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Contingent Interest Payment applicable to the final Review Date.</w:t>
      </w:r>
    </w:p>
    <w:p>
      <w:pPr>
        <w:spacing w:after="0" w:line="4"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If the notes have not been automatically called and the Final Value is less than the Buffer Threshold, your payment at maturity per $1,000 principal amount note will be calculated as follows:</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$1,000 + [$1,000 × (Fund Return + Buffer Amount)]</w:t>
      </w:r>
    </w:p>
    <w:p>
      <w:pPr>
        <w:spacing w:after="0" w:line="52"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i w:val="1"/>
          <w:iCs w:val="1"/>
          <w:color w:val="auto"/>
        </w:rPr>
        <w:t>If the notes have not been automatically called and the Final Value is less than the Buffer Threshold, you will lose some or most of your principal amount at maturity.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Fund Return: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(Final Value – Initial Value)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Initial Value</w:t>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54301A"/>
        </w:rPr>
        <w:t xml:space="preserve">Initial Value: </w:t>
      </w:r>
      <w:r>
        <w:rPr>
          <w:rFonts w:ascii="Arial" w:cs="Arial" w:eastAsia="Arial" w:hAnsi="Arial"/>
          <w:sz w:val="15"/>
          <w:szCs w:val="15"/>
          <w:color w:val="000000"/>
        </w:rPr>
        <w:t>The closing price of one share of the Fund on the Pricing Date</w:t>
      </w:r>
    </w:p>
    <w:p>
      <w:pPr>
        <w:spacing w:after="0" w:line="9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The closing price of one share of the Fund on the final Review</w:t>
      </w:r>
      <w:r>
        <w:rPr>
          <w:rFonts w:ascii="Arial" w:cs="Arial" w:eastAsia="Arial" w:hAnsi="Arial"/>
          <w:sz w:val="16"/>
          <w:szCs w:val="16"/>
          <w:b w:val="1"/>
          <w:bCs w:val="1"/>
          <w:color w:val="54301A"/>
        </w:rPr>
        <w:t xml:space="preserve"> </w:t>
      </w:r>
      <w:r>
        <w:rPr>
          <w:rFonts w:ascii="Arial" w:cs="Arial" w:eastAsia="Arial" w:hAnsi="Arial"/>
          <w:sz w:val="16"/>
          <w:szCs w:val="16"/>
          <w:color w:val="000000"/>
        </w:rPr>
        <w:t>Date</w:t>
      </w:r>
    </w:p>
    <w:p>
      <w:pPr>
        <w:spacing w:after="0" w:line="51"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b w:val="1"/>
          <w:bCs w:val="1"/>
          <w:color w:val="54301A"/>
        </w:rPr>
        <w:t xml:space="preserve">Share Adjustment Factor: </w:t>
      </w:r>
      <w:r>
        <w:rPr>
          <w:rFonts w:ascii="Arial" w:cs="Arial" w:eastAsia="Arial" w:hAnsi="Arial"/>
          <w:sz w:val="16"/>
          <w:szCs w:val="16"/>
          <w:color w:val="000000"/>
        </w:rPr>
        <w:t>The Share Adjustment Factor is referenced in</w:t>
      </w:r>
      <w:r>
        <w:rPr>
          <w:rFonts w:ascii="Arial" w:cs="Arial" w:eastAsia="Arial" w:hAnsi="Arial"/>
          <w:sz w:val="16"/>
          <w:szCs w:val="16"/>
          <w:b w:val="1"/>
          <w:bCs w:val="1"/>
          <w:color w:val="54301A"/>
        </w:rPr>
        <w:t xml:space="preserve"> </w:t>
      </w:r>
      <w:r>
        <w:rPr>
          <w:rFonts w:ascii="Arial" w:cs="Arial" w:eastAsia="Arial" w:hAnsi="Arial"/>
          <w:sz w:val="16"/>
          <w:szCs w:val="16"/>
          <w:color w:val="000000"/>
        </w:rPr>
        <w:t>determining the closing price of one share of the Fund and is set equal to 1.0 on the Pricing Date. The Share Adjustment Factor is subject to adjustment upon the occurrence of certain events affecting the Fund. See “The Underlyings — Funds — Anti-Dilution Adjustments” in the accompanying product supplement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1920240</wp:posOffset>
            </wp:positionH>
            <wp:positionV relativeFrom="paragraph">
              <wp:posOffset>933450</wp:posOffset>
            </wp:positionV>
            <wp:extent cx="1548130" cy="412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8130" cy="412115"/>
                    </a:xfrm>
                    <a:prstGeom prst="rect">
                      <a:avLst/>
                    </a:prstGeom>
                    <a:noFill/>
                  </pic:spPr>
                </pic:pic>
              </a:graphicData>
            </a:graphic>
          </wp:anchor>
        </w:drawing>
      </w:r>
    </w:p>
    <w:p>
      <w:pPr>
        <w:spacing w:after="0" w:line="1174" w:lineRule="exact"/>
        <w:rPr>
          <w:sz w:val="20"/>
          <w:szCs w:val="20"/>
          <w:color w:val="auto"/>
        </w:rPr>
      </w:pPr>
    </w:p>
    <w:p>
      <w:pPr>
        <w:sectPr>
          <w:pgSz w:w="11900" w:h="16838" w:orient="portrait"/>
          <w:cols w:equalWidth="0" w:num="2">
            <w:col w:w="5500" w:space="280"/>
            <w:col w:w="5340"/>
          </w:cols>
          <w:pgMar w:left="320" w:top="607" w:right="4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7F7F7F"/>
        </w:rPr>
        <w:t>PS-1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120"/>
          </w:cols>
          <w:pgMar w:left="320" w:top="607" w:right="4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in Connection with the First through Eleventh Review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37465</wp:posOffset>
            </wp:positionV>
            <wp:extent cx="5233035" cy="259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33035"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b w:val="1"/>
          <w:bCs w:val="1"/>
          <w:color w:val="54301A"/>
        </w:rPr>
        <w:t>Payments in Connection with Review Dates (Other than the First through Eleventh and Final Review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61595</wp:posOffset>
            </wp:positionV>
            <wp:extent cx="7134860" cy="3256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325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7F7F7F"/>
        </w:rPr>
        <w:t>PS-2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0139"/>
          </w:cols>
          <w:pgMar w:left="320" w:top="607" w:right="1440"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54301A"/>
        </w:rPr>
        <w:t>Payment at Maturity If the Notes Have Not Been Automatically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54610</wp:posOffset>
            </wp:positionV>
            <wp:extent cx="5241925" cy="259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41925"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Total Contingent Interest Payments</w:t>
      </w:r>
    </w:p>
    <w:p>
      <w:pPr>
        <w:spacing w:after="0" w:line="61" w:lineRule="exact"/>
        <w:rPr>
          <w:sz w:val="20"/>
          <w:szCs w:val="20"/>
          <w:color w:val="auto"/>
        </w:rPr>
      </w:pPr>
    </w:p>
    <w:p>
      <w:pPr>
        <w:jc w:val="both"/>
        <w:ind w:right="640"/>
        <w:spacing w:after="0" w:line="247" w:lineRule="auto"/>
        <w:rPr>
          <w:sz w:val="20"/>
          <w:szCs w:val="20"/>
          <w:color w:val="auto"/>
        </w:rPr>
      </w:pPr>
      <w:r>
        <w:rPr>
          <w:rFonts w:ascii="Arial" w:cs="Arial" w:eastAsia="Arial" w:hAnsi="Arial"/>
          <w:sz w:val="16"/>
          <w:szCs w:val="16"/>
          <w:color w:val="404040"/>
        </w:rPr>
        <w:t>The table below illustrates the hypothetical total Contingent Interest Payments per $1,000 principal amount note over the term of the notes based on a hypothetical Contingent Interest Rate of 12.05% per annum, depending on how many Contingent Interest Payments are made prior to automatic call or maturity. The actual Contingent Interest Rate will be provided in the pricing supplement and will be at least 12.05% per annum.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380" w:type="dxa"/>
            <w:vAlign w:val="bottom"/>
          </w:tcPr>
          <w:p>
            <w:pPr>
              <w:spacing w:after="0"/>
              <w:rPr>
                <w:sz w:val="22"/>
                <w:szCs w:val="22"/>
                <w:color w:val="auto"/>
              </w:rPr>
            </w:pPr>
          </w:p>
        </w:tc>
        <w:tc>
          <w:tcPr>
            <w:tcW w:w="2000" w:type="dxa"/>
            <w:vAlign w:val="bottom"/>
            <w:shd w:val="clear" w:color="auto" w:fill="BFBFBF"/>
          </w:tcPr>
          <w:p>
            <w:pPr>
              <w:ind w:left="100"/>
              <w:spacing w:after="0"/>
              <w:rPr>
                <w:sz w:val="20"/>
                <w:szCs w:val="20"/>
                <w:color w:val="auto"/>
              </w:rPr>
            </w:pPr>
            <w:r>
              <w:rPr>
                <w:rFonts w:ascii="Arial" w:cs="Arial" w:eastAsia="Arial" w:hAnsi="Arial"/>
                <w:sz w:val="16"/>
                <w:szCs w:val="16"/>
                <w:color w:val="333333"/>
              </w:rPr>
              <w:t>Number of Contingent</w:t>
            </w:r>
          </w:p>
        </w:tc>
        <w:tc>
          <w:tcPr>
            <w:tcW w:w="2500" w:type="dxa"/>
            <w:vAlign w:val="bottom"/>
            <w:shd w:val="clear" w:color="auto" w:fill="BFBFBF"/>
          </w:tcPr>
          <w:p>
            <w:pPr>
              <w:ind w:left="340"/>
              <w:spacing w:after="0"/>
              <w:rPr>
                <w:sz w:val="20"/>
                <w:szCs w:val="20"/>
                <w:color w:val="auto"/>
              </w:rPr>
            </w:pPr>
            <w:r>
              <w:rPr>
                <w:rFonts w:ascii="Arial" w:cs="Arial" w:eastAsia="Arial" w:hAnsi="Arial"/>
                <w:sz w:val="16"/>
                <w:szCs w:val="16"/>
                <w:color w:val="333333"/>
              </w:rPr>
              <w:t>Total Contingent Interest</w:t>
            </w:r>
          </w:p>
        </w:tc>
        <w:tc>
          <w:tcPr>
            <w:tcW w:w="3360" w:type="dxa"/>
            <w:vAlign w:val="bottom"/>
          </w:tcPr>
          <w:p>
            <w:pPr>
              <w:spacing w:after="0"/>
              <w:rPr>
                <w:sz w:val="22"/>
                <w:szCs w:val="22"/>
                <w:color w:val="auto"/>
              </w:rPr>
            </w:pPr>
          </w:p>
        </w:tc>
      </w:tr>
      <w:tr>
        <w:trPr>
          <w:trHeight w:val="184"/>
        </w:trPr>
        <w:tc>
          <w:tcPr>
            <w:tcW w:w="3380" w:type="dxa"/>
            <w:vAlign w:val="bottom"/>
          </w:tcPr>
          <w:p>
            <w:pPr>
              <w:spacing w:after="0"/>
              <w:rPr>
                <w:sz w:val="15"/>
                <w:szCs w:val="15"/>
                <w:color w:val="auto"/>
              </w:rPr>
            </w:pPr>
          </w:p>
        </w:tc>
        <w:tc>
          <w:tcPr>
            <w:tcW w:w="200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333333"/>
              </w:rPr>
              <w:t>Interest Payments</w:t>
            </w:r>
          </w:p>
        </w:tc>
        <w:tc>
          <w:tcPr>
            <w:tcW w:w="2500" w:type="dxa"/>
            <w:vAlign w:val="bottom"/>
            <w:tcBorders>
              <w:bottom w:val="single" w:sz="8" w:color="6D6E71"/>
            </w:tcBorders>
            <w:shd w:val="clear" w:color="auto" w:fill="BFBFBF"/>
          </w:tcPr>
          <w:p>
            <w:pPr>
              <w:ind w:left="340"/>
              <w:spacing w:after="0"/>
              <w:rPr>
                <w:sz w:val="20"/>
                <w:szCs w:val="20"/>
                <w:color w:val="auto"/>
              </w:rPr>
            </w:pPr>
            <w:r>
              <w:rPr>
                <w:rFonts w:ascii="Arial" w:cs="Arial" w:eastAsia="Arial" w:hAnsi="Arial"/>
                <w:sz w:val="16"/>
                <w:szCs w:val="16"/>
                <w:color w:val="333333"/>
              </w:rPr>
              <w:t>Payments</w:t>
            </w:r>
          </w:p>
        </w:tc>
        <w:tc>
          <w:tcPr>
            <w:tcW w:w="3360" w:type="dxa"/>
            <w:vAlign w:val="bottom"/>
          </w:tcPr>
          <w:p>
            <w:pPr>
              <w:spacing w:after="0"/>
              <w:rPr>
                <w:sz w:val="15"/>
                <w:szCs w:val="15"/>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60</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$602.5000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59</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$592.4583</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58</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$582.4167</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57</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$572.3750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56</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$562.3333</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55</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$552.2917</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54</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$542.2500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53</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$532.2083</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52</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$522.1667</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51</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$512.1250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50</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$502.0833</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49</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$492.0417</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48</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$482.0000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47</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$471.9583</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46</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$461.9167</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45</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$451.8750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44</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$441.8333</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43</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$431.7917</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42</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$421.7500</w:t>
            </w:r>
          </w:p>
        </w:tc>
        <w:tc>
          <w:tcPr>
            <w:tcW w:w="3360" w:type="dxa"/>
            <w:vAlign w:val="bottom"/>
          </w:tcPr>
          <w:p>
            <w:pPr>
              <w:spacing w:after="0"/>
              <w:rPr>
                <w:sz w:val="21"/>
                <w:szCs w:val="21"/>
                <w:color w:val="auto"/>
              </w:rPr>
            </w:pPr>
          </w:p>
        </w:tc>
      </w:tr>
      <w:tr>
        <w:trPr>
          <w:trHeight w:val="245"/>
        </w:trPr>
        <w:tc>
          <w:tcPr>
            <w:tcW w:w="3380" w:type="dxa"/>
            <w:vAlign w:val="bottom"/>
          </w:tcPr>
          <w:p>
            <w:pPr>
              <w:spacing w:after="0"/>
              <w:rPr>
                <w:sz w:val="21"/>
                <w:szCs w:val="21"/>
                <w:color w:val="auto"/>
              </w:rPr>
            </w:pPr>
          </w:p>
        </w:tc>
        <w:tc>
          <w:tcPr>
            <w:tcW w:w="20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41</w:t>
            </w:r>
          </w:p>
        </w:tc>
        <w:tc>
          <w:tcPr>
            <w:tcW w:w="2500" w:type="dxa"/>
            <w:vAlign w:val="bottom"/>
            <w:tcBorders>
              <w:bottom w:val="single" w:sz="8" w:color="808080"/>
            </w:tcBorders>
          </w:tcPr>
          <w:p>
            <w:pPr>
              <w:ind w:left="340"/>
              <w:spacing w:after="0"/>
              <w:rPr>
                <w:sz w:val="20"/>
                <w:szCs w:val="20"/>
                <w:color w:val="auto"/>
              </w:rPr>
            </w:pPr>
            <w:r>
              <w:rPr>
                <w:rFonts w:ascii="Arial" w:cs="Arial" w:eastAsia="Arial" w:hAnsi="Arial"/>
                <w:sz w:val="16"/>
                <w:szCs w:val="16"/>
                <w:color w:val="404040"/>
              </w:rPr>
              <w:t>$411.7083</w:t>
            </w:r>
          </w:p>
        </w:tc>
        <w:tc>
          <w:tcPr>
            <w:tcW w:w="3360" w:type="dxa"/>
            <w:vAlign w:val="bottom"/>
          </w:tcPr>
          <w:p>
            <w:pPr>
              <w:spacing w:after="0"/>
              <w:rPr>
                <w:sz w:val="21"/>
                <w:szCs w:val="21"/>
                <w:color w:val="auto"/>
              </w:rPr>
            </w:pPr>
          </w:p>
        </w:tc>
      </w:tr>
      <w:tr>
        <w:trPr>
          <w:trHeight w:val="99"/>
        </w:trPr>
        <w:tc>
          <w:tcPr>
            <w:tcW w:w="33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5590540</wp:posOffset>
            </wp:positionH>
            <wp:positionV relativeFrom="paragraph">
              <wp:posOffset>0</wp:posOffset>
            </wp:positionV>
            <wp:extent cx="1548130" cy="412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8130" cy="41211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7F7F7F"/>
        </w:rPr>
        <w:t>PS-3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40"/>
          </w:cols>
          <w:pgMar w:left="320" w:top="572" w:right="339" w:bottom="1440" w:gutter="0" w:footer="0" w:header="0"/>
        </w:sectPr>
      </w:pPr>
    </w:p>
    <w:bookmarkStart w:id="4" w:name="page5"/>
    <w:bookmarkEnd w:id="4"/>
    <w:tbl>
      <w:tblPr>
        <w:tblLayout w:type="fixed"/>
        <w:tblInd w:w="3380" w:type="dxa"/>
        <w:tblCellMar>
          <w:top w:w="0" w:type="dxa"/>
          <w:left w:w="0" w:type="dxa"/>
          <w:bottom w:w="0" w:type="dxa"/>
          <w:right w:w="0" w:type="dxa"/>
        </w:tblCellMar>
      </w:tblPr>
      <w:tr>
        <w:trPr>
          <w:trHeight w:val="184"/>
        </w:trPr>
        <w:tc>
          <w:tcPr>
            <w:tcW w:w="1300" w:type="dxa"/>
            <w:vAlign w:val="bottom"/>
            <w:tcBorders>
              <w:bottom w:val="single" w:sz="8" w:color="6D6E71"/>
            </w:tcBorders>
          </w:tcPr>
          <w:p>
            <w:pPr>
              <w:ind w:left="100"/>
              <w:spacing w:after="0"/>
              <w:rPr>
                <w:sz w:val="20"/>
                <w:szCs w:val="20"/>
                <w:color w:val="auto"/>
              </w:rPr>
            </w:pPr>
            <w:r>
              <w:rPr>
                <w:rFonts w:ascii="Arial" w:cs="Arial" w:eastAsia="Arial" w:hAnsi="Arial"/>
                <w:sz w:val="16"/>
                <w:szCs w:val="16"/>
                <w:color w:val="404040"/>
              </w:rPr>
              <w:t>40</w:t>
            </w:r>
          </w:p>
        </w:tc>
        <w:tc>
          <w:tcPr>
            <w:tcW w:w="3200" w:type="dxa"/>
            <w:vAlign w:val="bottom"/>
            <w:tcBorders>
              <w:bottom w:val="single" w:sz="8" w:color="6D6E71"/>
            </w:tcBorders>
          </w:tcPr>
          <w:p>
            <w:pPr>
              <w:ind w:left="1040"/>
              <w:spacing w:after="0"/>
              <w:rPr>
                <w:sz w:val="20"/>
                <w:szCs w:val="20"/>
                <w:color w:val="auto"/>
              </w:rPr>
            </w:pPr>
            <w:r>
              <w:rPr>
                <w:rFonts w:ascii="Arial" w:cs="Arial" w:eastAsia="Arial" w:hAnsi="Arial"/>
                <w:sz w:val="16"/>
                <w:szCs w:val="16"/>
                <w:color w:val="404040"/>
              </w:rPr>
              <w:t>$401.6667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39</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$391.6250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38</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$381.5833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37</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$371.5417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36</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$361.5000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35</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$351.4583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34</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$341.4167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33</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$331.3750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32</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$321.3333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31</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$311.2917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30</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$301.2500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29</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$291.2083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28</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$281.1667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27</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$271.1250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26</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$261.0833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25</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$251.0417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24</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$241.0000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23</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$230.9583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22</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$220.9167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21</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$210.8750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20</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$200.8333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19</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$190.7917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18</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$180.7500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17</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$170.7083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16</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$160.6667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15</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$150.6250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14</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$140.5833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13</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$130.5417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12</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$120.5000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11</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$110.4583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10</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$100.4167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9</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$90.3750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8</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$80.3333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7</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$70.2917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6</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$60.2500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5</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$50.2083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4</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$40.1667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3</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$30.1250</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2</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$20.0833</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1</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$10.0417</w:t>
            </w:r>
          </w:p>
        </w:tc>
      </w:tr>
      <w:tr>
        <w:trPr>
          <w:trHeight w:val="245"/>
        </w:trPr>
        <w:tc>
          <w:tcPr>
            <w:tcW w:w="130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0</w:t>
            </w:r>
          </w:p>
        </w:tc>
        <w:tc>
          <w:tcPr>
            <w:tcW w:w="3200" w:type="dxa"/>
            <w:vAlign w:val="bottom"/>
            <w:tcBorders>
              <w:bottom w:val="single" w:sz="8" w:color="808080"/>
            </w:tcBorders>
          </w:tcPr>
          <w:p>
            <w:pPr>
              <w:ind w:left="1040"/>
              <w:spacing w:after="0"/>
              <w:rPr>
                <w:sz w:val="20"/>
                <w:szCs w:val="20"/>
                <w:color w:val="auto"/>
              </w:rPr>
            </w:pPr>
            <w:r>
              <w:rPr>
                <w:rFonts w:ascii="Arial" w:cs="Arial" w:eastAsia="Arial" w:hAnsi="Arial"/>
                <w:sz w:val="16"/>
                <w:szCs w:val="16"/>
                <w:color w:val="404040"/>
              </w:rPr>
              <w:t>$0.0000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227330</wp:posOffset>
            </wp:positionV>
            <wp:extent cx="7134860" cy="421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7F7F7F"/>
        </w:rPr>
        <w:t>PS-4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0139"/>
          </w:cols>
          <w:pgMar w:left="320" w:top="658"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E8ABE"/>
        </w:rPr>
        <w:t>Hypothetical Payout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404040"/>
        </w:rPr>
        <w:t>The following examples illustrate payments on the notes linked to a hypothetical Fund, assuming a range of performances for the hypothetical Fund on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404040"/>
        </w:rPr>
        <w:t>Review Dates. The hypothetical payments set forth below assume the following:</w:t>
      </w:r>
    </w:p>
    <w:p>
      <w:pPr>
        <w:spacing w:after="0" w:line="68" w:lineRule="exact"/>
        <w:rPr>
          <w:sz w:val="20"/>
          <w:szCs w:val="20"/>
          <w:color w:val="auto"/>
        </w:rPr>
      </w:pPr>
    </w:p>
    <w:p>
      <w:pPr>
        <w:ind w:left="320" w:hanging="314"/>
        <w:spacing w:after="0"/>
        <w:tabs>
          <w:tab w:leader="none" w:pos="32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an Initial Value of $100.00;</w:t>
      </w:r>
    </w:p>
    <w:p>
      <w:pPr>
        <w:spacing w:after="0" w:line="81" w:lineRule="exact"/>
        <w:rPr>
          <w:rFonts w:ascii="Arial" w:cs="Arial" w:eastAsia="Arial" w:hAnsi="Arial"/>
          <w:sz w:val="16"/>
          <w:szCs w:val="16"/>
          <w:color w:val="404040"/>
        </w:rPr>
      </w:pPr>
    </w:p>
    <w:p>
      <w:pPr>
        <w:ind w:left="320" w:hanging="314"/>
        <w:spacing w:after="0"/>
        <w:tabs>
          <w:tab w:leader="none" w:pos="32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an Interest Barrier and a Buffer Threshold of $80.00 (equal to 80.00% of the hypothetical Initial Value);</w:t>
      </w:r>
    </w:p>
    <w:p>
      <w:pPr>
        <w:spacing w:after="0" w:line="94" w:lineRule="exact"/>
        <w:rPr>
          <w:rFonts w:ascii="Arial" w:cs="Arial" w:eastAsia="Arial" w:hAnsi="Arial"/>
          <w:sz w:val="16"/>
          <w:szCs w:val="16"/>
          <w:color w:val="404040"/>
        </w:rPr>
      </w:pPr>
    </w:p>
    <w:p>
      <w:pPr>
        <w:ind w:left="320" w:hanging="314"/>
        <w:spacing w:after="0"/>
        <w:tabs>
          <w:tab w:leader="none" w:pos="32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 Buffer Amount of 20.00%; and</w:t>
      </w:r>
    </w:p>
    <w:p>
      <w:pPr>
        <w:spacing w:after="0" w:line="81" w:lineRule="exact"/>
        <w:rPr>
          <w:rFonts w:ascii="Arial" w:cs="Arial" w:eastAsia="Arial" w:hAnsi="Arial"/>
          <w:sz w:val="16"/>
          <w:szCs w:val="16"/>
          <w:color w:val="404040"/>
        </w:rPr>
      </w:pPr>
    </w:p>
    <w:p>
      <w:pPr>
        <w:ind w:left="320" w:hanging="314"/>
        <w:spacing w:after="0"/>
        <w:tabs>
          <w:tab w:leader="none" w:pos="320" w:val="left"/>
        </w:tabs>
        <w:numPr>
          <w:ilvl w:val="0"/>
          <w:numId w:val="4"/>
        </w:numPr>
        <w:rPr>
          <w:rFonts w:ascii="Arial" w:cs="Arial" w:eastAsia="Arial" w:hAnsi="Arial"/>
          <w:sz w:val="16"/>
          <w:szCs w:val="16"/>
          <w:color w:val="404040"/>
        </w:rPr>
      </w:pPr>
      <w:r>
        <w:rPr>
          <w:rFonts w:ascii="Arial" w:cs="Arial" w:eastAsia="Arial" w:hAnsi="Arial"/>
          <w:sz w:val="16"/>
          <w:szCs w:val="16"/>
          <w:color w:val="404040"/>
        </w:rPr>
        <w:t>a Contingent Interest Rate of 12.05% per annum (payable at a rate of 1.00417% per month).</w:t>
      </w:r>
    </w:p>
    <w:p>
      <w:pPr>
        <w:spacing w:after="0" w:line="81" w:lineRule="exact"/>
        <w:rPr>
          <w:sz w:val="20"/>
          <w:szCs w:val="20"/>
          <w:color w:val="auto"/>
        </w:rPr>
      </w:pPr>
    </w:p>
    <w:p>
      <w:pPr>
        <w:jc w:val="both"/>
        <w:ind w:right="380"/>
        <w:spacing w:after="0" w:line="247" w:lineRule="auto"/>
        <w:rPr>
          <w:sz w:val="20"/>
          <w:szCs w:val="20"/>
          <w:color w:val="auto"/>
        </w:rPr>
      </w:pPr>
      <w:r>
        <w:rPr>
          <w:rFonts w:ascii="Arial" w:cs="Arial" w:eastAsia="Arial" w:hAnsi="Arial"/>
          <w:sz w:val="16"/>
          <w:szCs w:val="16"/>
          <w:color w:val="404040"/>
        </w:rPr>
        <w:t>The hypothetical Initial Value of $100.00 has been chosen for illustrative purposes only and may not represent a likely actual Initial Value. The actual Initial Value will be the closing price of one share of the Fund on the Pricing Date and will be provided in the pricing supplement. For historical data regarding the actual closing prices of one share of the Fund, please see the historical information set forth under “The Fund” in this pricing supplement.</w:t>
      </w:r>
    </w:p>
    <w:p>
      <w:pPr>
        <w:spacing w:after="0" w:line="68" w:lineRule="exact"/>
        <w:rPr>
          <w:sz w:val="20"/>
          <w:szCs w:val="20"/>
          <w:color w:val="auto"/>
        </w:rPr>
      </w:pPr>
    </w:p>
    <w:p>
      <w:pPr>
        <w:ind w:right="460"/>
        <w:spacing w:after="0" w:line="246" w:lineRule="auto"/>
        <w:rPr>
          <w:sz w:val="20"/>
          <w:szCs w:val="20"/>
          <w:color w:val="auto"/>
        </w:rPr>
      </w:pPr>
      <w:r>
        <w:rPr>
          <w:rFonts w:ascii="Arial" w:cs="Arial" w:eastAsia="Arial" w:hAnsi="Arial"/>
          <w:sz w:val="16"/>
          <w:szCs w:val="16"/>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rPr>
          <w:sz w:val="20"/>
          <w:szCs w:val="20"/>
          <w:color w:val="auto"/>
        </w:rPr>
      </w:pPr>
      <w:r>
        <w:rPr>
          <w:rFonts w:ascii="Arial" w:cs="Arial" w:eastAsia="Arial" w:hAnsi="Arial"/>
          <w:sz w:val="16"/>
          <w:szCs w:val="16"/>
          <w:b w:val="1"/>
          <w:bCs w:val="1"/>
          <w:color w:val="54301A"/>
        </w:rPr>
        <w:t>Example 1 — Notes are automatically called on the twelfth Review Date.</w:t>
      </w:r>
    </w:p>
    <w:p>
      <w:pPr>
        <w:spacing w:after="0" w:line="59" w:lineRule="exact"/>
        <w:rPr>
          <w:sz w:val="20"/>
          <w:szCs w:val="20"/>
          <w:color w:val="auto"/>
        </w:rPr>
      </w:pPr>
    </w:p>
    <w:tbl>
      <w:tblPr>
        <w:tblLayout w:type="fixed"/>
        <w:tblInd w:w="400" w:type="dxa"/>
        <w:tblCellMar>
          <w:top w:w="0" w:type="dxa"/>
          <w:left w:w="0" w:type="dxa"/>
          <w:bottom w:w="0" w:type="dxa"/>
          <w:right w:w="0" w:type="dxa"/>
        </w:tblCellMar>
      </w:tblPr>
      <w:tr>
        <w:trPr>
          <w:trHeight w:val="252"/>
        </w:trPr>
        <w:tc>
          <w:tcPr>
            <w:tcW w:w="292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404040"/>
              </w:rPr>
              <w:t>Date</w:t>
            </w:r>
          </w:p>
        </w:tc>
        <w:tc>
          <w:tcPr>
            <w:tcW w:w="2280" w:type="dxa"/>
            <w:vAlign w:val="bottom"/>
            <w:tcBorders>
              <w:bottom w:val="single" w:sz="8" w:color="6D6E71"/>
            </w:tcBorders>
            <w:shd w:val="clear" w:color="auto" w:fill="BFBFBF"/>
          </w:tcPr>
          <w:p>
            <w:pPr>
              <w:ind w:left="180"/>
              <w:spacing w:after="0"/>
              <w:rPr>
                <w:sz w:val="20"/>
                <w:szCs w:val="20"/>
                <w:color w:val="auto"/>
              </w:rPr>
            </w:pPr>
            <w:r>
              <w:rPr>
                <w:rFonts w:ascii="Arial" w:cs="Arial" w:eastAsia="Arial" w:hAnsi="Arial"/>
                <w:sz w:val="16"/>
                <w:szCs w:val="16"/>
                <w:color w:val="404040"/>
              </w:rPr>
              <w:t>Closing Price</w:t>
            </w:r>
          </w:p>
        </w:tc>
        <w:tc>
          <w:tcPr>
            <w:tcW w:w="5240" w:type="dxa"/>
            <w:vAlign w:val="bottom"/>
            <w:tcBorders>
              <w:bottom w:val="single" w:sz="8" w:color="6D6E71"/>
            </w:tcBorders>
            <w:shd w:val="clear" w:color="auto" w:fill="BFBFBF"/>
          </w:tcPr>
          <w:p>
            <w:pPr>
              <w:ind w:left="460"/>
              <w:spacing w:after="0"/>
              <w:rPr>
                <w:sz w:val="20"/>
                <w:szCs w:val="20"/>
                <w:color w:val="auto"/>
              </w:rPr>
            </w:pPr>
            <w:r>
              <w:rPr>
                <w:rFonts w:ascii="Arial" w:cs="Arial" w:eastAsia="Arial" w:hAnsi="Arial"/>
                <w:sz w:val="16"/>
                <w:szCs w:val="16"/>
                <w:color w:val="404040"/>
              </w:rPr>
              <w:t>Payment (per $1,000 principal amount note)</w:t>
            </w:r>
          </w:p>
        </w:tc>
      </w:tr>
      <w:tr>
        <w:trPr>
          <w:trHeight w:val="245"/>
        </w:trPr>
        <w:tc>
          <w:tcPr>
            <w:tcW w:w="29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First Review Date</w:t>
            </w:r>
          </w:p>
        </w:tc>
        <w:tc>
          <w:tcPr>
            <w:tcW w:w="22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404040"/>
              </w:rPr>
              <w:t>$105.00</w:t>
            </w:r>
          </w:p>
        </w:tc>
        <w:tc>
          <w:tcPr>
            <w:tcW w:w="5240" w:type="dxa"/>
            <w:vAlign w:val="bottom"/>
            <w:tcBorders>
              <w:bottom w:val="single" w:sz="8" w:color="808080"/>
            </w:tcBorders>
          </w:tcPr>
          <w:p>
            <w:pPr>
              <w:ind w:left="460"/>
              <w:spacing w:after="0"/>
              <w:rPr>
                <w:sz w:val="20"/>
                <w:szCs w:val="20"/>
                <w:color w:val="auto"/>
              </w:rPr>
            </w:pPr>
            <w:r>
              <w:rPr>
                <w:rFonts w:ascii="Arial" w:cs="Arial" w:eastAsia="Arial" w:hAnsi="Arial"/>
                <w:sz w:val="16"/>
                <w:szCs w:val="16"/>
                <w:color w:val="404040"/>
              </w:rPr>
              <w:t>$10.0417</w:t>
            </w:r>
          </w:p>
        </w:tc>
      </w:tr>
      <w:tr>
        <w:trPr>
          <w:trHeight w:val="245"/>
        </w:trPr>
        <w:tc>
          <w:tcPr>
            <w:tcW w:w="29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Second Review Date</w:t>
            </w:r>
          </w:p>
        </w:tc>
        <w:tc>
          <w:tcPr>
            <w:tcW w:w="22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404040"/>
              </w:rPr>
              <w:t>$115.00</w:t>
            </w:r>
          </w:p>
        </w:tc>
        <w:tc>
          <w:tcPr>
            <w:tcW w:w="5240" w:type="dxa"/>
            <w:vAlign w:val="bottom"/>
            <w:tcBorders>
              <w:bottom w:val="single" w:sz="8" w:color="808080"/>
            </w:tcBorders>
          </w:tcPr>
          <w:p>
            <w:pPr>
              <w:ind w:left="460"/>
              <w:spacing w:after="0"/>
              <w:rPr>
                <w:sz w:val="20"/>
                <w:szCs w:val="20"/>
                <w:color w:val="auto"/>
              </w:rPr>
            </w:pPr>
            <w:r>
              <w:rPr>
                <w:rFonts w:ascii="Arial" w:cs="Arial" w:eastAsia="Arial" w:hAnsi="Arial"/>
                <w:sz w:val="16"/>
                <w:szCs w:val="16"/>
                <w:color w:val="404040"/>
              </w:rPr>
              <w:t>$10.0417</w:t>
            </w:r>
          </w:p>
        </w:tc>
      </w:tr>
      <w:tr>
        <w:trPr>
          <w:trHeight w:val="245"/>
        </w:trPr>
        <w:tc>
          <w:tcPr>
            <w:tcW w:w="29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Third through Eleventh Review Dates</w:t>
            </w:r>
          </w:p>
        </w:tc>
        <w:tc>
          <w:tcPr>
            <w:tcW w:w="22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404040"/>
              </w:rPr>
              <w:t>Greater than Call Value</w:t>
            </w:r>
          </w:p>
        </w:tc>
        <w:tc>
          <w:tcPr>
            <w:tcW w:w="5240" w:type="dxa"/>
            <w:vAlign w:val="bottom"/>
            <w:tcBorders>
              <w:bottom w:val="single" w:sz="8" w:color="808080"/>
            </w:tcBorders>
          </w:tcPr>
          <w:p>
            <w:pPr>
              <w:spacing w:after="0"/>
              <w:rPr>
                <w:sz w:val="21"/>
                <w:szCs w:val="21"/>
                <w:color w:val="auto"/>
              </w:rPr>
            </w:pPr>
          </w:p>
        </w:tc>
      </w:tr>
      <w:tr>
        <w:trPr>
          <w:trHeight w:val="245"/>
        </w:trPr>
        <w:tc>
          <w:tcPr>
            <w:tcW w:w="292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Twelfth Review Date</w:t>
            </w:r>
          </w:p>
        </w:tc>
        <w:tc>
          <w:tcPr>
            <w:tcW w:w="22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404040"/>
              </w:rPr>
              <w:t>$110.00</w:t>
            </w:r>
          </w:p>
        </w:tc>
        <w:tc>
          <w:tcPr>
            <w:tcW w:w="5240" w:type="dxa"/>
            <w:vAlign w:val="bottom"/>
            <w:tcBorders>
              <w:bottom w:val="single" w:sz="8" w:color="808080"/>
            </w:tcBorders>
          </w:tcPr>
          <w:p>
            <w:pPr>
              <w:ind w:left="460"/>
              <w:spacing w:after="0"/>
              <w:rPr>
                <w:sz w:val="20"/>
                <w:szCs w:val="20"/>
                <w:color w:val="auto"/>
              </w:rPr>
            </w:pPr>
            <w:r>
              <w:rPr>
                <w:rFonts w:ascii="Arial" w:cs="Arial" w:eastAsia="Arial" w:hAnsi="Arial"/>
                <w:sz w:val="16"/>
                <w:szCs w:val="16"/>
                <w:color w:val="404040"/>
              </w:rPr>
              <w:t>$1,010.0417</w:t>
            </w:r>
          </w:p>
        </w:tc>
      </w:tr>
      <w:tr>
        <w:trPr>
          <w:trHeight w:val="245"/>
        </w:trPr>
        <w:tc>
          <w:tcPr>
            <w:tcW w:w="2920" w:type="dxa"/>
            <w:vAlign w:val="bottom"/>
            <w:tcBorders>
              <w:bottom w:val="single" w:sz="8" w:color="808080"/>
            </w:tcBorders>
          </w:tcPr>
          <w:p>
            <w:pPr>
              <w:spacing w:after="0"/>
              <w:rPr>
                <w:sz w:val="21"/>
                <w:szCs w:val="21"/>
                <w:color w:val="auto"/>
              </w:rPr>
            </w:pPr>
          </w:p>
        </w:tc>
        <w:tc>
          <w:tcPr>
            <w:tcW w:w="2280" w:type="dxa"/>
            <w:vAlign w:val="bottom"/>
            <w:tcBorders>
              <w:bottom w:val="single" w:sz="8" w:color="808080"/>
            </w:tcBorders>
          </w:tcPr>
          <w:p>
            <w:pPr>
              <w:ind w:left="180"/>
              <w:spacing w:after="0"/>
              <w:rPr>
                <w:sz w:val="20"/>
                <w:szCs w:val="20"/>
                <w:color w:val="auto"/>
              </w:rPr>
            </w:pPr>
            <w:r>
              <w:rPr>
                <w:rFonts w:ascii="Arial" w:cs="Arial" w:eastAsia="Arial" w:hAnsi="Arial"/>
                <w:sz w:val="16"/>
                <w:szCs w:val="16"/>
                <w:color w:val="404040"/>
              </w:rPr>
              <w:t>Total Payment</w:t>
            </w:r>
          </w:p>
        </w:tc>
        <w:tc>
          <w:tcPr>
            <w:tcW w:w="5240" w:type="dxa"/>
            <w:vAlign w:val="bottom"/>
            <w:tcBorders>
              <w:bottom w:val="single" w:sz="8" w:color="808080"/>
            </w:tcBorders>
          </w:tcPr>
          <w:p>
            <w:pPr>
              <w:ind w:left="460"/>
              <w:spacing w:after="0"/>
              <w:rPr>
                <w:sz w:val="20"/>
                <w:szCs w:val="20"/>
                <w:color w:val="auto"/>
              </w:rPr>
            </w:pPr>
            <w:r>
              <w:rPr>
                <w:rFonts w:ascii="Arial" w:cs="Arial" w:eastAsia="Arial" w:hAnsi="Arial"/>
                <w:sz w:val="16"/>
                <w:szCs w:val="16"/>
                <w:color w:val="404040"/>
              </w:rPr>
              <w:t>$1,120.50 (12.05% return)</w:t>
            </w:r>
          </w:p>
        </w:tc>
      </w:tr>
    </w:tbl>
    <w:p>
      <w:pPr>
        <w:spacing w:after="0" w:line="68"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 xml:space="preserve">Because the closing price of one share of the Fund on the twelfth Review Date is greater than or equal to the Initial Value, the notes will be automatically called for a cash payment, for each $1,000 principal amount note, of $1,010.0417 (or $1,000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the Contingent Interest Payment applicable to the twelfth Review Date), payable on the applicable Call Settlement Date. The notes are not automatically callable before the twelfth Review Date, even though the closing price of one share of the Fund on each of the first through eleventh Review Dates is greater than the Initial Value. When added to the Contingent Interest Payments received with respect to the prior Review Dates, the total amount paid, for each $1,000 principal amount note, is $1,120.50. No further payments will be made on the notes.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Example 2 — Notes have NOT been automatically called and the Final Value is greater than or equal to the Buffer Threshold.</w:t>
      </w: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232"/>
        </w:trPr>
        <w:tc>
          <w:tcPr>
            <w:tcW w:w="298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404040"/>
              </w:rPr>
              <w:t>Date</w:t>
            </w:r>
          </w:p>
        </w:tc>
        <w:tc>
          <w:tcPr>
            <w:tcW w:w="2300" w:type="dxa"/>
            <w:vAlign w:val="bottom"/>
            <w:tcBorders>
              <w:bottom w:val="single" w:sz="8" w:color="6D6E71"/>
            </w:tcBorders>
            <w:shd w:val="clear" w:color="auto" w:fill="BFBFBF"/>
          </w:tcPr>
          <w:p>
            <w:pPr>
              <w:ind w:left="120"/>
              <w:spacing w:after="0"/>
              <w:rPr>
                <w:sz w:val="20"/>
                <w:szCs w:val="20"/>
                <w:color w:val="auto"/>
              </w:rPr>
            </w:pPr>
            <w:r>
              <w:rPr>
                <w:rFonts w:ascii="Arial" w:cs="Arial" w:eastAsia="Arial" w:hAnsi="Arial"/>
                <w:sz w:val="16"/>
                <w:szCs w:val="16"/>
                <w:color w:val="404040"/>
              </w:rPr>
              <w:t>Closing Price</w:t>
            </w:r>
          </w:p>
        </w:tc>
        <w:tc>
          <w:tcPr>
            <w:tcW w:w="5160" w:type="dxa"/>
            <w:vAlign w:val="bottom"/>
            <w:tcBorders>
              <w:bottom w:val="single" w:sz="8" w:color="6D6E71"/>
            </w:tcBorders>
            <w:shd w:val="clear" w:color="auto" w:fill="BFBFBF"/>
          </w:tcPr>
          <w:p>
            <w:pPr>
              <w:ind w:left="380"/>
              <w:spacing w:after="0"/>
              <w:rPr>
                <w:sz w:val="20"/>
                <w:szCs w:val="20"/>
                <w:color w:val="auto"/>
              </w:rPr>
            </w:pPr>
            <w:r>
              <w:rPr>
                <w:rFonts w:ascii="Arial" w:cs="Arial" w:eastAsia="Arial" w:hAnsi="Arial"/>
                <w:sz w:val="16"/>
                <w:szCs w:val="16"/>
                <w:color w:val="404040"/>
              </w:rPr>
              <w:t>Payment (per $1,000 principal amount note)</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First Review Date</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$95.00</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$10.0417</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Second Review Date</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$85.00</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$10.0417</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Third through Fifty-Ninth Review Dates</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Less than Interest Barrier</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$0</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Final Review Date</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$90.00</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$1,010.0417</w:t>
            </w:r>
          </w:p>
        </w:tc>
      </w:tr>
      <w:tr>
        <w:trPr>
          <w:trHeight w:val="245"/>
        </w:trPr>
        <w:tc>
          <w:tcPr>
            <w:tcW w:w="2980" w:type="dxa"/>
            <w:vAlign w:val="bottom"/>
            <w:tcBorders>
              <w:bottom w:val="single" w:sz="8" w:color="808080"/>
            </w:tcBorders>
          </w:tcPr>
          <w:p>
            <w:pPr>
              <w:spacing w:after="0"/>
              <w:rPr>
                <w:sz w:val="21"/>
                <w:szCs w:val="21"/>
                <w:color w:val="auto"/>
              </w:rPr>
            </w:pP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Total Payment</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$1,030.125 (3.0125% return)</w:t>
            </w:r>
          </w:p>
        </w:tc>
      </w:tr>
    </w:tbl>
    <w:p>
      <w:pPr>
        <w:spacing w:after="0" w:line="68" w:lineRule="exact"/>
        <w:rPr>
          <w:sz w:val="20"/>
          <w:szCs w:val="20"/>
          <w:color w:val="auto"/>
        </w:rPr>
      </w:pPr>
    </w:p>
    <w:p>
      <w:pPr>
        <w:jc w:val="both"/>
        <w:ind w:right="280"/>
        <w:spacing w:after="0" w:line="271" w:lineRule="auto"/>
        <w:rPr>
          <w:sz w:val="20"/>
          <w:szCs w:val="20"/>
          <w:color w:val="auto"/>
        </w:rPr>
      </w:pPr>
      <w:r>
        <w:rPr>
          <w:rFonts w:ascii="Arial" w:cs="Arial" w:eastAsia="Arial" w:hAnsi="Arial"/>
          <w:sz w:val="15"/>
          <w:szCs w:val="15"/>
          <w:color w:val="404040"/>
        </w:rPr>
        <w:t xml:space="preserve">Because the notes have not been automatically called and the Final Value is greater than or equal to the Buffer Threshold, the payment at maturity, for each $1,000 principal amount note, will be $1,010.0417 (or $1,000 </w:t>
      </w:r>
      <w:r>
        <w:rPr>
          <w:rFonts w:ascii="Arial" w:cs="Arial" w:eastAsia="Arial" w:hAnsi="Arial"/>
          <w:sz w:val="15"/>
          <w:szCs w:val="15"/>
          <w:i w:val="1"/>
          <w:iCs w:val="1"/>
          <w:color w:val="404040"/>
        </w:rPr>
        <w:t>plus</w:t>
      </w:r>
      <w:r>
        <w:rPr>
          <w:rFonts w:ascii="Arial" w:cs="Arial" w:eastAsia="Arial" w:hAnsi="Arial"/>
          <w:sz w:val="15"/>
          <w:szCs w:val="15"/>
          <w:color w:val="404040"/>
        </w:rPr>
        <w:t xml:space="preserve"> the Contingent Interest Payment applicable to the final Review Date). When added to the Contingent Interest Payments received with respect to the prior Review Dates, the total amount paid, for each $1,000 principal amount note, is $1,030.125.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48260</wp:posOffset>
            </wp:positionV>
            <wp:extent cx="713486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42037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7F7F7F"/>
        </w:rPr>
        <w:t>PS-5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20"/>
          </w:cols>
          <w:pgMar w:left="320" w:top="607" w:right="35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54301A"/>
        </w:rPr>
        <w:t>Example 3 — Notes have NOT been automatically called and the Final Value is less than the Buffer Threshold.</w:t>
      </w:r>
    </w:p>
    <w:p>
      <w:pPr>
        <w:spacing w:after="0" w:line="40" w:lineRule="exact"/>
        <w:rPr>
          <w:sz w:val="20"/>
          <w:szCs w:val="20"/>
          <w:color w:val="auto"/>
        </w:rPr>
      </w:pPr>
    </w:p>
    <w:tbl>
      <w:tblPr>
        <w:tblLayout w:type="fixed"/>
        <w:tblInd w:w="400" w:type="dxa"/>
        <w:tblCellMar>
          <w:top w:w="0" w:type="dxa"/>
          <w:left w:w="0" w:type="dxa"/>
          <w:bottom w:w="0" w:type="dxa"/>
          <w:right w:w="0" w:type="dxa"/>
        </w:tblCellMar>
      </w:tblPr>
      <w:tr>
        <w:trPr>
          <w:trHeight w:val="232"/>
        </w:trPr>
        <w:tc>
          <w:tcPr>
            <w:tcW w:w="2980" w:type="dxa"/>
            <w:vAlign w:val="bottom"/>
            <w:tcBorders>
              <w:bottom w:val="single" w:sz="8" w:color="6D6E71"/>
            </w:tcBorders>
            <w:shd w:val="clear" w:color="auto" w:fill="BFBFBF"/>
          </w:tcPr>
          <w:p>
            <w:pPr>
              <w:ind w:left="100"/>
              <w:spacing w:after="0"/>
              <w:rPr>
                <w:sz w:val="20"/>
                <w:szCs w:val="20"/>
                <w:color w:val="auto"/>
              </w:rPr>
            </w:pPr>
            <w:r>
              <w:rPr>
                <w:rFonts w:ascii="Arial" w:cs="Arial" w:eastAsia="Arial" w:hAnsi="Arial"/>
                <w:sz w:val="16"/>
                <w:szCs w:val="16"/>
                <w:color w:val="404040"/>
              </w:rPr>
              <w:t>Date</w:t>
            </w:r>
          </w:p>
        </w:tc>
        <w:tc>
          <w:tcPr>
            <w:tcW w:w="2300" w:type="dxa"/>
            <w:vAlign w:val="bottom"/>
            <w:tcBorders>
              <w:bottom w:val="single" w:sz="8" w:color="6D6E71"/>
            </w:tcBorders>
            <w:shd w:val="clear" w:color="auto" w:fill="BFBFBF"/>
          </w:tcPr>
          <w:p>
            <w:pPr>
              <w:ind w:left="120"/>
              <w:spacing w:after="0"/>
              <w:rPr>
                <w:sz w:val="20"/>
                <w:szCs w:val="20"/>
                <w:color w:val="auto"/>
              </w:rPr>
            </w:pPr>
            <w:r>
              <w:rPr>
                <w:rFonts w:ascii="Arial" w:cs="Arial" w:eastAsia="Arial" w:hAnsi="Arial"/>
                <w:sz w:val="16"/>
                <w:szCs w:val="16"/>
                <w:color w:val="404040"/>
              </w:rPr>
              <w:t>Closing Price</w:t>
            </w:r>
          </w:p>
        </w:tc>
        <w:tc>
          <w:tcPr>
            <w:tcW w:w="5160" w:type="dxa"/>
            <w:vAlign w:val="bottom"/>
            <w:tcBorders>
              <w:bottom w:val="single" w:sz="8" w:color="6D6E71"/>
            </w:tcBorders>
            <w:shd w:val="clear" w:color="auto" w:fill="BFBFBF"/>
          </w:tcPr>
          <w:p>
            <w:pPr>
              <w:ind w:left="380"/>
              <w:spacing w:after="0"/>
              <w:rPr>
                <w:sz w:val="20"/>
                <w:szCs w:val="20"/>
                <w:color w:val="auto"/>
              </w:rPr>
            </w:pPr>
            <w:r>
              <w:rPr>
                <w:rFonts w:ascii="Arial" w:cs="Arial" w:eastAsia="Arial" w:hAnsi="Arial"/>
                <w:sz w:val="16"/>
                <w:szCs w:val="16"/>
                <w:color w:val="404040"/>
              </w:rPr>
              <w:t>Payment (per $1,000 principal amount note)</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First Review Date</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$40.00</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$0</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Second Review Date</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$45.00</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$0</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Third through Fifty-Ninth Review Dates</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Less than Interest Barrier</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$0</w:t>
            </w:r>
          </w:p>
        </w:tc>
      </w:tr>
      <w:tr>
        <w:trPr>
          <w:trHeight w:val="245"/>
        </w:trPr>
        <w:tc>
          <w:tcPr>
            <w:tcW w:w="2980" w:type="dxa"/>
            <w:vAlign w:val="bottom"/>
            <w:tcBorders>
              <w:bottom w:val="single" w:sz="8" w:color="808080"/>
            </w:tcBorders>
          </w:tcPr>
          <w:p>
            <w:pPr>
              <w:ind w:left="100"/>
              <w:spacing w:after="0"/>
              <w:rPr>
                <w:sz w:val="20"/>
                <w:szCs w:val="20"/>
                <w:color w:val="auto"/>
              </w:rPr>
            </w:pPr>
            <w:r>
              <w:rPr>
                <w:rFonts w:ascii="Arial" w:cs="Arial" w:eastAsia="Arial" w:hAnsi="Arial"/>
                <w:sz w:val="16"/>
                <w:szCs w:val="16"/>
                <w:color w:val="404040"/>
              </w:rPr>
              <w:t>Final Review Date</w:t>
            </w: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$50.00</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$500.00</w:t>
            </w:r>
          </w:p>
        </w:tc>
      </w:tr>
      <w:tr>
        <w:trPr>
          <w:trHeight w:val="245"/>
        </w:trPr>
        <w:tc>
          <w:tcPr>
            <w:tcW w:w="2980" w:type="dxa"/>
            <w:vAlign w:val="bottom"/>
            <w:tcBorders>
              <w:bottom w:val="single" w:sz="8" w:color="808080"/>
            </w:tcBorders>
          </w:tcPr>
          <w:p>
            <w:pPr>
              <w:spacing w:after="0"/>
              <w:rPr>
                <w:sz w:val="21"/>
                <w:szCs w:val="21"/>
                <w:color w:val="auto"/>
              </w:rPr>
            </w:pPr>
          </w:p>
        </w:tc>
        <w:tc>
          <w:tcPr>
            <w:tcW w:w="2300" w:type="dxa"/>
            <w:vAlign w:val="bottom"/>
            <w:tcBorders>
              <w:bottom w:val="single" w:sz="8" w:color="808080"/>
            </w:tcBorders>
          </w:tcPr>
          <w:p>
            <w:pPr>
              <w:ind w:left="120"/>
              <w:spacing w:after="0"/>
              <w:rPr>
                <w:sz w:val="20"/>
                <w:szCs w:val="20"/>
                <w:color w:val="auto"/>
              </w:rPr>
            </w:pPr>
            <w:r>
              <w:rPr>
                <w:rFonts w:ascii="Arial" w:cs="Arial" w:eastAsia="Arial" w:hAnsi="Arial"/>
                <w:sz w:val="16"/>
                <w:szCs w:val="16"/>
                <w:color w:val="404040"/>
              </w:rPr>
              <w:t>Total Payment</w:t>
            </w:r>
          </w:p>
        </w:tc>
        <w:tc>
          <w:tcPr>
            <w:tcW w:w="5160" w:type="dxa"/>
            <w:vAlign w:val="bottom"/>
            <w:tcBorders>
              <w:bottom w:val="single" w:sz="8" w:color="808080"/>
            </w:tcBorders>
          </w:tcPr>
          <w:p>
            <w:pPr>
              <w:ind w:left="380"/>
              <w:spacing w:after="0"/>
              <w:rPr>
                <w:sz w:val="20"/>
                <w:szCs w:val="20"/>
                <w:color w:val="auto"/>
              </w:rPr>
            </w:pPr>
            <w:r>
              <w:rPr>
                <w:rFonts w:ascii="Arial" w:cs="Arial" w:eastAsia="Arial" w:hAnsi="Arial"/>
                <w:sz w:val="16"/>
                <w:szCs w:val="16"/>
                <w:color w:val="404040"/>
              </w:rPr>
              <w:t>$700.00 (-30.00% return)</w:t>
            </w:r>
          </w:p>
        </w:tc>
      </w:tr>
    </w:tbl>
    <w:p>
      <w:pPr>
        <w:spacing w:after="0" w:line="81"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404040"/>
        </w:rPr>
        <w:t>Because the notes have not been automatically called, the Final Value is less than the Buffer Threshold and the Fund Return is -50.00%, the payment at maturity will be $700.00 per $1,000 principal amount note, calculated as follows: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404040"/>
        </w:rPr>
        <w:t>$1,000 + [$1,000 × (-50.00% + 20.00%)] = $700.00</w:t>
      </w:r>
    </w:p>
    <w:p>
      <w:pPr>
        <w:spacing w:after="0" w:line="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 or until automatically</w:t>
      </w:r>
      <w:r>
        <w:rPr>
          <w:rFonts w:ascii="Arial" w:cs="Arial" w:eastAsia="Arial" w:hAnsi="Arial"/>
          <w:sz w:val="16"/>
          <w:szCs w:val="16"/>
          <w:color w:val="404040"/>
        </w:rPr>
        <w:t xml:space="preserve"> </w:t>
      </w:r>
      <w:r>
        <w:rPr>
          <w:rFonts w:ascii="Arial" w:cs="Arial" w:eastAsia="Arial" w:hAnsi="Arial"/>
          <w:sz w:val="16"/>
          <w:szCs w:val="16"/>
          <w:b w:val="1"/>
          <w:bCs w:val="1"/>
          <w:color w:val="404040"/>
        </w:rPr>
        <w:t xml:space="preserve">called. </w:t>
      </w:r>
      <w:r>
        <w:rPr>
          <w:rFonts w:ascii="Arial" w:cs="Arial" w:eastAsia="Arial" w:hAnsi="Arial"/>
          <w:sz w:val="16"/>
          <w:szCs w:val="16"/>
          <w:color w:val="404040"/>
        </w:rPr>
        <w:t>These hypotheticals do not reflect the fees or expenses that would be associated with any sale in the secondary market. If these fees and expenses</w:t>
      </w:r>
      <w:r>
        <w:rPr>
          <w:rFonts w:ascii="Arial" w:cs="Arial" w:eastAsia="Arial" w:hAnsi="Arial"/>
          <w:sz w:val="16"/>
          <w:szCs w:val="16"/>
          <w:b w:val="1"/>
          <w:bCs w:val="1"/>
          <w:color w:val="404040"/>
        </w:rPr>
        <w:t xml:space="preserve"> </w:t>
      </w:r>
      <w:r>
        <w:rPr>
          <w:rFonts w:ascii="Arial" w:cs="Arial" w:eastAsia="Arial" w:hAnsi="Arial"/>
          <w:sz w:val="16"/>
          <w:szCs w:val="16"/>
          <w:color w:val="404040"/>
        </w:rPr>
        <w:t>were included, the hypothetical returns and hypothetical payments shown above would likely be lower.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6"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404040"/>
        </w:rPr>
        <w:t>An investment in the notes involves significant risks. These risks are explained in more detail in the “Risk Factors” sections of the accompanying prospectus supplement and product supplement.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Notes Generally</w:t>
      </w:r>
    </w:p>
    <w:p>
      <w:pPr>
        <w:spacing w:after="0" w:line="147" w:lineRule="exact"/>
        <w:rPr>
          <w:sz w:val="20"/>
          <w:szCs w:val="20"/>
          <w:color w:val="auto"/>
        </w:rPr>
      </w:pPr>
    </w:p>
    <w:p>
      <w:pPr>
        <w:ind w:left="320" w:hanging="314"/>
        <w:spacing w:after="0"/>
        <w:tabs>
          <w:tab w:leader="none" w:pos="320" w:val="left"/>
        </w:tabs>
        <w:numPr>
          <w:ilvl w:val="0"/>
          <w:numId w:val="5"/>
        </w:numPr>
        <w:rPr>
          <w:rFonts w:ascii="Arial" w:cs="Arial" w:eastAsia="Arial" w:hAnsi="Arial"/>
          <w:sz w:val="16"/>
          <w:szCs w:val="16"/>
          <w:color w:val="404040"/>
        </w:rPr>
      </w:pPr>
      <w:r>
        <w:rPr>
          <w:rFonts w:ascii="Arial" w:cs="Arial" w:eastAsia="Arial" w:hAnsi="Arial"/>
          <w:sz w:val="16"/>
          <w:szCs w:val="16"/>
          <w:b w:val="1"/>
          <w:bCs w:val="1"/>
          <w:color w:val="404040"/>
        </w:rPr>
        <w:t>YOUR INVESTMENT IN THE NOTES MAY RESULT IN A LOSS —</w:t>
      </w:r>
    </w:p>
    <w:p>
      <w:pPr>
        <w:spacing w:after="0" w:line="101" w:lineRule="exact"/>
        <w:rPr>
          <w:rFonts w:ascii="Arial" w:cs="Arial" w:eastAsia="Arial" w:hAnsi="Arial"/>
          <w:sz w:val="16"/>
          <w:szCs w:val="16"/>
          <w:color w:val="404040"/>
        </w:rPr>
      </w:pPr>
    </w:p>
    <w:p>
      <w:pPr>
        <w:ind w:left="320" w:right="240"/>
        <w:spacing w:after="0" w:line="247" w:lineRule="auto"/>
        <w:rPr>
          <w:rFonts w:ascii="Arial" w:cs="Arial" w:eastAsia="Arial" w:hAnsi="Arial"/>
          <w:sz w:val="16"/>
          <w:szCs w:val="16"/>
          <w:color w:val="404040"/>
        </w:rPr>
      </w:pPr>
      <w:r>
        <w:rPr>
          <w:rFonts w:ascii="Arial" w:cs="Arial" w:eastAsia="Arial" w:hAnsi="Arial"/>
          <w:sz w:val="16"/>
          <w:szCs w:val="16"/>
          <w:color w:val="404040"/>
        </w:rPr>
        <w:t>The notes do not guarantee any return of principal. If the notes have not been automatically called and the Final Value is less than the Buffer Threshold, you will lose 1% of the principal amount of your notes for every 1% that the Final Value is less than the Initial Value by more than 20.00%. Accordingly, under these circumstances, you will lose up to 80.00% of your principal amount at maturity.</w:t>
      </w:r>
    </w:p>
    <w:p>
      <w:pPr>
        <w:spacing w:after="0" w:line="114" w:lineRule="exact"/>
        <w:rPr>
          <w:rFonts w:ascii="Arial" w:cs="Arial" w:eastAsia="Arial" w:hAnsi="Arial"/>
          <w:sz w:val="16"/>
          <w:szCs w:val="16"/>
          <w:color w:val="404040"/>
        </w:rPr>
      </w:pPr>
    </w:p>
    <w:p>
      <w:pPr>
        <w:ind w:left="320" w:hanging="314"/>
        <w:spacing w:after="0"/>
        <w:tabs>
          <w:tab w:leader="none" w:pos="320" w:val="left"/>
        </w:tabs>
        <w:numPr>
          <w:ilvl w:val="0"/>
          <w:numId w:val="5"/>
        </w:numPr>
        <w:rPr>
          <w:rFonts w:ascii="Arial" w:cs="Arial" w:eastAsia="Arial" w:hAnsi="Arial"/>
          <w:sz w:val="16"/>
          <w:szCs w:val="16"/>
          <w:color w:val="404040"/>
        </w:rPr>
      </w:pPr>
      <w:r>
        <w:rPr>
          <w:rFonts w:ascii="Arial" w:cs="Arial" w:eastAsia="Arial" w:hAnsi="Arial"/>
          <w:sz w:val="16"/>
          <w:szCs w:val="16"/>
          <w:b w:val="1"/>
          <w:bCs w:val="1"/>
          <w:color w:val="404040"/>
        </w:rPr>
        <w:t>THE NOTES DO NOT GUARANTEE THE PAYMENT OF INTEREST AND MAY NOT PAY ANY INTEREST AT ALL —</w:t>
      </w:r>
    </w:p>
    <w:p>
      <w:pPr>
        <w:spacing w:after="0" w:line="101" w:lineRule="exact"/>
        <w:rPr>
          <w:rFonts w:ascii="Arial" w:cs="Arial" w:eastAsia="Arial" w:hAnsi="Arial"/>
          <w:sz w:val="16"/>
          <w:szCs w:val="16"/>
          <w:color w:val="404040"/>
        </w:rPr>
      </w:pPr>
    </w:p>
    <w:p>
      <w:pPr>
        <w:jc w:val="both"/>
        <w:ind w:left="320" w:right="140"/>
        <w:spacing w:after="0" w:line="245" w:lineRule="auto"/>
        <w:rPr>
          <w:rFonts w:ascii="Arial" w:cs="Arial" w:eastAsia="Arial" w:hAnsi="Arial"/>
          <w:sz w:val="16"/>
          <w:szCs w:val="16"/>
          <w:color w:val="404040"/>
        </w:rPr>
      </w:pPr>
      <w:r>
        <w:rPr>
          <w:rFonts w:ascii="Arial" w:cs="Arial" w:eastAsia="Arial" w:hAnsi="Arial"/>
          <w:sz w:val="16"/>
          <w:szCs w:val="16"/>
          <w:color w:val="404040"/>
        </w:rPr>
        <w:t>If the notes have not been automatically called, we will make a Contingent Interest Payment with respect to a Review Date only if the closing price of one share of the Fund on that Review Date is greater than or equal to the Interest Barrier. If the closing price of one share of the Fund on that Review Date is less than the Interest Barrier, no Contingent Interest Payment will be made with respect to that Review Date. Accordingly, if the closing price of one share of the Fund on each Review Date is less than the Interest Barrier, you will not receive any interest payments over the term of the notes.</w:t>
      </w:r>
    </w:p>
    <w:p>
      <w:pPr>
        <w:spacing w:after="0" w:line="116" w:lineRule="exact"/>
        <w:rPr>
          <w:rFonts w:ascii="Arial" w:cs="Arial" w:eastAsia="Arial" w:hAnsi="Arial"/>
          <w:sz w:val="16"/>
          <w:szCs w:val="16"/>
          <w:color w:val="404040"/>
        </w:rPr>
      </w:pPr>
    </w:p>
    <w:p>
      <w:pPr>
        <w:ind w:left="320" w:hanging="314"/>
        <w:spacing w:after="0"/>
        <w:tabs>
          <w:tab w:leader="none" w:pos="320" w:val="left"/>
        </w:tabs>
        <w:numPr>
          <w:ilvl w:val="0"/>
          <w:numId w:val="5"/>
        </w:numPr>
        <w:rPr>
          <w:rFonts w:ascii="Arial" w:cs="Arial" w:eastAsia="Arial" w:hAnsi="Arial"/>
          <w:sz w:val="16"/>
          <w:szCs w:val="16"/>
          <w:color w:val="404040"/>
        </w:rPr>
      </w:pPr>
      <w:r>
        <w:rPr>
          <w:rFonts w:ascii="Arial" w:cs="Arial" w:eastAsia="Arial" w:hAnsi="Arial"/>
          <w:sz w:val="16"/>
          <w:szCs w:val="16"/>
          <w:b w:val="1"/>
          <w:bCs w:val="1"/>
          <w:color w:val="404040"/>
        </w:rPr>
        <w:t>CREDIT RISKS OF JPMORGAN FINANCIAL AND JPMORGAN CHASE &amp; CO. —</w:t>
      </w:r>
    </w:p>
    <w:p>
      <w:pPr>
        <w:spacing w:after="0" w:line="101" w:lineRule="exact"/>
        <w:rPr>
          <w:rFonts w:ascii="Arial" w:cs="Arial" w:eastAsia="Arial" w:hAnsi="Arial"/>
          <w:sz w:val="16"/>
          <w:szCs w:val="16"/>
          <w:color w:val="404040"/>
        </w:rPr>
      </w:pPr>
    </w:p>
    <w:p>
      <w:pPr>
        <w:ind w:left="320" w:right="60"/>
        <w:spacing w:after="0" w:line="245" w:lineRule="auto"/>
        <w:rPr>
          <w:rFonts w:ascii="Arial" w:cs="Arial" w:eastAsia="Arial" w:hAnsi="Arial"/>
          <w:sz w:val="16"/>
          <w:szCs w:val="16"/>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16" w:lineRule="exact"/>
        <w:rPr>
          <w:rFonts w:ascii="Arial" w:cs="Arial" w:eastAsia="Arial" w:hAnsi="Arial"/>
          <w:sz w:val="16"/>
          <w:szCs w:val="16"/>
          <w:color w:val="404040"/>
        </w:rPr>
      </w:pPr>
    </w:p>
    <w:p>
      <w:pPr>
        <w:ind w:left="320" w:hanging="314"/>
        <w:spacing w:after="0"/>
        <w:tabs>
          <w:tab w:leader="none" w:pos="320" w:val="left"/>
        </w:tabs>
        <w:numPr>
          <w:ilvl w:val="0"/>
          <w:numId w:val="5"/>
        </w:numPr>
        <w:rPr>
          <w:rFonts w:ascii="Arial" w:cs="Arial" w:eastAsia="Arial" w:hAnsi="Arial"/>
          <w:sz w:val="16"/>
          <w:szCs w:val="16"/>
          <w:color w:val="404040"/>
        </w:rPr>
      </w:pPr>
      <w:r>
        <w:rPr>
          <w:rFonts w:ascii="Arial" w:cs="Arial" w:eastAsia="Arial" w:hAnsi="Arial"/>
          <w:sz w:val="16"/>
          <w:szCs w:val="16"/>
          <w:b w:val="1"/>
          <w:bCs w:val="1"/>
          <w:color w:val="404040"/>
        </w:rPr>
        <w:t>AS A FINANCE SUBSIDIARY, JPMORGAN FINANCIAL HAS NO INDEPENDENT OPERATIONS AND HAS LIMITED ASSETS —</w:t>
      </w:r>
    </w:p>
    <w:p>
      <w:pPr>
        <w:spacing w:after="0" w:line="101" w:lineRule="exact"/>
        <w:rPr>
          <w:rFonts w:ascii="Arial" w:cs="Arial" w:eastAsia="Arial" w:hAnsi="Arial"/>
          <w:sz w:val="16"/>
          <w:szCs w:val="16"/>
          <w:color w:val="404040"/>
        </w:rPr>
      </w:pPr>
    </w:p>
    <w:p>
      <w:pPr>
        <w:ind w:left="320"/>
        <w:spacing w:after="0" w:line="244" w:lineRule="auto"/>
        <w:rPr>
          <w:rFonts w:ascii="Arial" w:cs="Arial" w:eastAsia="Arial" w:hAnsi="Arial"/>
          <w:sz w:val="16"/>
          <w:szCs w:val="16"/>
          <w:color w:val="404040"/>
        </w:rPr>
      </w:pPr>
      <w:r>
        <w:rPr>
          <w:rFonts w:ascii="Arial" w:cs="Arial" w:eastAsia="Arial" w:hAnsi="Arial"/>
          <w:sz w:val="16"/>
          <w:szCs w:val="16"/>
          <w:color w:val="404040"/>
        </w:rPr>
        <w:t xml:space="preserve">As a finance subsidiary of JPMorgan Chase &amp; Co., we have no independent operations beyond the issuance and administration of our securities. Aside from the initial capital contribution from JPMorgan Chase &amp; Co., substantially all of our assets relate to obligations of our affiliates to make payments under loans made by us or other intercompany agreements. As a result, we are dependent upon payments from our affiliates to meet our obligations under the notes. If these affiliates do not make payments to us and we fail to make 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w:t>
      </w:r>
    </w:p>
    <w:p>
      <w:pPr>
        <w:spacing w:after="0" w:line="116" w:lineRule="exact"/>
        <w:rPr>
          <w:rFonts w:ascii="Arial" w:cs="Arial" w:eastAsia="Arial" w:hAnsi="Arial"/>
          <w:sz w:val="16"/>
          <w:szCs w:val="16"/>
          <w:color w:val="404040"/>
        </w:rPr>
      </w:pPr>
    </w:p>
    <w:p>
      <w:pPr>
        <w:ind w:left="320" w:right="300" w:hanging="314"/>
        <w:spacing w:after="0" w:line="278" w:lineRule="auto"/>
        <w:tabs>
          <w:tab w:leader="none" w:pos="320" w:val="left"/>
        </w:tabs>
        <w:numPr>
          <w:ilvl w:val="0"/>
          <w:numId w:val="5"/>
        </w:numPr>
        <w:rPr>
          <w:rFonts w:ascii="Arial" w:cs="Arial" w:eastAsia="Arial" w:hAnsi="Arial"/>
          <w:sz w:val="16"/>
          <w:szCs w:val="16"/>
          <w:color w:val="404040"/>
        </w:rPr>
      </w:pPr>
      <w:r>
        <w:rPr>
          <w:rFonts w:ascii="Arial" w:cs="Arial" w:eastAsia="Arial" w:hAnsi="Arial"/>
          <w:sz w:val="16"/>
          <w:szCs w:val="16"/>
          <w:b w:val="1"/>
          <w:bCs w:val="1"/>
          <w:color w:val="404040"/>
        </w:rPr>
        <w:t>THE APPRECIATION POTENTIAL OF THE NOTES IS LIMITED TO THE SUM OF ANY CONTINGENT INTEREST PAYMENTS THAT MAY BE PAID OVER THE TERM OF THE NOTES,</w:t>
      </w:r>
    </w:p>
    <w:p>
      <w:pPr>
        <w:spacing w:after="0" w:line="31" w:lineRule="exact"/>
        <w:rPr>
          <w:rFonts w:ascii="Arial" w:cs="Arial" w:eastAsia="Arial" w:hAnsi="Arial"/>
          <w:sz w:val="16"/>
          <w:szCs w:val="16"/>
          <w:color w:val="404040"/>
        </w:rPr>
      </w:pPr>
    </w:p>
    <w:p>
      <w:pPr>
        <w:ind w:left="320"/>
        <w:spacing w:after="0"/>
        <w:rPr>
          <w:rFonts w:ascii="Arial" w:cs="Arial" w:eastAsia="Arial" w:hAnsi="Arial"/>
          <w:sz w:val="16"/>
          <w:szCs w:val="16"/>
          <w:color w:val="404040"/>
        </w:rPr>
      </w:pPr>
      <w:r>
        <w:rPr>
          <w:rFonts w:ascii="Arial" w:cs="Arial" w:eastAsia="Arial" w:hAnsi="Arial"/>
          <w:sz w:val="16"/>
          <w:szCs w:val="16"/>
          <w:color w:val="404040"/>
        </w:rPr>
        <w:t>regardless of any appreciation of the Fund, which may be significant. You will not participate in any appreciation of 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67310</wp:posOffset>
            </wp:positionV>
            <wp:extent cx="7134860" cy="421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7F7F7F"/>
        </w:rPr>
        <w:t>PS-6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20"/>
          </w:cols>
          <w:pgMar w:left="320" w:top="572" w:right="359" w:bottom="1440" w:gutter="0" w:footer="0" w:header="0"/>
        </w:sectPr>
      </w:pPr>
    </w:p>
    <w:bookmarkStart w:id="7" w:name="page8"/>
    <w:bookmarkEnd w:id="7"/>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THE AUTOMATIC CALL FEATURE MAY FORCE A POTENTIAL EARLY EXIT —</w:t>
      </w:r>
    </w:p>
    <w:p>
      <w:pPr>
        <w:spacing w:after="0" w:line="101" w:lineRule="exact"/>
        <w:rPr>
          <w:rFonts w:ascii="Arial" w:cs="Arial" w:eastAsia="Arial" w:hAnsi="Arial"/>
          <w:sz w:val="16"/>
          <w:szCs w:val="16"/>
          <w:color w:val="404040"/>
        </w:rPr>
      </w:pPr>
    </w:p>
    <w:p>
      <w:pPr>
        <w:ind w:left="320" w:right="80"/>
        <w:spacing w:after="0" w:line="245" w:lineRule="auto"/>
        <w:rPr>
          <w:rFonts w:ascii="Arial" w:cs="Arial" w:eastAsia="Arial" w:hAnsi="Arial"/>
          <w:sz w:val="16"/>
          <w:szCs w:val="16"/>
          <w:color w:val="404040"/>
        </w:rPr>
      </w:pPr>
      <w:r>
        <w:rPr>
          <w:rFonts w:ascii="Arial" w:cs="Arial" w:eastAsia="Arial" w:hAnsi="Arial"/>
          <w:sz w:val="16"/>
          <w:szCs w:val="16"/>
          <w:color w:val="404040"/>
        </w:rPr>
        <w:t>If your notes are automatically called, the term of the notes may be reduced to as short as approximately one year and you will not receive any Contingent Interest Payments after the applicable Call Settlement Date. There is no guarantee that you would be able to reinvest the proceeds from an investment in the notes at a comparable return and/or with a comparable interest rate for a similar level of risk. Even in cases where the notes are called before maturity, you are not entitled to any fees and commissions described on the front cover of this pricing supplement.</w:t>
      </w:r>
    </w:p>
    <w:p>
      <w:pPr>
        <w:spacing w:after="0" w:line="116" w:lineRule="exact"/>
        <w:rPr>
          <w:rFonts w:ascii="Arial" w:cs="Arial" w:eastAsia="Arial" w:hAnsi="Arial"/>
          <w:sz w:val="16"/>
          <w:szCs w:val="16"/>
          <w:color w:val="404040"/>
        </w:rPr>
      </w:pPr>
    </w:p>
    <w:p>
      <w:pPr>
        <w:ind w:left="320" w:right="100" w:hanging="314"/>
        <w:spacing w:after="0" w:line="278" w:lineRule="auto"/>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YOU WILL NOT RECEIVE DIVIDENDS ON THE FUND OR THE SECURITIES HELD BY THE FUND OR HAVE ANY RIGHTS WITH RESPECT TO THE FUND OR THOSE SECURITIES.</w:t>
      </w:r>
    </w:p>
    <w:p>
      <w:pPr>
        <w:spacing w:after="0" w:line="77" w:lineRule="exact"/>
        <w:rPr>
          <w:rFonts w:ascii="Arial" w:cs="Arial" w:eastAsia="Arial" w:hAnsi="Arial"/>
          <w:sz w:val="16"/>
          <w:szCs w:val="16"/>
          <w:color w:val="404040"/>
        </w:rPr>
      </w:pPr>
    </w:p>
    <w:p>
      <w:pPr>
        <w:ind w:left="320" w:hanging="314"/>
        <w:spacing w:after="0" w:line="278" w:lineRule="auto"/>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THE RISK OF THE CLOSING PRICE OF ONE SHARE OF THE FUND FALLING BELOW THE INTEREST BARRIER OR THE BUFFER THRESHOLD IS GREATER IF THE PRICE OF ONE SHARE OF THE FUND IS VOLATILE.</w:t>
      </w:r>
    </w:p>
    <w:p>
      <w:pPr>
        <w:spacing w:after="0" w:line="90" w:lineRule="exact"/>
        <w:rPr>
          <w:rFonts w:ascii="Arial" w:cs="Arial" w:eastAsia="Arial" w:hAnsi="Arial"/>
          <w:sz w:val="16"/>
          <w:szCs w:val="16"/>
          <w:color w:val="404040"/>
        </w:rPr>
      </w:pPr>
    </w:p>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LACK OF LIQUIDITY —</w:t>
      </w:r>
    </w:p>
    <w:p>
      <w:pPr>
        <w:spacing w:after="0" w:line="101" w:lineRule="exact"/>
        <w:rPr>
          <w:rFonts w:ascii="Arial" w:cs="Arial" w:eastAsia="Arial" w:hAnsi="Arial"/>
          <w:sz w:val="16"/>
          <w:szCs w:val="16"/>
          <w:color w:val="404040"/>
        </w:rPr>
      </w:pPr>
    </w:p>
    <w:p>
      <w:pPr>
        <w:ind w:left="320" w:right="40"/>
        <w:spacing w:after="0" w:line="247" w:lineRule="auto"/>
        <w:rPr>
          <w:rFonts w:ascii="Arial" w:cs="Arial" w:eastAsia="Arial" w:hAnsi="Arial"/>
          <w:sz w:val="16"/>
          <w:szCs w:val="16"/>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114" w:lineRule="exact"/>
        <w:rPr>
          <w:rFonts w:ascii="Arial" w:cs="Arial" w:eastAsia="Arial" w:hAnsi="Arial"/>
          <w:sz w:val="16"/>
          <w:szCs w:val="16"/>
          <w:color w:val="404040"/>
        </w:rPr>
      </w:pPr>
    </w:p>
    <w:p>
      <w:pPr>
        <w:ind w:left="320" w:hanging="314"/>
        <w:spacing w:after="0"/>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b w:val="1"/>
          <w:bCs w:val="1"/>
          <w:color w:val="404040"/>
        </w:rPr>
        <w:t>THE FINAL TERMS AND VALUATION OF THE NOTES WILL BE PROVIDED IN THE PRICING SUPPLEMENT —</w:t>
      </w:r>
    </w:p>
    <w:p>
      <w:pPr>
        <w:spacing w:after="0" w:line="101" w:lineRule="exact"/>
        <w:rPr>
          <w:rFonts w:ascii="Arial" w:cs="Arial" w:eastAsia="Arial" w:hAnsi="Arial"/>
          <w:sz w:val="16"/>
          <w:szCs w:val="16"/>
          <w:color w:val="404040"/>
        </w:rPr>
      </w:pPr>
    </w:p>
    <w:p>
      <w:pPr>
        <w:ind w:left="320"/>
        <w:spacing w:after="0"/>
        <w:rPr>
          <w:rFonts w:ascii="Arial" w:cs="Arial" w:eastAsia="Arial" w:hAnsi="Arial"/>
          <w:sz w:val="16"/>
          <w:szCs w:val="16"/>
          <w:color w:val="404040"/>
        </w:rPr>
      </w:pPr>
      <w:r>
        <w:rPr>
          <w:rFonts w:ascii="Arial" w:cs="Arial" w:eastAsia="Arial" w:hAnsi="Arial"/>
          <w:sz w:val="16"/>
          <w:szCs w:val="16"/>
          <w:color w:val="404040"/>
        </w:rPr>
        <w:t>You should consider your potential investment in the notes based on the minimums for the estimated value of the notes and the Contingent Interest Rate.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Conflicts of Interest</w:t>
      </w:r>
    </w:p>
    <w:p>
      <w:pPr>
        <w:spacing w:after="0" w:line="134"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b w:val="1"/>
          <w:bCs w:val="1"/>
          <w:color w:val="404040"/>
        </w:rPr>
        <w:t>POTENTIAL CONFLICTS —</w:t>
      </w:r>
    </w:p>
    <w:p>
      <w:pPr>
        <w:spacing w:after="0" w:line="180" w:lineRule="exact"/>
        <w:rPr>
          <w:rFonts w:ascii="Arial" w:cs="Arial" w:eastAsia="Arial" w:hAnsi="Arial"/>
          <w:sz w:val="16"/>
          <w:szCs w:val="16"/>
          <w:color w:val="404040"/>
        </w:rPr>
      </w:pPr>
    </w:p>
    <w:p>
      <w:pPr>
        <w:ind w:left="320" w:right="60"/>
        <w:spacing w:after="0" w:line="245" w:lineRule="auto"/>
        <w:rPr>
          <w:rFonts w:ascii="Arial" w:cs="Arial" w:eastAsia="Arial" w:hAnsi="Arial"/>
          <w:sz w:val="16"/>
          <w:szCs w:val="16"/>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Estimated Value and Secondary Market Prices of the Notes</w:t>
      </w:r>
    </w:p>
    <w:p>
      <w:pPr>
        <w:spacing w:after="0" w:line="147"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WILL BE LOWER THAN THE ORIGINAL ISSUE PRICE (PRICE TO PUBLIC) OF THE NOTES —</w:t>
      </w:r>
    </w:p>
    <w:p>
      <w:pPr>
        <w:spacing w:after="0" w:line="101" w:lineRule="exact"/>
        <w:rPr>
          <w:rFonts w:ascii="Arial" w:cs="Arial" w:eastAsia="Arial" w:hAnsi="Arial"/>
          <w:sz w:val="16"/>
          <w:szCs w:val="16"/>
          <w:color w:val="404040"/>
        </w:rPr>
      </w:pPr>
    </w:p>
    <w:p>
      <w:pPr>
        <w:ind w:left="320" w:right="160"/>
        <w:spacing w:after="0" w:line="244" w:lineRule="auto"/>
        <w:rPr>
          <w:rFonts w:ascii="Arial" w:cs="Arial" w:eastAsia="Arial" w:hAnsi="Arial"/>
          <w:sz w:val="16"/>
          <w:szCs w:val="16"/>
          <w:color w:val="404040"/>
        </w:rPr>
      </w:pPr>
      <w:r>
        <w:rPr>
          <w:rFonts w:ascii="Arial" w:cs="Arial" w:eastAsia="Arial" w:hAnsi="Arial"/>
          <w:sz w:val="16"/>
          <w:szCs w:val="16"/>
          <w:color w:val="404040"/>
        </w:rPr>
        <w:t>The estimated value of the notes is only an estimate determined by reference to several factors. The original issue price of the notes will exceed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“The Estimated Value of the Notes” in this pricing supplement.</w:t>
      </w:r>
    </w:p>
    <w:p>
      <w:pPr>
        <w:spacing w:after="0" w:line="117" w:lineRule="exact"/>
        <w:rPr>
          <w:rFonts w:ascii="Arial" w:cs="Arial" w:eastAsia="Arial" w:hAnsi="Arial"/>
          <w:sz w:val="16"/>
          <w:szCs w:val="16"/>
          <w:color w:val="404040"/>
        </w:rPr>
      </w:pPr>
    </w:p>
    <w:p>
      <w:pPr>
        <w:ind w:left="320" w:right="720" w:hanging="314"/>
        <w:spacing w:after="0" w:line="278" w:lineRule="auto"/>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DOES NOT REPRESENT FUTURE VALUES OF THE NOTES AND MAY DIFFER FROM OTHERS’ ESTIMATES —</w:t>
      </w:r>
    </w:p>
    <w:p>
      <w:pPr>
        <w:spacing w:after="0" w:line="31" w:lineRule="exact"/>
        <w:rPr>
          <w:rFonts w:ascii="Arial" w:cs="Arial" w:eastAsia="Arial" w:hAnsi="Arial"/>
          <w:sz w:val="16"/>
          <w:szCs w:val="16"/>
          <w:color w:val="404040"/>
        </w:rPr>
      </w:pPr>
    </w:p>
    <w:p>
      <w:pPr>
        <w:ind w:left="320"/>
        <w:spacing w:after="0"/>
        <w:rPr>
          <w:rFonts w:ascii="Arial" w:cs="Arial" w:eastAsia="Arial" w:hAnsi="Arial"/>
          <w:sz w:val="16"/>
          <w:szCs w:val="16"/>
          <w:color w:val="404040"/>
        </w:rPr>
      </w:pPr>
      <w:r>
        <w:rPr>
          <w:rFonts w:ascii="Arial" w:cs="Arial" w:eastAsia="Arial" w:hAnsi="Arial"/>
          <w:sz w:val="16"/>
          <w:szCs w:val="16"/>
          <w:color w:val="404040"/>
        </w:rPr>
        <w:t>See “The Estimated Value of the Notes” in this pricing supplement.</w:t>
      </w:r>
    </w:p>
    <w:p>
      <w:pPr>
        <w:spacing w:after="0" w:line="127" w:lineRule="exact"/>
        <w:rPr>
          <w:rFonts w:ascii="Arial" w:cs="Arial" w:eastAsia="Arial" w:hAnsi="Arial"/>
          <w:sz w:val="16"/>
          <w:szCs w:val="16"/>
          <w:color w:val="404040"/>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DERIVED BY REFERENCE TO AN INTERNAL FUNDING RATE —</w:t>
      </w:r>
    </w:p>
    <w:p>
      <w:pPr>
        <w:spacing w:after="0" w:line="101" w:lineRule="exact"/>
        <w:rPr>
          <w:rFonts w:ascii="Arial" w:cs="Arial" w:eastAsia="Arial" w:hAnsi="Arial"/>
          <w:sz w:val="16"/>
          <w:szCs w:val="16"/>
          <w:color w:val="404040"/>
        </w:rPr>
      </w:pPr>
    </w:p>
    <w:p>
      <w:pPr>
        <w:ind w:left="320" w:right="40"/>
        <w:spacing w:after="0" w:line="243" w:lineRule="auto"/>
        <w:rPr>
          <w:rFonts w:ascii="Arial" w:cs="Arial" w:eastAsia="Arial" w:hAnsi="Arial"/>
          <w:sz w:val="16"/>
          <w:szCs w:val="16"/>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34860" cy="421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7F7F7F"/>
        </w:rPr>
        <w:t>PS-7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40"/>
          </w:cols>
          <w:pgMar w:left="320" w:top="612" w:right="339" w:bottom="1440" w:gutter="0" w:footer="0" w:header="0"/>
        </w:sectPr>
      </w:pPr>
    </w:p>
    <w:bookmarkStart w:id="8" w:name="page9"/>
    <w:bookmarkEnd w:id="8"/>
    <w:p>
      <w:pPr>
        <w:ind w:left="320" w:right="300" w:hanging="314"/>
        <w:spacing w:after="0" w:line="278" w:lineRule="auto"/>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THE VALUE OF THE NOTES AS PUBLISHED BY JPMS (AND WHICH MAY BE REFLECTED ON CUSTOMER ACCOUNT STATEMENTS) MAY BE HIGHER THAN THE THEN-CURRENT ESTIMATED VALUE OF THE NOTES FOR A LIMITED TIME PERIOD —</w:t>
      </w:r>
    </w:p>
    <w:p>
      <w:pPr>
        <w:spacing w:after="0" w:line="31" w:lineRule="exact"/>
        <w:rPr>
          <w:rFonts w:ascii="Arial" w:cs="Arial" w:eastAsia="Arial" w:hAnsi="Arial"/>
          <w:sz w:val="16"/>
          <w:szCs w:val="16"/>
          <w:color w:val="404040"/>
        </w:rPr>
      </w:pPr>
    </w:p>
    <w:p>
      <w:pPr>
        <w:ind w:left="320" w:right="40"/>
        <w:spacing w:after="0" w:line="245" w:lineRule="auto"/>
        <w:rPr>
          <w:rFonts w:ascii="Arial" w:cs="Arial" w:eastAsia="Arial" w:hAnsi="Arial"/>
          <w:sz w:val="16"/>
          <w:szCs w:val="16"/>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6" w:lineRule="exact"/>
        <w:rPr>
          <w:rFonts w:ascii="Arial" w:cs="Arial" w:eastAsia="Arial" w:hAnsi="Arial"/>
          <w:sz w:val="16"/>
          <w:szCs w:val="16"/>
          <w:color w:val="404040"/>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LIKELY BE LOWER THAN THE ORIGINAL ISSUE PRICE OF THE NOTES —</w:t>
      </w:r>
    </w:p>
    <w:p>
      <w:pPr>
        <w:spacing w:after="0" w:line="101" w:lineRule="exact"/>
        <w:rPr>
          <w:rFonts w:ascii="Arial" w:cs="Arial" w:eastAsia="Arial" w:hAnsi="Arial"/>
          <w:sz w:val="16"/>
          <w:szCs w:val="16"/>
          <w:color w:val="404040"/>
        </w:rPr>
      </w:pPr>
    </w:p>
    <w:p>
      <w:pPr>
        <w:ind w:left="320" w:right="220"/>
        <w:spacing w:after="0" w:line="244" w:lineRule="auto"/>
        <w:rPr>
          <w:rFonts w:ascii="Arial" w:cs="Arial" w:eastAsia="Arial" w:hAnsi="Arial"/>
          <w:sz w:val="16"/>
          <w:szCs w:val="16"/>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78" w:lineRule="exact"/>
        <w:rPr>
          <w:rFonts w:ascii="Arial" w:cs="Arial" w:eastAsia="Arial" w:hAnsi="Arial"/>
          <w:sz w:val="16"/>
          <w:szCs w:val="16"/>
          <w:color w:val="404040"/>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101" w:lineRule="exact"/>
        <w:rPr>
          <w:rFonts w:ascii="Arial" w:cs="Arial" w:eastAsia="Arial" w:hAnsi="Arial"/>
          <w:sz w:val="16"/>
          <w:szCs w:val="16"/>
          <w:color w:val="404040"/>
        </w:rPr>
      </w:pPr>
    </w:p>
    <w:p>
      <w:pPr>
        <w:ind w:left="320"/>
        <w:spacing w:after="0" w:line="244" w:lineRule="auto"/>
        <w:rPr>
          <w:rFonts w:ascii="Arial" w:cs="Arial" w:eastAsia="Arial" w:hAnsi="Arial"/>
          <w:sz w:val="16"/>
          <w:szCs w:val="16"/>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price of one share of the Fund.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Fund</w:t>
      </w:r>
    </w:p>
    <w:p>
      <w:pPr>
        <w:spacing w:after="0" w:line="108"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AN INVESTMENT IN THE NOTES IS SUBJECT TO RISKS ASSOCIATED WITH ACTIVELY MANAGED FUNDS —</w:t>
      </w:r>
    </w:p>
    <w:p>
      <w:pPr>
        <w:spacing w:after="0" w:line="101" w:lineRule="exact"/>
        <w:rPr>
          <w:rFonts w:ascii="Arial" w:cs="Arial" w:eastAsia="Arial" w:hAnsi="Arial"/>
          <w:sz w:val="16"/>
          <w:szCs w:val="16"/>
          <w:color w:val="404040"/>
        </w:rPr>
      </w:pPr>
    </w:p>
    <w:p>
      <w:pPr>
        <w:ind w:left="320" w:right="120"/>
        <w:spacing w:after="0" w:line="243" w:lineRule="auto"/>
        <w:rPr>
          <w:rFonts w:ascii="Arial" w:cs="Arial" w:eastAsia="Arial" w:hAnsi="Arial"/>
          <w:sz w:val="16"/>
          <w:szCs w:val="16"/>
          <w:color w:val="404040"/>
        </w:rPr>
      </w:pPr>
      <w:r>
        <w:rPr>
          <w:rFonts w:ascii="Arial" w:cs="Arial" w:eastAsia="Arial" w:hAnsi="Arial"/>
          <w:sz w:val="16"/>
          <w:szCs w:val="16"/>
          <w:color w:val="404040"/>
        </w:rPr>
        <w:t>The Fund is actively managed. Unlike a passively managed fund, an actively managed fund does not attempt to track an index or other benchmark, and the investment decisions for an actively managed fund are instead made by its investment adviser. The investment adviser of an actively managed fund may adopt a strategy or strategies that are significantly higher risk than the indexing strategy that would have been employed by a passively managed fund. As an actively managed fund, the Fund is subject to management risk. In managing an actively managed fund, the investment adviser of a fund applies investment strategies, techniques and analyses in making investment decisions for that fund, but there can be no guarantee that these actions will produce the intended results. The ability of the Fund’s investment adviser to successfully implement the Fund’s investment strategy will significantly influence the market price of the shares of the Fund and, consequently, the value of the notes.</w:t>
      </w:r>
    </w:p>
    <w:p>
      <w:pPr>
        <w:spacing w:after="0" w:line="80" w:lineRule="exact"/>
        <w:rPr>
          <w:rFonts w:ascii="Arial" w:cs="Arial" w:eastAsia="Arial" w:hAnsi="Arial"/>
          <w:sz w:val="16"/>
          <w:szCs w:val="16"/>
          <w:color w:val="404040"/>
        </w:rPr>
      </w:pPr>
    </w:p>
    <w:p>
      <w:pPr>
        <w:ind w:left="320" w:right="20" w:hanging="314"/>
        <w:spacing w:after="0" w:line="278" w:lineRule="auto"/>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THE PERFORMANCE AND MARKET VALUE OF THE FUND, PARTICULARLY DURING PERIODS OF MARKET VOLATILITY, MAY NOT CORRELATE WITH THE PERFORMANCE OF THE FUND’S NET ASSET VALUE PER SHARE —</w:t>
      </w:r>
    </w:p>
    <w:p>
      <w:pPr>
        <w:spacing w:after="0" w:line="31" w:lineRule="exact"/>
        <w:rPr>
          <w:rFonts w:ascii="Arial" w:cs="Arial" w:eastAsia="Arial" w:hAnsi="Arial"/>
          <w:sz w:val="16"/>
          <w:szCs w:val="16"/>
          <w:color w:val="404040"/>
        </w:rPr>
      </w:pPr>
    </w:p>
    <w:p>
      <w:pPr>
        <w:ind w:left="320" w:right="20"/>
        <w:spacing w:after="0" w:line="243" w:lineRule="auto"/>
        <w:rPr>
          <w:rFonts w:ascii="Arial" w:cs="Arial" w:eastAsia="Arial" w:hAnsi="Arial"/>
          <w:sz w:val="16"/>
          <w:szCs w:val="16"/>
          <w:color w:val="404040"/>
        </w:rPr>
      </w:pPr>
      <w:r>
        <w:rPr>
          <w:rFonts w:ascii="Arial" w:cs="Arial" w:eastAsia="Arial" w:hAnsi="Arial"/>
          <w:sz w:val="16"/>
          <w:szCs w:val="16"/>
          <w:color w:val="404040"/>
        </w:rPr>
        <w:t>Because the shares of the Fund are traded on a securities exchange and are subject to market supply and investor demand, the market value of one share of the Fund may differ from the net asset value per share of the Fund. During periods of market volatility, securities underlying the Fund may be unavailable in the secondary market, market participants may be unable to calculate accurately the net asset value per share of the Fund and the liquidity of the Fund may be adversely affected. This kind of market volatility may also disrupt the ability of market participants to create and redeem shares of the Fund. Further, market volatility may adversely affect, sometimes materially, the prices at which market participants are willing to buy and sell shares of the Fund. As a result, under these circumstances, the market value of shares of the Fund may vary substantially from the net asset value per share of the Fund. For all of the foregoing reasons, the performance of the Fund may not correlate with the net asset value per share of the Fund, which could materially and adversely affect the value of the notes in the secondary market and/or reduce any payment on the notes.</w:t>
      </w:r>
    </w:p>
    <w:p>
      <w:pPr>
        <w:spacing w:after="0" w:line="79" w:lineRule="exact"/>
        <w:rPr>
          <w:rFonts w:ascii="Arial" w:cs="Arial" w:eastAsia="Arial" w:hAnsi="Arial"/>
          <w:sz w:val="16"/>
          <w:szCs w:val="16"/>
          <w:color w:val="404040"/>
        </w:rPr>
      </w:pPr>
    </w:p>
    <w:p>
      <w:pPr>
        <w:ind w:left="320" w:hanging="314"/>
        <w:spacing w:after="0"/>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RISKS ASSOCIATED WITH DISRUPTIVE INNOVATION COMPANIES —</w:t>
      </w:r>
    </w:p>
    <w:p>
      <w:pPr>
        <w:spacing w:after="0" w:line="114" w:lineRule="exact"/>
        <w:rPr>
          <w:rFonts w:ascii="Arial" w:cs="Arial" w:eastAsia="Arial" w:hAnsi="Arial"/>
          <w:sz w:val="16"/>
          <w:szCs w:val="16"/>
          <w:color w:val="404040"/>
        </w:rPr>
      </w:pPr>
    </w:p>
    <w:p>
      <w:pPr>
        <w:ind w:left="320" w:right="260"/>
        <w:spacing w:after="0" w:line="245" w:lineRule="auto"/>
        <w:rPr>
          <w:rFonts w:ascii="Arial" w:cs="Arial" w:eastAsia="Arial" w:hAnsi="Arial"/>
          <w:sz w:val="16"/>
          <w:szCs w:val="16"/>
          <w:color w:val="404040"/>
        </w:rPr>
      </w:pPr>
      <w:r>
        <w:rPr>
          <w:rFonts w:ascii="Arial" w:cs="Arial" w:eastAsia="Arial" w:hAnsi="Arial"/>
          <w:sz w:val="16"/>
          <w:szCs w:val="16"/>
          <w:color w:val="404040"/>
        </w:rPr>
        <w:t>The Fund’s investment strategy involves exposure to companies that the investment adviser believes are capitalizing on disruptive innovation and developing technologies to displace older technologies or create new markets (“disruptive innovation companies”). However, the companies selected by the investment adviser may not in fact do so. Companies that initially develop a novel technology may not be able to capitalize on the technology. Companies that develop disruptive technologies may face political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60325</wp:posOffset>
            </wp:positionV>
            <wp:extent cx="713486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4203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7F7F7F"/>
        </w:rPr>
        <w:t>PS-8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40"/>
          </w:cols>
          <w:pgMar w:left="320" w:top="612" w:right="339" w:bottom="1440" w:gutter="0" w:footer="0" w:header="0"/>
        </w:sectPr>
      </w:pPr>
    </w:p>
    <w:bookmarkStart w:id="9" w:name="page10"/>
    <w:bookmarkEnd w:id="9"/>
    <w:p>
      <w:pPr>
        <w:ind w:left="320" w:right="120"/>
        <w:spacing w:after="0" w:line="244" w:lineRule="auto"/>
        <w:rPr>
          <w:sz w:val="20"/>
          <w:szCs w:val="20"/>
          <w:color w:val="auto"/>
        </w:rPr>
      </w:pPr>
      <w:r>
        <w:rPr>
          <w:rFonts w:ascii="Arial" w:cs="Arial" w:eastAsia="Arial" w:hAnsi="Arial"/>
          <w:sz w:val="16"/>
          <w:szCs w:val="16"/>
          <w:color w:val="404040"/>
        </w:rPr>
        <w:t>legal attacks from competitors, industry groups or local and national governments. These companies may also be exposed to risks applicable to sectors other than the disruptive innovation theme for which they are chosen, and the securities issued by these companies may underperform the securities of other companies that are primarily focused on a particular theme. The Fund may invest in companies that do not currently derive any revenue from disruptive innovations or technologies, and there is no assurance that any company will derive any revenue from disruptive innovations or technologies in the future. A disruptive innovation or technology may constitute a small portion of any company’s overall business. As a result, the success of a disruptive innovation or technology may not affect the value of the equity securities issued by that company.</w:t>
      </w:r>
    </w:p>
    <w:p>
      <w:pPr>
        <w:spacing w:after="0" w:line="77"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AN INVESTMENT IN THE NOTES IS SUBJECT TO RISKS ASSOCIATED WITH MID-SIZE, SMALL AND MICRO-CAPITALIZATION STOCKS —</w:t>
      </w:r>
    </w:p>
    <w:p>
      <w:pPr>
        <w:spacing w:after="0" w:line="101" w:lineRule="exact"/>
        <w:rPr>
          <w:rFonts w:ascii="Arial" w:cs="Arial" w:eastAsia="Arial" w:hAnsi="Arial"/>
          <w:sz w:val="16"/>
          <w:szCs w:val="16"/>
          <w:color w:val="404040"/>
        </w:rPr>
      </w:pPr>
    </w:p>
    <w:p>
      <w:pPr>
        <w:ind w:left="320" w:right="40"/>
        <w:spacing w:after="0" w:line="245" w:lineRule="auto"/>
        <w:rPr>
          <w:rFonts w:ascii="Arial" w:cs="Arial" w:eastAsia="Arial" w:hAnsi="Arial"/>
          <w:sz w:val="16"/>
          <w:szCs w:val="16"/>
          <w:color w:val="404040"/>
        </w:rPr>
      </w:pPr>
      <w:r>
        <w:rPr>
          <w:rFonts w:ascii="Arial" w:cs="Arial" w:eastAsia="Arial" w:hAnsi="Arial"/>
          <w:sz w:val="16"/>
          <w:szCs w:val="16"/>
          <w:color w:val="404040"/>
        </w:rPr>
        <w:t>Some of the equity securities held by the Fund have been issued by mid-size, small or micro-capitalization companies. Mid-size, small and micro-capitalization companies may be less able to withstand adverse economic, market, trade and competitive conditions relative to larger companies. Mid-size, small and micro-capitalization companies are less likely to pay dividends on their stocks, and the presence of a dividend payment could be a factor that limits downward stock price pressure under adverse market conditions.</w:t>
      </w:r>
    </w:p>
    <w:p>
      <w:pPr>
        <w:spacing w:after="0" w:line="50" w:lineRule="exact"/>
        <w:rPr>
          <w:rFonts w:ascii="Arial" w:cs="Arial" w:eastAsia="Arial" w:hAnsi="Arial"/>
          <w:sz w:val="16"/>
          <w:szCs w:val="16"/>
          <w:color w:val="404040"/>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NON-U.S. SECURITIES RISK —</w:t>
      </w:r>
    </w:p>
    <w:p>
      <w:pPr>
        <w:spacing w:after="0" w:line="101" w:lineRule="exact"/>
        <w:rPr>
          <w:rFonts w:ascii="Arial" w:cs="Arial" w:eastAsia="Arial" w:hAnsi="Arial"/>
          <w:sz w:val="16"/>
          <w:szCs w:val="16"/>
          <w:color w:val="404040"/>
        </w:rPr>
      </w:pPr>
    </w:p>
    <w:p>
      <w:pPr>
        <w:ind w:left="320" w:right="60"/>
        <w:spacing w:after="0" w:line="245" w:lineRule="auto"/>
        <w:rPr>
          <w:rFonts w:ascii="Arial" w:cs="Arial" w:eastAsia="Arial" w:hAnsi="Arial"/>
          <w:sz w:val="16"/>
          <w:szCs w:val="16"/>
          <w:color w:val="404040"/>
        </w:rPr>
      </w:pPr>
      <w:r>
        <w:rPr>
          <w:rFonts w:ascii="Arial" w:cs="Arial" w:eastAsia="Arial" w:hAnsi="Arial"/>
          <w:sz w:val="16"/>
          <w:szCs w:val="16"/>
          <w:color w:val="404040"/>
        </w:rPr>
        <w:t>Some of the equity securities held by the Fund have been issued by non-U.S. companies. Investments in securities linked to the value of such non-U.S. equity securities involve risks associated with the securities markets in the home countries of the issuers of those non-U.S. equity securities. Also, there is generally less publicly available information about companies in some of these jurisdictions than there is about U.S. companies that are subject to the reporting requirements of the SEC.</w:t>
      </w:r>
    </w:p>
    <w:p>
      <w:pPr>
        <w:spacing w:after="0" w:line="116" w:lineRule="exact"/>
        <w:rPr>
          <w:rFonts w:ascii="Arial" w:cs="Arial" w:eastAsia="Arial" w:hAnsi="Arial"/>
          <w:sz w:val="16"/>
          <w:szCs w:val="16"/>
          <w:color w:val="404040"/>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EMERGING MARKETS RISK —</w:t>
      </w:r>
    </w:p>
    <w:p>
      <w:pPr>
        <w:spacing w:after="0" w:line="101" w:lineRule="exact"/>
        <w:rPr>
          <w:rFonts w:ascii="Arial" w:cs="Arial" w:eastAsia="Arial" w:hAnsi="Arial"/>
          <w:sz w:val="16"/>
          <w:szCs w:val="16"/>
          <w:color w:val="404040"/>
        </w:rPr>
      </w:pPr>
    </w:p>
    <w:p>
      <w:pPr>
        <w:ind w:left="320" w:right="40"/>
        <w:spacing w:after="0" w:line="244" w:lineRule="auto"/>
        <w:rPr>
          <w:rFonts w:ascii="Arial" w:cs="Arial" w:eastAsia="Arial" w:hAnsi="Arial"/>
          <w:sz w:val="16"/>
          <w:szCs w:val="16"/>
          <w:color w:val="404040"/>
        </w:rPr>
      </w:pPr>
      <w:r>
        <w:rPr>
          <w:rFonts w:ascii="Arial" w:cs="Arial" w:eastAsia="Arial" w:hAnsi="Arial"/>
          <w:sz w:val="16"/>
          <w:szCs w:val="16"/>
          <w:color w:val="404040"/>
        </w:rPr>
        <w:t>Some of the equity securities held by the Fund have been issued by non-U.S. companies located in emerging markets countries. Countries with emerging markets may have relatively unstable governments, may present the risks of nationalization of businesses, restrictions on foreign ownership and prohibitions on the repatriation of assets, and may have less protection of property rights than more developed countries. The economies of countries with emerging markets may be based on only a few industries, may be highly vulnerable to changes in local or global trade conditions, and may suffer from extreme and volatile debt burdens or inflation rates. Local securities markets may trade a small number of securities and may be unable to respond effectively to increases in trading volume, potentially making prompt liquidation of holdings difficult or impossible at times.</w:t>
      </w:r>
    </w:p>
    <w:p>
      <w:pPr>
        <w:spacing w:after="0" w:line="116" w:lineRule="exact"/>
        <w:rPr>
          <w:rFonts w:ascii="Arial" w:cs="Arial" w:eastAsia="Arial" w:hAnsi="Arial"/>
          <w:sz w:val="16"/>
          <w:szCs w:val="16"/>
          <w:color w:val="404040"/>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RECENT EXECUTIVE ORDERS MAY ADVERSELY AFFECT THE PERFORMANCE OF THE FUND —</w:t>
      </w:r>
    </w:p>
    <w:p>
      <w:pPr>
        <w:spacing w:after="0" w:line="101" w:lineRule="exact"/>
        <w:rPr>
          <w:rFonts w:ascii="Arial" w:cs="Arial" w:eastAsia="Arial" w:hAnsi="Arial"/>
          <w:sz w:val="16"/>
          <w:szCs w:val="16"/>
          <w:color w:val="404040"/>
        </w:rPr>
      </w:pPr>
    </w:p>
    <w:p>
      <w:pPr>
        <w:ind w:left="320"/>
        <w:spacing w:after="0" w:line="244" w:lineRule="auto"/>
        <w:rPr>
          <w:rFonts w:ascii="Arial" w:cs="Arial" w:eastAsia="Arial" w:hAnsi="Arial"/>
          <w:sz w:val="16"/>
          <w:szCs w:val="16"/>
          <w:color w:val="404040"/>
        </w:rPr>
      </w:pPr>
      <w:r>
        <w:rPr>
          <w:rFonts w:ascii="Arial" w:cs="Arial" w:eastAsia="Arial" w:hAnsi="Arial"/>
          <w:sz w:val="16"/>
          <w:szCs w:val="16"/>
          <w:color w:val="404040"/>
        </w:rPr>
        <w:t>Pursuant to recent executive orders, U.S. persons are prohibited from engaging in transactions in, or possession of, publicly traded securities of certain companies that are determined to be linked to the People’s Republic of China military, intelligence and security apparatus, or securities that are derivative of, or are designed to provide investment exposure to, those securities. If the issuer of any of the equity securities held by the Fund is in the future designated as such a prohibited company, the value of that company may be adversely affected, perhaps significantly, which would adversely affect the performance of the Fund. In addition, under these circumstances, the Fund is expected to remove the equity securities of that company from the Fund. Any changes to the composition of the Fund in response to these executive orders could adversely affect the performance of the Fund.</w:t>
      </w:r>
    </w:p>
    <w:p>
      <w:pPr>
        <w:spacing w:after="0" w:line="116" w:lineRule="exact"/>
        <w:rPr>
          <w:rFonts w:ascii="Arial" w:cs="Arial" w:eastAsia="Arial" w:hAnsi="Arial"/>
          <w:sz w:val="16"/>
          <w:szCs w:val="16"/>
          <w:color w:val="404040"/>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ANTI-DILUTION PROTECTION FOR THE FUND IS LIMITED —</w:t>
      </w:r>
    </w:p>
    <w:p>
      <w:pPr>
        <w:spacing w:after="0" w:line="101" w:lineRule="exact"/>
        <w:rPr>
          <w:rFonts w:ascii="Arial" w:cs="Arial" w:eastAsia="Arial" w:hAnsi="Arial"/>
          <w:sz w:val="16"/>
          <w:szCs w:val="16"/>
          <w:color w:val="404040"/>
        </w:rPr>
      </w:pPr>
    </w:p>
    <w:p>
      <w:pPr>
        <w:ind w:left="320" w:right="20"/>
        <w:spacing w:after="0" w:line="247" w:lineRule="auto"/>
        <w:rPr>
          <w:rFonts w:ascii="Arial" w:cs="Arial" w:eastAsia="Arial" w:hAnsi="Arial"/>
          <w:sz w:val="16"/>
          <w:szCs w:val="16"/>
          <w:color w:val="404040"/>
        </w:rPr>
      </w:pPr>
      <w:r>
        <w:rPr>
          <w:rFonts w:ascii="Arial" w:cs="Arial" w:eastAsia="Arial" w:hAnsi="Arial"/>
          <w:sz w:val="16"/>
          <w:szCs w:val="16"/>
          <w:color w:val="404040"/>
        </w:rPr>
        <w:t>The calculation agent will make adjustments to the Share Adjustment Factor for certain events affecting the shares of the Fund. However, the calculation agent will not make an adjustment in response to all events that could affect the shares of the Fund. If an event occurs that does not require the calculation agent to make an adjustment, the value of the notes may be materially and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59055</wp:posOffset>
            </wp:positionV>
            <wp:extent cx="7134860" cy="421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7F7F7F"/>
        </w:rPr>
        <w:t>PS-9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20"/>
          </w:cols>
          <w:pgMar w:left="320" w:top="592"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4E8ABE"/>
        </w:rPr>
        <w:t>The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ind w:right="60"/>
        <w:spacing w:after="0" w:line="247" w:lineRule="auto"/>
        <w:rPr>
          <w:sz w:val="20"/>
          <w:szCs w:val="20"/>
          <w:color w:val="auto"/>
        </w:rPr>
      </w:pPr>
      <w:r>
        <w:rPr>
          <w:rFonts w:ascii="Arial" w:cs="Arial" w:eastAsia="Arial" w:hAnsi="Arial"/>
          <w:sz w:val="16"/>
          <w:szCs w:val="16"/>
          <w:color w:val="404040"/>
        </w:rPr>
        <w:t>The Fund is an actively-managed exchange-traded fund of ARK ETF Trust, a registered investment company, with an investment objective of long-term growth of capital, that primarily invests in equity securities of U.S. and non-U.S. companies relevant to the Fund’s investment theme of disruptive innovation. For additional information about the Fund, see Annex A in this pricing supplement.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Historical Information</w:t>
      </w:r>
    </w:p>
    <w:p>
      <w:pPr>
        <w:spacing w:after="0" w:line="101" w:lineRule="exact"/>
        <w:rPr>
          <w:sz w:val="20"/>
          <w:szCs w:val="20"/>
          <w:color w:val="auto"/>
        </w:rPr>
      </w:pPr>
    </w:p>
    <w:p>
      <w:pPr>
        <w:ind w:right="20"/>
        <w:spacing w:after="0" w:line="256" w:lineRule="auto"/>
        <w:rPr>
          <w:sz w:val="20"/>
          <w:szCs w:val="20"/>
          <w:color w:val="auto"/>
        </w:rPr>
      </w:pPr>
      <w:r>
        <w:rPr>
          <w:rFonts w:ascii="Arial" w:cs="Arial" w:eastAsia="Arial" w:hAnsi="Arial"/>
          <w:sz w:val="15"/>
          <w:szCs w:val="15"/>
          <w:color w:val="404040"/>
        </w:rPr>
        <w:t>The following graph sets forth the historical performance of the Fund based on the weekly historical closing prices of one share of the Fund from January 8, 2016 through January 29, 2021. The closing price of one share of the Fund on February 2, 2021 was $146.89. We obtained the closing prices above and below</w:t>
      </w:r>
    </w:p>
    <w:p>
      <w:pPr>
        <w:spacing w:after="0" w:line="1" w:lineRule="exact"/>
        <w:rPr>
          <w:sz w:val="20"/>
          <w:szCs w:val="20"/>
          <w:color w:val="auto"/>
        </w:rPr>
      </w:pPr>
    </w:p>
    <w:p>
      <w:pPr>
        <w:ind w:right="300"/>
        <w:spacing w:after="0" w:line="208" w:lineRule="auto"/>
        <w:rPr>
          <w:sz w:val="20"/>
          <w:szCs w:val="20"/>
          <w:color w:val="auto"/>
        </w:rPr>
      </w:pPr>
      <w:r>
        <w:rPr>
          <w:rFonts w:ascii="Arial" w:cs="Arial" w:eastAsia="Arial" w:hAnsi="Arial"/>
          <w:sz w:val="16"/>
          <w:szCs w:val="16"/>
          <w:color w:val="404040"/>
        </w:rPr>
        <w:t>from the Bloomberg Professional</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service (“Bloomberg”), without independent verification. The closing prices above and below may have been adjusted by Bloomberg for actions taken by the Fund, such as stock splits.</w:t>
      </w:r>
    </w:p>
    <w:p>
      <w:pPr>
        <w:spacing w:after="0" w:line="61"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404040"/>
        </w:rPr>
        <w:t>The historical closing prices of one share of the Fund should not be taken as an indication of future performance, and no assurance can be given as to the closing price of one share of the Fund on the Pricing Date or any Review Date. There can be no assurance that the performance of the Fund will result in the return of any of your principal amount in excess of $200.00 per $1,000 principal amount note, subject to the credit risks of JPMorgan Financial and JPMorgan Chase &amp; Co., or the payment of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1450975</wp:posOffset>
            </wp:positionH>
            <wp:positionV relativeFrom="paragraph">
              <wp:posOffset>127635</wp:posOffset>
            </wp:positionV>
            <wp:extent cx="4240530" cy="2431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40530"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6" w:lineRule="exact"/>
        <w:rPr>
          <w:sz w:val="20"/>
          <w:szCs w:val="20"/>
          <w:color w:val="auto"/>
        </w:rPr>
      </w:pPr>
    </w:p>
    <w:p>
      <w:pPr>
        <w:spacing w:after="0" w:line="242" w:lineRule="auto"/>
        <w:rPr>
          <w:sz w:val="20"/>
          <w:szCs w:val="20"/>
          <w:color w:val="auto"/>
        </w:rPr>
      </w:pPr>
      <w:r>
        <w:rPr>
          <w:rFonts w:ascii="Arial" w:cs="Arial" w:eastAsia="Arial" w:hAnsi="Arial"/>
          <w:sz w:val="16"/>
          <w:szCs w:val="16"/>
          <w:color w:val="404040"/>
        </w:rPr>
        <w:t>You should review carefully the section entitled “Material U.S. Federal Income Tax Consequences” in the accompanying product supplement no. 4-II. In determining our reporting responsibilities we intend to treat (i) the notes for U.S. federal income tax purposes as prepaid forward contracts with associated contingent coupons and (ii) any Contingent Interest Payments as ordinary income, as described in the section entitled “Material U.S. Federal Income Tax Consequences — Tax Consequences to U.S. Holders — Notes Treated as Prepaid Forward Contracts with Associated Contingent Coupons” in the accompanying product supplement.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notes, possibly with retroactive effect. The discussions above and in the accompanying product supplement do not address the consequences to taxpayers subject to special tax accounting rules under Section 451(b) of the Code. You should consult your tax adviser regarding the U.S. federal income tax consequences of an investment in the notes, including possible alternative treatments and the issues presented by the notice described above.</w:t>
      </w:r>
    </w:p>
    <w:p>
      <w:pPr>
        <w:spacing w:after="0" w:line="90" w:lineRule="exact"/>
        <w:rPr>
          <w:sz w:val="20"/>
          <w:szCs w:val="20"/>
          <w:color w:val="auto"/>
        </w:rPr>
      </w:pPr>
    </w:p>
    <w:p>
      <w:pPr>
        <w:ind w:right="340"/>
        <w:spacing w:after="0" w:line="273" w:lineRule="auto"/>
        <w:rPr>
          <w:sz w:val="20"/>
          <w:szCs w:val="20"/>
          <w:color w:val="auto"/>
        </w:rPr>
      </w:pPr>
      <w:r>
        <w:rPr>
          <w:rFonts w:ascii="Arial" w:cs="Arial" w:eastAsia="Arial" w:hAnsi="Arial"/>
          <w:sz w:val="16"/>
          <w:szCs w:val="16"/>
          <w:i w:val="1"/>
          <w:iCs w:val="1"/>
          <w:color w:val="404040"/>
        </w:rPr>
        <w:t>Non-U.S. Holders — Tax Considerations</w:t>
      </w:r>
      <w:r>
        <w:rPr>
          <w:rFonts w:ascii="Arial" w:cs="Arial" w:eastAsia="Arial" w:hAnsi="Arial"/>
          <w:sz w:val="16"/>
          <w:szCs w:val="16"/>
          <w:color w:val="404040"/>
        </w:rPr>
        <w:t>. The U.S. federal income tax treatment of Contingent Interest Payments is uncertain, and although we believe it is</w:t>
      </w:r>
      <w:r>
        <w:rPr>
          <w:rFonts w:ascii="Arial" w:cs="Arial" w:eastAsia="Arial" w:hAnsi="Arial"/>
          <w:sz w:val="16"/>
          <w:szCs w:val="16"/>
          <w:i w:val="1"/>
          <w:iCs w:val="1"/>
          <w:color w:val="404040"/>
        </w:rPr>
        <w:t xml:space="preserve"> </w:t>
      </w:r>
      <w:r>
        <w:rPr>
          <w:rFonts w:ascii="Arial" w:cs="Arial" w:eastAsia="Arial" w:hAnsi="Arial"/>
          <w:sz w:val="16"/>
          <w:szCs w:val="16"/>
          <w:color w:val="404040"/>
        </w:rPr>
        <w:t>reasonable to take a position that Contingent Interest Payments are not subject to U.S. withholding tax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46355</wp:posOffset>
            </wp:positionV>
            <wp:extent cx="7134860" cy="421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7F7F7F"/>
        </w:rPr>
        <w:t>PS-10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20"/>
          </w:cols>
          <w:pgMar w:left="320" w:top="607" w:right="359" w:bottom="1440" w:gutter="0" w:footer="0" w:header="0"/>
        </w:sectPr>
      </w:pPr>
    </w:p>
    <w:bookmarkStart w:id="11" w:name="page12"/>
    <w:bookmarkEnd w:id="11"/>
    <w:p>
      <w:pPr>
        <w:spacing w:after="0" w:line="244" w:lineRule="auto"/>
        <w:rPr>
          <w:sz w:val="20"/>
          <w:szCs w:val="20"/>
          <w:color w:val="auto"/>
        </w:rPr>
      </w:pPr>
      <w:r>
        <w:rPr>
          <w:rFonts w:ascii="Arial" w:cs="Arial" w:eastAsia="Arial" w:hAnsi="Arial"/>
          <w:sz w:val="16"/>
          <w:szCs w:val="16"/>
          <w:color w:val="404040"/>
        </w:rPr>
        <w:t>if an applicable Form W-8 is provided), a withholding agent may nonetheless withhold on these payments (generally at a rate of 30%, subject to the possible reduction of that rate under an applicable income tax treaty), unless income from your notes is effectively connected with your conduct of a trade or business in the United States (and, if an applicable treaty so requires, attributable to a permanent establishment in the United States). If you are not a United States person, you are urged to consult your tax adviser regarding the U.S. federal income tax consequences of an investment in the notes in light of your particular circumstances.</w:t>
      </w:r>
    </w:p>
    <w:p>
      <w:pPr>
        <w:spacing w:after="0" w:line="138"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2023 that do not have a delta of one with respect to underlying securities that could pay U.S.-source dividends for U.S. federal income tax purposes (each an “Underlying Security”). Based on certain determinations made by us, we expect that Section 871(m) will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If necessary, further information regarding the potential application of Section 871(m) will be provided in the pricing supplement for the notes. You should consult your tax adviser regarding the potential application of Section 871(m) to the notes.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404040"/>
        </w:rPr>
        <w:t>In the event of any withholding on the notes, we will not be required to pay any additional amounts with respect to amounts so withheld.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89" w:lineRule="exact"/>
        <w:rPr>
          <w:sz w:val="20"/>
          <w:szCs w:val="20"/>
          <w:color w:val="auto"/>
        </w:rPr>
      </w:pPr>
    </w:p>
    <w:p>
      <w:pPr>
        <w:ind w:right="20"/>
        <w:spacing w:after="0" w:line="260" w:lineRule="auto"/>
        <w:rPr>
          <w:sz w:val="20"/>
          <w:szCs w:val="20"/>
          <w:color w:val="auto"/>
        </w:rPr>
      </w:pPr>
      <w:r>
        <w:rPr>
          <w:rFonts w:ascii="Arial" w:cs="Arial" w:eastAsia="Arial" w:hAnsi="Arial"/>
          <w:sz w:val="15"/>
          <w:szCs w:val="15"/>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91" w:lineRule="exact"/>
        <w:rPr>
          <w:sz w:val="20"/>
          <w:szCs w:val="20"/>
          <w:color w:val="auto"/>
        </w:rPr>
      </w:pPr>
    </w:p>
    <w:p>
      <w:pPr>
        <w:jc w:val="both"/>
        <w:ind w:right="60"/>
        <w:spacing w:after="0" w:line="258" w:lineRule="auto"/>
        <w:rPr>
          <w:sz w:val="20"/>
          <w:szCs w:val="20"/>
          <w:color w:val="auto"/>
        </w:rPr>
      </w:pPr>
      <w:r>
        <w:rPr>
          <w:rFonts w:ascii="Arial" w:cs="Arial" w:eastAsia="Arial" w:hAnsi="Arial"/>
          <w:sz w:val="15"/>
          <w:szCs w:val="15"/>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w:t>
      </w:r>
    </w:p>
    <w:p>
      <w:pPr>
        <w:ind w:right="400"/>
        <w:spacing w:after="0" w:line="252" w:lineRule="auto"/>
        <w:rPr>
          <w:sz w:val="20"/>
          <w:szCs w:val="20"/>
          <w:color w:val="auto"/>
        </w:rPr>
      </w:pPr>
      <w:r>
        <w:rPr>
          <w:rFonts w:ascii="Arial" w:cs="Arial" w:eastAsia="Arial" w:hAnsi="Arial"/>
          <w:sz w:val="16"/>
          <w:szCs w:val="16"/>
          <w:color w:val="404040"/>
        </w:rPr>
        <w:t>Accordingly, the estimated value of the notes is determined when the terms of the notes are set based on market conditions and other relevant factors and assumptions existing at that time.</w:t>
      </w:r>
    </w:p>
    <w:p>
      <w:pPr>
        <w:spacing w:after="0" w:line="91"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98"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404040"/>
        </w:rPr>
        <w:t>The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421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7F7F7F"/>
        </w:rPr>
        <w:t>PS-11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40"/>
          </w:cols>
          <w:pgMar w:left="320" w:top="592" w:right="339" w:bottom="1440" w:gutter="0" w:footer="0" w:header="0"/>
        </w:sectPr>
      </w:pPr>
    </w:p>
    <w:bookmarkStart w:id="12" w:name="page13"/>
    <w:bookmarkEnd w:id="12"/>
    <w:p>
      <w:pPr>
        <w:ind w:right="160"/>
        <w:spacing w:after="0" w:line="252" w:lineRule="auto"/>
        <w:rPr>
          <w:sz w:val="20"/>
          <w:szCs w:val="20"/>
          <w:color w:val="auto"/>
        </w:rPr>
      </w:pPr>
      <w:r>
        <w:rPr>
          <w:rFonts w:ascii="Arial" w:cs="Arial" w:eastAsia="Arial" w:hAnsi="Arial"/>
          <w:sz w:val="16"/>
          <w:szCs w:val="16"/>
          <w:color w:val="404040"/>
        </w:rPr>
        <w:t>profits. See “Selected Risk Considerations — Risks Relating to the Estimated Value and Secondary Market Prices of the Notes — The Estimated Value of the Notes Will Be Lower Than the Original Issue Price (Price to Public) of the Notes” in this pricing supplement.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6"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Fund” in this pricing supplement for a description of the market exposure provided by the notes.</w:t>
      </w:r>
    </w:p>
    <w:p>
      <w:pPr>
        <w:spacing w:after="0" w:line="55" w:lineRule="exact"/>
        <w:rPr>
          <w:sz w:val="20"/>
          <w:szCs w:val="20"/>
          <w:color w:val="auto"/>
        </w:rPr>
      </w:pPr>
    </w:p>
    <w:p>
      <w:pPr>
        <w:jc w:val="both"/>
        <w:ind w:right="240"/>
        <w:spacing w:after="0" w:line="247" w:lineRule="auto"/>
        <w:rPr>
          <w:sz w:val="20"/>
          <w:szCs w:val="20"/>
          <w:color w:val="auto"/>
        </w:rPr>
      </w:pPr>
      <w:r>
        <w:rPr>
          <w:rFonts w:ascii="Arial" w:cs="Arial" w:eastAsia="Arial" w:hAnsi="Arial"/>
          <w:sz w:val="16"/>
          <w:szCs w:val="16"/>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8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404040"/>
        </w:rPr>
        <w:t>We expect that delivery of the notes will be made against payment for the notes on or about the Original Issue Date set forth on the front cover of this pricing supplement, which will be the third business day following the Pricing Date of the notes (this settlement cycle being referred to as “T+3”). Under Rule 15c6-1 of the Securities Exchange Act of 1934, as amended, trades in the secondary market generally are required to settle in two business days, unless the parties to that trade expressly agree otherwise. Accordingly, purchasers who wish to trade notes on any date prior to two business days before delivery will be required to specify an alternate settlement cycle at the time of any such trade to prevent a failed settlement and should consult their own advisors.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76" w:lineRule="exact"/>
        <w:rPr>
          <w:sz w:val="20"/>
          <w:szCs w:val="20"/>
          <w:color w:val="auto"/>
        </w:rPr>
      </w:pPr>
    </w:p>
    <w:p>
      <w:pPr>
        <w:spacing w:after="0" w:line="245" w:lineRule="auto"/>
        <w:rPr>
          <w:sz w:val="20"/>
          <w:szCs w:val="20"/>
          <w:color w:val="auto"/>
        </w:rPr>
      </w:pPr>
      <w:r>
        <w:rPr>
          <w:rFonts w:ascii="Arial" w:cs="Arial" w:eastAsia="Arial" w:hAnsi="Arial"/>
          <w:sz w:val="16"/>
          <w:szCs w:val="16"/>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57"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as the notes involve risks not associated with conventional debt securities. We urge you to consult your investment, legal, tax, accounting and other advisers before you invest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62865</wp:posOffset>
            </wp:positionV>
            <wp:extent cx="7134860" cy="421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4210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7F7F7F"/>
        </w:rPr>
        <w:t>PS-12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20"/>
          </w:cols>
          <w:pgMar w:left="320" w:top="592" w:right="359" w:bottom="1440" w:gutter="0" w:footer="0" w:header="0"/>
        </w:sectPr>
      </w:pPr>
    </w:p>
    <w:bookmarkStart w:id="13" w:name="page14"/>
    <w:bookmarkEnd w:id="13"/>
    <w:p>
      <w:pPr>
        <w:spacing w:after="0" w:line="241" w:lineRule="auto"/>
        <w:rPr>
          <w:sz w:val="20"/>
          <w:szCs w:val="20"/>
          <w:color w:val="auto"/>
        </w:rPr>
      </w:pPr>
      <w:r>
        <w:rPr>
          <w:rFonts w:ascii="Arial" w:cs="Arial" w:eastAsia="Arial" w:hAnsi="Arial"/>
          <w:sz w:val="16"/>
          <w:szCs w:val="16"/>
          <w:color w:val="404040"/>
        </w:rPr>
        <w:t>You may access these documents on the SEC website at www.sec.gov as follows (or if such address has changed, by reviewing our filings for the relevant date on the SEC website):</w:t>
      </w:r>
    </w:p>
    <w:p>
      <w:pPr>
        <w:spacing w:after="0" w:line="1" w:lineRule="exact"/>
        <w:rPr>
          <w:sz w:val="20"/>
          <w:szCs w:val="20"/>
          <w:color w:val="auto"/>
        </w:rPr>
      </w:pPr>
    </w:p>
    <w:p>
      <w:pPr>
        <w:ind w:left="320" w:right="4200" w:hanging="314"/>
        <w:spacing w:after="0" w:line="285" w:lineRule="auto"/>
        <w:tabs>
          <w:tab w:leader="none" w:pos="320" w:val="left"/>
        </w:tabs>
        <w:numPr>
          <w:ilvl w:val="0"/>
          <w:numId w:val="12"/>
        </w:numPr>
        <w:rPr>
          <w:rFonts w:ascii="Arial" w:cs="Arial" w:eastAsia="Arial" w:hAnsi="Arial"/>
          <w:sz w:val="15"/>
          <w:szCs w:val="15"/>
          <w:color w:val="0000EE"/>
        </w:rPr>
      </w:pPr>
      <w:r>
        <w:rPr>
          <w:rFonts w:ascii="Arial" w:cs="Arial" w:eastAsia="Arial" w:hAnsi="Arial"/>
          <w:sz w:val="15"/>
          <w:szCs w:val="15"/>
          <w:color w:val="404040"/>
        </w:rPr>
        <w:t xml:space="preserve">Product supplement no. 4-II dated November 4, 2020: </w:t>
      </w:r>
      <w:hyperlink r:id="rId36">
        <w:r>
          <w:rPr>
            <w:rFonts w:ascii="Arial" w:cs="Arial" w:eastAsia="Arial" w:hAnsi="Arial"/>
            <w:sz w:val="15"/>
            <w:szCs w:val="15"/>
            <w:color w:val="0000EE"/>
          </w:rPr>
          <w:t>http://www.sec.gov/Archives/edgar/data/19617/000095010320021467/crt_dp139322-424b2.pdf</w:t>
        </w:r>
      </w:hyperlink>
    </w:p>
    <w:p>
      <w:pPr>
        <w:spacing w:after="0" w:line="27" w:lineRule="exact"/>
        <w:rPr>
          <w:rFonts w:ascii="Arial" w:cs="Arial" w:eastAsia="Arial" w:hAnsi="Arial"/>
          <w:sz w:val="15"/>
          <w:szCs w:val="15"/>
          <w:color w:val="0000EE"/>
        </w:rPr>
      </w:pPr>
    </w:p>
    <w:p>
      <w:pPr>
        <w:ind w:left="320" w:right="4200" w:hanging="314"/>
        <w:spacing w:after="0" w:line="285" w:lineRule="auto"/>
        <w:tabs>
          <w:tab w:leader="none" w:pos="320" w:val="left"/>
        </w:tabs>
        <w:numPr>
          <w:ilvl w:val="0"/>
          <w:numId w:val="12"/>
        </w:numPr>
        <w:rPr>
          <w:rFonts w:ascii="Arial" w:cs="Arial" w:eastAsia="Arial" w:hAnsi="Arial"/>
          <w:sz w:val="15"/>
          <w:szCs w:val="15"/>
          <w:color w:val="0000EE"/>
        </w:rPr>
      </w:pPr>
      <w:r>
        <w:rPr>
          <w:rFonts w:ascii="Arial" w:cs="Arial" w:eastAsia="Arial" w:hAnsi="Arial"/>
          <w:sz w:val="15"/>
          <w:szCs w:val="15"/>
          <w:color w:val="404040"/>
        </w:rPr>
        <w:t xml:space="preserve">Prospectus supplement and prospectus, each dated April 8, 2020: </w:t>
      </w:r>
      <w:hyperlink r:id="rId37">
        <w:r>
          <w:rPr>
            <w:rFonts w:ascii="Arial" w:cs="Arial" w:eastAsia="Arial" w:hAnsi="Arial"/>
            <w:sz w:val="15"/>
            <w:szCs w:val="15"/>
            <w:color w:val="0000EE"/>
          </w:rPr>
          <w:t>http://www.sec.gov/Archives/edgar/data/19617/000095010320007214/crt_dp124361-424b2.pdf</w:t>
        </w:r>
      </w:hyperlink>
    </w:p>
    <w:p>
      <w:pPr>
        <w:spacing w:after="0" w:line="41" w:lineRule="exact"/>
        <w:rPr>
          <w:rFonts w:ascii="Arial" w:cs="Arial" w:eastAsia="Arial" w:hAnsi="Arial"/>
          <w:sz w:val="15"/>
          <w:szCs w:val="15"/>
          <w:color w:val="404040"/>
        </w:rPr>
      </w:pPr>
    </w:p>
    <w:p>
      <w:pPr>
        <w:ind w:right="80"/>
        <w:spacing w:after="0" w:line="252" w:lineRule="auto"/>
        <w:rPr>
          <w:sz w:val="20"/>
          <w:szCs w:val="20"/>
          <w:color w:val="auto"/>
        </w:rPr>
      </w:pPr>
      <w:r>
        <w:rPr>
          <w:rFonts w:ascii="Arial" w:cs="Arial" w:eastAsia="Arial" w:hAnsi="Arial"/>
          <w:sz w:val="16"/>
          <w:szCs w:val="16"/>
          <w:color w:val="404040"/>
        </w:rPr>
        <w:t>Our Central Index Key, or CIK, on the SEC website is 1665650, and JPMorgan Chase &amp; Co.’s CIK is 19617. As used in this pricing supplement, “we,” “us” and “our” refer to JPMorgan Financial.</w:t>
      </w:r>
    </w:p>
    <w:p>
      <w:pPr>
        <w:spacing w:after="0" w:line="20" w:lineRule="exact"/>
        <w:rPr>
          <w:rFonts w:ascii="Arial" w:cs="Arial" w:eastAsia="Arial" w:hAnsi="Arial"/>
          <w:sz w:val="15"/>
          <w:szCs w:val="15"/>
          <w:color w:val="404040"/>
        </w:rPr>
      </w:pPr>
      <w:r>
        <w:rPr>
          <w:rFonts w:ascii="Arial" w:cs="Arial" w:eastAsia="Arial" w:hAnsi="Arial"/>
          <w:sz w:val="15"/>
          <w:szCs w:val="15"/>
          <w:color w:val="404040"/>
        </w:rPr>
        <w:drawing>
          <wp:anchor simplePos="0" relativeHeight="251657728" behindDoc="1" locked="0" layoutInCell="0" allowOverlap="1">
            <wp:simplePos x="0" y="0"/>
            <wp:positionH relativeFrom="column">
              <wp:posOffset>3810</wp:posOffset>
            </wp:positionH>
            <wp:positionV relativeFrom="paragraph">
              <wp:posOffset>56515</wp:posOffset>
            </wp:positionV>
            <wp:extent cx="7134860"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4860" cy="420370"/>
                    </a:xfrm>
                    <a:prstGeom prst="rect">
                      <a:avLst/>
                    </a:prstGeom>
                    <a:noFill/>
                  </pic:spPr>
                </pic:pic>
              </a:graphicData>
            </a:graphic>
          </wp:anchor>
        </w:drawing>
      </w:r>
    </w:p>
    <w:p>
      <w:pPr>
        <w:spacing w:after="0" w:line="203" w:lineRule="exact"/>
        <w:rPr>
          <w:rFonts w:ascii="Arial" w:cs="Arial" w:eastAsia="Arial" w:hAnsi="Arial"/>
          <w:sz w:val="15"/>
          <w:szCs w:val="15"/>
          <w:color w:val="404040"/>
        </w:rPr>
      </w:pPr>
    </w:p>
    <w:p>
      <w:pPr>
        <w:spacing w:after="0"/>
        <w:rPr>
          <w:sz w:val="20"/>
          <w:szCs w:val="20"/>
          <w:color w:val="auto"/>
        </w:rPr>
      </w:pPr>
      <w:r>
        <w:rPr>
          <w:rFonts w:ascii="Arial" w:cs="Arial" w:eastAsia="Arial" w:hAnsi="Arial"/>
          <w:sz w:val="16"/>
          <w:szCs w:val="16"/>
          <w:color w:val="7F7F7F"/>
        </w:rPr>
        <w:t>PS-13 | Structured Investments</w:t>
      </w:r>
    </w:p>
    <w:p>
      <w:pPr>
        <w:spacing w:after="0" w:line="4" w:lineRule="exact"/>
        <w:rPr>
          <w:rFonts w:ascii="Arial" w:cs="Arial" w:eastAsia="Arial" w:hAnsi="Arial"/>
          <w:sz w:val="15"/>
          <w:szCs w:val="15"/>
          <w:color w:val="404040"/>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p>
      <w:pPr>
        <w:sectPr>
          <w:pgSz w:w="11900" w:h="16838" w:orient="portrait"/>
          <w:cols w:equalWidth="0" w:num="1">
            <w:col w:w="11200"/>
          </w:cols>
          <w:pgMar w:left="320" w:top="592"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4E8ABE"/>
        </w:rPr>
        <w:t>Annex 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ARK Innovation ETF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02"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404040"/>
        </w:rPr>
        <w:t>All information contained in this pricing supplement regarding the ARK Innovation ETF (the “ARKK Fund”), has been derived from publicly available information, without independent verification. This information reflects the policies of, and is subject to change by, ARK ETF Trust (“ARK Trust”). The ARKK Fund is an actively-managed exchange-traded fund managed by ARK Investment Management LLC (“ARK LLC”), the investment adviser to the ARKK Fund. The ARKK Fund trades on NYSE Arca, Inc. under the ticker symbol “ARKK.”</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404040"/>
        </w:rPr>
        <w:t>The investment objective of the ARKK Fund is long-term growth of capital.</w:t>
      </w:r>
    </w:p>
    <w:p>
      <w:pPr>
        <w:spacing w:after="0" w:line="68"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404040"/>
        </w:rPr>
        <w:t>As an actively-managed fund, the ARKK Fund is subject to management risk. In managing the ARKK Fund, ARK LLC applies investment strategies, techniques and analyses in making investment decisions for the ARKK Fund, but there can be no guarantee that these actions will produce the intended results. The ability of ARK LLC to successfully implement the ARKK Fund’s investment strategy will significantly influence that ARKK Fund’s performance.</w:t>
      </w:r>
    </w:p>
    <w:p>
      <w:pPr>
        <w:spacing w:after="0" w:line="68" w:lineRule="exact"/>
        <w:rPr>
          <w:sz w:val="20"/>
          <w:szCs w:val="20"/>
          <w:color w:val="auto"/>
        </w:rPr>
      </w:pPr>
    </w:p>
    <w:p>
      <w:pPr>
        <w:spacing w:after="0" w:line="243" w:lineRule="auto"/>
        <w:rPr>
          <w:sz w:val="20"/>
          <w:szCs w:val="20"/>
          <w:color w:val="auto"/>
        </w:rPr>
      </w:pPr>
      <w:r>
        <w:rPr>
          <w:rFonts w:ascii="Arial" w:cs="Arial" w:eastAsia="Arial" w:hAnsi="Arial"/>
          <w:sz w:val="16"/>
          <w:szCs w:val="16"/>
          <w:color w:val="404040"/>
        </w:rPr>
        <w:t>The ARKK Fund will invest under normal circumstances primarily (at least 65% of its assets) in equity securities of U.S. and non-U.S. companies that are relevant to the ARKK Fund’s investment theme of disruptive innovation. ARK LLC defines “disruptive innovation” as the introduction of a technologically enabled new product or service that potentially changes the way the world works. ARK LLC believes that companies relevant to this theme are those that rely on or benefit from the development of new products or services, technological improvements and advancements in scientific research relating to the areas of genomics; innovation in automation and manufacturing, transportation, energy, artificial intelligence and materials; the increased use of shared technology, infrastructure and services; and technologies that make financial services more efficient. ARK LLC defines “genomics” as the study of genes and their functions, and related techniques (</w:t>
      </w:r>
      <w:r>
        <w:rPr>
          <w:rFonts w:ascii="Arial" w:cs="Arial" w:eastAsia="Arial" w:hAnsi="Arial"/>
          <w:sz w:val="16"/>
          <w:szCs w:val="16"/>
          <w:i w:val="1"/>
          <w:iCs w:val="1"/>
          <w:color w:val="404040"/>
        </w:rPr>
        <w:t>e.g.</w:t>
      </w:r>
      <w:r>
        <w:rPr>
          <w:rFonts w:ascii="Arial" w:cs="Arial" w:eastAsia="Arial" w:hAnsi="Arial"/>
          <w:sz w:val="16"/>
          <w:szCs w:val="16"/>
          <w:color w:val="404040"/>
        </w:rPr>
        <w:t>, genomic sequencing).</w:t>
      </w:r>
    </w:p>
    <w:p>
      <w:pPr>
        <w:spacing w:after="0" w:line="6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404040"/>
        </w:rPr>
        <w:t>ARK Trust is a registered investment company that consists of numerous separate investment portfolios, including the ARKK Fund. Information provided to or filed with the SEC by ARK Trust pursuant to the Securities Act of 1933, as amended, and the Investment Company Act of 1940, as amended, can be located by reference to SEC file numbers 333-191019 and 811-22883, respectively, through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13486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4860" cy="42037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7F7F7F"/>
        </w:rPr>
        <w:t>PS-14 | Structured Investments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808080"/>
        </w:rPr>
        <w:t>Auto Callable Contingent Interest Notes Linked to the ARK Innovation ETF</w:t>
      </w:r>
    </w:p>
    <w:sectPr>
      <w:pgSz w:w="11900" w:h="16838" w:orient="portrait"/>
      <w:cols w:equalWidth="0" w:num="1">
        <w:col w:w="11240"/>
      </w:cols>
      <w:pgMar w:left="320" w:top="6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36" Type="http://schemas.openxmlformats.org/officeDocument/2006/relationships/hyperlink" Target="http://www.sec.gov/Archives/edgar/data/19617/000095010320021467/crt_dp139322-424b2.pdf" TargetMode="External"/><Relationship Id="rId37" Type="http://schemas.openxmlformats.org/officeDocument/2006/relationships/hyperlink" Target="http://www.sec.gov/Archives/edgar/data/19617/000095010320007214/crt_dp12436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2021-02-03T11:36:09Z</dcterms:created>
  <dcterms:modified xsi:type="dcterms:W3CDTF">2021-02-03T11:36:09Z</dcterms:modified>
</cp:coreProperties>
</file>