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4905-01_fwp.htm"/>
      <w:bookmarkStart w:id="1" w:name="ksea030490501_fwp"/>
      <w:bookmarkStart w:id="2" w:name="ea0304905-01_fwp.htm"/>
      <w:bookmarkStart w:id="3" w:name="ksea030490501_fwp"/>
      <w:bookmarkEnd w:id="2"/>
      <w:bookmarkEnd w:id="3"/>
    </w:p>
    <w:tbl>
      <w:tblPr>
        <w:tblW w:w="9610" w:type="dxa"/>
        <w:jc w:val="left"/>
        <w:tblInd w:w="0" w:type="dxa"/>
        <w:tblLayout w:type="fixed"/>
        <w:tblCellMar>
          <w:top w:w="0" w:type="dxa"/>
          <w:left w:w="0" w:type="dxa"/>
          <w:bottom w:w="0" w:type="dxa"/>
          <w:right w:w="0" w:type="dxa"/>
        </w:tblCellMar>
      </w:tblPr>
      <w:tblGrid>
        <w:gridCol w:w="6740"/>
        <w:gridCol w:w="2870"/>
      </w:tblGrid>
      <w:tr>
        <w:trPr/>
        <w:tc>
          <w:tcPr>
            <w:tcW w:w="6740"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287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w:t>
              <w:br/>
              <w:t>and 333-293684-01</w:t>
            </w:r>
          </w:p>
        </w:tc>
      </w:tr>
      <w:tr>
        <w:trPr/>
        <w:tc>
          <w:tcPr>
            <w:tcW w:w="6740" w:type="dxa"/>
            <w:vMerge w:val="continue"/>
            <w:tcBorders/>
            <w:vAlign w:val="center"/>
          </w:tcPr>
          <w:p>
            <w:pPr>
              <w:pStyle w:val="Normal"/>
              <w:bidi w:val="0"/>
              <w:jc w:val="left"/>
              <w:rPr/>
            </w:pPr>
            <w:r>
              <w:rPr/>
            </w:r>
          </w:p>
        </w:tc>
        <w:tc>
          <w:tcPr>
            <w:tcW w:w="287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9860" w:type="dxa"/>
        <w:jc w:val="left"/>
        <w:tblInd w:w="0" w:type="dxa"/>
        <w:tblLayout w:type="fixed"/>
        <w:tblCellMar>
          <w:top w:w="0" w:type="dxa"/>
          <w:left w:w="0" w:type="dxa"/>
          <w:bottom w:w="0" w:type="dxa"/>
          <w:right w:w="0" w:type="dxa"/>
        </w:tblCellMar>
      </w:tblPr>
      <w:tblGrid>
        <w:gridCol w:w="9860"/>
      </w:tblGrid>
      <w:tr>
        <w:trPr/>
        <w:tc>
          <w:tcPr>
            <w:tcW w:w="9860"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 Leveraged Upside Participation to a Cap and Fixed Percentage Buffered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iShares</w:t>
            </w:r>
            <w:r>
              <w:rPr>
                <w:rFonts w:ascii="Verdana;Helvetica;Sans-Serif" w:hAnsi="Verdana;Helvetica;Sans-Serif"/>
                <w:b w:val="false"/>
                <w:i w:val="false"/>
                <w:caps w:val="false"/>
                <w:smallCaps w:val="false"/>
                <w:color w:val="FFFFFF"/>
                <w:position w:val="6"/>
                <w:sz w:val="14"/>
                <w:sz w:val="18"/>
              </w:rPr>
              <w:t>®</w:t>
            </w:r>
            <w:r>
              <w:rPr>
                <w:rFonts w:ascii="Verdana;Helvetica;Sans-Serif" w:hAnsi="Verdana;Helvetica;Sans-Serif"/>
                <w:b w:val="false"/>
                <w:i w:val="false"/>
                <w:caps w:val="false"/>
                <w:smallCaps w:val="false"/>
                <w:color w:val="FFFFFF"/>
                <w:sz w:val="18"/>
              </w:rPr>
              <w:t xml:space="preserve"> MSCI Emerging Markets ETF due November 16, 2027</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September 8, 2026 to Preliminary Pricing Supplement dated September 8, 2026</w:t>
            </w:r>
          </w:p>
        </w:tc>
      </w:tr>
    </w:tbl>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iShares</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MSCI Emerging Markets ETF (Bloomberg ticker: EEM)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10,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15,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10,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16,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greater than the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    $1,000 × fund return × upside participation rate; and</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(ii)   the maximum return;</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if the ending price is less than or equal to the starting price, but greater than or equal to the threshold price: $1,000; or</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(fund return + buffer amount)]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Maximum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13.15% of the principal amount (at least $131.50 per security) (to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85% of the starting price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46661MSC9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xml:space="preserve">”), may receive 1.75%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 or early acceleration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iShares</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MSCI Emerging Markets ETF (Bloomberg ticker: EEM)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10,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15,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10,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16,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greater than the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    $1,000 × fund return × upside participation rate; and</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(ii)   the maximum return;</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if the ending price is less than or equal to the starting price, but greater than or equal to the threshold price: $1,000; or</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(fund return + buffer amount)]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Maximum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13.15% of the principal amount (at least $131.50 per security) (to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85% of the starting price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46661MSC9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xml:space="preserve">”), may receive 1.75%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 or early acceleration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2382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62382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left"/>
                              <w:rPr>
                                <w:caps w:val="false"/>
                                <w:smallCaps w:val="false"/>
                                <w:color w:val="8F8F8F"/>
                              </w:rPr>
                            </w:pPr>
                            <w:r>
                              <w:rPr>
                                <w:caps w:val="false"/>
                                <w:smallCaps w:val="false"/>
                                <w:color w:val="8F8F8F"/>
                              </w:rPr>
                              <w:drawing>
                                <wp:inline distT="0" distB="0" distL="0" distR="0">
                                  <wp:extent cx="3371850" cy="21050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71850" cy="21050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maximum return equal to the lowest maximum return</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Fund in excess of the buffer amount, and you will lose some, and possibly up to 85%,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$969.20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60"/>
                              <w:jc w:val="left"/>
                              <w:rPr/>
                            </w:pPr>
                            <w:hyperlink r:id="rId4">
                              <w:r>
                                <w:rPr>
                                  <w:rStyle w:val="InternetLink"/>
                                  <w:rFonts w:ascii="Georgia;Times;Serif" w:hAnsi="Georgia;Times;Serif"/>
                                  <w:b w:val="false"/>
                                  <w:i w:val="false"/>
                                  <w:caps w:val="false"/>
                                  <w:smallCaps w:val="false"/>
                                  <w:sz w:val="16"/>
                                </w:rPr>
                                <w:t>http://www.sec.gov/Archives/edgar/data/19617/000121390026098022/</w:t>
                                <w:br/>
                                <w:t>ea0304869-01_424b2.htm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1.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left"/>
                        <w:rPr>
                          <w:caps w:val="false"/>
                          <w:smallCaps w:val="false"/>
                          <w:color w:val="8F8F8F"/>
                        </w:rPr>
                      </w:pPr>
                      <w:r>
                        <w:rPr>
                          <w:caps w:val="false"/>
                          <w:smallCaps w:val="false"/>
                          <w:color w:val="8F8F8F"/>
                        </w:rPr>
                        <w:drawing>
                          <wp:inline distT="0" distB="0" distL="0" distR="0">
                            <wp:extent cx="3371850" cy="21050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71850" cy="21050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maximum return equal to the lowest maximum return</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Fund in excess of the buffer amount, and you will lose some, and possibly up to 85%,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$969.20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60"/>
                        <w:jc w:val="left"/>
                        <w:rPr/>
                      </w:pPr>
                      <w:hyperlink r:id="rId6">
                        <w:r>
                          <w:rPr>
                            <w:rStyle w:val="InternetLink"/>
                            <w:rFonts w:ascii="Georgia;Times;Serif" w:hAnsi="Georgia;Times;Serif"/>
                            <w:b w:val="false"/>
                            <w:i w:val="false"/>
                            <w:caps w:val="false"/>
                            <w:smallCaps w:val="false"/>
                            <w:sz w:val="16"/>
                          </w:rPr>
                          <w:t>http://www.sec.gov/Archives/edgar/data/19617/000121390026098022/</w:t>
                          <w:br/>
                          <w:t>ea0304869-01_424b2.htm</w:t>
                        </w:r>
                      </w:hyperlink>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693"/>
        <w:gridCol w:w="5512"/>
      </w:tblGrid>
      <w:tr>
        <w:trPr/>
        <w:tc>
          <w:tcPr>
            <w:tcW w:w="4693"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Up to 85%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Return Will Be Limited to the Maximum Return and May Be Lower Than the Return on a Direct Investment in the Fund or Its Underlying Asset.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No Dividend Payments or Voting or Other Rights. </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512"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There Are Risks Associated with the Fund.</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Performance and Market Value of the Fund, Particularly During Periods of Market Volatility, May Not Correlate with the Performance of the Fund’s Fund Underlying Index As Well As the Net Asset Value Per Share.</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Securities Are Subject to Non-U.S. Securities Risk.</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Emerging Markets Risk</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Securities Are Subject to Currency Exchange Risk.</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Recent Executive Orders May Adversely Affect the Performance of the Fund.</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The Maturity Payment Amount Will Depend upon the Performance of the Fund and Therefore the Securities Are Subject to the Risks Associated with the Fund, Each as Discussed in the Accompanying Preliminary Pricing Supplement and Product Supplement. </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20" w:after="120"/>
        <w:ind w:left="20" w:right="20" w:hanging="0"/>
        <w:jc w:val="left"/>
        <w:rPr>
          <w:caps w:val="false"/>
          <w:smallCaps w:val="false"/>
        </w:rPr>
      </w:pPr>
      <w:r>
        <w:rPr>
          <w:caps w:val="false"/>
          <w:smallCaps w:val="false"/>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8022/ea0304869-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8022/ea0304869-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1349</Words>
  <Characters>7247</Characters>
  <CharactersWithSpaces>8650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