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July 24, 2023</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3yr BABA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380"/>
        <w:spacing w:after="0" w:line="255"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011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17145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p>
      <w:pPr>
        <w:spacing w:after="0" w:line="30"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FFFFFF"/>
        </w:rPr>
        <w:t>SUMMARY TERMS</w:t>
      </w:r>
    </w:p>
    <w:p>
      <w:pPr>
        <w:spacing w:after="0" w:line="96" w:lineRule="exact"/>
        <w:rPr>
          <w:sz w:val="24"/>
          <w:szCs w:val="24"/>
          <w:color w:val="auto"/>
        </w:rPr>
      </w:pPr>
    </w:p>
    <w:p>
      <w:pPr>
        <w:ind w:left="1240" w:right="640" w:hanging="1059"/>
        <w:spacing w:after="0" w:line="273" w:lineRule="auto"/>
        <w:tabs>
          <w:tab w:leader="none" w:pos="1220" w:val="left"/>
        </w:tabs>
        <w:rPr>
          <w:sz w:val="20"/>
          <w:szCs w:val="20"/>
          <w:color w:val="auto"/>
        </w:rPr>
      </w:pPr>
      <w:r>
        <w:rPr>
          <w:rFonts w:ascii="Arial" w:cs="Arial" w:eastAsia="Arial" w:hAnsi="Arial"/>
          <w:sz w:val="14"/>
          <w:szCs w:val="14"/>
          <w:b w:val="1"/>
          <w:bCs w:val="1"/>
          <w:color w:val="296DC1"/>
        </w:rPr>
        <w:t>Issuer:</w:t>
      </w:r>
      <w:r>
        <w:rPr>
          <w:sz w:val="20"/>
          <w:szCs w:val="20"/>
          <w:color w:val="auto"/>
        </w:rPr>
        <w:tab/>
      </w:r>
      <w:r>
        <w:rPr>
          <w:rFonts w:ascii="Arial" w:cs="Arial" w:eastAsia="Arial" w:hAnsi="Arial"/>
          <w:sz w:val="14"/>
          <w:szCs w:val="14"/>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2011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110" cy="154305"/>
                    </a:xfrm>
                    <a:prstGeom prst="rect">
                      <a:avLst/>
                    </a:prstGeom>
                    <a:noFill/>
                  </pic:spPr>
                </pic:pic>
              </a:graphicData>
            </a:graphic>
          </wp:anchor>
        </w:drawing>
      </w:r>
    </w:p>
    <w:p>
      <w:pPr>
        <w:spacing w:after="0" w:line="5" w:lineRule="exact"/>
        <w:rPr>
          <w:sz w:val="24"/>
          <w:szCs w:val="24"/>
          <w:color w:val="auto"/>
        </w:rPr>
      </w:pPr>
    </w:p>
    <w:p>
      <w:pPr>
        <w:ind w:left="180"/>
        <w:spacing w:after="0"/>
        <w:tabs>
          <w:tab w:leader="none" w:pos="1220" w:val="left"/>
        </w:tabs>
        <w:rPr>
          <w:sz w:val="20"/>
          <w:szCs w:val="20"/>
          <w:color w:val="auto"/>
        </w:rPr>
      </w:pPr>
      <w:r>
        <w:rPr>
          <w:rFonts w:ascii="Arial" w:cs="Arial" w:eastAsia="Arial" w:hAnsi="Arial"/>
          <w:sz w:val="14"/>
          <w:szCs w:val="14"/>
          <w:b w:val="1"/>
          <w:bCs w:val="1"/>
          <w:color w:val="296DC1"/>
        </w:rPr>
        <w:t>Guarantor:</w:t>
      </w:r>
      <w:r>
        <w:rPr>
          <w:sz w:val="20"/>
          <w:szCs w:val="20"/>
          <w:color w:val="auto"/>
        </w:rPr>
        <w:tab/>
      </w:r>
      <w:r>
        <w:rPr>
          <w:rFonts w:ascii="Arial" w:cs="Arial" w:eastAsia="Arial" w:hAnsi="Arial"/>
          <w:sz w:val="14"/>
          <w:szCs w:val="14"/>
          <w:color w:val="auto"/>
        </w:rPr>
        <w:t>JPMorgan Chase &amp; Co.</w:t>
      </w:r>
    </w:p>
    <w:p>
      <w:pPr>
        <w:spacing w:after="0" w:line="69" w:lineRule="exact"/>
        <w:rPr>
          <w:sz w:val="24"/>
          <w:szCs w:val="24"/>
          <w:color w:val="auto"/>
        </w:rPr>
      </w:pPr>
    </w:p>
    <w:p>
      <w:pPr>
        <w:ind w:left="180"/>
        <w:spacing w:after="0"/>
        <w:tabs>
          <w:tab w:leader="none" w:pos="1220" w:val="left"/>
        </w:tabs>
        <w:rPr>
          <w:sz w:val="20"/>
          <w:szCs w:val="20"/>
          <w:color w:val="auto"/>
        </w:rPr>
      </w:pPr>
      <w:r>
        <w:rPr>
          <w:rFonts w:ascii="Arial" w:cs="Arial" w:eastAsia="Arial" w:hAnsi="Arial"/>
          <w:sz w:val="14"/>
          <w:szCs w:val="14"/>
          <w:b w:val="1"/>
          <w:bCs w:val="1"/>
          <w:color w:val="296DC1"/>
        </w:rPr>
        <w:t>Underlying</w:t>
      </w:r>
      <w:r>
        <w:rPr>
          <w:sz w:val="20"/>
          <w:szCs w:val="20"/>
          <w:color w:val="auto"/>
        </w:rPr>
        <w:tab/>
      </w:r>
      <w:r>
        <w:rPr>
          <w:rFonts w:ascii="Arial" w:cs="Arial" w:eastAsia="Arial" w:hAnsi="Arial"/>
          <w:sz w:val="14"/>
          <w:szCs w:val="14"/>
          <w:color w:val="auto"/>
        </w:rPr>
        <w:t>American depositary shares of Alibaba Group Holding Limited</w:t>
      </w:r>
    </w:p>
    <w:p>
      <w:pPr>
        <w:spacing w:after="0" w:line="19" w:lineRule="exact"/>
        <w:rPr>
          <w:sz w:val="24"/>
          <w:szCs w:val="24"/>
          <w:color w:val="auto"/>
        </w:rPr>
      </w:pPr>
    </w:p>
    <w:p>
      <w:pPr>
        <w:ind w:left="180"/>
        <w:spacing w:after="0"/>
        <w:tabs>
          <w:tab w:leader="none" w:pos="1220" w:val="left"/>
        </w:tabs>
        <w:rPr>
          <w:sz w:val="20"/>
          <w:szCs w:val="20"/>
          <w:color w:val="auto"/>
        </w:rPr>
      </w:pPr>
      <w:r>
        <w:rPr>
          <w:rFonts w:ascii="Arial" w:cs="Arial" w:eastAsia="Arial" w:hAnsi="Arial"/>
          <w:sz w:val="14"/>
          <w:szCs w:val="14"/>
          <w:b w:val="1"/>
          <w:bCs w:val="1"/>
          <w:color w:val="296DC1"/>
        </w:rPr>
        <w:t>stock:</w:t>
      </w:r>
      <w:r>
        <w:rPr>
          <w:sz w:val="20"/>
          <w:szCs w:val="20"/>
          <w:color w:val="auto"/>
        </w:rPr>
        <w:tab/>
      </w:r>
      <w:r>
        <w:rPr>
          <w:rFonts w:ascii="Arial" w:cs="Arial" w:eastAsia="Arial" w:hAnsi="Arial"/>
          <w:sz w:val="14"/>
          <w:szCs w:val="14"/>
          <w:color w:val="auto"/>
        </w:rPr>
        <w:t>(“Alibaba ADSs”) (Bloomberg ticker: BABA UN Equity). Each</w:t>
      </w:r>
    </w:p>
    <w:p>
      <w:pPr>
        <w:spacing w:after="0" w:line="1" w:lineRule="exact"/>
        <w:rPr>
          <w:sz w:val="24"/>
          <w:szCs w:val="24"/>
          <w:color w:val="auto"/>
        </w:rPr>
      </w:pPr>
    </w:p>
    <w:p>
      <w:pPr>
        <w:ind w:left="1240"/>
        <w:spacing w:after="0"/>
        <w:rPr>
          <w:sz w:val="20"/>
          <w:szCs w:val="20"/>
          <w:color w:val="auto"/>
        </w:rPr>
      </w:pPr>
      <w:r>
        <w:rPr>
          <w:rFonts w:ascii="Arial" w:cs="Arial" w:eastAsia="Arial" w:hAnsi="Arial"/>
          <w:sz w:val="14"/>
          <w:szCs w:val="14"/>
          <w:color w:val="auto"/>
        </w:rPr>
        <w:t>Alibaba ADS represents eight ordinary shares, par value</w:t>
      </w:r>
    </w:p>
    <w:p>
      <w:pPr>
        <w:spacing w:after="0" w:line="1" w:lineRule="exact"/>
        <w:rPr>
          <w:sz w:val="24"/>
          <w:szCs w:val="24"/>
          <w:color w:val="auto"/>
        </w:rPr>
      </w:pPr>
    </w:p>
    <w:p>
      <w:pPr>
        <w:ind w:left="1240"/>
        <w:spacing w:after="0"/>
        <w:rPr>
          <w:sz w:val="20"/>
          <w:szCs w:val="20"/>
          <w:color w:val="auto"/>
        </w:rPr>
      </w:pPr>
      <w:r>
        <w:rPr>
          <w:rFonts w:ascii="Arial" w:cs="Arial" w:eastAsia="Arial" w:hAnsi="Arial"/>
          <w:sz w:val="14"/>
          <w:szCs w:val="14"/>
          <w:color w:val="auto"/>
        </w:rPr>
        <w:t>$0.000003125 per share, of Alibaba Group Holding Limited. The</w:t>
      </w:r>
    </w:p>
    <w:p>
      <w:pPr>
        <w:spacing w:after="0" w:line="1" w:lineRule="exact"/>
        <w:rPr>
          <w:sz w:val="24"/>
          <w:szCs w:val="24"/>
          <w:color w:val="auto"/>
        </w:rPr>
      </w:pPr>
    </w:p>
    <w:p>
      <w:pPr>
        <w:ind w:left="1240"/>
        <w:spacing w:after="0"/>
        <w:rPr>
          <w:sz w:val="20"/>
          <w:szCs w:val="20"/>
          <w:color w:val="auto"/>
        </w:rPr>
      </w:pPr>
      <w:r>
        <w:rPr>
          <w:rFonts w:ascii="Arial" w:cs="Arial" w:eastAsia="Arial" w:hAnsi="Arial"/>
          <w:sz w:val="14"/>
          <w:szCs w:val="14"/>
          <w:color w:val="auto"/>
        </w:rPr>
        <w:t>ordinary shares of Alibaba Group Holding Limited are referred to</w:t>
      </w:r>
    </w:p>
    <w:p>
      <w:pPr>
        <w:spacing w:after="0" w:line="1" w:lineRule="exact"/>
        <w:rPr>
          <w:sz w:val="24"/>
          <w:szCs w:val="24"/>
          <w:color w:val="auto"/>
        </w:rPr>
      </w:pPr>
    </w:p>
    <w:p>
      <w:pPr>
        <w:ind w:left="1240"/>
        <w:spacing w:after="0"/>
        <w:rPr>
          <w:sz w:val="20"/>
          <w:szCs w:val="20"/>
          <w:color w:val="auto"/>
        </w:rPr>
      </w:pPr>
      <w:r>
        <w:rPr>
          <w:rFonts w:ascii="Arial" w:cs="Arial" w:eastAsia="Arial" w:hAnsi="Arial"/>
          <w:sz w:val="14"/>
          <w:szCs w:val="14"/>
          <w:color w:val="auto"/>
        </w:rPr>
        <w:t>as “Alibaba underlying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120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12001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Final stock</w:t>
            </w:r>
          </w:p>
        </w:tc>
        <w:tc>
          <w:tcPr>
            <w:tcW w:w="4260" w:type="dxa"/>
            <w:vAlign w:val="bottom"/>
            <w:shd w:val="clear" w:color="auto" w:fill="DCEBF4"/>
          </w:tcPr>
          <w:p>
            <w:pPr>
              <w:ind w:left="100"/>
              <w:spacing w:after="0"/>
              <w:rPr>
                <w:sz w:val="20"/>
                <w:szCs w:val="20"/>
                <w:color w:val="auto"/>
              </w:rPr>
            </w:pPr>
            <w:r>
              <w:rPr>
                <w:rFonts w:ascii="Arial" w:cs="Arial" w:eastAsia="Arial" w:hAnsi="Arial"/>
                <w:sz w:val="14"/>
                <w:szCs w:val="14"/>
                <w:color w:val="auto"/>
              </w:rPr>
              <w:t>The closing price of the underlying stock on the final</w:t>
            </w:r>
          </w:p>
        </w:tc>
      </w:tr>
      <w:tr>
        <w:trPr>
          <w:trHeight w:val="202"/>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price:</w:t>
            </w:r>
          </w:p>
        </w:tc>
        <w:tc>
          <w:tcPr>
            <w:tcW w:w="4260" w:type="dxa"/>
            <w:vAlign w:val="bottom"/>
            <w:shd w:val="clear" w:color="auto" w:fill="DCEBF4"/>
          </w:tcPr>
          <w:p>
            <w:pPr>
              <w:ind w:left="100"/>
              <w:spacing w:after="0"/>
              <w:rPr>
                <w:sz w:val="20"/>
                <w:szCs w:val="20"/>
                <w:color w:val="auto"/>
              </w:rPr>
            </w:pPr>
            <w:r>
              <w:rPr>
                <w:rFonts w:ascii="Arial" w:cs="Arial" w:eastAsia="Arial" w:hAnsi="Arial"/>
                <w:sz w:val="14"/>
                <w:szCs w:val="14"/>
                <w:color w:val="auto"/>
              </w:rPr>
              <w:t>determination date</w:t>
            </w:r>
          </w:p>
        </w:tc>
      </w:tr>
      <w:tr>
        <w:trPr>
          <w:trHeight w:val="189"/>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Stock</w:t>
            </w:r>
          </w:p>
        </w:tc>
        <w:tc>
          <w:tcPr>
            <w:tcW w:w="4260" w:type="dxa"/>
            <w:vAlign w:val="bottom"/>
          </w:tcPr>
          <w:p>
            <w:pPr>
              <w:ind w:left="100"/>
              <w:spacing w:after="0"/>
              <w:rPr>
                <w:sz w:val="20"/>
                <w:szCs w:val="20"/>
                <w:color w:val="auto"/>
              </w:rPr>
            </w:pPr>
            <w:r>
              <w:rPr>
                <w:rFonts w:ascii="Arial" w:cs="Arial" w:eastAsia="Arial" w:hAnsi="Arial"/>
                <w:sz w:val="14"/>
                <w:szCs w:val="14"/>
                <w:color w:val="auto"/>
              </w:rPr>
              <w:t>The stock adjustment factor is referenced in determining the</w:t>
            </w:r>
          </w:p>
        </w:tc>
      </w:tr>
      <w:tr>
        <w:trPr>
          <w:trHeight w:val="162"/>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adjustment</w:t>
            </w:r>
          </w:p>
        </w:tc>
        <w:tc>
          <w:tcPr>
            <w:tcW w:w="4260" w:type="dxa"/>
            <w:vAlign w:val="bottom"/>
          </w:tcPr>
          <w:p>
            <w:pPr>
              <w:ind w:left="100"/>
              <w:spacing w:after="0"/>
              <w:rPr>
                <w:sz w:val="20"/>
                <w:szCs w:val="20"/>
                <w:color w:val="auto"/>
              </w:rPr>
            </w:pPr>
            <w:r>
              <w:rPr>
                <w:rFonts w:ascii="Arial" w:cs="Arial" w:eastAsia="Arial" w:hAnsi="Arial"/>
                <w:sz w:val="14"/>
                <w:szCs w:val="14"/>
                <w:color w:val="auto"/>
              </w:rPr>
              <w:t>closing price of the underlying stock and is set initially at 1.0 on</w:t>
            </w:r>
          </w:p>
        </w:tc>
      </w:tr>
      <w:tr>
        <w:trPr>
          <w:trHeight w:val="170"/>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factor:</w:t>
            </w:r>
          </w:p>
        </w:tc>
        <w:tc>
          <w:tcPr>
            <w:tcW w:w="4260" w:type="dxa"/>
            <w:vAlign w:val="bottom"/>
          </w:tcPr>
          <w:p>
            <w:pPr>
              <w:ind w:left="100"/>
              <w:spacing w:after="0"/>
              <w:rPr>
                <w:sz w:val="20"/>
                <w:szCs w:val="20"/>
                <w:color w:val="auto"/>
              </w:rPr>
            </w:pPr>
            <w:r>
              <w:rPr>
                <w:rFonts w:ascii="Arial" w:cs="Arial" w:eastAsia="Arial" w:hAnsi="Arial"/>
                <w:sz w:val="14"/>
                <w:szCs w:val="14"/>
                <w:color w:val="auto"/>
              </w:rPr>
              <w:t>the pricing date. The stock adjustment factor is subject to</w:t>
            </w:r>
          </w:p>
        </w:tc>
      </w:tr>
      <w:tr>
        <w:trPr>
          <w:trHeight w:val="162"/>
        </w:trPr>
        <w:tc>
          <w:tcPr>
            <w:tcW w:w="1120" w:type="dxa"/>
            <w:vAlign w:val="bottom"/>
          </w:tcPr>
          <w:p>
            <w:pPr>
              <w:spacing w:after="0"/>
              <w:rPr>
                <w:sz w:val="14"/>
                <w:szCs w:val="14"/>
                <w:color w:val="auto"/>
              </w:rPr>
            </w:pPr>
          </w:p>
        </w:tc>
        <w:tc>
          <w:tcPr>
            <w:tcW w:w="4260" w:type="dxa"/>
            <w:vAlign w:val="bottom"/>
          </w:tcPr>
          <w:p>
            <w:pPr>
              <w:ind w:left="100"/>
              <w:spacing w:after="0"/>
              <w:rPr>
                <w:sz w:val="20"/>
                <w:szCs w:val="20"/>
                <w:color w:val="auto"/>
              </w:rPr>
            </w:pPr>
            <w:r>
              <w:rPr>
                <w:rFonts w:ascii="Arial" w:cs="Arial" w:eastAsia="Arial" w:hAnsi="Arial"/>
                <w:sz w:val="14"/>
                <w:szCs w:val="14"/>
                <w:color w:val="auto"/>
              </w:rPr>
              <w:t>adjustment in the event of certain corporate events affecting the</w:t>
            </w:r>
          </w:p>
        </w:tc>
      </w:tr>
      <w:tr>
        <w:trPr>
          <w:trHeight w:val="182"/>
        </w:trPr>
        <w:tc>
          <w:tcPr>
            <w:tcW w:w="1120" w:type="dxa"/>
            <w:vAlign w:val="bottom"/>
          </w:tcPr>
          <w:p>
            <w:pPr>
              <w:spacing w:after="0"/>
              <w:rPr>
                <w:sz w:val="15"/>
                <w:szCs w:val="15"/>
                <w:color w:val="auto"/>
              </w:rPr>
            </w:pPr>
          </w:p>
        </w:tc>
        <w:tc>
          <w:tcPr>
            <w:tcW w:w="4260" w:type="dxa"/>
            <w:vAlign w:val="bottom"/>
          </w:tcPr>
          <w:p>
            <w:pPr>
              <w:ind w:left="100"/>
              <w:spacing w:after="0"/>
              <w:rPr>
                <w:sz w:val="20"/>
                <w:szCs w:val="20"/>
                <w:color w:val="auto"/>
              </w:rPr>
            </w:pPr>
            <w:r>
              <w:rPr>
                <w:rFonts w:ascii="Arial" w:cs="Arial" w:eastAsia="Arial" w:hAnsi="Arial"/>
                <w:sz w:val="14"/>
                <w:szCs w:val="14"/>
                <w:color w:val="auto"/>
              </w:rPr>
              <w:t>underlying stock.</w:t>
            </w:r>
          </w:p>
        </w:tc>
      </w:tr>
      <w:tr>
        <w:trPr>
          <w:trHeight w:val="26"/>
        </w:trPr>
        <w:tc>
          <w:tcPr>
            <w:tcW w:w="11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176"/>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Stock</w:t>
            </w:r>
          </w:p>
        </w:tc>
        <w:tc>
          <w:tcPr>
            <w:tcW w:w="4260" w:type="dxa"/>
            <w:vAlign w:val="bottom"/>
            <w:shd w:val="clear" w:color="auto" w:fill="DCEBF4"/>
          </w:tcPr>
          <w:p>
            <w:pPr>
              <w:ind w:left="100"/>
              <w:spacing w:after="0"/>
              <w:rPr>
                <w:sz w:val="20"/>
                <w:szCs w:val="20"/>
                <w:color w:val="auto"/>
              </w:rPr>
            </w:pPr>
            <w:r>
              <w:rPr>
                <w:rFonts w:ascii="Arial" w:cs="Arial" w:eastAsia="Arial" w:hAnsi="Arial"/>
                <w:sz w:val="14"/>
                <w:szCs w:val="14"/>
                <w:color w:val="auto"/>
              </w:rPr>
              <w:t>final stock price / initial stock price</w:t>
            </w:r>
          </w:p>
        </w:tc>
      </w:tr>
      <w:tr>
        <w:trPr>
          <w:trHeight w:val="162"/>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performance</w:t>
            </w:r>
          </w:p>
        </w:tc>
        <w:tc>
          <w:tcPr>
            <w:tcW w:w="4260" w:type="dxa"/>
            <w:vAlign w:val="bottom"/>
            <w:shd w:val="clear" w:color="auto" w:fill="DCEBF4"/>
          </w:tcPr>
          <w:p>
            <w:pPr>
              <w:spacing w:after="0"/>
              <w:rPr>
                <w:sz w:val="14"/>
                <w:szCs w:val="14"/>
                <w:color w:val="auto"/>
              </w:rPr>
            </w:pPr>
          </w:p>
        </w:tc>
      </w:tr>
      <w:tr>
        <w:trPr>
          <w:trHeight w:val="216"/>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factor:</w:t>
            </w:r>
          </w:p>
        </w:tc>
        <w:tc>
          <w:tcPr>
            <w:tcW w:w="4260" w:type="dxa"/>
            <w:vAlign w:val="bottom"/>
            <w:shd w:val="clear" w:color="auto" w:fill="DCEBF4"/>
          </w:tcPr>
          <w:p>
            <w:pPr>
              <w:spacing w:after="0"/>
              <w:rPr>
                <w:sz w:val="18"/>
                <w:szCs w:val="18"/>
                <w:color w:val="auto"/>
              </w:rPr>
            </w:pPr>
          </w:p>
        </w:tc>
      </w:tr>
      <w:tr>
        <w:trPr>
          <w:trHeight w:val="153"/>
        </w:trPr>
        <w:tc>
          <w:tcPr>
            <w:tcW w:w="1120" w:type="dxa"/>
            <w:vAlign w:val="bottom"/>
          </w:tcPr>
          <w:p>
            <w:pPr>
              <w:ind w:left="160"/>
              <w:spacing w:after="0" w:line="153" w:lineRule="exact"/>
              <w:rPr>
                <w:sz w:val="20"/>
                <w:szCs w:val="20"/>
                <w:color w:val="auto"/>
              </w:rPr>
            </w:pPr>
            <w:r>
              <w:rPr>
                <w:rFonts w:ascii="Arial" w:cs="Arial" w:eastAsia="Arial" w:hAnsi="Arial"/>
                <w:sz w:val="14"/>
                <w:szCs w:val="14"/>
                <w:b w:val="1"/>
                <w:bCs w:val="1"/>
                <w:color w:val="296DC1"/>
              </w:rPr>
              <w:t>Stated</w:t>
            </w:r>
          </w:p>
        </w:tc>
        <w:tc>
          <w:tcPr>
            <w:tcW w:w="4260" w:type="dxa"/>
            <w:vAlign w:val="bottom"/>
          </w:tcPr>
          <w:p>
            <w:pPr>
              <w:ind w:left="100"/>
              <w:spacing w:after="0" w:line="153" w:lineRule="exact"/>
              <w:rPr>
                <w:sz w:val="20"/>
                <w:szCs w:val="20"/>
                <w:color w:val="auto"/>
              </w:rPr>
            </w:pPr>
            <w:r>
              <w:rPr>
                <w:rFonts w:ascii="Arial" w:cs="Arial" w:eastAsia="Arial" w:hAnsi="Arial"/>
                <w:sz w:val="14"/>
                <w:szCs w:val="14"/>
                <w:color w:val="auto"/>
              </w:rPr>
              <w:t>$1,000 per security</w:t>
            </w:r>
          </w:p>
        </w:tc>
      </w:tr>
    </w:tbl>
    <w:p>
      <w:pPr>
        <w:spacing w:after="0" w:line="1" w:lineRule="exact"/>
        <w:rPr>
          <w:sz w:val="24"/>
          <w:szCs w:val="24"/>
          <w:color w:val="auto"/>
        </w:rPr>
      </w:pPr>
    </w:p>
    <w:p>
      <w:pPr>
        <w:sectPr>
          <w:pgSz w:w="11900" w:h="16838" w:orient="portrait"/>
          <w:cols w:equalWidth="0" w:num="2">
            <w:col w:w="5360" w:space="500"/>
            <w:col w:w="5380"/>
          </w:cols>
          <w:pgMar w:left="320" w:top="215" w:right="339" w:bottom="1440" w:gutter="0" w:footer="0" w:header="0"/>
          <w:type w:val="continuous"/>
        </w:sectPr>
      </w:pPr>
    </w:p>
    <w:p>
      <w:pPr>
        <w:ind w:left="180"/>
        <w:spacing w:after="0"/>
        <w:rPr>
          <w:sz w:val="20"/>
          <w:szCs w:val="20"/>
          <w:color w:val="auto"/>
        </w:rPr>
      </w:pPr>
      <w:r>
        <w:rPr>
          <w:rFonts w:ascii="Arial" w:cs="Arial" w:eastAsia="Arial" w:hAnsi="Arial"/>
          <w:sz w:val="14"/>
          <w:szCs w:val="14"/>
          <w:b w:val="1"/>
          <w:bCs w:val="1"/>
          <w:color w:val="296DC1"/>
        </w:rPr>
        <w:t>Early</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Early</w:t>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redemption</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payment:</w:t>
      </w:r>
    </w:p>
    <w:p>
      <w:pPr>
        <w:spacing w:after="0" w:line="51" w:lineRule="exact"/>
        <w:rPr>
          <w:sz w:val="24"/>
          <w:szCs w:val="24"/>
          <w:color w:val="auto"/>
        </w:rPr>
      </w:pPr>
    </w:p>
    <w:p>
      <w:pPr>
        <w:ind w:left="180" w:right="320"/>
        <w:spacing w:after="0" w:line="270" w:lineRule="auto"/>
        <w:rPr>
          <w:sz w:val="20"/>
          <w:szCs w:val="20"/>
          <w:color w:val="auto"/>
        </w:rPr>
      </w:pPr>
      <w:r>
        <w:rPr>
          <w:rFonts w:ascii="Arial" w:cs="Arial" w:eastAsia="Arial" w:hAnsi="Arial"/>
          <w:sz w:val="14"/>
          <w:szCs w:val="14"/>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80" w:right="100"/>
        <w:spacing w:after="0" w:line="291" w:lineRule="auto"/>
        <w:rPr>
          <w:sz w:val="20"/>
          <w:szCs w:val="20"/>
          <w:color w:val="auto"/>
        </w:rPr>
      </w:pPr>
      <w:r>
        <w:rPr>
          <w:rFonts w:ascii="Arial" w:cs="Arial" w:eastAsia="Arial" w:hAnsi="Arial"/>
          <w:sz w:val="14"/>
          <w:szCs w:val="14"/>
          <w:b w:val="1"/>
          <w:bCs w:val="1"/>
          <w:color w:val="296DC1"/>
        </w:rPr>
        <w:t>Determination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92" w:lineRule="exact"/>
        <w:rPr>
          <w:sz w:val="24"/>
          <w:szCs w:val="24"/>
          <w:color w:val="auto"/>
        </w:rPr>
      </w:pPr>
    </w:p>
    <w:p>
      <w:pPr>
        <w:ind w:left="180" w:right="320"/>
        <w:spacing w:after="0" w:line="269" w:lineRule="auto"/>
        <w:rPr>
          <w:sz w:val="20"/>
          <w:szCs w:val="20"/>
          <w:color w:val="auto"/>
        </w:rPr>
      </w:pPr>
      <w:r>
        <w:rPr>
          <w:rFonts w:ascii="Arial" w:cs="Arial" w:eastAsia="Arial" w:hAnsi="Arial"/>
          <w:sz w:val="14"/>
          <w:szCs w:val="14"/>
          <w:b w:val="1"/>
          <w:bCs w:val="1"/>
          <w:color w:val="296DC1"/>
        </w:rPr>
        <w:t>Contingent payment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1" w:lineRule="exact"/>
        <w:rPr>
          <w:sz w:val="24"/>
          <w:szCs w:val="24"/>
          <w:color w:val="auto"/>
        </w:rPr>
      </w:pPr>
    </w:p>
    <w:p>
      <w:pPr>
        <w:ind w:left="180" w:right="300"/>
        <w:spacing w:after="0" w:line="284" w:lineRule="auto"/>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80"/>
        <w:spacing w:after="0" w:line="291"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4"/>
          <w:szCs w:val="24"/>
          <w:color w:val="auto"/>
        </w:rPr>
      </w:pPr>
    </w:p>
    <w:p>
      <w:pPr>
        <w:ind w:left="180" w:right="280"/>
        <w:spacing w:after="0" w:line="300" w:lineRule="auto"/>
        <w:rPr>
          <w:sz w:val="20"/>
          <w:szCs w:val="20"/>
          <w:color w:val="auto"/>
        </w:rPr>
      </w:pPr>
      <w:r>
        <w:rPr>
          <w:rFonts w:ascii="Arial" w:cs="Arial" w:eastAsia="Arial" w:hAnsi="Arial"/>
          <w:sz w:val="14"/>
          <w:szCs w:val="14"/>
          <w:b w:val="1"/>
          <w:bCs w:val="1"/>
          <w:color w:val="296DC1"/>
        </w:rPr>
        <w:t>Initial stock price:</w:t>
      </w:r>
    </w:p>
    <w:p>
      <w:pPr>
        <w:spacing w:after="0" w:line="20" w:lineRule="exact"/>
        <w:rPr>
          <w:sz w:val="24"/>
          <w:szCs w:val="24"/>
          <w:color w:val="auto"/>
        </w:rPr>
      </w:pPr>
      <w:r>
        <w:rPr>
          <w:sz w:val="24"/>
          <w:szCs w:val="24"/>
          <w:color w:val="auto"/>
        </w:rPr>
        <w:br w:type="column"/>
      </w:r>
    </w:p>
    <w:p>
      <w:pPr>
        <w:ind w:right="120"/>
        <w:spacing w:after="0" w:line="243" w:lineRule="auto"/>
        <w:rPr>
          <w:sz w:val="20"/>
          <w:szCs w:val="20"/>
          <w:color w:val="auto"/>
        </w:rPr>
      </w:pPr>
      <w:r>
        <w:rPr>
          <w:rFonts w:ascii="Arial" w:cs="Arial" w:eastAsia="Arial" w:hAnsi="Arial"/>
          <w:sz w:val="14"/>
          <w:szCs w:val="14"/>
          <w:color w:val="auto"/>
        </w:rPr>
        <w:t xml:space="preserve">If, on any determination date (other than the final determination date), the closing price of the underlying stock is </w:t>
      </w:r>
      <w:r>
        <w:rPr>
          <w:rFonts w:ascii="Arial" w:cs="Arial" w:eastAsia="Arial" w:hAnsi="Arial"/>
          <w:sz w:val="14"/>
          <w:szCs w:val="14"/>
          <w:b w:val="1"/>
          <w:bCs w:val="1"/>
          <w:color w:val="auto"/>
        </w:rPr>
        <w:t>greater than</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or equal to </w:t>
      </w:r>
      <w:r>
        <w:rPr>
          <w:rFonts w:ascii="Arial" w:cs="Arial" w:eastAsia="Arial" w:hAnsi="Arial"/>
          <w:sz w:val="14"/>
          <w:szCs w:val="14"/>
          <w:color w:val="auto"/>
        </w:rPr>
        <w:t>the initial stock price, the securities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automatically redeemed for an early redemption payment on the first contingent payment date immediately following the related determination date. No further payments will be made on the securities once they have been redeemed.</w:t>
      </w:r>
    </w:p>
    <w:p>
      <w:pPr>
        <w:spacing w:after="0" w:line="3" w:lineRule="exact"/>
        <w:rPr>
          <w:sz w:val="24"/>
          <w:szCs w:val="24"/>
          <w:color w:val="auto"/>
        </w:rPr>
      </w:pPr>
    </w:p>
    <w:p>
      <w:pPr>
        <w:ind w:right="420"/>
        <w:spacing w:after="0" w:line="260" w:lineRule="auto"/>
        <w:rPr>
          <w:sz w:val="20"/>
          <w:szCs w:val="20"/>
          <w:color w:val="auto"/>
        </w:rPr>
      </w:pPr>
      <w:r>
        <w:rPr>
          <w:rFonts w:ascii="Arial" w:cs="Arial" w:eastAsia="Arial" w:hAnsi="Arial"/>
          <w:sz w:val="14"/>
          <w:szCs w:val="14"/>
          <w:b w:val="1"/>
          <w:bCs w:val="1"/>
          <w:color w:val="auto"/>
        </w:rPr>
        <w:t>The securities will not be redeemed early on any contingent payment date if the closing price of the underlying stock is below the initial stock price on the related determination date.</w:t>
      </w:r>
    </w:p>
    <w:p>
      <w:pPr>
        <w:spacing w:after="0" w:line="38" w:lineRule="exact"/>
        <w:rPr>
          <w:sz w:val="24"/>
          <w:szCs w:val="24"/>
          <w:color w:val="auto"/>
        </w:rPr>
      </w:pPr>
    </w:p>
    <w:p>
      <w:pPr>
        <w:jc w:val="both"/>
        <w:spacing w:after="0" w:line="254" w:lineRule="auto"/>
        <w:rPr>
          <w:sz w:val="20"/>
          <w:szCs w:val="20"/>
          <w:color w:val="auto"/>
        </w:rPr>
      </w:pPr>
      <w:r>
        <w:rPr>
          <w:rFonts w:ascii="Arial" w:cs="Arial" w:eastAsia="Arial" w:hAnsi="Arial"/>
          <w:sz w:val="14"/>
          <w:szCs w:val="14"/>
          <w:color w:val="auto"/>
        </w:rPr>
        <w:t xml:space="preserve">The early redemption payment will be an amount equal to (i) the 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the contingent quarterly payment with respect to the related determination date.</w:t>
      </w:r>
    </w:p>
    <w:p>
      <w:pPr>
        <w:spacing w:after="0" w:line="2" w:lineRule="exact"/>
        <w:rPr>
          <w:sz w:val="24"/>
          <w:szCs w:val="24"/>
          <w:color w:val="auto"/>
        </w:rPr>
      </w:pPr>
    </w:p>
    <w:p>
      <w:pPr>
        <w:ind w:left="140" w:right="80" w:hanging="130"/>
        <w:spacing w:after="0" w:line="243" w:lineRule="auto"/>
        <w:tabs>
          <w:tab w:leader="none" w:pos="161"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on any determination date, the closing price of the underlying stock is greater than or equal to the downside threshold level, we will pay a contingent quarterly payment of at least $28.00 (at least 2.80% of the stated principal amount) per security on the related contingent payment date. The actual contingent quarterly payment will be provided in the pricing supplement.</w:t>
      </w:r>
    </w:p>
    <w:p>
      <w:pPr>
        <w:spacing w:after="0" w:line="2" w:lineRule="exact"/>
        <w:rPr>
          <w:rFonts w:ascii="Arial" w:cs="Arial" w:eastAsia="Arial" w:hAnsi="Arial"/>
          <w:sz w:val="14"/>
          <w:szCs w:val="14"/>
          <w:color w:val="auto"/>
        </w:rPr>
      </w:pPr>
    </w:p>
    <w:p>
      <w:pPr>
        <w:ind w:left="140" w:right="80" w:hanging="130"/>
        <w:spacing w:after="0" w:line="241" w:lineRule="auto"/>
        <w:tabs>
          <w:tab w:leader="none" w:pos="161"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If, on any determination date, the closing price of the underlying stock is less than the downside threshold level, no contingent quarterly payment will be made with respect to that determination date. </w:t>
      </w:r>
      <w:r>
        <w:rPr>
          <w:rFonts w:ascii="Arial" w:cs="Arial" w:eastAsia="Arial" w:hAnsi="Arial"/>
          <w:sz w:val="14"/>
          <w:szCs w:val="14"/>
          <w:b w:val="1"/>
          <w:bCs w:val="1"/>
          <w:color w:val="auto"/>
        </w:rPr>
        <w:t>It is possible that the closing price</w:t>
      </w:r>
      <w:r>
        <w:rPr>
          <w:rFonts w:ascii="Arial" w:cs="Arial" w:eastAsia="Arial" w:hAnsi="Arial"/>
          <w:sz w:val="14"/>
          <w:szCs w:val="14"/>
          <w:color w:val="auto"/>
        </w:rPr>
        <w:t xml:space="preserve"> </w:t>
      </w:r>
      <w:r>
        <w:rPr>
          <w:rFonts w:ascii="Arial" w:cs="Arial" w:eastAsia="Arial" w:hAnsi="Arial"/>
          <w:sz w:val="14"/>
          <w:szCs w:val="14"/>
          <w:b w:val="1"/>
          <w:bCs w:val="1"/>
          <w:color w:val="auto"/>
        </w:rPr>
        <w:t>of the underlying stock will be below the downside threshold level on most or all of the determination dates so that you will receive few or no contingent quarterly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-781685</wp:posOffset>
            </wp:positionH>
            <wp:positionV relativeFrom="paragraph">
              <wp:posOffset>-1440815</wp:posOffset>
            </wp:positionV>
            <wp:extent cx="3420110" cy="1543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1543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b w:val="1"/>
          <w:bCs w:val="1"/>
          <w:color w:val="auto"/>
        </w:rPr>
        <w:t>payments.</w:t>
      </w:r>
    </w:p>
    <w:p>
      <w:pPr>
        <w:spacing w:after="0" w:line="1" w:lineRule="exact"/>
        <w:rPr>
          <w:sz w:val="24"/>
          <w:szCs w:val="24"/>
          <w:color w:val="auto"/>
        </w:rPr>
      </w:pPr>
    </w:p>
    <w:p>
      <w:pPr>
        <w:ind w:right="140"/>
        <w:spacing w:after="0" w:line="241" w:lineRule="auto"/>
        <w:rPr>
          <w:sz w:val="20"/>
          <w:szCs w:val="20"/>
          <w:color w:val="auto"/>
        </w:rPr>
      </w:pPr>
      <w:r>
        <w:rPr>
          <w:rFonts w:ascii="Arial" w:cs="Arial" w:eastAsia="Arial" w:hAnsi="Arial"/>
          <w:sz w:val="14"/>
          <w:szCs w:val="14"/>
          <w:color w:val="auto"/>
        </w:rPr>
        <w:t>October 30, 2023, January 29, 2024, April 29, 2024, July 29, 2024, October 28, 2024, January 28, 2025, April 28, 2025, July 28, 2025, October 28, 2025, January 28, 2026, April 28, 2026 and July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-781685</wp:posOffset>
            </wp:positionH>
            <wp:positionV relativeFrom="paragraph">
              <wp:posOffset>-1270</wp:posOffset>
            </wp:positionV>
            <wp:extent cx="342011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411480"/>
                    </a:xfrm>
                    <a:prstGeom prst="rect">
                      <a:avLst/>
                    </a:prstGeom>
                    <a:noFill/>
                  </pic:spPr>
                </pic:pic>
              </a:graphicData>
            </a:graphic>
          </wp:anchor>
        </w:drawing>
      </w:r>
    </w:p>
    <w:p>
      <w:pPr>
        <w:ind w:right="60"/>
        <w:spacing w:after="0" w:line="247" w:lineRule="auto"/>
        <w:rPr>
          <w:sz w:val="20"/>
          <w:szCs w:val="20"/>
          <w:color w:val="auto"/>
        </w:rPr>
      </w:pPr>
      <w:r>
        <w:rPr>
          <w:rFonts w:ascii="Arial" w:cs="Arial" w:eastAsia="Arial" w:hAnsi="Arial"/>
          <w:sz w:val="14"/>
          <w:szCs w:val="14"/>
          <w:color w:val="auto"/>
        </w:rPr>
        <w:t>November 2, 2023, February 1, 2024, May 2, 2024, August 1, 2024, October 31, 2024, January 31, 2025, May 1, 2025, July 31, 2025, October 31, 2025, February 2, 2026, May 1, 2026 and the maturity date</w:t>
      </w:r>
    </w:p>
    <w:p>
      <w:pPr>
        <w:spacing w:after="0" w:line="12" w:lineRule="exact"/>
        <w:rPr>
          <w:sz w:val="24"/>
          <w:szCs w:val="24"/>
          <w:color w:val="auto"/>
        </w:rPr>
      </w:pPr>
    </w:p>
    <w:p>
      <w:pPr>
        <w:jc w:val="both"/>
        <w:ind w:left="140" w:right="220" w:hanging="130"/>
        <w:spacing w:after="0" w:line="251" w:lineRule="auto"/>
        <w:tabs>
          <w:tab w:leader="none" w:pos="161"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If the final stock price(i) the 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is </w:t>
      </w:r>
      <w:r>
        <w:rPr>
          <w:rFonts w:ascii="Arial" w:cs="Arial" w:eastAsia="Arial" w:hAnsi="Arial"/>
          <w:sz w:val="14"/>
          <w:szCs w:val="14"/>
          <w:b w:val="1"/>
          <w:bCs w:val="1"/>
          <w:color w:val="auto"/>
        </w:rPr>
        <w:t>greater than or</w:t>
      </w:r>
      <w:r>
        <w:rPr>
          <w:rFonts w:ascii="Arial" w:cs="Arial" w:eastAsia="Arial" w:hAnsi="Arial"/>
          <w:sz w:val="14"/>
          <w:szCs w:val="14"/>
          <w:color w:val="auto"/>
        </w:rPr>
        <w:t xml:space="preserve"> the contingent quarterly payment with</w:t>
      </w:r>
    </w:p>
    <w:p>
      <w:pPr>
        <w:spacing w:after="0" w:line="1" w:lineRule="exact"/>
        <w:rPr>
          <w:sz w:val="24"/>
          <w:szCs w:val="24"/>
          <w:color w:val="auto"/>
        </w:rPr>
      </w:pPr>
    </w:p>
    <w:p>
      <w:pPr>
        <w:ind w:left="140"/>
        <w:spacing w:after="0"/>
        <w:tabs>
          <w:tab w:leader="none" w:pos="1500" w:val="left"/>
        </w:tabs>
        <w:rPr>
          <w:sz w:val="20"/>
          <w:szCs w:val="20"/>
          <w:color w:val="auto"/>
        </w:rPr>
      </w:pPr>
      <w:r>
        <w:rPr>
          <w:rFonts w:ascii="Arial" w:cs="Arial" w:eastAsia="Arial" w:hAnsi="Arial"/>
          <w:sz w:val="14"/>
          <w:szCs w:val="14"/>
          <w:b w:val="1"/>
          <w:bCs w:val="1"/>
          <w:color w:val="auto"/>
        </w:rPr>
        <w:t xml:space="preserve">equal to </w:t>
      </w:r>
      <w:r>
        <w:rPr>
          <w:rFonts w:ascii="Arial" w:cs="Arial" w:eastAsia="Arial" w:hAnsi="Arial"/>
          <w:sz w:val="14"/>
          <w:szCs w:val="14"/>
          <w:color w:val="auto"/>
        </w:rPr>
        <w:t>the</w:t>
      </w:r>
      <w:r>
        <w:rPr>
          <w:sz w:val="20"/>
          <w:szCs w:val="20"/>
          <w:color w:val="auto"/>
        </w:rPr>
        <w:tab/>
      </w:r>
      <w:r>
        <w:rPr>
          <w:rFonts w:ascii="Arial" w:cs="Arial" w:eastAsia="Arial" w:hAnsi="Arial"/>
          <w:sz w:val="14"/>
          <w:szCs w:val="14"/>
          <w:color w:val="auto"/>
        </w:rPr>
        <w:t>respect to the final determination date</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4"/>
          <w:szCs w:val="14"/>
          <w:color w:val="auto"/>
        </w:rPr>
        <w:t>downside threshold</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4"/>
          <w:szCs w:val="14"/>
          <w:color w:val="auto"/>
        </w:rPr>
        <w:t>level:</w:t>
      </w:r>
    </w:p>
    <w:p>
      <w:pPr>
        <w:spacing w:after="0" w:line="55" w:lineRule="exact"/>
        <w:rPr>
          <w:sz w:val="24"/>
          <w:szCs w:val="24"/>
          <w:color w:val="auto"/>
        </w:rPr>
      </w:pPr>
    </w:p>
    <w:p>
      <w:pPr>
        <w:ind w:left="160" w:hanging="150"/>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final stock price(i) the stated principal amount </w:t>
      </w:r>
      <w:r>
        <w:rPr>
          <w:rFonts w:ascii="Arial" w:cs="Arial" w:eastAsia="Arial" w:hAnsi="Arial"/>
          <w:sz w:val="14"/>
          <w:szCs w:val="14"/>
          <w:i w:val="1"/>
          <w:iCs w:val="1"/>
          <w:color w:val="auto"/>
        </w:rPr>
        <w:t>times</w:t>
      </w:r>
      <w:r>
        <w:rPr>
          <w:rFonts w:ascii="Arial" w:cs="Arial" w:eastAsia="Arial" w:hAnsi="Arial"/>
          <w:sz w:val="14"/>
          <w:szCs w:val="14"/>
          <w:color w:val="auto"/>
        </w:rPr>
        <w:t xml:space="preserve"> (ii)</w:t>
      </w:r>
    </w:p>
    <w:p>
      <w:pPr>
        <w:spacing w:after="0" w:line="15" w:lineRule="exact"/>
        <w:rPr>
          <w:sz w:val="24"/>
          <w:szCs w:val="24"/>
          <w:color w:val="auto"/>
        </w:rPr>
      </w:pPr>
    </w:p>
    <w:p>
      <w:pPr>
        <w:ind w:left="140"/>
        <w:spacing w:after="0"/>
        <w:tabs>
          <w:tab w:leader="none" w:pos="1500" w:val="left"/>
        </w:tabs>
        <w:rPr>
          <w:sz w:val="20"/>
          <w:szCs w:val="20"/>
          <w:color w:val="auto"/>
        </w:rPr>
      </w:pPr>
      <w:r>
        <w:rPr>
          <w:rFonts w:ascii="Arial" w:cs="Arial" w:eastAsia="Arial" w:hAnsi="Arial"/>
          <w:sz w:val="14"/>
          <w:szCs w:val="14"/>
          <w:color w:val="auto"/>
        </w:rPr>
        <w:t xml:space="preserve">is </w:t>
      </w:r>
      <w:r>
        <w:rPr>
          <w:rFonts w:ascii="Arial" w:cs="Arial" w:eastAsia="Arial" w:hAnsi="Arial"/>
          <w:sz w:val="14"/>
          <w:szCs w:val="14"/>
          <w:b w:val="1"/>
          <w:bCs w:val="1"/>
          <w:color w:val="auto"/>
        </w:rPr>
        <w:t>less than</w:t>
      </w:r>
      <w:r>
        <w:rPr>
          <w:rFonts w:ascii="Arial" w:cs="Arial" w:eastAsia="Arial" w:hAnsi="Arial"/>
          <w:sz w:val="14"/>
          <w:szCs w:val="14"/>
          <w:color w:val="auto"/>
        </w:rPr>
        <w:t xml:space="preserve"> the</w:t>
      </w:r>
      <w:r>
        <w:rPr>
          <w:sz w:val="20"/>
          <w:szCs w:val="20"/>
          <w:color w:val="auto"/>
        </w:rPr>
        <w:tab/>
      </w:r>
      <w:r>
        <w:rPr>
          <w:rFonts w:ascii="Arial" w:cs="Arial" w:eastAsia="Arial" w:hAnsi="Arial"/>
          <w:sz w:val="14"/>
          <w:szCs w:val="14"/>
          <w:color w:val="auto"/>
        </w:rPr>
        <w:t>the stock performance factor. This cash</w:t>
      </w:r>
    </w:p>
    <w:p>
      <w:pPr>
        <w:spacing w:after="0" w:line="1" w:lineRule="exact"/>
        <w:rPr>
          <w:sz w:val="24"/>
          <w:szCs w:val="24"/>
          <w:color w:val="auto"/>
        </w:rPr>
      </w:pPr>
    </w:p>
    <w:p>
      <w:pPr>
        <w:ind w:left="140"/>
        <w:spacing w:after="0"/>
        <w:tabs>
          <w:tab w:leader="none" w:pos="1500" w:val="left"/>
        </w:tabs>
        <w:rPr>
          <w:sz w:val="20"/>
          <w:szCs w:val="20"/>
          <w:color w:val="auto"/>
        </w:rPr>
      </w:pPr>
      <w:r>
        <w:rPr>
          <w:rFonts w:ascii="Arial" w:cs="Arial" w:eastAsia="Arial" w:hAnsi="Arial"/>
          <w:sz w:val="14"/>
          <w:szCs w:val="14"/>
          <w:color w:val="auto"/>
        </w:rPr>
        <w:t>downside threshold</w:t>
        <w:tab/>
        <w:t>payment will be less than 50% of the</w:t>
      </w:r>
    </w:p>
    <w:p>
      <w:pPr>
        <w:spacing w:after="0" w:line="1" w:lineRule="exact"/>
        <w:rPr>
          <w:sz w:val="24"/>
          <w:szCs w:val="24"/>
          <w:color w:val="auto"/>
        </w:rPr>
      </w:pPr>
    </w:p>
    <w:p>
      <w:pPr>
        <w:ind w:left="140"/>
        <w:spacing w:after="0"/>
        <w:tabs>
          <w:tab w:leader="none" w:pos="1500" w:val="left"/>
        </w:tabs>
        <w:rPr>
          <w:sz w:val="20"/>
          <w:szCs w:val="20"/>
          <w:color w:val="auto"/>
        </w:rPr>
      </w:pPr>
      <w:r>
        <w:rPr>
          <w:rFonts w:ascii="Arial" w:cs="Arial" w:eastAsia="Arial" w:hAnsi="Arial"/>
          <w:sz w:val="14"/>
          <w:szCs w:val="14"/>
          <w:color w:val="auto"/>
        </w:rPr>
        <w:t>level:</w:t>
      </w:r>
      <w:r>
        <w:rPr>
          <w:sz w:val="20"/>
          <w:szCs w:val="20"/>
          <w:color w:val="auto"/>
        </w:rPr>
        <w:tab/>
      </w:r>
      <w:r>
        <w:rPr>
          <w:rFonts w:ascii="Arial" w:cs="Arial" w:eastAsia="Arial" w:hAnsi="Arial"/>
          <w:sz w:val="14"/>
          <w:szCs w:val="14"/>
          <w:color w:val="auto"/>
        </w:rPr>
        <w:t>stated principal amount of the securities</w:t>
      </w:r>
    </w:p>
    <w:p>
      <w:pPr>
        <w:spacing w:after="0" w:line="1"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and could be zero.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-781685</wp:posOffset>
            </wp:positionH>
            <wp:positionV relativeFrom="paragraph">
              <wp:posOffset>23495</wp:posOffset>
            </wp:positionV>
            <wp:extent cx="342011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248285"/>
                    </a:xfrm>
                    <a:prstGeom prst="rect">
                      <a:avLst/>
                    </a:prstGeom>
                    <a:noFill/>
                  </pic:spPr>
                </pic:pic>
              </a:graphicData>
            </a:graphic>
          </wp:anchor>
        </w:drawing>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50% of the initial stock price</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The closing price of the underlying stock on the pricing date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2"/>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principal</w:t>
            </w:r>
          </w:p>
        </w:tc>
        <w:tc>
          <w:tcPr>
            <w:tcW w:w="4260" w:type="dxa"/>
            <w:vAlign w:val="bottom"/>
          </w:tcPr>
          <w:p>
            <w:pPr>
              <w:spacing w:after="0"/>
              <w:rPr>
                <w:sz w:val="14"/>
                <w:szCs w:val="14"/>
                <w:color w:val="auto"/>
              </w:rPr>
            </w:pPr>
          </w:p>
        </w:tc>
      </w:tr>
      <w:tr>
        <w:trPr>
          <w:trHeight w:val="201"/>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amount:</w:t>
            </w:r>
          </w:p>
        </w:tc>
        <w:tc>
          <w:tcPr>
            <w:tcW w:w="4260" w:type="dxa"/>
            <w:vAlign w:val="bottom"/>
          </w:tcPr>
          <w:p>
            <w:pPr>
              <w:spacing w:after="0"/>
              <w:rPr>
                <w:sz w:val="17"/>
                <w:szCs w:val="17"/>
                <w:color w:val="auto"/>
              </w:rPr>
            </w:pPr>
          </w:p>
        </w:tc>
      </w:tr>
      <w:tr>
        <w:trPr>
          <w:trHeight w:val="244"/>
        </w:trPr>
        <w:tc>
          <w:tcPr>
            <w:tcW w:w="1120" w:type="dxa"/>
            <w:vAlign w:val="bottom"/>
            <w:shd w:val="clear" w:color="auto" w:fill="DCEBF4"/>
          </w:tcPr>
          <w:p>
            <w:pPr>
              <w:ind w:left="160"/>
              <w:spacing w:after="0"/>
              <w:rPr>
                <w:sz w:val="20"/>
                <w:szCs w:val="20"/>
                <w:color w:val="auto"/>
              </w:rPr>
            </w:pPr>
            <w:r>
              <w:rPr>
                <w:rFonts w:ascii="Arial" w:cs="Arial" w:eastAsia="Arial" w:hAnsi="Arial"/>
                <w:sz w:val="14"/>
                <w:szCs w:val="14"/>
                <w:b w:val="1"/>
                <w:bCs w:val="1"/>
                <w:color w:val="296DC1"/>
              </w:rPr>
              <w:t>Issue price:</w:t>
            </w:r>
          </w:p>
        </w:tc>
        <w:tc>
          <w:tcPr>
            <w:tcW w:w="4260" w:type="dxa"/>
            <w:vAlign w:val="bottom"/>
            <w:shd w:val="clear" w:color="auto" w:fill="DCEBF4"/>
          </w:tcPr>
          <w:p>
            <w:pPr>
              <w:ind w:left="100"/>
              <w:spacing w:after="0"/>
              <w:rPr>
                <w:sz w:val="20"/>
                <w:szCs w:val="20"/>
                <w:color w:val="auto"/>
              </w:rPr>
            </w:pPr>
            <w:r>
              <w:rPr>
                <w:rFonts w:ascii="Arial" w:cs="Arial" w:eastAsia="Arial" w:hAnsi="Arial"/>
                <w:sz w:val="14"/>
                <w:szCs w:val="14"/>
                <w:color w:val="auto"/>
              </w:rPr>
              <w:t>$1,000 per security</w:t>
            </w:r>
          </w:p>
        </w:tc>
      </w:tr>
      <w:tr>
        <w:trPr>
          <w:trHeight w:val="214"/>
        </w:trPr>
        <w:tc>
          <w:tcPr>
            <w:tcW w:w="1120" w:type="dxa"/>
            <w:vAlign w:val="bottom"/>
          </w:tcPr>
          <w:p>
            <w:pPr>
              <w:ind w:left="160"/>
              <w:spacing w:after="0"/>
              <w:rPr>
                <w:sz w:val="20"/>
                <w:szCs w:val="20"/>
                <w:color w:val="auto"/>
              </w:rPr>
            </w:pPr>
            <w:r>
              <w:rPr>
                <w:rFonts w:ascii="Arial" w:cs="Arial" w:eastAsia="Arial" w:hAnsi="Arial"/>
                <w:sz w:val="14"/>
                <w:szCs w:val="14"/>
                <w:b w:val="1"/>
                <w:bCs w:val="1"/>
                <w:color w:val="296DC1"/>
              </w:rPr>
              <w:t>Pricing date:</w:t>
            </w:r>
          </w:p>
        </w:tc>
        <w:tc>
          <w:tcPr>
            <w:tcW w:w="4260" w:type="dxa"/>
            <w:vAlign w:val="bottom"/>
          </w:tcPr>
          <w:p>
            <w:pPr>
              <w:ind w:left="100"/>
              <w:spacing w:after="0"/>
              <w:rPr>
                <w:sz w:val="20"/>
                <w:szCs w:val="20"/>
                <w:color w:val="auto"/>
              </w:rPr>
            </w:pPr>
            <w:r>
              <w:rPr>
                <w:rFonts w:ascii="Arial" w:cs="Arial" w:eastAsia="Arial" w:hAnsi="Arial"/>
                <w:sz w:val="14"/>
                <w:szCs w:val="14"/>
                <w:color w:val="auto"/>
              </w:rPr>
              <w:t>Expected to be July 28, 2023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342074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454660"/>
                    </a:xfrm>
                    <a:prstGeom prst="rect">
                      <a:avLst/>
                    </a:prstGeom>
                    <a:noFill/>
                  </pic:spPr>
                </pic:pic>
              </a:graphicData>
            </a:graphic>
          </wp:anchor>
        </w:drawing>
      </w:r>
    </w:p>
    <w:p>
      <w:pPr>
        <w:spacing w:after="0" w:line="23" w:lineRule="exact"/>
        <w:rPr>
          <w:sz w:val="24"/>
          <w:szCs w:val="24"/>
          <w:color w:val="auto"/>
        </w:rPr>
      </w:pPr>
    </w:p>
    <w:p>
      <w:pPr>
        <w:ind w:left="180"/>
        <w:spacing w:after="0"/>
        <w:tabs>
          <w:tab w:leader="none" w:pos="1220" w:val="left"/>
        </w:tabs>
        <w:rPr>
          <w:sz w:val="20"/>
          <w:szCs w:val="20"/>
          <w:color w:val="auto"/>
        </w:rPr>
      </w:pPr>
      <w:r>
        <w:rPr>
          <w:rFonts w:ascii="Arial" w:cs="Arial" w:eastAsia="Arial" w:hAnsi="Arial"/>
          <w:sz w:val="14"/>
          <w:szCs w:val="14"/>
          <w:b w:val="1"/>
          <w:bCs w:val="1"/>
          <w:color w:val="296DC1"/>
        </w:rPr>
        <w:t>Original issue</w:t>
      </w:r>
      <w:r>
        <w:rPr>
          <w:sz w:val="20"/>
          <w:szCs w:val="20"/>
          <w:color w:val="auto"/>
        </w:rPr>
        <w:tab/>
      </w:r>
      <w:r>
        <w:rPr>
          <w:rFonts w:ascii="Arial" w:cs="Arial" w:eastAsia="Arial" w:hAnsi="Arial"/>
          <w:sz w:val="14"/>
          <w:szCs w:val="14"/>
          <w:color w:val="auto"/>
        </w:rPr>
        <w:t>3 business days after the pricing date</w:t>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date</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(settlement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296DC1"/>
        </w:rPr>
        <w:t>date):</w:t>
      </w:r>
    </w:p>
    <w:p>
      <w:pPr>
        <w:ind w:left="180"/>
        <w:spacing w:after="0" w:line="222" w:lineRule="auto"/>
        <w:rPr>
          <w:sz w:val="20"/>
          <w:szCs w:val="20"/>
          <w:color w:val="auto"/>
        </w:rPr>
      </w:pPr>
      <w:r>
        <w:rPr>
          <w:rFonts w:ascii="Arial" w:cs="Arial" w:eastAsia="Arial" w:hAnsi="Arial"/>
          <w:sz w:val="28"/>
          <w:szCs w:val="28"/>
          <w:b w:val="1"/>
          <w:bCs w:val="1"/>
          <w:color w:val="296DC1"/>
          <w:vertAlign w:val="subscript"/>
        </w:rPr>
        <w:t>Maturity date</w:t>
      </w:r>
      <w:r>
        <w:rPr>
          <w:rFonts w:ascii="Arial" w:cs="Arial" w:eastAsia="Arial" w:hAnsi="Arial"/>
          <w:sz w:val="23"/>
          <w:szCs w:val="23"/>
          <w:b w:val="1"/>
          <w:bCs w:val="1"/>
          <w:color w:val="296DC1"/>
          <w:vertAlign w:val="superscript"/>
        </w:rPr>
        <w:t>†</w:t>
      </w:r>
      <w:r>
        <w:rPr>
          <w:rFonts w:ascii="Arial" w:cs="Arial" w:eastAsia="Arial" w:hAnsi="Arial"/>
          <w:sz w:val="28"/>
          <w:szCs w:val="28"/>
          <w:b w:val="1"/>
          <w:bCs w:val="1"/>
          <w:color w:val="296DC1"/>
          <w:vertAlign w:val="subscript"/>
        </w:rPr>
        <w:t>:</w:t>
      </w:r>
      <w:r>
        <w:rPr>
          <w:rFonts w:ascii="Arial" w:cs="Arial" w:eastAsia="Arial" w:hAnsi="Arial"/>
          <w:sz w:val="14"/>
          <w:szCs w:val="14"/>
          <w:color w:val="auto"/>
        </w:rPr>
        <w:t xml:space="preserve"> July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-2540</wp:posOffset>
            </wp:positionV>
            <wp:extent cx="342074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745" cy="145415"/>
                    </a:xfrm>
                    <a:prstGeom prst="rect">
                      <a:avLst/>
                    </a:prstGeom>
                    <a:noFill/>
                  </pic:spPr>
                </pic:pic>
              </a:graphicData>
            </a:graphic>
          </wp:anchor>
        </w:drawing>
      </w:r>
    </w:p>
    <w:p>
      <w:pPr>
        <w:ind w:left="180"/>
        <w:spacing w:after="0"/>
        <w:tabs>
          <w:tab w:leader="none" w:pos="1220" w:val="left"/>
        </w:tabs>
        <w:rPr>
          <w:sz w:val="20"/>
          <w:szCs w:val="20"/>
          <w:color w:val="auto"/>
        </w:rPr>
      </w:pPr>
      <w:r>
        <w:rPr>
          <w:rFonts w:ascii="Arial" w:cs="Arial" w:eastAsia="Arial" w:hAnsi="Arial"/>
          <w:sz w:val="25"/>
          <w:szCs w:val="25"/>
          <w:b w:val="1"/>
          <w:bCs w:val="1"/>
          <w:color w:val="296DC1"/>
          <w:vertAlign w:val="subscript"/>
        </w:rPr>
        <w:t>CUSIP / ISIN:</w:t>
      </w:r>
      <w:r>
        <w:rPr>
          <w:sz w:val="20"/>
          <w:szCs w:val="20"/>
          <w:color w:val="auto"/>
        </w:rPr>
        <w:tab/>
      </w:r>
      <w:r>
        <w:rPr>
          <w:rFonts w:ascii="Arial" w:cs="Arial" w:eastAsia="Arial" w:hAnsi="Arial"/>
          <w:sz w:val="14"/>
          <w:szCs w:val="14"/>
          <w:color w:val="auto"/>
        </w:rPr>
        <w:t>48133YMN1 / US48133YMN12</w:t>
      </w:r>
    </w:p>
    <w:p>
      <w:pPr>
        <w:spacing w:after="0" w:line="29" w:lineRule="exact"/>
        <w:rPr>
          <w:sz w:val="24"/>
          <w:szCs w:val="24"/>
          <w:color w:val="auto"/>
        </w:rPr>
      </w:pPr>
    </w:p>
    <w:p>
      <w:pPr>
        <w:ind w:left="180"/>
        <w:spacing w:after="0"/>
        <w:tabs>
          <w:tab w:leader="none" w:pos="1220" w:val="left"/>
        </w:tabs>
        <w:rPr>
          <w:rFonts w:ascii="Arial" w:cs="Arial" w:eastAsia="Arial" w:hAnsi="Arial"/>
          <w:sz w:val="14"/>
          <w:szCs w:val="14"/>
          <w:u w:val="single" w:color="auto"/>
          <w:color w:val="0000EE"/>
        </w:rPr>
      </w:pPr>
      <w:r>
        <w:rPr>
          <w:rFonts w:ascii="Arial" w:cs="Arial" w:eastAsia="Arial" w:hAnsi="Arial"/>
          <w:sz w:val="14"/>
          <w:szCs w:val="14"/>
          <w:b w:val="1"/>
          <w:bCs w:val="1"/>
          <w:color w:val="296DC1"/>
        </w:rPr>
        <w:t>Preliminary</w:t>
      </w:r>
      <w:r>
        <w:rPr>
          <w:sz w:val="20"/>
          <w:szCs w:val="20"/>
          <w:color w:val="auto"/>
        </w:rPr>
        <w:tab/>
      </w:r>
      <w:hyperlink r:id="rId17">
        <w:r>
          <w:rPr>
            <w:rFonts w:ascii="Arial" w:cs="Arial" w:eastAsia="Arial" w:hAnsi="Arial"/>
            <w:sz w:val="14"/>
            <w:szCs w:val="14"/>
            <w:u w:val="single" w:color="auto"/>
            <w:color w:val="0000EE"/>
          </w:rPr>
          <w:t>http://www.sec.gov/Archives/edgar/data/16656</w:t>
        </w:r>
      </w:hyperlink>
    </w:p>
    <w:p>
      <w:pPr>
        <w:spacing w:after="0" w:line="19" w:lineRule="exact"/>
        <w:rPr>
          <w:sz w:val="24"/>
          <w:szCs w:val="24"/>
          <w:color w:val="auto"/>
        </w:rPr>
      </w:pPr>
    </w:p>
    <w:p>
      <w:pPr>
        <w:ind w:left="180" w:right="1080"/>
        <w:spacing w:after="0" w:line="261" w:lineRule="auto"/>
        <w:rPr>
          <w:rFonts w:ascii="Arial" w:cs="Arial" w:eastAsia="Arial" w:hAnsi="Arial"/>
          <w:sz w:val="14"/>
          <w:szCs w:val="14"/>
          <w:b w:val="1"/>
          <w:bCs w:val="1"/>
          <w:color w:val="296DC1"/>
        </w:rPr>
      </w:pPr>
      <w:r>
        <w:rPr>
          <w:rFonts w:ascii="Arial" w:cs="Arial" w:eastAsia="Arial" w:hAnsi="Arial"/>
          <w:sz w:val="14"/>
          <w:szCs w:val="14"/>
          <w:b w:val="1"/>
          <w:bCs w:val="1"/>
          <w:color w:val="296DC1"/>
        </w:rPr>
        <w:t xml:space="preserve">pricing </w:t>
      </w:r>
      <w:hyperlink r:id="rId17">
        <w:r>
          <w:rPr>
            <w:rFonts w:ascii="Arial" w:cs="Arial" w:eastAsia="Arial" w:hAnsi="Arial"/>
            <w:sz w:val="14"/>
            <w:szCs w:val="14"/>
            <w:u w:val="single" w:color="auto"/>
            <w:color w:val="0000EE"/>
          </w:rPr>
          <w:t>50/000121390023059106/ea158478_424b2.htm</w:t>
        </w:r>
      </w:hyperlink>
      <w:r>
        <w:rPr>
          <w:rFonts w:ascii="Arial" w:cs="Arial" w:eastAsia="Arial" w:hAnsi="Arial"/>
          <w:sz w:val="14"/>
          <w:szCs w:val="14"/>
          <w:b w:val="1"/>
          <w:bCs w:val="1"/>
          <w:color w:val="296DC1"/>
        </w:rPr>
        <w:t xml:space="preserve"> supplement:</w:t>
      </w:r>
    </w:p>
    <w:p>
      <w:pPr>
        <w:spacing w:after="0" w:line="218"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spacing w:after="0" w:line="1" w:lineRule="exact"/>
        <w:rPr>
          <w:sz w:val="24"/>
          <w:szCs w:val="24"/>
          <w:color w:val="auto"/>
        </w:rPr>
      </w:pPr>
    </w:p>
    <w:p>
      <w:pPr>
        <w:ind w:right="40"/>
        <w:spacing w:after="0" w:line="246" w:lineRule="auto"/>
        <w:rPr>
          <w:sz w:val="20"/>
          <w:szCs w:val="20"/>
          <w:color w:val="auto"/>
        </w:rPr>
      </w:pPr>
      <w:r>
        <w:rPr>
          <w:rFonts w:ascii="Arial" w:cs="Arial" w:eastAsia="Arial" w:hAnsi="Arial"/>
          <w:sz w:val="16"/>
          <w:szCs w:val="16"/>
          <w:color w:val="auto"/>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spacing w:after="0" w:line="2"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342074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0745" cy="58293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FFFFFF"/>
        </w:rPr>
        <w:t>Hypothetical Payout at Maturity</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FFFFFF"/>
        </w:rPr>
        <w:t>(if the securities have not previously been redeemed)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2600" w:type="dxa"/>
            <w:vAlign w:val="bottom"/>
            <w:vMerge w:val="restart"/>
          </w:tcPr>
          <w:p>
            <w:pPr>
              <w:ind w:left="420"/>
              <w:spacing w:after="0"/>
              <w:rPr>
                <w:sz w:val="20"/>
                <w:szCs w:val="20"/>
                <w:color w:val="auto"/>
              </w:rPr>
            </w:pPr>
            <w:r>
              <w:rPr>
                <w:rFonts w:ascii="Arial" w:cs="Arial" w:eastAsia="Arial" w:hAnsi="Arial"/>
                <w:sz w:val="14"/>
                <w:szCs w:val="14"/>
                <w:b w:val="1"/>
                <w:bCs w:val="1"/>
                <w:color w:val="FFFFFF"/>
              </w:rPr>
              <w:t>Change in Underlying Stock</w:t>
            </w:r>
          </w:p>
        </w:tc>
        <w:tc>
          <w:tcPr>
            <w:tcW w:w="2780" w:type="dxa"/>
            <w:vAlign w:val="bottom"/>
          </w:tcPr>
          <w:p>
            <w:pPr>
              <w:jc w:val="center"/>
              <w:ind w:left="88"/>
              <w:spacing w:after="0"/>
              <w:rPr>
                <w:sz w:val="20"/>
                <w:szCs w:val="20"/>
                <w:color w:val="auto"/>
              </w:rPr>
            </w:pPr>
            <w:r>
              <w:rPr>
                <w:rFonts w:ascii="Arial" w:cs="Arial" w:eastAsia="Arial" w:hAnsi="Arial"/>
                <w:sz w:val="14"/>
                <w:szCs w:val="14"/>
                <w:b w:val="1"/>
                <w:bCs w:val="1"/>
                <w:color w:val="FFFFFF"/>
              </w:rPr>
              <w:t>Payment at Maturity (excluding any</w:t>
            </w:r>
          </w:p>
        </w:tc>
        <w:tc>
          <w:tcPr>
            <w:tcW w:w="0" w:type="dxa"/>
            <w:vAlign w:val="bottom"/>
          </w:tcPr>
          <w:p>
            <w:pPr>
              <w:spacing w:after="0"/>
              <w:rPr>
                <w:sz w:val="1"/>
                <w:szCs w:val="1"/>
                <w:color w:val="auto"/>
              </w:rPr>
            </w:pPr>
          </w:p>
        </w:tc>
      </w:tr>
      <w:tr>
        <w:trPr>
          <w:trHeight w:val="119"/>
        </w:trPr>
        <w:tc>
          <w:tcPr>
            <w:tcW w:w="2600" w:type="dxa"/>
            <w:vAlign w:val="bottom"/>
            <w:vMerge w:val="continue"/>
          </w:tcPr>
          <w:p>
            <w:pPr>
              <w:spacing w:after="0"/>
              <w:rPr>
                <w:sz w:val="10"/>
                <w:szCs w:val="10"/>
                <w:color w:val="auto"/>
              </w:rPr>
            </w:pPr>
          </w:p>
        </w:tc>
        <w:tc>
          <w:tcPr>
            <w:tcW w:w="27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FFFFFF"/>
              </w:rPr>
              <w:t>coupon payable at maturity)</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50.00%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rPr>
              <w:t>40.00%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30.00%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rPr>
              <w:t>20.00%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rPr>
              <w:t>5.00%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w w:val="99"/>
              </w:rPr>
              <w:t>-10.00%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-20.00%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w w:val="99"/>
              </w:rPr>
              <w:t>-30.00%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-40.00%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w w:val="99"/>
              </w:rPr>
              <w:t>-50.00%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-50.01%</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$499.90</w:t>
            </w:r>
          </w:p>
        </w:tc>
        <w:tc>
          <w:tcPr>
            <w:tcW w:w="0" w:type="dxa"/>
            <w:vAlign w:val="bottom"/>
          </w:tcPr>
          <w:p>
            <w:pPr>
              <w:spacing w:after="0"/>
              <w:rPr>
                <w:sz w:val="1"/>
                <w:szCs w:val="1"/>
                <w:color w:val="auto"/>
              </w:rPr>
            </w:pPr>
          </w:p>
        </w:tc>
      </w:tr>
      <w:tr>
        <w:trPr>
          <w:trHeight w:val="162"/>
        </w:trPr>
        <w:tc>
          <w:tcPr>
            <w:tcW w:w="2600" w:type="dxa"/>
            <w:vAlign w:val="bottom"/>
          </w:tcPr>
          <w:p>
            <w:pPr>
              <w:jc w:val="center"/>
              <w:ind w:left="88"/>
              <w:spacing w:after="0"/>
              <w:rPr>
                <w:sz w:val="20"/>
                <w:szCs w:val="20"/>
                <w:color w:val="auto"/>
              </w:rPr>
            </w:pPr>
            <w:r>
              <w:rPr>
                <w:rFonts w:ascii="Arial" w:cs="Arial" w:eastAsia="Arial" w:hAnsi="Arial"/>
                <w:sz w:val="14"/>
                <w:szCs w:val="14"/>
                <w:color w:val="auto"/>
                <w:w w:val="99"/>
              </w:rPr>
              <w:t>-60.00%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62"/>
        </w:trPr>
        <w:tc>
          <w:tcPr>
            <w:tcW w:w="260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-80.00%</w:t>
            </w:r>
          </w:p>
        </w:tc>
        <w:tc>
          <w:tcPr>
            <w:tcW w:w="2780" w:type="dxa"/>
            <w:vAlign w:val="bottom"/>
            <w:shd w:val="clear" w:color="auto" w:fill="D9D9D9"/>
          </w:tcPr>
          <w:p>
            <w:pPr>
              <w:jc w:val="center"/>
              <w:ind w:left="10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82"/>
        </w:trPr>
        <w:tc>
          <w:tcPr>
            <w:tcW w:w="2600" w:type="dxa"/>
            <w:vAlign w:val="bottom"/>
          </w:tcPr>
          <w:p>
            <w:pPr>
              <w:jc w:val="center"/>
              <w:ind w:left="88"/>
              <w:spacing w:after="0"/>
              <w:rPr>
                <w:sz w:val="20"/>
                <w:szCs w:val="20"/>
                <w:color w:val="auto"/>
              </w:rPr>
            </w:pPr>
            <w:r>
              <w:rPr>
                <w:rFonts w:ascii="Arial" w:cs="Arial" w:eastAsia="Arial" w:hAnsi="Arial"/>
                <w:sz w:val="14"/>
                <w:szCs w:val="14"/>
                <w:color w:val="auto"/>
              </w:rPr>
              <w:t>-100.00%</w:t>
            </w:r>
          </w:p>
        </w:tc>
        <w:tc>
          <w:tcPr>
            <w:tcW w:w="2780" w:type="dxa"/>
            <w:vAlign w:val="bottom"/>
          </w:tcPr>
          <w:p>
            <w:pPr>
              <w:jc w:val="center"/>
              <w:ind w:left="10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3">
            <w:col w:w="1240" w:space="0"/>
            <w:col w:w="4140" w:space="460"/>
            <w:col w:w="540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8" w:lineRule="exact"/>
        <w:rPr>
          <w:sz w:val="20"/>
          <w:szCs w:val="20"/>
          <w:color w:val="auto"/>
        </w:rPr>
      </w:pPr>
    </w:p>
    <w:p>
      <w:pPr>
        <w:spacing w:after="0"/>
        <w:rPr>
          <w:sz w:val="20"/>
          <w:szCs w:val="20"/>
          <w:color w:val="auto"/>
        </w:rPr>
      </w:pPr>
      <w:r>
        <w:rPr>
          <w:rFonts w:ascii="Arial" w:cs="Arial" w:eastAsia="Arial" w:hAnsi="Arial"/>
          <w:sz w:val="29"/>
          <w:szCs w:val="29"/>
          <w:color w:val="296DC1"/>
        </w:rPr>
        <w:t>3yr BABA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Stock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stock,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for additional information.</w:t>
      </w:r>
    </w:p>
    <w:p>
      <w:pPr>
        <w:spacing w:after="0" w:line="233"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9"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49" w:lineRule="exact"/>
        <w:rPr>
          <w:rFonts w:ascii="Arial" w:cs="Arial" w:eastAsia="Arial" w:hAnsi="Arial"/>
          <w:sz w:val="22"/>
          <w:szCs w:val="22"/>
          <w:color w:val="A3C4EB"/>
          <w:vertAlign w:val="subscript"/>
        </w:rPr>
      </w:pPr>
    </w:p>
    <w:p>
      <w:pPr>
        <w:ind w:left="340" w:right="200" w:hanging="332"/>
        <w:spacing w:after="0" w:line="183" w:lineRule="auto"/>
        <w:tabs>
          <w:tab w:leader="none" w:pos="340" w:val="left"/>
        </w:tabs>
        <w:numPr>
          <w:ilvl w:val="0"/>
          <w:numId w:val="4"/>
        </w:numPr>
        <w:rPr>
          <w:rFonts w:ascii="Arial" w:cs="Arial" w:eastAsia="Arial" w:hAnsi="Arial"/>
          <w:sz w:val="30"/>
          <w:szCs w:val="30"/>
          <w:color w:val="A3C4EB"/>
          <w:vertAlign w:val="subscript"/>
        </w:rPr>
      </w:pPr>
      <w:r>
        <w:rPr>
          <w:rFonts w:ascii="Arial" w:cs="Arial" w:eastAsia="Arial" w:hAnsi="Arial"/>
          <w:sz w:val="13"/>
          <w:szCs w:val="13"/>
          <w:color w:val="auto"/>
        </w:rPr>
        <w:t>You will not receive any contingent quarterly payment for any quarterly period if the closing price of the underlying stock on the relevant determination date is less than the downside threshold level.</w:t>
      </w: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The contingent quarterly payment is based solely on the closing prices of the underlying stock on the specified determination dates.</w:t>
      </w:r>
    </w:p>
    <w:p>
      <w:pPr>
        <w:spacing w:after="0" w:line="49" w:lineRule="exact"/>
        <w:rPr>
          <w:rFonts w:ascii="Arial" w:cs="Arial" w:eastAsia="Arial" w:hAnsi="Arial"/>
          <w:sz w:val="22"/>
          <w:szCs w:val="22"/>
          <w:color w:val="A3C4EB"/>
          <w:vertAlign w:val="subscript"/>
        </w:rPr>
      </w:pPr>
    </w:p>
    <w:p>
      <w:pPr>
        <w:ind w:left="340" w:right="580" w:hanging="332"/>
        <w:spacing w:after="0" w:line="183" w:lineRule="auto"/>
        <w:tabs>
          <w:tab w:leader="none" w:pos="340" w:val="left"/>
        </w:tabs>
        <w:numPr>
          <w:ilvl w:val="0"/>
          <w:numId w:val="4"/>
        </w:numPr>
        <w:rPr>
          <w:rFonts w:ascii="Arial" w:cs="Arial" w:eastAsia="Arial" w:hAnsi="Arial"/>
          <w:sz w:val="30"/>
          <w:szCs w:val="30"/>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Investors will not participate in any appreciation of the underlying stock.</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Early redemption risk.</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Secondary trading may be limited.</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4"/>
        </w:numPr>
        <w:rPr>
          <w:rFonts w:ascii="Arial" w:cs="Arial" w:eastAsia="Arial" w:hAnsi="Arial"/>
          <w:sz w:val="22"/>
          <w:szCs w:val="22"/>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tabs>
          <w:tab w:leader="none" w:pos="340" w:val="left"/>
        </w:tabs>
        <w:numPr>
          <w:ilvl w:val="0"/>
          <w:numId w:val="5"/>
        </w:numPr>
        <w:rPr>
          <w:rFonts w:ascii="Arial" w:cs="Arial" w:eastAsia="Arial" w:hAnsi="Arial"/>
          <w:sz w:val="30"/>
          <w:szCs w:val="30"/>
          <w:color w:val="A3C4EB"/>
          <w:vertAlign w:val="subscript"/>
        </w:rPr>
      </w:pPr>
      <w:r>
        <w:rPr>
          <w:rFonts w:ascii="Arial" w:cs="Arial" w:eastAsia="Arial" w:hAnsi="Arial"/>
          <w:sz w:val="13"/>
          <w:szCs w:val="13"/>
          <w:color w:val="auto"/>
        </w:rPr>
        <w:t>Economic interests of the issuer, the guarantor, the calculation agent, the agent of the offering of the securities and other affiliates of the issuer may be different from those of investors.</w:t>
      </w:r>
    </w:p>
    <w:p>
      <w:pPr>
        <w:spacing w:after="0" w:line="38" w:lineRule="exact"/>
        <w:rPr>
          <w:rFonts w:ascii="Arial" w:cs="Arial" w:eastAsia="Arial" w:hAnsi="Arial"/>
          <w:sz w:val="30"/>
          <w:szCs w:val="30"/>
          <w:color w:val="A3C4EB"/>
          <w:vertAlign w:val="subscript"/>
        </w:rPr>
      </w:pPr>
    </w:p>
    <w:p>
      <w:pPr>
        <w:ind w:left="340" w:hanging="332"/>
        <w:spacing w:after="0" w:line="184" w:lineRule="auto"/>
        <w:tabs>
          <w:tab w:leader="none" w:pos="340" w:val="left"/>
        </w:tabs>
        <w:numPr>
          <w:ilvl w:val="0"/>
          <w:numId w:val="5"/>
        </w:numPr>
        <w:rPr>
          <w:rFonts w:ascii="Arial" w:cs="Arial" w:eastAsia="Arial" w:hAnsi="Arial"/>
          <w:sz w:val="22"/>
          <w:szCs w:val="22"/>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9" w:lineRule="auto"/>
        <w:tabs>
          <w:tab w:leader="none" w:pos="340" w:val="left"/>
        </w:tabs>
        <w:numPr>
          <w:ilvl w:val="0"/>
          <w:numId w:val="6"/>
        </w:numPr>
        <w:rPr>
          <w:rFonts w:ascii="Arial" w:cs="Arial" w:eastAsia="Arial" w:hAnsi="Arial"/>
          <w:sz w:val="22"/>
          <w:szCs w:val="22"/>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49" w:lineRule="exact"/>
        <w:rPr>
          <w:rFonts w:ascii="Arial" w:cs="Arial" w:eastAsia="Arial" w:hAnsi="Arial"/>
          <w:sz w:val="22"/>
          <w:szCs w:val="22"/>
          <w:color w:val="A3C4EB"/>
          <w:vertAlign w:val="subscript"/>
        </w:rPr>
      </w:pPr>
    </w:p>
    <w:p>
      <w:pPr>
        <w:ind w:left="340" w:hanging="332"/>
        <w:spacing w:after="0" w:line="186" w:lineRule="auto"/>
        <w:tabs>
          <w:tab w:leader="none" w:pos="340" w:val="left"/>
        </w:tabs>
        <w:numPr>
          <w:ilvl w:val="0"/>
          <w:numId w:val="6"/>
        </w:numPr>
        <w:rPr>
          <w:rFonts w:ascii="Arial" w:cs="Arial" w:eastAsia="Arial" w:hAnsi="Arial"/>
          <w:sz w:val="22"/>
          <w:szCs w:val="22"/>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46"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6"/>
        </w:numPr>
        <w:rPr>
          <w:rFonts w:ascii="Arial" w:cs="Arial" w:eastAsia="Arial" w:hAnsi="Arial"/>
          <w:sz w:val="22"/>
          <w:szCs w:val="22"/>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49" w:lineRule="exact"/>
        <w:rPr>
          <w:rFonts w:ascii="Arial" w:cs="Arial" w:eastAsia="Arial" w:hAnsi="Arial"/>
          <w:sz w:val="22"/>
          <w:szCs w:val="22"/>
          <w:color w:val="A3C4EB"/>
          <w:vertAlign w:val="subscript"/>
        </w:rPr>
      </w:pPr>
    </w:p>
    <w:p>
      <w:pPr>
        <w:ind w:left="340" w:right="240" w:hanging="332"/>
        <w:spacing w:after="0" w:line="183" w:lineRule="auto"/>
        <w:tabs>
          <w:tab w:leader="none" w:pos="340" w:val="left"/>
        </w:tabs>
        <w:numPr>
          <w:ilvl w:val="0"/>
          <w:numId w:val="6"/>
        </w:numPr>
        <w:rPr>
          <w:rFonts w:ascii="Arial" w:cs="Arial" w:eastAsia="Arial" w:hAnsi="Arial"/>
          <w:sz w:val="30"/>
          <w:szCs w:val="30"/>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84" w:lineRule="auto"/>
        <w:tabs>
          <w:tab w:leader="none" w:pos="340" w:val="left"/>
        </w:tabs>
        <w:numPr>
          <w:ilvl w:val="0"/>
          <w:numId w:val="6"/>
        </w:numPr>
        <w:rPr>
          <w:rFonts w:ascii="Arial" w:cs="Arial" w:eastAsia="Arial" w:hAnsi="Arial"/>
          <w:sz w:val="22"/>
          <w:szCs w:val="22"/>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6"/>
        </w:numPr>
        <w:rPr>
          <w:rFonts w:ascii="Arial" w:cs="Arial" w:eastAsia="Arial" w:hAnsi="Arial"/>
          <w:sz w:val="22"/>
          <w:szCs w:val="22"/>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Stock</w:t>
      </w:r>
    </w:p>
    <w:p>
      <w:pPr>
        <w:ind w:left="340" w:hanging="332"/>
        <w:spacing w:after="0" w:line="189"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There are risks associated with investments in securities linked to the value of equity securities issued by a non-U.S. company.</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The securities entail emerging markets risk.</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There are important differences between the rights of holders of Alibaba ADSs and the rights of holders of the Alibaba underlying securities.</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Investing in the securities is not equivalent to investing in the underlying stock.</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No affiliation with Alibaba Group Holding Limited.</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We may engage in business with or involving Alibaba Group Holding Limited without regard to your interests.</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49" w:lineRule="exact"/>
        <w:rPr>
          <w:rFonts w:ascii="Arial" w:cs="Arial" w:eastAsia="Arial" w:hAnsi="Arial"/>
          <w:sz w:val="22"/>
          <w:szCs w:val="22"/>
          <w:color w:val="A3C4EB"/>
          <w:vertAlign w:val="subscript"/>
        </w:rPr>
      </w:pPr>
    </w:p>
    <w:p>
      <w:pPr>
        <w:ind w:left="340" w:hanging="332"/>
        <w:spacing w:after="0" w:line="184" w:lineRule="auto"/>
        <w:tabs>
          <w:tab w:leader="none" w:pos="340" w:val="left"/>
        </w:tabs>
        <w:numPr>
          <w:ilvl w:val="0"/>
          <w:numId w:val="7"/>
        </w:numPr>
        <w:rPr>
          <w:rFonts w:ascii="Arial" w:cs="Arial" w:eastAsia="Arial" w:hAnsi="Arial"/>
          <w:sz w:val="22"/>
          <w:szCs w:val="22"/>
          <w:color w:val="A3C4EB"/>
          <w:vertAlign w:val="subscript"/>
        </w:rPr>
      </w:pPr>
      <w:r>
        <w:rPr>
          <w:rFonts w:ascii="Arial" w:cs="Arial" w:eastAsia="Arial" w:hAnsi="Arial"/>
          <w:sz w:val="12"/>
          <w:szCs w:val="12"/>
          <w:color w:val="auto"/>
        </w:rPr>
        <w:t>The anti-dilution protection for the underlying stock is limited and may be discretionary.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296DC1"/>
        </w:rPr>
        <w:t>Tax Considerations</w:t>
      </w:r>
    </w:p>
    <w:p>
      <w:pPr>
        <w:ind w:right="300"/>
        <w:spacing w:after="0" w:line="260"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sectPr>
      <w:pgSz w:w="11900" w:h="16838" w:orient="portrait"/>
      <w:cols w:equalWidth="0" w:num="1">
        <w:col w:w="11220"/>
      </w:cols>
      <w:pgMar w:left="320" w:top="5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www.sec.gov/Archives/edgar/data/1665650/000121390023059106/ea158478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2023-07-25T05:09:38Z</dcterms:created>
  <dcterms:modified xsi:type="dcterms:W3CDTF">2023-07-25T05:09:38Z</dcterms:modified>
</cp:coreProperties>
</file>