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line="278" w:lineRule="auto"/>
        <w:rPr>
          <w:sz w:val="20"/>
          <w:szCs w:val="20"/>
          <w:color w:val="auto"/>
        </w:rPr>
      </w:pPr>
      <w:r>
        <w:rPr>
          <w:rFonts w:ascii="Arial" w:cs="Arial" w:eastAsia="Arial" w:hAnsi="Arial"/>
          <w:sz w:val="15"/>
          <w:szCs w:val="15"/>
          <w:b w:val="1"/>
          <w:bCs w:val="1"/>
          <w:color w:val="FF0000"/>
        </w:rPr>
        <w:t>The information in this preliminary pricing supplement is not complete and may be changed. This preliminary pricing supplement is not an offer to sell nor does it seek an offer to buy these securities in any jurisdiction where the offer or sale is not permitted. Subject to completion dated January 5, 2026</w:t>
      </w:r>
    </w:p>
    <w:p>
      <w:pPr>
        <w:spacing w:after="0" w:line="49" w:lineRule="exact"/>
        <w:rPr>
          <w:sz w:val="24"/>
          <w:szCs w:val="24"/>
          <w:color w:val="auto"/>
        </w:rPr>
      </w:pPr>
    </w:p>
    <w:p>
      <w:pPr>
        <w:ind w:left="120"/>
        <w:spacing w:after="0"/>
        <w:tabs>
          <w:tab w:leader="none" w:pos="820" w:val="left"/>
          <w:tab w:leader="none" w:pos="4740" w:val="left"/>
        </w:tabs>
        <w:rPr>
          <w:sz w:val="20"/>
          <w:szCs w:val="20"/>
          <w:color w:val="auto"/>
        </w:rPr>
      </w:pPr>
      <w:r>
        <w:rPr>
          <w:rFonts w:ascii="Arial" w:cs="Arial" w:eastAsia="Arial" w:hAnsi="Arial"/>
          <w:sz w:val="15"/>
          <w:szCs w:val="15"/>
          <w:color w:val="595959"/>
        </w:rPr>
        <w:t>January</w:t>
        <w:tab/>
        <w:t>, 2026</w:t>
      </w:r>
      <w:r>
        <w:rPr>
          <w:sz w:val="20"/>
          <w:szCs w:val="20"/>
          <w:color w:val="auto"/>
        </w:rPr>
        <w:tab/>
      </w:r>
      <w:r>
        <w:rPr>
          <w:rFonts w:ascii="Arial" w:cs="Arial" w:eastAsia="Arial" w:hAnsi="Arial"/>
          <w:sz w:val="14"/>
          <w:szCs w:val="14"/>
          <w:color w:val="595959"/>
        </w:rPr>
        <w:t>Registration Statement Nos. 333-270004 and 333-270004-01;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-554355</wp:posOffset>
            </wp:positionH>
            <wp:positionV relativeFrom="paragraph">
              <wp:posOffset>60325</wp:posOffset>
            </wp:positionV>
            <wp:extent cx="7197090" cy="6462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6462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6"/>
          <w:szCs w:val="26"/>
          <w:color w:val="595959"/>
        </w:rPr>
        <w:t>JPMorgan Chase Financial Company LLC</w:t>
      </w:r>
    </w:p>
    <w:p>
      <w:pPr>
        <w:spacing w:after="0" w:line="31" w:lineRule="exact"/>
        <w:rPr>
          <w:sz w:val="24"/>
          <w:szCs w:val="24"/>
          <w:color w:val="auto"/>
        </w:rPr>
      </w:pPr>
    </w:p>
    <w:p>
      <w:pPr>
        <w:spacing w:after="0"/>
        <w:rPr>
          <w:sz w:val="20"/>
          <w:szCs w:val="20"/>
          <w:color w:val="auto"/>
        </w:rPr>
      </w:pPr>
      <w:r>
        <w:rPr>
          <w:rFonts w:ascii="Arial" w:cs="Arial" w:eastAsia="Arial" w:hAnsi="Arial"/>
          <w:sz w:val="26"/>
          <w:szCs w:val="26"/>
          <w:color w:val="595959"/>
        </w:rPr>
        <w:t>Structured Investments</w:t>
      </w:r>
    </w:p>
    <w:p>
      <w:pPr>
        <w:spacing w:after="0" w:line="20" w:lineRule="exact"/>
        <w:rPr>
          <w:sz w:val="24"/>
          <w:szCs w:val="24"/>
          <w:color w:val="auto"/>
        </w:rPr>
      </w:pPr>
    </w:p>
    <w:p>
      <w:pPr>
        <w:ind w:right="280"/>
        <w:spacing w:after="0" w:line="212" w:lineRule="auto"/>
        <w:rPr>
          <w:sz w:val="20"/>
          <w:szCs w:val="20"/>
          <w:color w:val="auto"/>
        </w:rPr>
      </w:pPr>
      <w:r>
        <w:rPr>
          <w:rFonts w:ascii="Arial" w:cs="Arial" w:eastAsia="Arial" w:hAnsi="Arial"/>
          <w:sz w:val="41"/>
          <w:szCs w:val="41"/>
          <w:color w:val="54301A"/>
        </w:rPr>
        <w:t>Uncapped Accelerated Barrier Notes Linked to the Lesser Performing of the Nasdaq-100 Index</w:t>
      </w:r>
      <w:r>
        <w:rPr>
          <w:rFonts w:ascii="Arial" w:cs="Arial" w:eastAsia="Arial" w:hAnsi="Arial"/>
          <w:sz w:val="53"/>
          <w:szCs w:val="53"/>
          <w:color w:val="54301A"/>
          <w:vertAlign w:val="superscript"/>
        </w:rPr>
        <w:t>®</w:t>
      </w:r>
      <w:r>
        <w:rPr>
          <w:rFonts w:ascii="Arial" w:cs="Arial" w:eastAsia="Arial" w:hAnsi="Arial"/>
          <w:sz w:val="41"/>
          <w:szCs w:val="41"/>
          <w:color w:val="54301A"/>
        </w:rPr>
        <w:t xml:space="preserve"> and the S&amp;P 500</w:t>
      </w:r>
      <w:r>
        <w:rPr>
          <w:rFonts w:ascii="Arial" w:cs="Arial" w:eastAsia="Arial" w:hAnsi="Arial"/>
          <w:sz w:val="53"/>
          <w:szCs w:val="53"/>
          <w:color w:val="54301A"/>
          <w:vertAlign w:val="superscript"/>
        </w:rPr>
        <w:t>®</w:t>
      </w:r>
      <w:r>
        <w:rPr>
          <w:rFonts w:ascii="Arial" w:cs="Arial" w:eastAsia="Arial" w:hAnsi="Arial"/>
          <w:sz w:val="41"/>
          <w:szCs w:val="41"/>
          <w:color w:val="54301A"/>
        </w:rPr>
        <w:t xml:space="preserve"> Index due January 9, 2031</w:t>
      </w:r>
    </w:p>
    <w:p>
      <w:pPr>
        <w:spacing w:after="0" w:line="1" w:lineRule="exact"/>
        <w:rPr>
          <w:sz w:val="24"/>
          <w:szCs w:val="24"/>
          <w:color w:val="auto"/>
        </w:rPr>
      </w:pPr>
    </w:p>
    <w:p>
      <w:pPr>
        <w:spacing w:after="0"/>
        <w:rPr>
          <w:sz w:val="20"/>
          <w:szCs w:val="20"/>
          <w:color w:val="auto"/>
        </w:rPr>
      </w:pPr>
      <w:r>
        <w:rPr>
          <w:rFonts w:ascii="Arial" w:cs="Arial" w:eastAsia="Arial" w:hAnsi="Arial"/>
          <w:sz w:val="26"/>
          <w:szCs w:val="26"/>
          <w:color w:val="54301A"/>
        </w:rPr>
        <w:t>Fully and Unconditionally Guaranteed by JPMorgan Chase &amp; Co.</w:t>
      </w:r>
    </w:p>
    <w:p>
      <w:pPr>
        <w:spacing w:after="0" w:line="61" w:lineRule="exact"/>
        <w:rPr>
          <w:sz w:val="24"/>
          <w:szCs w:val="24"/>
          <w:color w:val="auto"/>
        </w:rPr>
      </w:pPr>
    </w:p>
    <w:p>
      <w:pPr>
        <w:ind w:left="660" w:right="260" w:hanging="336"/>
        <w:spacing w:after="0" w:line="283" w:lineRule="auto"/>
        <w:tabs>
          <w:tab w:leader="none" w:pos="660" w:val="left"/>
        </w:tabs>
        <w:numPr>
          <w:ilvl w:val="0"/>
          <w:numId w:val="1"/>
        </w:numPr>
        <w:rPr>
          <w:rFonts w:ascii="Arial" w:cs="Arial" w:eastAsia="Arial" w:hAnsi="Arial"/>
          <w:sz w:val="17"/>
          <w:szCs w:val="17"/>
          <w:color w:val="262626"/>
        </w:rPr>
      </w:pPr>
      <w:r>
        <w:rPr>
          <w:rFonts w:ascii="Arial" w:cs="Arial" w:eastAsia="Arial" w:hAnsi="Arial"/>
          <w:sz w:val="17"/>
          <w:szCs w:val="17"/>
          <w:color w:val="262626"/>
        </w:rPr>
        <w:t>The notes are designed for investors who seek an uncapped return of at least 1.3455 times any appreciation of the lesser performing of the Nasdaq-100 Index</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and the S&amp;P 500</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Index, which we refer to as the Indices, at maturity.</w:t>
      </w:r>
    </w:p>
    <w:p>
      <w:pPr>
        <w:ind w:left="660" w:right="620" w:hanging="336"/>
        <w:spacing w:after="0" w:line="300" w:lineRule="auto"/>
        <w:tabs>
          <w:tab w:leader="none" w:pos="660" w:val="left"/>
        </w:tabs>
        <w:numPr>
          <w:ilvl w:val="0"/>
          <w:numId w:val="1"/>
        </w:numPr>
        <w:rPr>
          <w:rFonts w:ascii="Arial" w:cs="Arial" w:eastAsia="Arial" w:hAnsi="Arial"/>
          <w:sz w:val="17"/>
          <w:szCs w:val="17"/>
          <w:color w:val="262626"/>
        </w:rPr>
      </w:pPr>
      <w:r>
        <w:rPr>
          <w:rFonts w:ascii="Arial" w:cs="Arial" w:eastAsia="Arial" w:hAnsi="Arial"/>
          <w:sz w:val="17"/>
          <w:szCs w:val="17"/>
          <w:color w:val="262626"/>
        </w:rPr>
        <w:t>Investors should be willing to forgo interest and dividend payments and be willing to lose some or all of their principal amount at maturity.</w:t>
      </w:r>
    </w:p>
    <w:p>
      <w:pPr>
        <w:ind w:left="660" w:right="60" w:hanging="336"/>
        <w:spacing w:after="0" w:line="244" w:lineRule="auto"/>
        <w:tabs>
          <w:tab w:leader="none" w:pos="660" w:val="left"/>
        </w:tabs>
        <w:numPr>
          <w:ilvl w:val="0"/>
          <w:numId w:val="1"/>
        </w:numPr>
        <w:rPr>
          <w:rFonts w:ascii="Arial" w:cs="Arial" w:eastAsia="Arial" w:hAnsi="Arial"/>
          <w:sz w:val="17"/>
          <w:szCs w:val="17"/>
          <w:color w:val="262626"/>
        </w:rPr>
      </w:pPr>
      <w:r>
        <w:rPr>
          <w:rFonts w:ascii="Arial" w:cs="Arial" w:eastAsia="Arial" w:hAnsi="Arial"/>
          <w:sz w:val="17"/>
          <w:szCs w:val="17"/>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7"/>
          <w:szCs w:val="17"/>
          <w:b w:val="1"/>
          <w:bCs w:val="1"/>
          <w:color w:val="262626"/>
        </w:rPr>
        <w:t>Any</w:t>
      </w:r>
      <w:r>
        <w:rPr>
          <w:rFonts w:ascii="Arial" w:cs="Arial" w:eastAsia="Arial" w:hAnsi="Arial"/>
          <w:sz w:val="17"/>
          <w:szCs w:val="17"/>
          <w:color w:val="262626"/>
        </w:rPr>
        <w:t xml:space="preserve"> </w:t>
      </w:r>
      <w:r>
        <w:rPr>
          <w:rFonts w:ascii="Arial" w:cs="Arial" w:eastAsia="Arial" w:hAnsi="Arial"/>
          <w:sz w:val="17"/>
          <w:szCs w:val="17"/>
          <w:b w:val="1"/>
          <w:bCs w:val="1"/>
          <w:color w:val="262626"/>
        </w:rPr>
        <w:t>payment on the notes is subject to the credit risk of JPMorgan Financial, as issuer of the notes, and the credit risk of JPMorgan Chase &amp; Co., as guarantor of the notes.</w:t>
      </w:r>
    </w:p>
    <w:p>
      <w:pPr>
        <w:spacing w:after="0" w:line="1" w:lineRule="exact"/>
        <w:rPr>
          <w:rFonts w:ascii="Arial" w:cs="Arial" w:eastAsia="Arial" w:hAnsi="Arial"/>
          <w:sz w:val="17"/>
          <w:szCs w:val="17"/>
          <w:color w:val="262626"/>
        </w:rPr>
      </w:pPr>
    </w:p>
    <w:p>
      <w:pPr>
        <w:ind w:left="660" w:right="700" w:hanging="336"/>
        <w:spacing w:after="0" w:line="239" w:lineRule="auto"/>
        <w:tabs>
          <w:tab w:leader="none" w:pos="660" w:val="left"/>
        </w:tabs>
        <w:numPr>
          <w:ilvl w:val="0"/>
          <w:numId w:val="1"/>
        </w:numPr>
        <w:rPr>
          <w:rFonts w:ascii="Arial" w:cs="Arial" w:eastAsia="Arial" w:hAnsi="Arial"/>
          <w:sz w:val="17"/>
          <w:szCs w:val="17"/>
          <w:color w:val="262626"/>
        </w:rPr>
      </w:pPr>
      <w:r>
        <w:rPr>
          <w:rFonts w:ascii="Arial" w:cs="Arial" w:eastAsia="Arial" w:hAnsi="Arial"/>
          <w:sz w:val="17"/>
          <w:szCs w:val="17"/>
          <w:color w:val="262626"/>
        </w:rPr>
        <w:t>Payments on the notes are not linked to a basket composed of the Indices. Payments on the notes are linked to the performance of each of the Indices individually, as described below.</w:t>
      </w:r>
    </w:p>
    <w:p>
      <w:pPr>
        <w:spacing w:after="0" w:line="4" w:lineRule="exact"/>
        <w:rPr>
          <w:rFonts w:ascii="Arial" w:cs="Arial" w:eastAsia="Arial" w:hAnsi="Arial"/>
          <w:sz w:val="17"/>
          <w:szCs w:val="17"/>
          <w:color w:val="262626"/>
        </w:rPr>
      </w:pPr>
    </w:p>
    <w:p>
      <w:pPr>
        <w:ind w:left="660" w:hanging="336"/>
        <w:spacing w:after="0"/>
        <w:tabs>
          <w:tab w:leader="none" w:pos="660" w:val="left"/>
        </w:tabs>
        <w:numPr>
          <w:ilvl w:val="0"/>
          <w:numId w:val="1"/>
        </w:numPr>
        <w:rPr>
          <w:rFonts w:ascii="Arial" w:cs="Arial" w:eastAsia="Arial" w:hAnsi="Arial"/>
          <w:sz w:val="17"/>
          <w:szCs w:val="17"/>
          <w:color w:val="262626"/>
        </w:rPr>
      </w:pPr>
      <w:r>
        <w:rPr>
          <w:rFonts w:ascii="Arial" w:cs="Arial" w:eastAsia="Arial" w:hAnsi="Arial"/>
          <w:sz w:val="17"/>
          <w:szCs w:val="17"/>
          <w:color w:val="262626"/>
        </w:rPr>
        <w:t>Minimum denominations of $1,000 and integral multiples thereof</w:t>
      </w:r>
    </w:p>
    <w:p>
      <w:pPr>
        <w:spacing w:after="0" w:line="25" w:lineRule="exact"/>
        <w:rPr>
          <w:rFonts w:ascii="Arial" w:cs="Arial" w:eastAsia="Arial" w:hAnsi="Arial"/>
          <w:sz w:val="17"/>
          <w:szCs w:val="17"/>
          <w:color w:val="262626"/>
        </w:rPr>
      </w:pPr>
    </w:p>
    <w:p>
      <w:pPr>
        <w:ind w:left="660" w:right="80" w:hanging="336"/>
        <w:spacing w:after="0" w:line="250" w:lineRule="auto"/>
        <w:tabs>
          <w:tab w:leader="none" w:pos="660" w:val="left"/>
        </w:tabs>
        <w:numPr>
          <w:ilvl w:val="0"/>
          <w:numId w:val="1"/>
        </w:numPr>
        <w:rPr>
          <w:rFonts w:ascii="Arial" w:cs="Arial" w:eastAsia="Arial" w:hAnsi="Arial"/>
          <w:sz w:val="17"/>
          <w:szCs w:val="17"/>
          <w:color w:val="262626"/>
        </w:rPr>
      </w:pPr>
      <w:r>
        <w:rPr>
          <w:rFonts w:ascii="Arial" w:cs="Arial" w:eastAsia="Arial" w:hAnsi="Arial"/>
          <w:sz w:val="17"/>
          <w:szCs w:val="17"/>
          <w:color w:val="262626"/>
        </w:rPr>
        <w:t xml:space="preserve">The notes are expected to price on or about January 8, 2026 (the “Pricing Date”) and are expected to settle on or about January 13, 2026. </w:t>
      </w:r>
      <w:r>
        <w:rPr>
          <w:rFonts w:ascii="Arial" w:cs="Arial" w:eastAsia="Arial" w:hAnsi="Arial"/>
          <w:sz w:val="17"/>
          <w:szCs w:val="17"/>
          <w:b w:val="1"/>
          <w:bCs w:val="1"/>
          <w:color w:val="262626"/>
        </w:rPr>
        <w:t>The Strike Value of each Index has been determined by reference to the closing level of that Index</w:t>
      </w:r>
      <w:r>
        <w:rPr>
          <w:rFonts w:ascii="Arial" w:cs="Arial" w:eastAsia="Arial" w:hAnsi="Arial"/>
          <w:sz w:val="17"/>
          <w:szCs w:val="17"/>
          <w:color w:val="262626"/>
        </w:rPr>
        <w:t xml:space="preserve"> </w:t>
      </w:r>
      <w:r>
        <w:rPr>
          <w:rFonts w:ascii="Arial" w:cs="Arial" w:eastAsia="Arial" w:hAnsi="Arial"/>
          <w:sz w:val="17"/>
          <w:szCs w:val="17"/>
          <w:b w:val="1"/>
          <w:bCs w:val="1"/>
          <w:color w:val="262626"/>
        </w:rPr>
        <w:t>on January 5, 2026 and not by reference to the closing level of that Index on the Pricing Date.</w:t>
      </w:r>
    </w:p>
    <w:p>
      <w:pPr>
        <w:spacing w:after="0" w:line="15" w:lineRule="exact"/>
        <w:rPr>
          <w:rFonts w:ascii="Arial" w:cs="Arial" w:eastAsia="Arial" w:hAnsi="Arial"/>
          <w:sz w:val="17"/>
          <w:szCs w:val="17"/>
          <w:color w:val="262626"/>
        </w:rPr>
      </w:pPr>
    </w:p>
    <w:p>
      <w:pPr>
        <w:ind w:left="660" w:hanging="336"/>
        <w:spacing w:after="0"/>
        <w:tabs>
          <w:tab w:leader="none" w:pos="660" w:val="left"/>
        </w:tabs>
        <w:numPr>
          <w:ilvl w:val="0"/>
          <w:numId w:val="1"/>
        </w:numPr>
        <w:rPr>
          <w:rFonts w:ascii="Arial" w:cs="Arial" w:eastAsia="Arial" w:hAnsi="Arial"/>
          <w:sz w:val="17"/>
          <w:szCs w:val="17"/>
          <w:color w:val="262626"/>
        </w:rPr>
      </w:pPr>
      <w:r>
        <w:rPr>
          <w:rFonts w:ascii="Arial" w:cs="Arial" w:eastAsia="Arial" w:hAnsi="Arial"/>
          <w:sz w:val="17"/>
          <w:szCs w:val="17"/>
          <w:color w:val="262626"/>
        </w:rPr>
        <w:t xml:space="preserve">CUSIP: </w:t>
      </w:r>
      <w:r>
        <w:rPr>
          <w:rFonts w:ascii="Arial" w:cs="Arial" w:eastAsia="Arial" w:hAnsi="Arial"/>
          <w:sz w:val="17"/>
          <w:szCs w:val="17"/>
          <w:color w:val="000000"/>
        </w:rPr>
        <w:t>48136M3Z8</w:t>
      </w:r>
    </w:p>
    <w:p>
      <w:pPr>
        <w:spacing w:after="0" w:line="255" w:lineRule="exact"/>
        <w:rPr>
          <w:sz w:val="24"/>
          <w:szCs w:val="24"/>
          <w:color w:val="auto"/>
        </w:rPr>
      </w:pPr>
    </w:p>
    <w:p>
      <w:pPr>
        <w:ind w:left="100" w:right="60"/>
        <w:spacing w:after="0" w:line="248" w:lineRule="auto"/>
        <w:rPr>
          <w:sz w:val="20"/>
          <w:szCs w:val="20"/>
          <w:color w:val="auto"/>
        </w:rPr>
      </w:pPr>
      <w:r>
        <w:rPr>
          <w:rFonts w:ascii="Arial" w:cs="Arial" w:eastAsia="Arial" w:hAnsi="Arial"/>
          <w:sz w:val="17"/>
          <w:szCs w:val="17"/>
          <w:b w:val="1"/>
          <w:bCs w:val="1"/>
          <w:color w:val="auto"/>
        </w:rPr>
        <w:t>Investing in the notes involves a number of risks. See “Risk Factors” beginning on page S-2 of the accompanying prospectus supplement, Annex A to the accompanying prospectus addendum, “Risk Factors” beginning on page PS-11 of the accompanying product supplement and “Selected Risk Considerations” beginning on page PS-3 of this pricing supplement.</w:t>
      </w:r>
    </w:p>
    <w:p>
      <w:pPr>
        <w:spacing w:after="0" w:line="2" w:lineRule="exact"/>
        <w:rPr>
          <w:sz w:val="24"/>
          <w:szCs w:val="24"/>
          <w:color w:val="auto"/>
        </w:rPr>
      </w:pPr>
    </w:p>
    <w:p>
      <w:pPr>
        <w:ind w:left="100" w:right="120"/>
        <w:spacing w:after="0" w:line="242" w:lineRule="auto"/>
        <w:rPr>
          <w:sz w:val="20"/>
          <w:szCs w:val="20"/>
          <w:color w:val="auto"/>
        </w:rPr>
      </w:pPr>
      <w:r>
        <w:rPr>
          <w:rFonts w:ascii="Arial" w:cs="Arial" w:eastAsia="Arial" w:hAnsi="Arial"/>
          <w:sz w:val="17"/>
          <w:szCs w:val="17"/>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prospectus and prospectus addendum. Any representation to the contrary is a criminal offense.</w:t>
      </w:r>
    </w:p>
    <w:p>
      <w:pPr>
        <w:spacing w:after="0" w:line="29" w:lineRule="exact"/>
        <w:rPr>
          <w:sz w:val="24"/>
          <w:szCs w:val="24"/>
          <w:color w:val="auto"/>
        </w:rPr>
      </w:pPr>
    </w:p>
    <w:tbl>
      <w:tblPr>
        <w:tblLayout w:type="fixed"/>
        <w:tblInd w:w="720" w:type="dxa"/>
        <w:tblCellMar>
          <w:top w:w="0" w:type="dxa"/>
          <w:left w:w="0" w:type="dxa"/>
          <w:bottom w:w="0" w:type="dxa"/>
          <w:right w:w="0" w:type="dxa"/>
        </w:tblCellMar>
      </w:tblPr>
      <w:tr>
        <w:trPr>
          <w:trHeight w:val="221"/>
        </w:trPr>
        <w:tc>
          <w:tcPr>
            <w:tcW w:w="1020" w:type="dxa"/>
            <w:vAlign w:val="bottom"/>
          </w:tcPr>
          <w:p>
            <w:pPr>
              <w:spacing w:after="0"/>
              <w:rPr>
                <w:sz w:val="19"/>
                <w:szCs w:val="19"/>
                <w:color w:val="auto"/>
              </w:rPr>
            </w:pPr>
          </w:p>
        </w:tc>
        <w:tc>
          <w:tcPr>
            <w:tcW w:w="2500" w:type="dxa"/>
            <w:vAlign w:val="bottom"/>
          </w:tcPr>
          <w:p>
            <w:pPr>
              <w:ind w:left="400"/>
              <w:spacing w:after="0"/>
              <w:rPr>
                <w:sz w:val="20"/>
                <w:szCs w:val="20"/>
                <w:color w:val="auto"/>
              </w:rPr>
            </w:pPr>
            <w:r>
              <w:rPr>
                <w:rFonts w:ascii="Arial" w:cs="Arial" w:eastAsia="Arial" w:hAnsi="Arial"/>
                <w:sz w:val="17"/>
                <w:szCs w:val="17"/>
                <w:color w:val="595959"/>
              </w:rPr>
              <w:t>Price to Public (1)</w:t>
            </w:r>
          </w:p>
        </w:tc>
        <w:tc>
          <w:tcPr>
            <w:tcW w:w="3300" w:type="dxa"/>
            <w:vAlign w:val="bottom"/>
          </w:tcPr>
          <w:p>
            <w:pPr>
              <w:ind w:left="800"/>
              <w:spacing w:after="0"/>
              <w:rPr>
                <w:sz w:val="20"/>
                <w:szCs w:val="20"/>
                <w:color w:val="auto"/>
              </w:rPr>
            </w:pPr>
            <w:r>
              <w:rPr>
                <w:rFonts w:ascii="Arial" w:cs="Arial" w:eastAsia="Arial" w:hAnsi="Arial"/>
                <w:sz w:val="17"/>
                <w:szCs w:val="17"/>
                <w:color w:val="595959"/>
              </w:rPr>
              <w:t>Fees and Commissions (2)</w:t>
            </w:r>
          </w:p>
        </w:tc>
        <w:tc>
          <w:tcPr>
            <w:tcW w:w="1920" w:type="dxa"/>
            <w:vAlign w:val="bottom"/>
          </w:tcPr>
          <w:p>
            <w:pPr>
              <w:ind w:left="540"/>
              <w:spacing w:after="0"/>
              <w:rPr>
                <w:sz w:val="20"/>
                <w:szCs w:val="20"/>
                <w:color w:val="auto"/>
              </w:rPr>
            </w:pPr>
            <w:r>
              <w:rPr>
                <w:rFonts w:ascii="Arial" w:cs="Arial" w:eastAsia="Arial" w:hAnsi="Arial"/>
                <w:sz w:val="17"/>
                <w:szCs w:val="17"/>
                <w:color w:val="595959"/>
                <w:w w:val="95"/>
              </w:rPr>
              <w:t>Proceeds to Issuer</w:t>
            </w:r>
          </w:p>
        </w:tc>
      </w:tr>
      <w:tr>
        <w:trPr>
          <w:trHeight w:val="225"/>
        </w:trPr>
        <w:tc>
          <w:tcPr>
            <w:tcW w:w="1020" w:type="dxa"/>
            <w:vAlign w:val="bottom"/>
          </w:tcPr>
          <w:p>
            <w:pPr>
              <w:spacing w:after="0"/>
              <w:rPr>
                <w:sz w:val="20"/>
                <w:szCs w:val="20"/>
                <w:color w:val="auto"/>
              </w:rPr>
            </w:pPr>
            <w:r>
              <w:rPr>
                <w:rFonts w:ascii="Arial" w:cs="Arial" w:eastAsia="Arial" w:hAnsi="Arial"/>
                <w:sz w:val="17"/>
                <w:szCs w:val="17"/>
                <w:color w:val="595959"/>
              </w:rPr>
              <w:t>Per note</w:t>
            </w:r>
          </w:p>
        </w:tc>
        <w:tc>
          <w:tcPr>
            <w:tcW w:w="2500" w:type="dxa"/>
            <w:vAlign w:val="bottom"/>
          </w:tcPr>
          <w:p>
            <w:pPr>
              <w:ind w:left="400"/>
              <w:spacing w:after="0"/>
              <w:rPr>
                <w:sz w:val="20"/>
                <w:szCs w:val="20"/>
                <w:color w:val="auto"/>
              </w:rPr>
            </w:pPr>
            <w:r>
              <w:rPr>
                <w:rFonts w:ascii="Arial" w:cs="Arial" w:eastAsia="Arial" w:hAnsi="Arial"/>
                <w:sz w:val="17"/>
                <w:szCs w:val="17"/>
                <w:color w:val="595959"/>
              </w:rPr>
              <w:t>$1,000</w:t>
            </w:r>
          </w:p>
        </w:tc>
        <w:tc>
          <w:tcPr>
            <w:tcW w:w="3300" w:type="dxa"/>
            <w:vAlign w:val="bottom"/>
          </w:tcPr>
          <w:p>
            <w:pPr>
              <w:ind w:left="800"/>
              <w:spacing w:after="0"/>
              <w:rPr>
                <w:sz w:val="20"/>
                <w:szCs w:val="20"/>
                <w:color w:val="auto"/>
              </w:rPr>
            </w:pPr>
            <w:r>
              <w:rPr>
                <w:rFonts w:ascii="Arial" w:cs="Arial" w:eastAsia="Arial" w:hAnsi="Arial"/>
                <w:sz w:val="17"/>
                <w:szCs w:val="17"/>
                <w:color w:val="595959"/>
              </w:rPr>
              <w:t>$</w:t>
            </w:r>
          </w:p>
        </w:tc>
        <w:tc>
          <w:tcPr>
            <w:tcW w:w="1920" w:type="dxa"/>
            <w:vAlign w:val="bottom"/>
          </w:tcPr>
          <w:p>
            <w:pPr>
              <w:ind w:left="540"/>
              <w:spacing w:after="0"/>
              <w:rPr>
                <w:sz w:val="20"/>
                <w:szCs w:val="20"/>
                <w:color w:val="auto"/>
              </w:rPr>
            </w:pPr>
            <w:r>
              <w:rPr>
                <w:rFonts w:ascii="Arial" w:cs="Arial" w:eastAsia="Arial" w:hAnsi="Arial"/>
                <w:sz w:val="17"/>
                <w:szCs w:val="17"/>
                <w:color w:val="595959"/>
              </w:rPr>
              <w:t>$</w:t>
            </w:r>
          </w:p>
        </w:tc>
      </w:tr>
      <w:tr>
        <w:trPr>
          <w:trHeight w:val="225"/>
        </w:trPr>
        <w:tc>
          <w:tcPr>
            <w:tcW w:w="1020" w:type="dxa"/>
            <w:vAlign w:val="bottom"/>
          </w:tcPr>
          <w:p>
            <w:pPr>
              <w:spacing w:after="0"/>
              <w:rPr>
                <w:sz w:val="20"/>
                <w:szCs w:val="20"/>
                <w:color w:val="auto"/>
              </w:rPr>
            </w:pPr>
            <w:r>
              <w:rPr>
                <w:rFonts w:ascii="Arial" w:cs="Arial" w:eastAsia="Arial" w:hAnsi="Arial"/>
                <w:sz w:val="17"/>
                <w:szCs w:val="17"/>
                <w:color w:val="595959"/>
              </w:rPr>
              <w:t>Total</w:t>
            </w:r>
          </w:p>
        </w:tc>
        <w:tc>
          <w:tcPr>
            <w:tcW w:w="2500" w:type="dxa"/>
            <w:vAlign w:val="bottom"/>
          </w:tcPr>
          <w:p>
            <w:pPr>
              <w:ind w:left="400"/>
              <w:spacing w:after="0"/>
              <w:rPr>
                <w:sz w:val="20"/>
                <w:szCs w:val="20"/>
                <w:color w:val="auto"/>
              </w:rPr>
            </w:pPr>
            <w:r>
              <w:rPr>
                <w:rFonts w:ascii="Arial" w:cs="Arial" w:eastAsia="Arial" w:hAnsi="Arial"/>
                <w:sz w:val="17"/>
                <w:szCs w:val="17"/>
                <w:color w:val="595959"/>
              </w:rPr>
              <w:t>$</w:t>
            </w:r>
          </w:p>
        </w:tc>
        <w:tc>
          <w:tcPr>
            <w:tcW w:w="3300" w:type="dxa"/>
            <w:vAlign w:val="bottom"/>
          </w:tcPr>
          <w:p>
            <w:pPr>
              <w:ind w:left="800"/>
              <w:spacing w:after="0"/>
              <w:rPr>
                <w:sz w:val="20"/>
                <w:szCs w:val="20"/>
                <w:color w:val="auto"/>
              </w:rPr>
            </w:pPr>
            <w:r>
              <w:rPr>
                <w:rFonts w:ascii="Arial" w:cs="Arial" w:eastAsia="Arial" w:hAnsi="Arial"/>
                <w:sz w:val="17"/>
                <w:szCs w:val="17"/>
                <w:color w:val="595959"/>
              </w:rPr>
              <w:t>$</w:t>
            </w:r>
          </w:p>
        </w:tc>
        <w:tc>
          <w:tcPr>
            <w:tcW w:w="1920" w:type="dxa"/>
            <w:vAlign w:val="bottom"/>
          </w:tcPr>
          <w:p>
            <w:pPr>
              <w:ind w:left="540"/>
              <w:spacing w:after="0"/>
              <w:rPr>
                <w:sz w:val="20"/>
                <w:szCs w:val="20"/>
                <w:color w:val="auto"/>
              </w:rPr>
            </w:pPr>
            <w:r>
              <w:rPr>
                <w:rFonts w:ascii="Arial" w:cs="Arial" w:eastAsia="Arial" w:hAnsi="Arial"/>
                <w:sz w:val="17"/>
                <w:szCs w:val="17"/>
                <w:color w:val="595959"/>
              </w:rPr>
              <w:t>$</w:t>
            </w:r>
          </w:p>
        </w:tc>
      </w:tr>
    </w:tbl>
    <w:p>
      <w:pPr>
        <w:spacing w:after="0" w:line="9" w:lineRule="exact"/>
        <w:rPr>
          <w:sz w:val="24"/>
          <w:szCs w:val="24"/>
          <w:color w:val="auto"/>
        </w:rPr>
      </w:pPr>
    </w:p>
    <w:p>
      <w:pPr>
        <w:ind w:left="860" w:hanging="226"/>
        <w:spacing w:after="0"/>
        <w:tabs>
          <w:tab w:leader="none" w:pos="860"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See “Supplemental Use of Proceeds” in this pricing supplement for information about the components of the price to public of the notes.</w:t>
      </w:r>
    </w:p>
    <w:p>
      <w:pPr>
        <w:spacing w:after="0" w:line="24" w:lineRule="exact"/>
        <w:rPr>
          <w:rFonts w:ascii="Arial" w:cs="Arial" w:eastAsia="Arial" w:hAnsi="Arial"/>
          <w:sz w:val="14"/>
          <w:szCs w:val="14"/>
          <w:color w:val="404040"/>
        </w:rPr>
      </w:pPr>
    </w:p>
    <w:p>
      <w:pPr>
        <w:ind w:left="640" w:right="40" w:hanging="6"/>
        <w:spacing w:after="0" w:line="246" w:lineRule="auto"/>
        <w:tabs>
          <w:tab w:leader="none" w:pos="863"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J.P. Morgan Securities LLC, which we refer to as JPMS, acting as agent for JPMorgan Financial, will pay all of the selling commissions it receives from us to other affiliated or unaffiliated dealers. In no event will these selling commissions exceed $7.50 per $1,000 principal amount note. See “Plan of Distribution (Conflicts of Interest)” in the accompanying product supplement.</w:t>
      </w:r>
    </w:p>
    <w:p>
      <w:pPr>
        <w:spacing w:after="0" w:line="7" w:lineRule="exact"/>
        <w:rPr>
          <w:sz w:val="24"/>
          <w:szCs w:val="24"/>
          <w:color w:val="auto"/>
        </w:rPr>
      </w:pPr>
    </w:p>
    <w:p>
      <w:pPr>
        <w:ind w:left="100" w:right="80"/>
        <w:spacing w:after="0" w:line="246" w:lineRule="auto"/>
        <w:rPr>
          <w:sz w:val="20"/>
          <w:szCs w:val="20"/>
          <w:color w:val="auto"/>
        </w:rPr>
      </w:pPr>
      <w:r>
        <w:rPr>
          <w:rFonts w:ascii="Arial" w:cs="Arial" w:eastAsia="Arial" w:hAnsi="Arial"/>
          <w:sz w:val="17"/>
          <w:szCs w:val="17"/>
          <w:b w:val="1"/>
          <w:bCs w:val="1"/>
          <w:color w:val="auto"/>
        </w:rPr>
        <w:t>If the notes priced today, the estimated value of the notes would be approximately $979.50 per $1,000 principal amount note. The estimated value of the notes, when the terms of the notes are set, will be provided in the pricing supplement and will not be less than $930.00 per $1,000 principal amount note. See “The Estimated Value of the Notes” in this pricing supplement for additional information.</w:t>
      </w:r>
    </w:p>
    <w:p>
      <w:pPr>
        <w:spacing w:after="0" w:line="21" w:lineRule="exact"/>
        <w:rPr>
          <w:sz w:val="24"/>
          <w:szCs w:val="24"/>
          <w:color w:val="auto"/>
        </w:rPr>
      </w:pPr>
    </w:p>
    <w:p>
      <w:pPr>
        <w:ind w:left="100" w:right="160"/>
        <w:spacing w:after="0" w:line="305" w:lineRule="auto"/>
        <w:rPr>
          <w:sz w:val="20"/>
          <w:szCs w:val="20"/>
          <w:color w:val="auto"/>
        </w:rPr>
      </w:pPr>
      <w:r>
        <w:rPr>
          <w:rFonts w:ascii="Arial" w:cs="Arial" w:eastAsia="Arial" w:hAnsi="Arial"/>
          <w:sz w:val="17"/>
          <w:szCs w:val="17"/>
          <w:i w:val="1"/>
          <w:iCs w:val="1"/>
          <w:color w:val="auto"/>
        </w:rPr>
        <w:t>The notes are not bank deposits, are not insured by the Federal Deposit Insurance Corporation or any other governmental agency and are not obligations of, or guaranteed by, a bank.</w:t>
      </w:r>
    </w:p>
    <w:p>
      <w:pPr>
        <w:sectPr>
          <w:pgSz w:w="11900" w:h="16838" w:orient="portrait"/>
          <w:cols w:equalWidth="0" w:num="1">
            <w:col w:w="9840"/>
          </w:cols>
          <w:pgMar w:left="1200" w:top="586" w:right="8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right="480"/>
        <w:spacing w:after="0" w:line="273" w:lineRule="auto"/>
        <w:rPr>
          <w:sz w:val="20"/>
          <w:szCs w:val="20"/>
          <w:color w:val="auto"/>
        </w:rPr>
      </w:pPr>
      <w:r>
        <w:rPr>
          <w:rFonts w:ascii="Arial" w:cs="Arial" w:eastAsia="Arial" w:hAnsi="Arial"/>
          <w:sz w:val="15"/>
          <w:szCs w:val="15"/>
          <w:color w:val="6D6E71"/>
        </w:rPr>
        <w:t>Pricing supplement to product supplement no. 4-I dated April 13, 2023, underlying supplement no. 1-I dated April 13, 2023, the prospectus and prospectus supplement, each dated April 13, 2023, and the prospectus addendum dated June 3, 2024</w:t>
      </w:r>
    </w:p>
    <w:p>
      <w:pPr>
        <w:sectPr>
          <w:pgSz w:w="11900" w:h="16838" w:orient="portrait"/>
          <w:cols w:equalWidth="0" w:num="1">
            <w:col w:w="9840"/>
          </w:cols>
          <w:pgMar w:left="1200" w:top="586" w:right="8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6378575" cy="8580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8575" cy="8580755"/>
                    </a:xfrm>
                    <a:prstGeom prst="rect">
                      <a:avLst/>
                    </a:prstGeom>
                    <a:noFill/>
                  </pic:spPr>
                </pic:pic>
              </a:graphicData>
            </a:graphic>
          </wp:anchor>
        </w:drawing>
      </w:r>
    </w:p>
    <w:p>
      <w:pPr>
        <w:spacing w:after="0" w:line="81" w:lineRule="exact"/>
        <w:rPr>
          <w:sz w:val="20"/>
          <w:szCs w:val="20"/>
          <w:color w:val="auto"/>
        </w:rPr>
      </w:pPr>
    </w:p>
    <w:p>
      <w:pPr>
        <w:jc w:val="both"/>
        <w:ind w:right="360"/>
        <w:spacing w:after="0" w:line="274"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 direct,</w:t>
      </w:r>
      <w:r>
        <w:rPr>
          <w:rFonts w:ascii="Arial" w:cs="Arial" w:eastAsia="Arial" w:hAnsi="Arial"/>
          <w:sz w:val="16"/>
          <w:szCs w:val="16"/>
          <w:b w:val="1"/>
          <w:bCs w:val="1"/>
          <w:color w:val="54301A"/>
        </w:rPr>
        <w:t xml:space="preserve"> </w:t>
      </w:r>
      <w:r>
        <w:rPr>
          <w:rFonts w:ascii="Arial" w:cs="Arial" w:eastAsia="Arial" w:hAnsi="Arial"/>
          <w:sz w:val="16"/>
          <w:szCs w:val="16"/>
          <w:color w:val="000000"/>
        </w:rPr>
        <w:t>wholly owned finance subsidiary of JPMorgan Chase &amp; Co.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Guarantor: </w:t>
      </w:r>
      <w:r>
        <w:rPr>
          <w:rFonts w:ascii="Arial" w:cs="Arial" w:eastAsia="Arial" w:hAnsi="Arial"/>
          <w:sz w:val="17"/>
          <w:szCs w:val="17"/>
          <w:color w:val="000000"/>
        </w:rPr>
        <w:t>JPMorgan Chase &amp; Co.</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Indices: </w:t>
      </w:r>
      <w:r>
        <w:rPr>
          <w:rFonts w:ascii="Arial" w:cs="Arial" w:eastAsia="Arial" w:hAnsi="Arial"/>
          <w:sz w:val="17"/>
          <w:szCs w:val="17"/>
          <w:color w:val="000000"/>
        </w:rPr>
        <w:t>The Nasdaq-100 Index</w:t>
      </w:r>
      <w:r>
        <w:rPr>
          <w:rFonts w:ascii="Arial" w:cs="Arial" w:eastAsia="Arial" w:hAnsi="Arial"/>
          <w:sz w:val="22"/>
          <w:szCs w:val="22"/>
          <w:color w:val="000000"/>
          <w:vertAlign w:val="superscript"/>
        </w:rPr>
        <w:t>®</w:t>
      </w:r>
      <w:r>
        <w:rPr>
          <w:rFonts w:ascii="Arial" w:cs="Arial" w:eastAsia="Arial" w:hAnsi="Arial"/>
          <w:sz w:val="17"/>
          <w:szCs w:val="17"/>
          <w:b w:val="1"/>
          <w:bCs w:val="1"/>
          <w:color w:val="54301A"/>
        </w:rPr>
        <w:t xml:space="preserve"> </w:t>
      </w:r>
      <w:r>
        <w:rPr>
          <w:rFonts w:ascii="Arial" w:cs="Arial" w:eastAsia="Arial" w:hAnsi="Arial"/>
          <w:sz w:val="17"/>
          <w:szCs w:val="17"/>
          <w:color w:val="000000"/>
        </w:rPr>
        <w:t>(Bloomberg ticker: NDX)</w:t>
      </w:r>
    </w:p>
    <w:p>
      <w:pPr>
        <w:ind w:right="420"/>
        <w:spacing w:after="0" w:line="217" w:lineRule="auto"/>
        <w:rPr>
          <w:sz w:val="20"/>
          <w:szCs w:val="20"/>
          <w:color w:val="auto"/>
        </w:rPr>
      </w:pPr>
      <w:r>
        <w:rPr>
          <w:rFonts w:ascii="Arial" w:cs="Arial" w:eastAsia="Arial" w:hAnsi="Arial"/>
          <w:sz w:val="17"/>
          <w:szCs w:val="17"/>
          <w:color w:val="auto"/>
        </w:rPr>
        <w:t>and the S&amp;P 500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(Bloomberg ticker: SPX) (each an “Index” and collectively, the “Indices”)</w:t>
      </w:r>
    </w:p>
    <w:p>
      <w:pPr>
        <w:spacing w:after="0" w:line="57"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b w:val="1"/>
          <w:bCs w:val="1"/>
          <w:color w:val="54301A"/>
        </w:rPr>
        <w:t xml:space="preserve">Upside Leverage Factor: </w:t>
      </w:r>
      <w:r>
        <w:rPr>
          <w:rFonts w:ascii="Arial" w:cs="Arial" w:eastAsia="Arial" w:hAnsi="Arial"/>
          <w:sz w:val="17"/>
          <w:szCs w:val="17"/>
          <w:color w:val="000000"/>
        </w:rPr>
        <w:t>At least 1.3455 (to be provided in</w:t>
      </w:r>
      <w:r>
        <w:rPr>
          <w:rFonts w:ascii="Arial" w:cs="Arial" w:eastAsia="Arial" w:hAnsi="Arial"/>
          <w:sz w:val="17"/>
          <w:szCs w:val="17"/>
          <w:b w:val="1"/>
          <w:bCs w:val="1"/>
          <w:color w:val="54301A"/>
        </w:rPr>
        <w:t xml:space="preserve"> </w:t>
      </w:r>
      <w:r>
        <w:rPr>
          <w:rFonts w:ascii="Arial" w:cs="Arial" w:eastAsia="Arial" w:hAnsi="Arial"/>
          <w:sz w:val="17"/>
          <w:szCs w:val="17"/>
          <w:color w:val="000000"/>
        </w:rPr>
        <w:t>the pricing supplement)</w:t>
      </w:r>
    </w:p>
    <w:p>
      <w:pPr>
        <w:spacing w:after="0" w:line="43" w:lineRule="exact"/>
        <w:rPr>
          <w:sz w:val="20"/>
          <w:szCs w:val="20"/>
          <w:color w:val="auto"/>
        </w:rPr>
      </w:pPr>
    </w:p>
    <w:p>
      <w:pPr>
        <w:ind w:right="280"/>
        <w:spacing w:after="0" w:line="216" w:lineRule="auto"/>
        <w:rPr>
          <w:sz w:val="20"/>
          <w:szCs w:val="20"/>
          <w:color w:val="auto"/>
        </w:rPr>
      </w:pPr>
      <w:r>
        <w:rPr>
          <w:rFonts w:ascii="Arial" w:cs="Arial" w:eastAsia="Arial" w:hAnsi="Arial"/>
          <w:sz w:val="16"/>
          <w:szCs w:val="16"/>
          <w:b w:val="1"/>
          <w:bCs w:val="1"/>
          <w:color w:val="54301A"/>
        </w:rPr>
        <w:t xml:space="preserve">Barrier Amount: </w:t>
      </w:r>
      <w:r>
        <w:rPr>
          <w:rFonts w:ascii="Arial" w:cs="Arial" w:eastAsia="Arial" w:hAnsi="Arial"/>
          <w:sz w:val="16"/>
          <w:szCs w:val="16"/>
          <w:color w:val="000000"/>
        </w:rPr>
        <w:t>With respect to each Index, 85.00% of its</w:t>
      </w:r>
      <w:r>
        <w:rPr>
          <w:rFonts w:ascii="Arial" w:cs="Arial" w:eastAsia="Arial" w:hAnsi="Arial"/>
          <w:sz w:val="16"/>
          <w:szCs w:val="16"/>
          <w:b w:val="1"/>
          <w:bCs w:val="1"/>
          <w:color w:val="54301A"/>
        </w:rPr>
        <w:t xml:space="preserve"> </w:t>
      </w:r>
      <w:r>
        <w:rPr>
          <w:rFonts w:ascii="Arial" w:cs="Arial" w:eastAsia="Arial" w:hAnsi="Arial"/>
          <w:sz w:val="16"/>
          <w:szCs w:val="16"/>
          <w:color w:val="000000"/>
        </w:rPr>
        <w:t>Strike Value, which is 21,591.122 for the Nasdaq-100 Index</w:t>
      </w:r>
      <w:r>
        <w:rPr>
          <w:rFonts w:ascii="Arial" w:cs="Arial" w:eastAsia="Arial" w:hAnsi="Arial"/>
          <w:sz w:val="21"/>
          <w:szCs w:val="21"/>
          <w:color w:val="000000"/>
          <w:vertAlign w:val="superscript"/>
        </w:rPr>
        <w:t>®</w:t>
      </w:r>
    </w:p>
    <w:p>
      <w:pPr>
        <w:spacing w:after="0" w:line="1" w:lineRule="exact"/>
        <w:rPr>
          <w:sz w:val="20"/>
          <w:szCs w:val="20"/>
          <w:color w:val="auto"/>
        </w:rPr>
      </w:pPr>
    </w:p>
    <w:p>
      <w:pPr>
        <w:ind w:right="1820"/>
        <w:spacing w:after="0" w:line="276" w:lineRule="auto"/>
        <w:rPr>
          <w:sz w:val="20"/>
          <w:szCs w:val="20"/>
          <w:color w:val="auto"/>
        </w:rPr>
      </w:pPr>
      <w:r>
        <w:rPr>
          <w:rFonts w:ascii="Arial" w:cs="Arial" w:eastAsia="Arial" w:hAnsi="Arial"/>
          <w:sz w:val="17"/>
          <w:szCs w:val="17"/>
          <w:color w:val="auto"/>
        </w:rPr>
        <w:t>and 5,866.7425 for the S&amp;P 500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w:t>
      </w:r>
      <w:r>
        <w:rPr>
          <w:rFonts w:ascii="Arial" w:cs="Arial" w:eastAsia="Arial" w:hAnsi="Arial"/>
          <w:sz w:val="17"/>
          <w:szCs w:val="17"/>
          <w:b w:val="1"/>
          <w:bCs w:val="1"/>
          <w:color w:val="54301A"/>
        </w:rPr>
        <w:t xml:space="preserve">Strike Date: </w:t>
      </w:r>
      <w:r>
        <w:rPr>
          <w:rFonts w:ascii="Arial" w:cs="Arial" w:eastAsia="Arial" w:hAnsi="Arial"/>
          <w:sz w:val="17"/>
          <w:szCs w:val="17"/>
          <w:color w:val="000000"/>
        </w:rPr>
        <w:t>January 5, 2026</w:t>
      </w:r>
    </w:p>
    <w:p>
      <w:pPr>
        <w:spacing w:after="0"/>
        <w:rPr>
          <w:sz w:val="20"/>
          <w:szCs w:val="20"/>
          <w:color w:val="auto"/>
        </w:rPr>
      </w:pPr>
      <w:r>
        <w:rPr>
          <w:rFonts w:ascii="Arial" w:cs="Arial" w:eastAsia="Arial" w:hAnsi="Arial"/>
          <w:sz w:val="17"/>
          <w:szCs w:val="17"/>
          <w:b w:val="1"/>
          <w:bCs w:val="1"/>
          <w:color w:val="54301A"/>
        </w:rPr>
        <w:t xml:space="preserve">Pricing Date: </w:t>
      </w:r>
      <w:r>
        <w:rPr>
          <w:rFonts w:ascii="Arial" w:cs="Arial" w:eastAsia="Arial" w:hAnsi="Arial"/>
          <w:sz w:val="17"/>
          <w:szCs w:val="17"/>
          <w:color w:val="000000"/>
        </w:rPr>
        <w:t>On or about January 8, 2026</w:t>
      </w:r>
    </w:p>
    <w:p>
      <w:pPr>
        <w:spacing w:after="0" w:line="43" w:lineRule="exact"/>
        <w:rPr>
          <w:sz w:val="20"/>
          <w:szCs w:val="20"/>
          <w:color w:val="auto"/>
        </w:rPr>
      </w:pPr>
    </w:p>
    <w:p>
      <w:pPr>
        <w:ind w:right="820"/>
        <w:spacing w:after="0" w:line="242" w:lineRule="auto"/>
        <w:rPr>
          <w:sz w:val="20"/>
          <w:szCs w:val="20"/>
          <w:color w:val="auto"/>
        </w:rPr>
      </w:pPr>
      <w:r>
        <w:rPr>
          <w:rFonts w:ascii="Arial" w:cs="Arial" w:eastAsia="Arial" w:hAnsi="Arial"/>
          <w:sz w:val="17"/>
          <w:szCs w:val="17"/>
          <w:b w:val="1"/>
          <w:bCs w:val="1"/>
          <w:color w:val="54301A"/>
        </w:rPr>
        <w:t xml:space="preserve">Original Issue Date (Settlement Date): </w:t>
      </w:r>
      <w:r>
        <w:rPr>
          <w:rFonts w:ascii="Arial" w:cs="Arial" w:eastAsia="Arial" w:hAnsi="Arial"/>
          <w:sz w:val="17"/>
          <w:szCs w:val="17"/>
          <w:color w:val="000000"/>
        </w:rPr>
        <w:t>On or about</w:t>
      </w:r>
      <w:r>
        <w:rPr>
          <w:rFonts w:ascii="Arial" w:cs="Arial" w:eastAsia="Arial" w:hAnsi="Arial"/>
          <w:sz w:val="17"/>
          <w:szCs w:val="17"/>
          <w:b w:val="1"/>
          <w:bCs w:val="1"/>
          <w:color w:val="54301A"/>
        </w:rPr>
        <w:t xml:space="preserve"> </w:t>
      </w:r>
      <w:r>
        <w:rPr>
          <w:rFonts w:ascii="Arial" w:cs="Arial" w:eastAsia="Arial" w:hAnsi="Arial"/>
          <w:sz w:val="17"/>
          <w:szCs w:val="17"/>
          <w:color w:val="000000"/>
        </w:rPr>
        <w:t>January 13, 2026</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Observation Date*: </w:t>
      </w:r>
      <w:r>
        <w:rPr>
          <w:rFonts w:ascii="Arial" w:cs="Arial" w:eastAsia="Arial" w:hAnsi="Arial"/>
          <w:sz w:val="17"/>
          <w:szCs w:val="17"/>
          <w:color w:val="000000"/>
        </w:rPr>
        <w:t>January 6, 2031</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Maturity Date*: </w:t>
      </w:r>
      <w:r>
        <w:rPr>
          <w:rFonts w:ascii="Arial" w:cs="Arial" w:eastAsia="Arial" w:hAnsi="Arial"/>
          <w:sz w:val="17"/>
          <w:szCs w:val="17"/>
          <w:color w:val="000000"/>
        </w:rPr>
        <w:t>January 9, 2031</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 Subject to postponement in the event of a market</w:t>
      </w:r>
    </w:p>
    <w:p>
      <w:pPr>
        <w:spacing w:after="0" w:line="25" w:lineRule="exact"/>
        <w:rPr>
          <w:sz w:val="20"/>
          <w:szCs w:val="20"/>
          <w:color w:val="auto"/>
        </w:rPr>
      </w:pPr>
    </w:p>
    <w:p>
      <w:pPr>
        <w:ind w:right="400"/>
        <w:spacing w:after="0" w:line="246" w:lineRule="auto"/>
        <w:rPr>
          <w:sz w:val="20"/>
          <w:szCs w:val="20"/>
          <w:color w:val="auto"/>
        </w:rPr>
      </w:pPr>
      <w:r>
        <w:rPr>
          <w:rFonts w:ascii="Arial" w:cs="Arial" w:eastAsia="Arial" w:hAnsi="Arial"/>
          <w:sz w:val="16"/>
          <w:szCs w:val="16"/>
          <w:color w:val="auto"/>
        </w:rPr>
        <w:t>disruption event and as described under “General Terms of Notes — Postponement of a Determination Date — Notes</w:t>
      </w:r>
    </w:p>
    <w:p>
      <w:pPr>
        <w:ind w:right="760"/>
        <w:spacing w:after="0" w:line="235" w:lineRule="auto"/>
        <w:rPr>
          <w:sz w:val="20"/>
          <w:szCs w:val="20"/>
          <w:color w:val="auto"/>
        </w:rPr>
      </w:pPr>
      <w:r>
        <w:rPr>
          <w:rFonts w:ascii="Arial" w:cs="Arial" w:eastAsia="Arial" w:hAnsi="Arial"/>
          <w:sz w:val="17"/>
          <w:szCs w:val="17"/>
          <w:color w:val="auto"/>
        </w:rPr>
        <w:t>Linked to Multiple Underlyings” and “General Terms of Notes — Postponement of a Payment Date” in the accompanying product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color w:val="6D6E71"/>
        </w:rPr>
        <w:t>PS-1 | Structured Investments</w:t>
      </w:r>
    </w:p>
    <w:p>
      <w:pPr>
        <w:spacing w:after="0" w:line="74" w:lineRule="exact"/>
        <w:rPr>
          <w:sz w:val="20"/>
          <w:szCs w:val="20"/>
          <w:color w:val="auto"/>
        </w:rPr>
      </w:pPr>
    </w:p>
    <w:p>
      <w:pPr>
        <w:ind w:left="20"/>
        <w:spacing w:after="0" w:line="292" w:lineRule="auto"/>
        <w:rPr>
          <w:sz w:val="20"/>
          <w:szCs w:val="20"/>
          <w:color w:val="auto"/>
        </w:rPr>
      </w:pPr>
      <w:r>
        <w:rPr>
          <w:rFonts w:ascii="Arial" w:cs="Arial" w:eastAsia="Arial" w:hAnsi="Arial"/>
          <w:sz w:val="15"/>
          <w:szCs w:val="15"/>
          <w:color w:val="6D6E71"/>
        </w:rPr>
        <w:t>Uncapped Accelerated Barrier Notes Linked to the Lesser Performing of 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Payment at Maturity: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If the Final Value of each Index is greater than its Strike</w:t>
      </w:r>
    </w:p>
    <w:p>
      <w:pPr>
        <w:spacing w:after="0" w:line="2" w:lineRule="exact"/>
        <w:rPr>
          <w:sz w:val="20"/>
          <w:szCs w:val="20"/>
          <w:color w:val="auto"/>
        </w:rPr>
      </w:pPr>
    </w:p>
    <w:p>
      <w:pPr>
        <w:ind w:right="560"/>
        <w:spacing w:after="0" w:line="231" w:lineRule="auto"/>
        <w:rPr>
          <w:sz w:val="20"/>
          <w:szCs w:val="20"/>
          <w:color w:val="auto"/>
        </w:rPr>
      </w:pPr>
      <w:r>
        <w:rPr>
          <w:rFonts w:ascii="Arial" w:cs="Arial" w:eastAsia="Arial" w:hAnsi="Arial"/>
          <w:sz w:val="17"/>
          <w:szCs w:val="17"/>
          <w:color w:val="auto"/>
        </w:rPr>
        <w:t>Value, your payment at maturity per $1,000 principal amount note will be calculated as follows: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$1,000 + ($1,000 × Lesser Performing Index Return ×</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Upside Leverage Factor)</w:t>
      </w:r>
    </w:p>
    <w:p>
      <w:pPr>
        <w:spacing w:after="0" w:line="53"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If the Final Value of either Index is equal to or less than its Strike Value but the Final Value of each Index is greater than or equal to its Barrier Amount, you will receive the principal amount of your notes at maturity.</w:t>
      </w:r>
    </w:p>
    <w:p>
      <w:pPr>
        <w:spacing w:after="0" w:line="42" w:lineRule="exact"/>
        <w:rPr>
          <w:sz w:val="20"/>
          <w:szCs w:val="20"/>
          <w:color w:val="auto"/>
        </w:rPr>
      </w:pPr>
    </w:p>
    <w:p>
      <w:pPr>
        <w:jc w:val="both"/>
        <w:ind w:right="400"/>
        <w:spacing w:after="0" w:line="251" w:lineRule="auto"/>
        <w:rPr>
          <w:sz w:val="20"/>
          <w:szCs w:val="20"/>
          <w:color w:val="auto"/>
        </w:rPr>
      </w:pPr>
      <w:r>
        <w:rPr>
          <w:rFonts w:ascii="Arial" w:cs="Arial" w:eastAsia="Arial" w:hAnsi="Arial"/>
          <w:sz w:val="17"/>
          <w:szCs w:val="17"/>
          <w:color w:val="auto"/>
        </w:rPr>
        <w:t>If the Final Value of either Index is less than its Barrier Amount, your payment at maturity per $1,000 principal amount note will be calculated as follows:</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$1,000 + ($1,000 × Lesser Performing Index Return)</w:t>
      </w:r>
    </w:p>
    <w:p>
      <w:pPr>
        <w:spacing w:after="0" w:line="84"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i w:val="1"/>
          <w:iCs w:val="1"/>
          <w:color w:val="auto"/>
        </w:rPr>
        <w:t>If the Final Value of either Index is less than its Barrier Amount, you will lose more than 15.00% of your principal amount at maturity and could lose all of your principal amount at maturity.</w:t>
      </w:r>
    </w:p>
    <w:p>
      <w:pPr>
        <w:spacing w:after="0" w:line="57"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b w:val="1"/>
          <w:bCs w:val="1"/>
          <w:color w:val="54301A"/>
        </w:rPr>
        <w:t xml:space="preserve">Lesser Performing Index: </w:t>
      </w:r>
      <w:r>
        <w:rPr>
          <w:rFonts w:ascii="Arial" w:cs="Arial" w:eastAsia="Arial" w:hAnsi="Arial"/>
          <w:sz w:val="17"/>
          <w:szCs w:val="17"/>
          <w:color w:val="000000"/>
        </w:rPr>
        <w:t>The Index with the Lesser</w:t>
      </w:r>
      <w:r>
        <w:rPr>
          <w:rFonts w:ascii="Arial" w:cs="Arial" w:eastAsia="Arial" w:hAnsi="Arial"/>
          <w:sz w:val="17"/>
          <w:szCs w:val="17"/>
          <w:b w:val="1"/>
          <w:bCs w:val="1"/>
          <w:color w:val="54301A"/>
        </w:rPr>
        <w:t xml:space="preserve"> </w:t>
      </w:r>
      <w:r>
        <w:rPr>
          <w:rFonts w:ascii="Arial" w:cs="Arial" w:eastAsia="Arial" w:hAnsi="Arial"/>
          <w:sz w:val="17"/>
          <w:szCs w:val="17"/>
          <w:color w:val="000000"/>
        </w:rPr>
        <w:t>Performing Index Return</w:t>
      </w:r>
    </w:p>
    <w:p>
      <w:pPr>
        <w:spacing w:after="0" w:line="3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color w:val="54301A"/>
        </w:rPr>
        <w:t xml:space="preserve">Lesser Performing Index Return: </w:t>
      </w:r>
      <w:r>
        <w:rPr>
          <w:rFonts w:ascii="Arial" w:cs="Arial" w:eastAsia="Arial" w:hAnsi="Arial"/>
          <w:sz w:val="17"/>
          <w:szCs w:val="17"/>
          <w:color w:val="000000"/>
        </w:rPr>
        <w:t>The lower of the Index</w:t>
      </w:r>
      <w:r>
        <w:rPr>
          <w:rFonts w:ascii="Arial" w:cs="Arial" w:eastAsia="Arial" w:hAnsi="Arial"/>
          <w:sz w:val="17"/>
          <w:szCs w:val="17"/>
          <w:b w:val="1"/>
          <w:bCs w:val="1"/>
          <w:color w:val="54301A"/>
        </w:rPr>
        <w:t xml:space="preserve"> </w:t>
      </w:r>
      <w:r>
        <w:rPr>
          <w:rFonts w:ascii="Arial" w:cs="Arial" w:eastAsia="Arial" w:hAnsi="Arial"/>
          <w:sz w:val="17"/>
          <w:szCs w:val="17"/>
          <w:color w:val="000000"/>
        </w:rPr>
        <w:t>Returns of the Indices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Index Return: </w:t>
      </w:r>
      <w:r>
        <w:rPr>
          <w:rFonts w:ascii="Arial" w:cs="Arial" w:eastAsia="Arial" w:hAnsi="Arial"/>
          <w:sz w:val="17"/>
          <w:szCs w:val="17"/>
          <w:color w:val="000000"/>
        </w:rPr>
        <w:t>With respect to each Index,</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(Final Value – Strike Value)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Strike Value</w:t>
      </w:r>
    </w:p>
    <w:p>
      <w:pPr>
        <w:spacing w:after="0" w:line="6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b w:val="1"/>
          <w:bCs w:val="1"/>
          <w:color w:val="54301A"/>
        </w:rPr>
        <w:t xml:space="preserve">Strike Value: </w:t>
      </w:r>
      <w:r>
        <w:rPr>
          <w:rFonts w:ascii="Arial" w:cs="Arial" w:eastAsia="Arial" w:hAnsi="Arial"/>
          <w:sz w:val="16"/>
          <w:szCs w:val="16"/>
          <w:color w:val="000000"/>
        </w:rPr>
        <w:t>With respect to each Index, the closing level</w:t>
      </w:r>
      <w:r>
        <w:rPr>
          <w:rFonts w:ascii="Arial" w:cs="Arial" w:eastAsia="Arial" w:hAnsi="Arial"/>
          <w:sz w:val="16"/>
          <w:szCs w:val="16"/>
          <w:b w:val="1"/>
          <w:bCs w:val="1"/>
          <w:color w:val="54301A"/>
        </w:rPr>
        <w:t xml:space="preserve"> </w:t>
      </w:r>
      <w:r>
        <w:rPr>
          <w:rFonts w:ascii="Arial" w:cs="Arial" w:eastAsia="Arial" w:hAnsi="Arial"/>
          <w:sz w:val="16"/>
          <w:szCs w:val="16"/>
          <w:color w:val="000000"/>
        </w:rPr>
        <w:t>of that Index on the Strike Date, which was 25,401.32 for</w:t>
      </w:r>
    </w:p>
    <w:p>
      <w:pPr>
        <w:spacing w:after="0" w:line="191" w:lineRule="auto"/>
        <w:rPr>
          <w:sz w:val="20"/>
          <w:szCs w:val="20"/>
          <w:color w:val="auto"/>
        </w:rPr>
      </w:pPr>
      <w:r>
        <w:rPr>
          <w:rFonts w:ascii="Arial" w:cs="Arial" w:eastAsia="Arial" w:hAnsi="Arial"/>
          <w:sz w:val="17"/>
          <w:szCs w:val="17"/>
          <w:color w:val="auto"/>
        </w:rPr>
        <w:t>the Nasdaq-100 Index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6,902.05 for the S&amp;P 500</w:t>
      </w:r>
      <w:r>
        <w:rPr>
          <w:rFonts w:ascii="Arial" w:cs="Arial" w:eastAsia="Arial" w:hAnsi="Arial"/>
          <w:sz w:val="22"/>
          <w:szCs w:val="22"/>
          <w:color w:val="auto"/>
          <w:vertAlign w:val="superscript"/>
        </w:rPr>
        <w:t>®</w:t>
      </w:r>
    </w:p>
    <w:p>
      <w:pPr>
        <w:ind w:right="100"/>
        <w:spacing w:after="0" w:line="265" w:lineRule="auto"/>
        <w:rPr>
          <w:sz w:val="20"/>
          <w:szCs w:val="20"/>
          <w:color w:val="auto"/>
        </w:rPr>
      </w:pPr>
      <w:r>
        <w:rPr>
          <w:rFonts w:ascii="Arial" w:cs="Arial" w:eastAsia="Arial" w:hAnsi="Arial"/>
          <w:sz w:val="17"/>
          <w:szCs w:val="17"/>
          <w:color w:val="auto"/>
        </w:rPr>
        <w:t xml:space="preserve">Index. </w:t>
      </w:r>
      <w:r>
        <w:rPr>
          <w:rFonts w:ascii="Arial" w:cs="Arial" w:eastAsia="Arial" w:hAnsi="Arial"/>
          <w:sz w:val="17"/>
          <w:szCs w:val="17"/>
          <w:b w:val="1"/>
          <w:bCs w:val="1"/>
          <w:color w:val="auto"/>
        </w:rPr>
        <w:t>The Strike Value of each Index is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not</w:t>
      </w:r>
      <w:r>
        <w:rPr>
          <w:rFonts w:ascii="Arial" w:cs="Arial" w:eastAsia="Arial" w:hAnsi="Arial"/>
          <w:sz w:val="17"/>
          <w:szCs w:val="17"/>
          <w:color w:val="auto"/>
        </w:rPr>
        <w:t xml:space="preserve"> </w:t>
      </w:r>
      <w:r>
        <w:rPr>
          <w:rFonts w:ascii="Arial" w:cs="Arial" w:eastAsia="Arial" w:hAnsi="Arial"/>
          <w:sz w:val="17"/>
          <w:szCs w:val="17"/>
          <w:b w:val="1"/>
          <w:bCs w:val="1"/>
          <w:color w:val="auto"/>
        </w:rPr>
        <w:t>the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level of that Index on the Pricing Date.</w:t>
      </w:r>
    </w:p>
    <w:p>
      <w:pPr>
        <w:spacing w:after="0" w:line="16"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54301A"/>
        </w:rPr>
        <w:t xml:space="preserve">Final Value: </w:t>
      </w:r>
      <w:r>
        <w:rPr>
          <w:rFonts w:ascii="Arial" w:cs="Arial" w:eastAsia="Arial" w:hAnsi="Arial"/>
          <w:sz w:val="17"/>
          <w:szCs w:val="17"/>
          <w:color w:val="000000"/>
        </w:rPr>
        <w:t>With respect to each Index, the closing level of</w:t>
      </w:r>
      <w:r>
        <w:rPr>
          <w:rFonts w:ascii="Arial" w:cs="Arial" w:eastAsia="Arial" w:hAnsi="Arial"/>
          <w:sz w:val="17"/>
          <w:szCs w:val="17"/>
          <w:b w:val="1"/>
          <w:bCs w:val="1"/>
          <w:color w:val="54301A"/>
        </w:rPr>
        <w:t xml:space="preserve"> </w:t>
      </w:r>
      <w:r>
        <w:rPr>
          <w:rFonts w:ascii="Arial" w:cs="Arial" w:eastAsia="Arial" w:hAnsi="Arial"/>
          <w:sz w:val="17"/>
          <w:szCs w:val="17"/>
          <w:color w:val="000000"/>
        </w:rPr>
        <w:t>that Index on the Observation Date</w:t>
      </w:r>
    </w:p>
    <w:p>
      <w:pPr>
        <w:sectPr>
          <w:pgSz w:w="11900" w:h="16838" w:orient="portrait"/>
          <w:cols w:equalWidth="0" w:num="2">
            <w:col w:w="4740" w:space="560"/>
            <w:col w:w="4400"/>
          </w:cols>
          <w:pgMar w:left="1000" w:top="775" w:right="1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4E8ABE"/>
        </w:rPr>
        <w:t>Supplemental Terms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6378575" cy="8580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8575" cy="8580755"/>
                    </a:xfrm>
                    <a:prstGeom prst="rect">
                      <a:avLst/>
                    </a:prstGeom>
                    <a:noFill/>
                  </pic:spPr>
                </pic:pic>
              </a:graphicData>
            </a:graphic>
          </wp:anchor>
        </w:drawing>
      </w:r>
    </w:p>
    <w:p>
      <w:pPr>
        <w:spacing w:after="0" w:line="95"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404040"/>
        </w:rPr>
        <w:t>Any value of any underlier, and any values derived therefrom, included in this pricing supplement may be corrected, in the event of manifest error or inconsistency, by amendment of this pricing supplement and the corresponding terms of the notes. Notwithstanding anything to the contrary in the indenture governing the notes, that amendment will become effective without consent of the holders of the notes or any other party.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Hypothetical Payout Profile</w:t>
      </w:r>
    </w:p>
    <w:p>
      <w:pPr>
        <w:spacing w:after="0" w:line="115" w:lineRule="exact"/>
        <w:rPr>
          <w:sz w:val="20"/>
          <w:szCs w:val="20"/>
          <w:color w:val="auto"/>
        </w:rPr>
      </w:pPr>
    </w:p>
    <w:p>
      <w:pPr>
        <w:spacing w:after="0" w:line="292" w:lineRule="auto"/>
        <w:rPr>
          <w:sz w:val="20"/>
          <w:szCs w:val="20"/>
          <w:color w:val="auto"/>
        </w:rPr>
      </w:pPr>
      <w:r>
        <w:rPr>
          <w:rFonts w:ascii="Arial" w:cs="Arial" w:eastAsia="Arial" w:hAnsi="Arial"/>
          <w:sz w:val="17"/>
          <w:szCs w:val="17"/>
          <w:color w:val="404040"/>
        </w:rPr>
        <w:t>The following table and graph illustrate the hypothetical total return and payment at maturity on the notes linked to two hypothetical Indices. The “total return” as used in this pricing supplement is the number, expressed as a percentage, that results from comparing the payment at maturity per $1,000 principal amount note to $1,000. The hypothetical total returns and payments set forth below assume the following:</w:t>
      </w:r>
    </w:p>
    <w:p>
      <w:pPr>
        <w:spacing w:after="0" w:line="15" w:lineRule="exact"/>
        <w:rPr>
          <w:sz w:val="20"/>
          <w:szCs w:val="20"/>
          <w:color w:val="auto"/>
        </w:rPr>
      </w:pPr>
    </w:p>
    <w:p>
      <w:pPr>
        <w:ind w:left="660" w:hanging="334"/>
        <w:spacing w:after="0"/>
        <w:tabs>
          <w:tab w:leader="none" w:pos="660" w:val="left"/>
        </w:tabs>
        <w:numPr>
          <w:ilvl w:val="0"/>
          <w:numId w:val="3"/>
        </w:numPr>
        <w:rPr>
          <w:rFonts w:ascii="Arial" w:cs="Arial" w:eastAsia="Arial" w:hAnsi="Arial"/>
          <w:sz w:val="17"/>
          <w:szCs w:val="17"/>
          <w:color w:val="262626"/>
        </w:rPr>
      </w:pPr>
      <w:r>
        <w:rPr>
          <w:rFonts w:ascii="Arial" w:cs="Arial" w:eastAsia="Arial" w:hAnsi="Arial"/>
          <w:sz w:val="17"/>
          <w:szCs w:val="17"/>
          <w:color w:val="262626"/>
        </w:rPr>
        <w:t>a Strike Value for the Lesser Performing Index of 100.00;</w:t>
      </w:r>
    </w:p>
    <w:p>
      <w:pPr>
        <w:spacing w:after="0" w:line="108" w:lineRule="exact"/>
        <w:rPr>
          <w:rFonts w:ascii="Arial" w:cs="Arial" w:eastAsia="Arial" w:hAnsi="Arial"/>
          <w:sz w:val="17"/>
          <w:szCs w:val="17"/>
          <w:color w:val="262626"/>
        </w:rPr>
      </w:pPr>
    </w:p>
    <w:p>
      <w:pPr>
        <w:ind w:left="660" w:hanging="334"/>
        <w:spacing w:after="0"/>
        <w:tabs>
          <w:tab w:leader="none" w:pos="660" w:val="left"/>
        </w:tabs>
        <w:numPr>
          <w:ilvl w:val="0"/>
          <w:numId w:val="3"/>
        </w:numPr>
        <w:rPr>
          <w:rFonts w:ascii="Arial" w:cs="Arial" w:eastAsia="Arial" w:hAnsi="Arial"/>
          <w:sz w:val="17"/>
          <w:szCs w:val="17"/>
          <w:color w:val="262626"/>
        </w:rPr>
      </w:pPr>
      <w:r>
        <w:rPr>
          <w:rFonts w:ascii="Arial" w:cs="Arial" w:eastAsia="Arial" w:hAnsi="Arial"/>
          <w:sz w:val="17"/>
          <w:szCs w:val="17"/>
          <w:color w:val="262626"/>
        </w:rPr>
        <w:t>an Upside Leverage Factor of 1.3455; and</w:t>
      </w:r>
    </w:p>
    <w:p>
      <w:pPr>
        <w:spacing w:after="0" w:line="108" w:lineRule="exact"/>
        <w:rPr>
          <w:rFonts w:ascii="Arial" w:cs="Arial" w:eastAsia="Arial" w:hAnsi="Arial"/>
          <w:sz w:val="17"/>
          <w:szCs w:val="17"/>
          <w:color w:val="262626"/>
        </w:rPr>
      </w:pPr>
    </w:p>
    <w:p>
      <w:pPr>
        <w:ind w:left="660" w:hanging="334"/>
        <w:spacing w:after="0"/>
        <w:tabs>
          <w:tab w:leader="none" w:pos="660" w:val="left"/>
        </w:tabs>
        <w:numPr>
          <w:ilvl w:val="0"/>
          <w:numId w:val="3"/>
        </w:numPr>
        <w:rPr>
          <w:rFonts w:ascii="Arial" w:cs="Arial" w:eastAsia="Arial" w:hAnsi="Arial"/>
          <w:sz w:val="17"/>
          <w:szCs w:val="17"/>
          <w:color w:val="262626"/>
        </w:rPr>
      </w:pPr>
      <w:r>
        <w:rPr>
          <w:rFonts w:ascii="Arial" w:cs="Arial" w:eastAsia="Arial" w:hAnsi="Arial"/>
          <w:sz w:val="17"/>
          <w:szCs w:val="17"/>
          <w:color w:val="262626"/>
        </w:rPr>
        <w:t>a Barrier Amount for the Lesser Performing Index of 85.00 (equal to 85.00% of its hypothetical Strike Value).</w:t>
      </w:r>
    </w:p>
    <w:p>
      <w:pPr>
        <w:spacing w:after="0" w:line="10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404040"/>
        </w:rPr>
        <w:t>The hypothetical Strike Value of the Lesser Performing Index of 100.00 has been chosen for illustrative purposes only and does not represent the actual Strike Value of either Index. The actual Strike Value of each Index is the closing level of that Index on the Strike Date and is specified under “Key Terms – Strike Value” in this pricing supplement. For historical data regarding the actual closing levels of each Index, please see the historical information set forth under “The Indices” in this pricing supplement.</w:t>
      </w:r>
    </w:p>
    <w:p>
      <w:pPr>
        <w:spacing w:after="0" w:line="21" w:lineRule="exact"/>
        <w:rPr>
          <w:sz w:val="20"/>
          <w:szCs w:val="20"/>
          <w:color w:val="auto"/>
        </w:rPr>
      </w:pPr>
    </w:p>
    <w:p>
      <w:pPr>
        <w:ind w:right="280"/>
        <w:spacing w:after="0" w:line="299" w:lineRule="auto"/>
        <w:rPr>
          <w:sz w:val="20"/>
          <w:szCs w:val="20"/>
          <w:color w:val="auto"/>
        </w:rPr>
      </w:pPr>
      <w:r>
        <w:rPr>
          <w:rFonts w:ascii="Arial" w:cs="Arial" w:eastAsia="Arial" w:hAnsi="Arial"/>
          <w:sz w:val="17"/>
          <w:szCs w:val="17"/>
          <w:color w:val="404040"/>
        </w:rPr>
        <w:t>Each hypothetical total return or hypothetical payment at maturity set forth below is for illustrative purposes only and may not be the actual total return or payment at maturity applicable to a purchaser of the notes. The numbers appearing in the following table and graph have been rounded for ease of analysis.</w:t>
      </w:r>
    </w:p>
    <w:p>
      <w:pPr>
        <w:spacing w:after="0" w:line="11" w:lineRule="exact"/>
        <w:rPr>
          <w:sz w:val="20"/>
          <w:szCs w:val="20"/>
          <w:color w:val="auto"/>
        </w:rPr>
      </w:pPr>
    </w:p>
    <w:tbl>
      <w:tblPr>
        <w:tblLayout w:type="fixed"/>
        <w:tblInd w:w="740" w:type="dxa"/>
        <w:tblCellMar>
          <w:top w:w="0" w:type="dxa"/>
          <w:left w:w="0" w:type="dxa"/>
          <w:bottom w:w="0" w:type="dxa"/>
          <w:right w:w="0" w:type="dxa"/>
        </w:tblCellMar>
      </w:tblPr>
      <w:tr>
        <w:trPr>
          <w:trHeight w:val="199"/>
        </w:trPr>
        <w:tc>
          <w:tcPr>
            <w:tcW w:w="1980" w:type="dxa"/>
            <w:vAlign w:val="bottom"/>
          </w:tcPr>
          <w:p>
            <w:pPr>
              <w:spacing w:after="0"/>
              <w:rPr>
                <w:sz w:val="20"/>
                <w:szCs w:val="20"/>
                <w:color w:val="auto"/>
              </w:rPr>
            </w:pPr>
            <w:r>
              <w:rPr>
                <w:rFonts w:ascii="Arial" w:cs="Arial" w:eastAsia="Arial" w:hAnsi="Arial"/>
                <w:sz w:val="17"/>
                <w:szCs w:val="17"/>
                <w:color w:val="595959"/>
              </w:rPr>
              <w:t>Final Value of the Lesser</w:t>
            </w:r>
          </w:p>
        </w:tc>
        <w:tc>
          <w:tcPr>
            <w:tcW w:w="2180" w:type="dxa"/>
            <w:vAlign w:val="bottom"/>
          </w:tcPr>
          <w:p>
            <w:pPr>
              <w:ind w:left="220"/>
              <w:spacing w:after="0"/>
              <w:rPr>
                <w:sz w:val="20"/>
                <w:szCs w:val="20"/>
                <w:color w:val="auto"/>
              </w:rPr>
            </w:pPr>
            <w:r>
              <w:rPr>
                <w:rFonts w:ascii="Arial" w:cs="Arial" w:eastAsia="Arial" w:hAnsi="Arial"/>
                <w:sz w:val="17"/>
                <w:szCs w:val="17"/>
                <w:color w:val="595959"/>
              </w:rPr>
              <w:t>Lesser Performing Index</w:t>
            </w:r>
          </w:p>
        </w:tc>
        <w:tc>
          <w:tcPr>
            <w:tcW w:w="2180" w:type="dxa"/>
            <w:vAlign w:val="bottom"/>
          </w:tcPr>
          <w:p>
            <w:pPr>
              <w:ind w:left="140"/>
              <w:spacing w:after="0"/>
              <w:rPr>
                <w:sz w:val="20"/>
                <w:szCs w:val="20"/>
                <w:color w:val="auto"/>
              </w:rPr>
            </w:pPr>
            <w:r>
              <w:rPr>
                <w:rFonts w:ascii="Arial" w:cs="Arial" w:eastAsia="Arial" w:hAnsi="Arial"/>
                <w:sz w:val="17"/>
                <w:szCs w:val="17"/>
                <w:color w:val="595959"/>
              </w:rPr>
              <w:t>Total Return on the Notes</w:t>
            </w:r>
          </w:p>
        </w:tc>
        <w:tc>
          <w:tcPr>
            <w:tcW w:w="1620" w:type="dxa"/>
            <w:vAlign w:val="bottom"/>
          </w:tcPr>
          <w:p>
            <w:pPr>
              <w:ind w:left="140"/>
              <w:spacing w:after="0"/>
              <w:rPr>
                <w:sz w:val="20"/>
                <w:szCs w:val="20"/>
                <w:color w:val="auto"/>
              </w:rPr>
            </w:pPr>
            <w:r>
              <w:rPr>
                <w:rFonts w:ascii="Arial" w:cs="Arial" w:eastAsia="Arial" w:hAnsi="Arial"/>
                <w:sz w:val="17"/>
                <w:szCs w:val="17"/>
                <w:color w:val="595959"/>
                <w:w w:val="96"/>
              </w:rPr>
              <w:t>Payment at Maturity</w:t>
            </w:r>
          </w:p>
        </w:tc>
      </w:tr>
      <w:tr>
        <w:trPr>
          <w:trHeight w:val="221"/>
        </w:trPr>
        <w:tc>
          <w:tcPr>
            <w:tcW w:w="1980" w:type="dxa"/>
            <w:vAlign w:val="bottom"/>
          </w:tcPr>
          <w:p>
            <w:pPr>
              <w:spacing w:after="0"/>
              <w:rPr>
                <w:sz w:val="20"/>
                <w:szCs w:val="20"/>
                <w:color w:val="auto"/>
              </w:rPr>
            </w:pPr>
            <w:r>
              <w:rPr>
                <w:rFonts w:ascii="Arial" w:cs="Arial" w:eastAsia="Arial" w:hAnsi="Arial"/>
                <w:sz w:val="17"/>
                <w:szCs w:val="17"/>
                <w:color w:val="595959"/>
              </w:rPr>
              <w:t>Performing Index</w:t>
            </w:r>
          </w:p>
        </w:tc>
        <w:tc>
          <w:tcPr>
            <w:tcW w:w="2180" w:type="dxa"/>
            <w:vAlign w:val="bottom"/>
          </w:tcPr>
          <w:p>
            <w:pPr>
              <w:ind w:left="180"/>
              <w:spacing w:after="0"/>
              <w:rPr>
                <w:sz w:val="20"/>
                <w:szCs w:val="20"/>
                <w:color w:val="auto"/>
              </w:rPr>
            </w:pPr>
            <w:r>
              <w:rPr>
                <w:rFonts w:ascii="Arial" w:cs="Arial" w:eastAsia="Arial" w:hAnsi="Arial"/>
                <w:sz w:val="17"/>
                <w:szCs w:val="17"/>
                <w:color w:val="595959"/>
              </w:rPr>
              <w:t>Return</w:t>
            </w:r>
          </w:p>
        </w:tc>
        <w:tc>
          <w:tcPr>
            <w:tcW w:w="2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180.00</w:t>
            </w:r>
          </w:p>
        </w:tc>
        <w:tc>
          <w:tcPr>
            <w:tcW w:w="2180" w:type="dxa"/>
            <w:vAlign w:val="bottom"/>
          </w:tcPr>
          <w:p>
            <w:pPr>
              <w:ind w:left="180"/>
              <w:spacing w:after="0"/>
              <w:rPr>
                <w:sz w:val="20"/>
                <w:szCs w:val="20"/>
                <w:color w:val="auto"/>
              </w:rPr>
            </w:pPr>
            <w:r>
              <w:rPr>
                <w:rFonts w:ascii="Arial" w:cs="Arial" w:eastAsia="Arial" w:hAnsi="Arial"/>
                <w:sz w:val="17"/>
                <w:szCs w:val="17"/>
                <w:color w:val="404040"/>
              </w:rPr>
              <w:t>80.00%</w:t>
            </w:r>
          </w:p>
        </w:tc>
        <w:tc>
          <w:tcPr>
            <w:tcW w:w="2180" w:type="dxa"/>
            <w:vAlign w:val="bottom"/>
          </w:tcPr>
          <w:p>
            <w:pPr>
              <w:ind w:left="140"/>
              <w:spacing w:after="0"/>
              <w:rPr>
                <w:sz w:val="20"/>
                <w:szCs w:val="20"/>
                <w:color w:val="auto"/>
              </w:rPr>
            </w:pPr>
            <w:r>
              <w:rPr>
                <w:rFonts w:ascii="Arial" w:cs="Arial" w:eastAsia="Arial" w:hAnsi="Arial"/>
                <w:sz w:val="17"/>
                <w:szCs w:val="17"/>
                <w:color w:val="404040"/>
              </w:rPr>
              <w:t>107.6400%</w:t>
            </w:r>
          </w:p>
        </w:tc>
        <w:tc>
          <w:tcPr>
            <w:tcW w:w="1620" w:type="dxa"/>
            <w:vAlign w:val="bottom"/>
          </w:tcPr>
          <w:p>
            <w:pPr>
              <w:ind w:left="140"/>
              <w:spacing w:after="0"/>
              <w:rPr>
                <w:sz w:val="20"/>
                <w:szCs w:val="20"/>
                <w:color w:val="auto"/>
              </w:rPr>
            </w:pPr>
            <w:r>
              <w:rPr>
                <w:rFonts w:ascii="Arial" w:cs="Arial" w:eastAsia="Arial" w:hAnsi="Arial"/>
                <w:sz w:val="17"/>
                <w:szCs w:val="17"/>
                <w:color w:val="404040"/>
              </w:rPr>
              <w:t>$2,076.400</w:t>
            </w:r>
          </w:p>
        </w:tc>
      </w:tr>
      <w:tr>
        <w:trPr>
          <w:trHeight w:val="238"/>
        </w:trPr>
        <w:tc>
          <w:tcPr>
            <w:tcW w:w="1980" w:type="dxa"/>
            <w:vAlign w:val="bottom"/>
          </w:tcPr>
          <w:p>
            <w:pPr>
              <w:spacing w:after="0"/>
              <w:rPr>
                <w:sz w:val="20"/>
                <w:szCs w:val="20"/>
                <w:color w:val="auto"/>
              </w:rPr>
            </w:pPr>
            <w:r>
              <w:rPr>
                <w:rFonts w:ascii="Arial" w:cs="Arial" w:eastAsia="Arial" w:hAnsi="Arial"/>
                <w:sz w:val="17"/>
                <w:szCs w:val="17"/>
                <w:color w:val="404040"/>
              </w:rPr>
              <w:t>170.00</w:t>
            </w:r>
          </w:p>
        </w:tc>
        <w:tc>
          <w:tcPr>
            <w:tcW w:w="2180" w:type="dxa"/>
            <w:vAlign w:val="bottom"/>
          </w:tcPr>
          <w:p>
            <w:pPr>
              <w:ind w:left="180"/>
              <w:spacing w:after="0"/>
              <w:rPr>
                <w:sz w:val="20"/>
                <w:szCs w:val="20"/>
                <w:color w:val="auto"/>
              </w:rPr>
            </w:pPr>
            <w:r>
              <w:rPr>
                <w:rFonts w:ascii="Arial" w:cs="Arial" w:eastAsia="Arial" w:hAnsi="Arial"/>
                <w:sz w:val="17"/>
                <w:szCs w:val="17"/>
                <w:color w:val="404040"/>
              </w:rPr>
              <w:t>70.00%</w:t>
            </w:r>
          </w:p>
        </w:tc>
        <w:tc>
          <w:tcPr>
            <w:tcW w:w="2180" w:type="dxa"/>
            <w:vAlign w:val="bottom"/>
          </w:tcPr>
          <w:p>
            <w:pPr>
              <w:ind w:left="140"/>
              <w:spacing w:after="0"/>
              <w:rPr>
                <w:sz w:val="20"/>
                <w:szCs w:val="20"/>
                <w:color w:val="auto"/>
              </w:rPr>
            </w:pPr>
            <w:r>
              <w:rPr>
                <w:rFonts w:ascii="Arial" w:cs="Arial" w:eastAsia="Arial" w:hAnsi="Arial"/>
                <w:sz w:val="17"/>
                <w:szCs w:val="17"/>
                <w:color w:val="404040"/>
              </w:rPr>
              <w:t>94.1850%</w:t>
            </w:r>
          </w:p>
        </w:tc>
        <w:tc>
          <w:tcPr>
            <w:tcW w:w="1620" w:type="dxa"/>
            <w:vAlign w:val="bottom"/>
          </w:tcPr>
          <w:p>
            <w:pPr>
              <w:ind w:left="140"/>
              <w:spacing w:after="0"/>
              <w:rPr>
                <w:sz w:val="20"/>
                <w:szCs w:val="20"/>
                <w:color w:val="auto"/>
              </w:rPr>
            </w:pPr>
            <w:r>
              <w:rPr>
                <w:rFonts w:ascii="Arial" w:cs="Arial" w:eastAsia="Arial" w:hAnsi="Arial"/>
                <w:sz w:val="17"/>
                <w:szCs w:val="17"/>
                <w:color w:val="404040"/>
              </w:rPr>
              <w:t>$1,941.850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160.00</w:t>
            </w:r>
          </w:p>
        </w:tc>
        <w:tc>
          <w:tcPr>
            <w:tcW w:w="2180" w:type="dxa"/>
            <w:vAlign w:val="bottom"/>
          </w:tcPr>
          <w:p>
            <w:pPr>
              <w:ind w:left="180"/>
              <w:spacing w:after="0"/>
              <w:rPr>
                <w:sz w:val="20"/>
                <w:szCs w:val="20"/>
                <w:color w:val="auto"/>
              </w:rPr>
            </w:pPr>
            <w:r>
              <w:rPr>
                <w:rFonts w:ascii="Arial" w:cs="Arial" w:eastAsia="Arial" w:hAnsi="Arial"/>
                <w:sz w:val="17"/>
                <w:szCs w:val="17"/>
                <w:color w:val="404040"/>
              </w:rPr>
              <w:t>60.00%</w:t>
            </w:r>
          </w:p>
        </w:tc>
        <w:tc>
          <w:tcPr>
            <w:tcW w:w="2180" w:type="dxa"/>
            <w:vAlign w:val="bottom"/>
          </w:tcPr>
          <w:p>
            <w:pPr>
              <w:ind w:left="140"/>
              <w:spacing w:after="0"/>
              <w:rPr>
                <w:sz w:val="20"/>
                <w:szCs w:val="20"/>
                <w:color w:val="auto"/>
              </w:rPr>
            </w:pPr>
            <w:r>
              <w:rPr>
                <w:rFonts w:ascii="Arial" w:cs="Arial" w:eastAsia="Arial" w:hAnsi="Arial"/>
                <w:sz w:val="17"/>
                <w:szCs w:val="17"/>
                <w:color w:val="404040"/>
              </w:rPr>
              <w:t>80.7300%</w:t>
            </w:r>
          </w:p>
        </w:tc>
        <w:tc>
          <w:tcPr>
            <w:tcW w:w="1620" w:type="dxa"/>
            <w:vAlign w:val="bottom"/>
          </w:tcPr>
          <w:p>
            <w:pPr>
              <w:ind w:left="140"/>
              <w:spacing w:after="0"/>
              <w:rPr>
                <w:sz w:val="20"/>
                <w:szCs w:val="20"/>
                <w:color w:val="auto"/>
              </w:rPr>
            </w:pPr>
            <w:r>
              <w:rPr>
                <w:rFonts w:ascii="Arial" w:cs="Arial" w:eastAsia="Arial" w:hAnsi="Arial"/>
                <w:sz w:val="17"/>
                <w:szCs w:val="17"/>
                <w:color w:val="404040"/>
              </w:rPr>
              <w:t>$1,807.300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150.00</w:t>
            </w:r>
          </w:p>
        </w:tc>
        <w:tc>
          <w:tcPr>
            <w:tcW w:w="2180" w:type="dxa"/>
            <w:vAlign w:val="bottom"/>
          </w:tcPr>
          <w:p>
            <w:pPr>
              <w:ind w:left="180"/>
              <w:spacing w:after="0"/>
              <w:rPr>
                <w:sz w:val="20"/>
                <w:szCs w:val="20"/>
                <w:color w:val="auto"/>
              </w:rPr>
            </w:pPr>
            <w:r>
              <w:rPr>
                <w:rFonts w:ascii="Arial" w:cs="Arial" w:eastAsia="Arial" w:hAnsi="Arial"/>
                <w:sz w:val="17"/>
                <w:szCs w:val="17"/>
                <w:color w:val="404040"/>
              </w:rPr>
              <w:t>50.00%</w:t>
            </w:r>
          </w:p>
        </w:tc>
        <w:tc>
          <w:tcPr>
            <w:tcW w:w="2180" w:type="dxa"/>
            <w:vAlign w:val="bottom"/>
          </w:tcPr>
          <w:p>
            <w:pPr>
              <w:ind w:left="140"/>
              <w:spacing w:after="0"/>
              <w:rPr>
                <w:sz w:val="20"/>
                <w:szCs w:val="20"/>
                <w:color w:val="auto"/>
              </w:rPr>
            </w:pPr>
            <w:r>
              <w:rPr>
                <w:rFonts w:ascii="Arial" w:cs="Arial" w:eastAsia="Arial" w:hAnsi="Arial"/>
                <w:sz w:val="17"/>
                <w:szCs w:val="17"/>
                <w:color w:val="404040"/>
              </w:rPr>
              <w:t>67.2750%</w:t>
            </w:r>
          </w:p>
        </w:tc>
        <w:tc>
          <w:tcPr>
            <w:tcW w:w="1620" w:type="dxa"/>
            <w:vAlign w:val="bottom"/>
          </w:tcPr>
          <w:p>
            <w:pPr>
              <w:ind w:left="140"/>
              <w:spacing w:after="0"/>
              <w:rPr>
                <w:sz w:val="20"/>
                <w:szCs w:val="20"/>
                <w:color w:val="auto"/>
              </w:rPr>
            </w:pPr>
            <w:r>
              <w:rPr>
                <w:rFonts w:ascii="Arial" w:cs="Arial" w:eastAsia="Arial" w:hAnsi="Arial"/>
                <w:sz w:val="17"/>
                <w:szCs w:val="17"/>
                <w:color w:val="404040"/>
              </w:rPr>
              <w:t>$1,672.750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140.00</w:t>
            </w:r>
          </w:p>
        </w:tc>
        <w:tc>
          <w:tcPr>
            <w:tcW w:w="2180" w:type="dxa"/>
            <w:vAlign w:val="bottom"/>
          </w:tcPr>
          <w:p>
            <w:pPr>
              <w:ind w:left="180"/>
              <w:spacing w:after="0"/>
              <w:rPr>
                <w:sz w:val="20"/>
                <w:szCs w:val="20"/>
                <w:color w:val="auto"/>
              </w:rPr>
            </w:pPr>
            <w:r>
              <w:rPr>
                <w:rFonts w:ascii="Arial" w:cs="Arial" w:eastAsia="Arial" w:hAnsi="Arial"/>
                <w:sz w:val="17"/>
                <w:szCs w:val="17"/>
                <w:color w:val="404040"/>
              </w:rPr>
              <w:t>40.00%</w:t>
            </w:r>
          </w:p>
        </w:tc>
        <w:tc>
          <w:tcPr>
            <w:tcW w:w="2180" w:type="dxa"/>
            <w:vAlign w:val="bottom"/>
          </w:tcPr>
          <w:p>
            <w:pPr>
              <w:ind w:left="140"/>
              <w:spacing w:after="0"/>
              <w:rPr>
                <w:sz w:val="20"/>
                <w:szCs w:val="20"/>
                <w:color w:val="auto"/>
              </w:rPr>
            </w:pPr>
            <w:r>
              <w:rPr>
                <w:rFonts w:ascii="Arial" w:cs="Arial" w:eastAsia="Arial" w:hAnsi="Arial"/>
                <w:sz w:val="17"/>
                <w:szCs w:val="17"/>
                <w:color w:val="404040"/>
              </w:rPr>
              <w:t>53.8200%</w:t>
            </w:r>
          </w:p>
        </w:tc>
        <w:tc>
          <w:tcPr>
            <w:tcW w:w="1620" w:type="dxa"/>
            <w:vAlign w:val="bottom"/>
          </w:tcPr>
          <w:p>
            <w:pPr>
              <w:ind w:left="140"/>
              <w:spacing w:after="0"/>
              <w:rPr>
                <w:sz w:val="20"/>
                <w:szCs w:val="20"/>
                <w:color w:val="auto"/>
              </w:rPr>
            </w:pPr>
            <w:r>
              <w:rPr>
                <w:rFonts w:ascii="Arial" w:cs="Arial" w:eastAsia="Arial" w:hAnsi="Arial"/>
                <w:sz w:val="17"/>
                <w:szCs w:val="17"/>
                <w:color w:val="404040"/>
              </w:rPr>
              <w:t>$1,538.200</w:t>
            </w:r>
          </w:p>
        </w:tc>
      </w:tr>
      <w:tr>
        <w:trPr>
          <w:trHeight w:val="238"/>
        </w:trPr>
        <w:tc>
          <w:tcPr>
            <w:tcW w:w="1980" w:type="dxa"/>
            <w:vAlign w:val="bottom"/>
          </w:tcPr>
          <w:p>
            <w:pPr>
              <w:spacing w:after="0"/>
              <w:rPr>
                <w:sz w:val="20"/>
                <w:szCs w:val="20"/>
                <w:color w:val="auto"/>
              </w:rPr>
            </w:pPr>
            <w:r>
              <w:rPr>
                <w:rFonts w:ascii="Arial" w:cs="Arial" w:eastAsia="Arial" w:hAnsi="Arial"/>
                <w:sz w:val="17"/>
                <w:szCs w:val="17"/>
                <w:color w:val="404040"/>
              </w:rPr>
              <w:t>130.00</w:t>
            </w:r>
          </w:p>
        </w:tc>
        <w:tc>
          <w:tcPr>
            <w:tcW w:w="2180" w:type="dxa"/>
            <w:vAlign w:val="bottom"/>
          </w:tcPr>
          <w:p>
            <w:pPr>
              <w:ind w:left="180"/>
              <w:spacing w:after="0"/>
              <w:rPr>
                <w:sz w:val="20"/>
                <w:szCs w:val="20"/>
                <w:color w:val="auto"/>
              </w:rPr>
            </w:pPr>
            <w:r>
              <w:rPr>
                <w:rFonts w:ascii="Arial" w:cs="Arial" w:eastAsia="Arial" w:hAnsi="Arial"/>
                <w:sz w:val="17"/>
                <w:szCs w:val="17"/>
                <w:color w:val="404040"/>
              </w:rPr>
              <w:t>30.00%</w:t>
            </w:r>
          </w:p>
        </w:tc>
        <w:tc>
          <w:tcPr>
            <w:tcW w:w="2180" w:type="dxa"/>
            <w:vAlign w:val="bottom"/>
          </w:tcPr>
          <w:p>
            <w:pPr>
              <w:ind w:left="140"/>
              <w:spacing w:after="0"/>
              <w:rPr>
                <w:sz w:val="20"/>
                <w:szCs w:val="20"/>
                <w:color w:val="auto"/>
              </w:rPr>
            </w:pPr>
            <w:r>
              <w:rPr>
                <w:rFonts w:ascii="Arial" w:cs="Arial" w:eastAsia="Arial" w:hAnsi="Arial"/>
                <w:sz w:val="17"/>
                <w:szCs w:val="17"/>
                <w:color w:val="404040"/>
              </w:rPr>
              <w:t>40.3650%</w:t>
            </w:r>
          </w:p>
        </w:tc>
        <w:tc>
          <w:tcPr>
            <w:tcW w:w="1620" w:type="dxa"/>
            <w:vAlign w:val="bottom"/>
          </w:tcPr>
          <w:p>
            <w:pPr>
              <w:ind w:left="140"/>
              <w:spacing w:after="0"/>
              <w:rPr>
                <w:sz w:val="20"/>
                <w:szCs w:val="20"/>
                <w:color w:val="auto"/>
              </w:rPr>
            </w:pPr>
            <w:r>
              <w:rPr>
                <w:rFonts w:ascii="Arial" w:cs="Arial" w:eastAsia="Arial" w:hAnsi="Arial"/>
                <w:sz w:val="17"/>
                <w:szCs w:val="17"/>
                <w:color w:val="404040"/>
              </w:rPr>
              <w:t>$1,403.650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120.00</w:t>
            </w:r>
          </w:p>
        </w:tc>
        <w:tc>
          <w:tcPr>
            <w:tcW w:w="2180" w:type="dxa"/>
            <w:vAlign w:val="bottom"/>
          </w:tcPr>
          <w:p>
            <w:pPr>
              <w:ind w:left="180"/>
              <w:spacing w:after="0"/>
              <w:rPr>
                <w:sz w:val="20"/>
                <w:szCs w:val="20"/>
                <w:color w:val="auto"/>
              </w:rPr>
            </w:pPr>
            <w:r>
              <w:rPr>
                <w:rFonts w:ascii="Arial" w:cs="Arial" w:eastAsia="Arial" w:hAnsi="Arial"/>
                <w:sz w:val="17"/>
                <w:szCs w:val="17"/>
                <w:color w:val="404040"/>
              </w:rPr>
              <w:t>20.00%</w:t>
            </w:r>
          </w:p>
        </w:tc>
        <w:tc>
          <w:tcPr>
            <w:tcW w:w="2180" w:type="dxa"/>
            <w:vAlign w:val="bottom"/>
          </w:tcPr>
          <w:p>
            <w:pPr>
              <w:ind w:left="140"/>
              <w:spacing w:after="0"/>
              <w:rPr>
                <w:sz w:val="20"/>
                <w:szCs w:val="20"/>
                <w:color w:val="auto"/>
              </w:rPr>
            </w:pPr>
            <w:r>
              <w:rPr>
                <w:rFonts w:ascii="Arial" w:cs="Arial" w:eastAsia="Arial" w:hAnsi="Arial"/>
                <w:sz w:val="17"/>
                <w:szCs w:val="17"/>
                <w:color w:val="404040"/>
              </w:rPr>
              <w:t>26.9100%</w:t>
            </w:r>
          </w:p>
        </w:tc>
        <w:tc>
          <w:tcPr>
            <w:tcW w:w="1620" w:type="dxa"/>
            <w:vAlign w:val="bottom"/>
          </w:tcPr>
          <w:p>
            <w:pPr>
              <w:ind w:left="140"/>
              <w:spacing w:after="0"/>
              <w:rPr>
                <w:sz w:val="20"/>
                <w:szCs w:val="20"/>
                <w:color w:val="auto"/>
              </w:rPr>
            </w:pPr>
            <w:r>
              <w:rPr>
                <w:rFonts w:ascii="Arial" w:cs="Arial" w:eastAsia="Arial" w:hAnsi="Arial"/>
                <w:sz w:val="17"/>
                <w:szCs w:val="17"/>
                <w:color w:val="404040"/>
              </w:rPr>
              <w:t>$1,269.100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110.00</w:t>
            </w:r>
          </w:p>
        </w:tc>
        <w:tc>
          <w:tcPr>
            <w:tcW w:w="2180" w:type="dxa"/>
            <w:vAlign w:val="bottom"/>
          </w:tcPr>
          <w:p>
            <w:pPr>
              <w:ind w:left="180"/>
              <w:spacing w:after="0"/>
              <w:rPr>
                <w:sz w:val="20"/>
                <w:szCs w:val="20"/>
                <w:color w:val="auto"/>
              </w:rPr>
            </w:pPr>
            <w:r>
              <w:rPr>
                <w:rFonts w:ascii="Arial" w:cs="Arial" w:eastAsia="Arial" w:hAnsi="Arial"/>
                <w:sz w:val="17"/>
                <w:szCs w:val="17"/>
                <w:color w:val="404040"/>
              </w:rPr>
              <w:t>10.00%</w:t>
            </w:r>
          </w:p>
        </w:tc>
        <w:tc>
          <w:tcPr>
            <w:tcW w:w="2180" w:type="dxa"/>
            <w:vAlign w:val="bottom"/>
          </w:tcPr>
          <w:p>
            <w:pPr>
              <w:ind w:left="140"/>
              <w:spacing w:after="0"/>
              <w:rPr>
                <w:sz w:val="20"/>
                <w:szCs w:val="20"/>
                <w:color w:val="auto"/>
              </w:rPr>
            </w:pPr>
            <w:r>
              <w:rPr>
                <w:rFonts w:ascii="Arial" w:cs="Arial" w:eastAsia="Arial" w:hAnsi="Arial"/>
                <w:sz w:val="17"/>
                <w:szCs w:val="17"/>
                <w:color w:val="404040"/>
              </w:rPr>
              <w:t>13.4550%</w:t>
            </w:r>
          </w:p>
        </w:tc>
        <w:tc>
          <w:tcPr>
            <w:tcW w:w="1620" w:type="dxa"/>
            <w:vAlign w:val="bottom"/>
          </w:tcPr>
          <w:p>
            <w:pPr>
              <w:ind w:left="140"/>
              <w:spacing w:after="0"/>
              <w:rPr>
                <w:sz w:val="20"/>
                <w:szCs w:val="20"/>
                <w:color w:val="auto"/>
              </w:rPr>
            </w:pPr>
            <w:r>
              <w:rPr>
                <w:rFonts w:ascii="Arial" w:cs="Arial" w:eastAsia="Arial" w:hAnsi="Arial"/>
                <w:sz w:val="17"/>
                <w:szCs w:val="17"/>
                <w:color w:val="404040"/>
              </w:rPr>
              <w:t>$1,134.550</w:t>
            </w:r>
          </w:p>
        </w:tc>
      </w:tr>
      <w:tr>
        <w:trPr>
          <w:trHeight w:val="238"/>
        </w:trPr>
        <w:tc>
          <w:tcPr>
            <w:tcW w:w="1980" w:type="dxa"/>
            <w:vAlign w:val="bottom"/>
          </w:tcPr>
          <w:p>
            <w:pPr>
              <w:spacing w:after="0"/>
              <w:rPr>
                <w:sz w:val="20"/>
                <w:szCs w:val="20"/>
                <w:color w:val="auto"/>
              </w:rPr>
            </w:pPr>
            <w:r>
              <w:rPr>
                <w:rFonts w:ascii="Arial" w:cs="Arial" w:eastAsia="Arial" w:hAnsi="Arial"/>
                <w:sz w:val="17"/>
                <w:szCs w:val="17"/>
                <w:color w:val="404040"/>
              </w:rPr>
              <w:t>105.00</w:t>
            </w:r>
          </w:p>
        </w:tc>
        <w:tc>
          <w:tcPr>
            <w:tcW w:w="2180" w:type="dxa"/>
            <w:vAlign w:val="bottom"/>
          </w:tcPr>
          <w:p>
            <w:pPr>
              <w:ind w:left="180"/>
              <w:spacing w:after="0"/>
              <w:rPr>
                <w:sz w:val="20"/>
                <w:szCs w:val="20"/>
                <w:color w:val="auto"/>
              </w:rPr>
            </w:pPr>
            <w:r>
              <w:rPr>
                <w:rFonts w:ascii="Arial" w:cs="Arial" w:eastAsia="Arial" w:hAnsi="Arial"/>
                <w:sz w:val="17"/>
                <w:szCs w:val="17"/>
                <w:color w:val="404040"/>
              </w:rPr>
              <w:t>5.00%</w:t>
            </w:r>
          </w:p>
        </w:tc>
        <w:tc>
          <w:tcPr>
            <w:tcW w:w="2180" w:type="dxa"/>
            <w:vAlign w:val="bottom"/>
          </w:tcPr>
          <w:p>
            <w:pPr>
              <w:ind w:left="140"/>
              <w:spacing w:after="0"/>
              <w:rPr>
                <w:sz w:val="20"/>
                <w:szCs w:val="20"/>
                <w:color w:val="auto"/>
              </w:rPr>
            </w:pPr>
            <w:r>
              <w:rPr>
                <w:rFonts w:ascii="Arial" w:cs="Arial" w:eastAsia="Arial" w:hAnsi="Arial"/>
                <w:sz w:val="17"/>
                <w:szCs w:val="17"/>
                <w:color w:val="404040"/>
              </w:rPr>
              <w:t>6.7275%</w:t>
            </w:r>
          </w:p>
        </w:tc>
        <w:tc>
          <w:tcPr>
            <w:tcW w:w="1620" w:type="dxa"/>
            <w:vAlign w:val="bottom"/>
          </w:tcPr>
          <w:p>
            <w:pPr>
              <w:ind w:left="140"/>
              <w:spacing w:after="0"/>
              <w:rPr>
                <w:sz w:val="20"/>
                <w:szCs w:val="20"/>
                <w:color w:val="auto"/>
              </w:rPr>
            </w:pPr>
            <w:r>
              <w:rPr>
                <w:rFonts w:ascii="Arial" w:cs="Arial" w:eastAsia="Arial" w:hAnsi="Arial"/>
                <w:sz w:val="17"/>
                <w:szCs w:val="17"/>
                <w:color w:val="404040"/>
              </w:rPr>
              <w:t>$1,067.275</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101.00</w:t>
            </w:r>
          </w:p>
        </w:tc>
        <w:tc>
          <w:tcPr>
            <w:tcW w:w="2180" w:type="dxa"/>
            <w:vAlign w:val="bottom"/>
          </w:tcPr>
          <w:p>
            <w:pPr>
              <w:ind w:left="180"/>
              <w:spacing w:after="0"/>
              <w:rPr>
                <w:sz w:val="20"/>
                <w:szCs w:val="20"/>
                <w:color w:val="auto"/>
              </w:rPr>
            </w:pPr>
            <w:r>
              <w:rPr>
                <w:rFonts w:ascii="Arial" w:cs="Arial" w:eastAsia="Arial" w:hAnsi="Arial"/>
                <w:sz w:val="17"/>
                <w:szCs w:val="17"/>
                <w:color w:val="404040"/>
              </w:rPr>
              <w:t>1.00%</w:t>
            </w:r>
          </w:p>
        </w:tc>
        <w:tc>
          <w:tcPr>
            <w:tcW w:w="2180" w:type="dxa"/>
            <w:vAlign w:val="bottom"/>
          </w:tcPr>
          <w:p>
            <w:pPr>
              <w:ind w:left="140"/>
              <w:spacing w:after="0"/>
              <w:rPr>
                <w:sz w:val="20"/>
                <w:szCs w:val="20"/>
                <w:color w:val="auto"/>
              </w:rPr>
            </w:pPr>
            <w:r>
              <w:rPr>
                <w:rFonts w:ascii="Arial" w:cs="Arial" w:eastAsia="Arial" w:hAnsi="Arial"/>
                <w:sz w:val="17"/>
                <w:szCs w:val="17"/>
                <w:color w:val="404040"/>
              </w:rPr>
              <w:t>1.3455%</w:t>
            </w:r>
          </w:p>
        </w:tc>
        <w:tc>
          <w:tcPr>
            <w:tcW w:w="1620" w:type="dxa"/>
            <w:vAlign w:val="bottom"/>
          </w:tcPr>
          <w:p>
            <w:pPr>
              <w:ind w:left="140"/>
              <w:spacing w:after="0"/>
              <w:rPr>
                <w:sz w:val="20"/>
                <w:szCs w:val="20"/>
                <w:color w:val="auto"/>
              </w:rPr>
            </w:pPr>
            <w:r>
              <w:rPr>
                <w:rFonts w:ascii="Arial" w:cs="Arial" w:eastAsia="Arial" w:hAnsi="Arial"/>
                <w:sz w:val="17"/>
                <w:szCs w:val="17"/>
                <w:color w:val="404040"/>
              </w:rPr>
              <w:t>$1,013.455</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100.00</w:t>
            </w:r>
          </w:p>
        </w:tc>
        <w:tc>
          <w:tcPr>
            <w:tcW w:w="2180" w:type="dxa"/>
            <w:vAlign w:val="bottom"/>
          </w:tcPr>
          <w:p>
            <w:pPr>
              <w:ind w:left="180"/>
              <w:spacing w:after="0"/>
              <w:rPr>
                <w:sz w:val="20"/>
                <w:szCs w:val="20"/>
                <w:color w:val="auto"/>
              </w:rPr>
            </w:pPr>
            <w:r>
              <w:rPr>
                <w:rFonts w:ascii="Arial" w:cs="Arial" w:eastAsia="Arial" w:hAnsi="Arial"/>
                <w:sz w:val="17"/>
                <w:szCs w:val="17"/>
                <w:color w:val="404040"/>
              </w:rPr>
              <w:t>0.00%</w:t>
            </w:r>
          </w:p>
        </w:tc>
        <w:tc>
          <w:tcPr>
            <w:tcW w:w="2180" w:type="dxa"/>
            <w:vAlign w:val="bottom"/>
          </w:tcPr>
          <w:p>
            <w:pPr>
              <w:ind w:left="140"/>
              <w:spacing w:after="0"/>
              <w:rPr>
                <w:sz w:val="20"/>
                <w:szCs w:val="20"/>
                <w:color w:val="auto"/>
              </w:rPr>
            </w:pPr>
            <w:r>
              <w:rPr>
                <w:rFonts w:ascii="Arial" w:cs="Arial" w:eastAsia="Arial" w:hAnsi="Arial"/>
                <w:sz w:val="17"/>
                <w:szCs w:val="17"/>
                <w:color w:val="404040"/>
              </w:rPr>
              <w:t>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$1,000.000</w:t>
            </w:r>
          </w:p>
        </w:tc>
      </w:tr>
      <w:tr>
        <w:trPr>
          <w:trHeight w:val="238"/>
        </w:trPr>
        <w:tc>
          <w:tcPr>
            <w:tcW w:w="1980" w:type="dxa"/>
            <w:vAlign w:val="bottom"/>
          </w:tcPr>
          <w:p>
            <w:pPr>
              <w:spacing w:after="0"/>
              <w:rPr>
                <w:sz w:val="20"/>
                <w:szCs w:val="20"/>
                <w:color w:val="auto"/>
              </w:rPr>
            </w:pPr>
            <w:r>
              <w:rPr>
                <w:rFonts w:ascii="Arial" w:cs="Arial" w:eastAsia="Arial" w:hAnsi="Arial"/>
                <w:sz w:val="17"/>
                <w:szCs w:val="17"/>
                <w:color w:val="404040"/>
              </w:rPr>
              <w:t>95.00</w:t>
            </w:r>
          </w:p>
        </w:tc>
        <w:tc>
          <w:tcPr>
            <w:tcW w:w="2180" w:type="dxa"/>
            <w:vAlign w:val="bottom"/>
          </w:tcPr>
          <w:p>
            <w:pPr>
              <w:ind w:left="180"/>
              <w:spacing w:after="0"/>
              <w:rPr>
                <w:sz w:val="20"/>
                <w:szCs w:val="20"/>
                <w:color w:val="auto"/>
              </w:rPr>
            </w:pPr>
            <w:r>
              <w:rPr>
                <w:rFonts w:ascii="Arial" w:cs="Arial" w:eastAsia="Arial" w:hAnsi="Arial"/>
                <w:sz w:val="17"/>
                <w:szCs w:val="17"/>
                <w:color w:val="404040"/>
              </w:rPr>
              <w:t>-5.00%</w:t>
            </w:r>
          </w:p>
        </w:tc>
        <w:tc>
          <w:tcPr>
            <w:tcW w:w="2180" w:type="dxa"/>
            <w:vAlign w:val="bottom"/>
          </w:tcPr>
          <w:p>
            <w:pPr>
              <w:ind w:left="140"/>
              <w:spacing w:after="0"/>
              <w:rPr>
                <w:sz w:val="20"/>
                <w:szCs w:val="20"/>
                <w:color w:val="auto"/>
              </w:rPr>
            </w:pPr>
            <w:r>
              <w:rPr>
                <w:rFonts w:ascii="Arial" w:cs="Arial" w:eastAsia="Arial" w:hAnsi="Arial"/>
                <w:sz w:val="17"/>
                <w:szCs w:val="17"/>
                <w:color w:val="404040"/>
              </w:rPr>
              <w:t>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$1,000.000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90.00</w:t>
            </w:r>
          </w:p>
        </w:tc>
        <w:tc>
          <w:tcPr>
            <w:tcW w:w="2180" w:type="dxa"/>
            <w:vAlign w:val="bottom"/>
          </w:tcPr>
          <w:p>
            <w:pPr>
              <w:ind w:left="180"/>
              <w:spacing w:after="0"/>
              <w:rPr>
                <w:sz w:val="20"/>
                <w:szCs w:val="20"/>
                <w:color w:val="auto"/>
              </w:rPr>
            </w:pPr>
            <w:r>
              <w:rPr>
                <w:rFonts w:ascii="Arial" w:cs="Arial" w:eastAsia="Arial" w:hAnsi="Arial"/>
                <w:sz w:val="17"/>
                <w:szCs w:val="17"/>
                <w:color w:val="404040"/>
              </w:rPr>
              <w:t>-10.00%</w:t>
            </w:r>
          </w:p>
        </w:tc>
        <w:tc>
          <w:tcPr>
            <w:tcW w:w="2180" w:type="dxa"/>
            <w:vAlign w:val="bottom"/>
          </w:tcPr>
          <w:p>
            <w:pPr>
              <w:ind w:left="140"/>
              <w:spacing w:after="0"/>
              <w:rPr>
                <w:sz w:val="20"/>
                <w:szCs w:val="20"/>
                <w:color w:val="auto"/>
              </w:rPr>
            </w:pPr>
            <w:r>
              <w:rPr>
                <w:rFonts w:ascii="Arial" w:cs="Arial" w:eastAsia="Arial" w:hAnsi="Arial"/>
                <w:sz w:val="17"/>
                <w:szCs w:val="17"/>
                <w:color w:val="404040"/>
              </w:rPr>
              <w:t>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$1,000.000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85.00</w:t>
            </w:r>
          </w:p>
        </w:tc>
        <w:tc>
          <w:tcPr>
            <w:tcW w:w="2180" w:type="dxa"/>
            <w:vAlign w:val="bottom"/>
          </w:tcPr>
          <w:p>
            <w:pPr>
              <w:ind w:left="180"/>
              <w:spacing w:after="0"/>
              <w:rPr>
                <w:sz w:val="20"/>
                <w:szCs w:val="20"/>
                <w:color w:val="auto"/>
              </w:rPr>
            </w:pPr>
            <w:r>
              <w:rPr>
                <w:rFonts w:ascii="Arial" w:cs="Arial" w:eastAsia="Arial" w:hAnsi="Arial"/>
                <w:sz w:val="17"/>
                <w:szCs w:val="17"/>
                <w:color w:val="404040"/>
              </w:rPr>
              <w:t>-15.00%</w:t>
            </w:r>
          </w:p>
        </w:tc>
        <w:tc>
          <w:tcPr>
            <w:tcW w:w="2180" w:type="dxa"/>
            <w:vAlign w:val="bottom"/>
          </w:tcPr>
          <w:p>
            <w:pPr>
              <w:ind w:left="140"/>
              <w:spacing w:after="0"/>
              <w:rPr>
                <w:sz w:val="20"/>
                <w:szCs w:val="20"/>
                <w:color w:val="auto"/>
              </w:rPr>
            </w:pPr>
            <w:r>
              <w:rPr>
                <w:rFonts w:ascii="Arial" w:cs="Arial" w:eastAsia="Arial" w:hAnsi="Arial"/>
                <w:sz w:val="17"/>
                <w:szCs w:val="17"/>
                <w:color w:val="404040"/>
              </w:rPr>
              <w:t>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$1,000.000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84.99</w:t>
            </w:r>
          </w:p>
        </w:tc>
        <w:tc>
          <w:tcPr>
            <w:tcW w:w="2180" w:type="dxa"/>
            <w:vAlign w:val="bottom"/>
          </w:tcPr>
          <w:p>
            <w:pPr>
              <w:ind w:left="180"/>
              <w:spacing w:after="0"/>
              <w:rPr>
                <w:sz w:val="20"/>
                <w:szCs w:val="20"/>
                <w:color w:val="auto"/>
              </w:rPr>
            </w:pPr>
            <w:r>
              <w:rPr>
                <w:rFonts w:ascii="Arial" w:cs="Arial" w:eastAsia="Arial" w:hAnsi="Arial"/>
                <w:sz w:val="17"/>
                <w:szCs w:val="17"/>
                <w:color w:val="404040"/>
              </w:rPr>
              <w:t>-15.01%</w:t>
            </w:r>
          </w:p>
        </w:tc>
        <w:tc>
          <w:tcPr>
            <w:tcW w:w="2180" w:type="dxa"/>
            <w:vAlign w:val="bottom"/>
          </w:tcPr>
          <w:p>
            <w:pPr>
              <w:ind w:left="140"/>
              <w:spacing w:after="0"/>
              <w:rPr>
                <w:sz w:val="20"/>
                <w:szCs w:val="20"/>
                <w:color w:val="auto"/>
              </w:rPr>
            </w:pPr>
            <w:r>
              <w:rPr>
                <w:rFonts w:ascii="Arial" w:cs="Arial" w:eastAsia="Arial" w:hAnsi="Arial"/>
                <w:sz w:val="17"/>
                <w:szCs w:val="17"/>
                <w:color w:val="404040"/>
              </w:rPr>
              <w:t>-15.0100%</w:t>
            </w:r>
          </w:p>
        </w:tc>
        <w:tc>
          <w:tcPr>
            <w:tcW w:w="1620" w:type="dxa"/>
            <w:vAlign w:val="bottom"/>
          </w:tcPr>
          <w:p>
            <w:pPr>
              <w:ind w:left="140"/>
              <w:spacing w:after="0"/>
              <w:rPr>
                <w:sz w:val="20"/>
                <w:szCs w:val="20"/>
                <w:color w:val="auto"/>
              </w:rPr>
            </w:pPr>
            <w:r>
              <w:rPr>
                <w:rFonts w:ascii="Arial" w:cs="Arial" w:eastAsia="Arial" w:hAnsi="Arial"/>
                <w:sz w:val="17"/>
                <w:szCs w:val="17"/>
                <w:color w:val="404040"/>
              </w:rPr>
              <w:t>$849.900</w:t>
            </w:r>
          </w:p>
        </w:tc>
      </w:tr>
      <w:tr>
        <w:trPr>
          <w:trHeight w:val="265"/>
        </w:trPr>
        <w:tc>
          <w:tcPr>
            <w:tcW w:w="1980" w:type="dxa"/>
            <w:vAlign w:val="bottom"/>
          </w:tcPr>
          <w:p>
            <w:pPr>
              <w:spacing w:after="0"/>
              <w:rPr>
                <w:sz w:val="20"/>
                <w:szCs w:val="20"/>
                <w:color w:val="auto"/>
              </w:rPr>
            </w:pPr>
            <w:r>
              <w:rPr>
                <w:rFonts w:ascii="Arial" w:cs="Arial" w:eastAsia="Arial" w:hAnsi="Arial"/>
                <w:sz w:val="17"/>
                <w:szCs w:val="17"/>
                <w:color w:val="404040"/>
              </w:rPr>
              <w:t>80.00</w:t>
            </w:r>
          </w:p>
        </w:tc>
        <w:tc>
          <w:tcPr>
            <w:tcW w:w="2180" w:type="dxa"/>
            <w:vAlign w:val="bottom"/>
          </w:tcPr>
          <w:p>
            <w:pPr>
              <w:ind w:left="180"/>
              <w:spacing w:after="0"/>
              <w:rPr>
                <w:sz w:val="20"/>
                <w:szCs w:val="20"/>
                <w:color w:val="auto"/>
              </w:rPr>
            </w:pPr>
            <w:r>
              <w:rPr>
                <w:rFonts w:ascii="Arial" w:cs="Arial" w:eastAsia="Arial" w:hAnsi="Arial"/>
                <w:sz w:val="17"/>
                <w:szCs w:val="17"/>
                <w:color w:val="404040"/>
              </w:rPr>
              <w:t>-20.00%</w:t>
            </w:r>
          </w:p>
        </w:tc>
        <w:tc>
          <w:tcPr>
            <w:tcW w:w="2180" w:type="dxa"/>
            <w:vAlign w:val="bottom"/>
          </w:tcPr>
          <w:p>
            <w:pPr>
              <w:ind w:left="140"/>
              <w:spacing w:after="0"/>
              <w:rPr>
                <w:sz w:val="20"/>
                <w:szCs w:val="20"/>
                <w:color w:val="auto"/>
              </w:rPr>
            </w:pPr>
            <w:r>
              <w:rPr>
                <w:rFonts w:ascii="Arial" w:cs="Arial" w:eastAsia="Arial" w:hAnsi="Arial"/>
                <w:sz w:val="17"/>
                <w:szCs w:val="17"/>
                <w:color w:val="404040"/>
              </w:rPr>
              <w:t>-20.0000%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$800.000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70.00</w:t>
            </w:r>
          </w:p>
        </w:tc>
        <w:tc>
          <w:tcPr>
            <w:tcW w:w="2180" w:type="dxa"/>
            <w:vAlign w:val="bottom"/>
          </w:tcPr>
          <w:p>
            <w:pPr>
              <w:ind w:left="180"/>
              <w:spacing w:after="0"/>
              <w:rPr>
                <w:sz w:val="20"/>
                <w:szCs w:val="20"/>
                <w:color w:val="auto"/>
              </w:rPr>
            </w:pPr>
            <w:r>
              <w:rPr>
                <w:rFonts w:ascii="Arial" w:cs="Arial" w:eastAsia="Arial" w:hAnsi="Arial"/>
                <w:sz w:val="17"/>
                <w:szCs w:val="17"/>
                <w:color w:val="404040"/>
              </w:rPr>
              <w:t>-30.00%</w:t>
            </w:r>
          </w:p>
        </w:tc>
        <w:tc>
          <w:tcPr>
            <w:tcW w:w="2180" w:type="dxa"/>
            <w:vAlign w:val="bottom"/>
          </w:tcPr>
          <w:p>
            <w:pPr>
              <w:ind w:left="140"/>
              <w:spacing w:after="0"/>
              <w:rPr>
                <w:sz w:val="20"/>
                <w:szCs w:val="20"/>
                <w:color w:val="auto"/>
              </w:rPr>
            </w:pPr>
            <w:r>
              <w:rPr>
                <w:rFonts w:ascii="Arial" w:cs="Arial" w:eastAsia="Arial" w:hAnsi="Arial"/>
                <w:sz w:val="17"/>
                <w:szCs w:val="17"/>
                <w:color w:val="404040"/>
              </w:rPr>
              <w:t>-30.0000%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$700.000</w:t>
            </w:r>
          </w:p>
        </w:tc>
      </w:tr>
      <w:tr>
        <w:trPr>
          <w:trHeight w:val="238"/>
        </w:trPr>
        <w:tc>
          <w:tcPr>
            <w:tcW w:w="1980" w:type="dxa"/>
            <w:vAlign w:val="bottom"/>
          </w:tcPr>
          <w:p>
            <w:pPr>
              <w:spacing w:after="0"/>
              <w:rPr>
                <w:sz w:val="20"/>
                <w:szCs w:val="20"/>
                <w:color w:val="auto"/>
              </w:rPr>
            </w:pPr>
            <w:r>
              <w:rPr>
                <w:rFonts w:ascii="Arial" w:cs="Arial" w:eastAsia="Arial" w:hAnsi="Arial"/>
                <w:sz w:val="17"/>
                <w:szCs w:val="17"/>
                <w:color w:val="404040"/>
              </w:rPr>
              <w:t>60.00</w:t>
            </w:r>
          </w:p>
        </w:tc>
        <w:tc>
          <w:tcPr>
            <w:tcW w:w="2180" w:type="dxa"/>
            <w:vAlign w:val="bottom"/>
          </w:tcPr>
          <w:p>
            <w:pPr>
              <w:ind w:left="180"/>
              <w:spacing w:after="0"/>
              <w:rPr>
                <w:sz w:val="20"/>
                <w:szCs w:val="20"/>
                <w:color w:val="auto"/>
              </w:rPr>
            </w:pPr>
            <w:r>
              <w:rPr>
                <w:rFonts w:ascii="Arial" w:cs="Arial" w:eastAsia="Arial" w:hAnsi="Arial"/>
                <w:sz w:val="17"/>
                <w:szCs w:val="17"/>
                <w:color w:val="404040"/>
              </w:rPr>
              <w:t>-40.00%</w:t>
            </w:r>
          </w:p>
        </w:tc>
        <w:tc>
          <w:tcPr>
            <w:tcW w:w="2180" w:type="dxa"/>
            <w:vAlign w:val="bottom"/>
          </w:tcPr>
          <w:p>
            <w:pPr>
              <w:ind w:left="140"/>
              <w:spacing w:after="0"/>
              <w:rPr>
                <w:sz w:val="20"/>
                <w:szCs w:val="20"/>
                <w:color w:val="auto"/>
              </w:rPr>
            </w:pPr>
            <w:r>
              <w:rPr>
                <w:rFonts w:ascii="Arial" w:cs="Arial" w:eastAsia="Arial" w:hAnsi="Arial"/>
                <w:sz w:val="17"/>
                <w:szCs w:val="17"/>
                <w:color w:val="404040"/>
              </w:rPr>
              <w:t>-40.0000%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$600.000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50.00</w:t>
            </w:r>
          </w:p>
        </w:tc>
        <w:tc>
          <w:tcPr>
            <w:tcW w:w="2180" w:type="dxa"/>
            <w:vAlign w:val="bottom"/>
          </w:tcPr>
          <w:p>
            <w:pPr>
              <w:ind w:left="180"/>
              <w:spacing w:after="0"/>
              <w:rPr>
                <w:sz w:val="20"/>
                <w:szCs w:val="20"/>
                <w:color w:val="auto"/>
              </w:rPr>
            </w:pPr>
            <w:r>
              <w:rPr>
                <w:rFonts w:ascii="Arial" w:cs="Arial" w:eastAsia="Arial" w:hAnsi="Arial"/>
                <w:sz w:val="17"/>
                <w:szCs w:val="17"/>
                <w:color w:val="404040"/>
              </w:rPr>
              <w:t>-50.00%</w:t>
            </w:r>
          </w:p>
        </w:tc>
        <w:tc>
          <w:tcPr>
            <w:tcW w:w="2180" w:type="dxa"/>
            <w:vAlign w:val="bottom"/>
          </w:tcPr>
          <w:p>
            <w:pPr>
              <w:ind w:left="140"/>
              <w:spacing w:after="0"/>
              <w:rPr>
                <w:sz w:val="20"/>
                <w:szCs w:val="20"/>
                <w:color w:val="auto"/>
              </w:rPr>
            </w:pPr>
            <w:r>
              <w:rPr>
                <w:rFonts w:ascii="Arial" w:cs="Arial" w:eastAsia="Arial" w:hAnsi="Arial"/>
                <w:sz w:val="17"/>
                <w:szCs w:val="17"/>
                <w:color w:val="404040"/>
              </w:rPr>
              <w:t>-50.0000%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$500.000</w:t>
            </w:r>
          </w:p>
        </w:tc>
      </w:tr>
      <w:tr>
        <w:trPr>
          <w:trHeight w:val="238"/>
        </w:trPr>
        <w:tc>
          <w:tcPr>
            <w:tcW w:w="1980" w:type="dxa"/>
            <w:vAlign w:val="bottom"/>
          </w:tcPr>
          <w:p>
            <w:pPr>
              <w:spacing w:after="0"/>
              <w:rPr>
                <w:sz w:val="20"/>
                <w:szCs w:val="20"/>
                <w:color w:val="auto"/>
              </w:rPr>
            </w:pPr>
            <w:r>
              <w:rPr>
                <w:rFonts w:ascii="Arial" w:cs="Arial" w:eastAsia="Arial" w:hAnsi="Arial"/>
                <w:sz w:val="17"/>
                <w:szCs w:val="17"/>
                <w:color w:val="404040"/>
              </w:rPr>
              <w:t>40.00</w:t>
            </w:r>
          </w:p>
        </w:tc>
        <w:tc>
          <w:tcPr>
            <w:tcW w:w="2180" w:type="dxa"/>
            <w:vAlign w:val="bottom"/>
          </w:tcPr>
          <w:p>
            <w:pPr>
              <w:ind w:left="180"/>
              <w:spacing w:after="0"/>
              <w:rPr>
                <w:sz w:val="20"/>
                <w:szCs w:val="20"/>
                <w:color w:val="auto"/>
              </w:rPr>
            </w:pPr>
            <w:r>
              <w:rPr>
                <w:rFonts w:ascii="Arial" w:cs="Arial" w:eastAsia="Arial" w:hAnsi="Arial"/>
                <w:sz w:val="17"/>
                <w:szCs w:val="17"/>
                <w:color w:val="404040"/>
              </w:rPr>
              <w:t>-60.00%</w:t>
            </w:r>
          </w:p>
        </w:tc>
        <w:tc>
          <w:tcPr>
            <w:tcW w:w="2180" w:type="dxa"/>
            <w:vAlign w:val="bottom"/>
          </w:tcPr>
          <w:p>
            <w:pPr>
              <w:ind w:left="140"/>
              <w:spacing w:after="0"/>
              <w:rPr>
                <w:sz w:val="20"/>
                <w:szCs w:val="20"/>
                <w:color w:val="auto"/>
              </w:rPr>
            </w:pPr>
            <w:r>
              <w:rPr>
                <w:rFonts w:ascii="Arial" w:cs="Arial" w:eastAsia="Arial" w:hAnsi="Arial"/>
                <w:sz w:val="17"/>
                <w:szCs w:val="17"/>
                <w:color w:val="404040"/>
              </w:rPr>
              <w:t>-60.0000%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$400.000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30.00</w:t>
            </w:r>
          </w:p>
        </w:tc>
        <w:tc>
          <w:tcPr>
            <w:tcW w:w="2180" w:type="dxa"/>
            <w:vAlign w:val="bottom"/>
          </w:tcPr>
          <w:p>
            <w:pPr>
              <w:ind w:left="180"/>
              <w:spacing w:after="0"/>
              <w:rPr>
                <w:sz w:val="20"/>
                <w:szCs w:val="20"/>
                <w:color w:val="auto"/>
              </w:rPr>
            </w:pPr>
            <w:r>
              <w:rPr>
                <w:rFonts w:ascii="Arial" w:cs="Arial" w:eastAsia="Arial" w:hAnsi="Arial"/>
                <w:sz w:val="17"/>
                <w:szCs w:val="17"/>
                <w:color w:val="404040"/>
              </w:rPr>
              <w:t>-70.00%</w:t>
            </w:r>
          </w:p>
        </w:tc>
        <w:tc>
          <w:tcPr>
            <w:tcW w:w="2180" w:type="dxa"/>
            <w:vAlign w:val="bottom"/>
          </w:tcPr>
          <w:p>
            <w:pPr>
              <w:ind w:left="140"/>
              <w:spacing w:after="0"/>
              <w:rPr>
                <w:sz w:val="20"/>
                <w:szCs w:val="20"/>
                <w:color w:val="auto"/>
              </w:rPr>
            </w:pPr>
            <w:r>
              <w:rPr>
                <w:rFonts w:ascii="Arial" w:cs="Arial" w:eastAsia="Arial" w:hAnsi="Arial"/>
                <w:sz w:val="17"/>
                <w:szCs w:val="17"/>
                <w:color w:val="404040"/>
              </w:rPr>
              <w:t>-70.0000%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$300.000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20.00</w:t>
            </w:r>
          </w:p>
        </w:tc>
        <w:tc>
          <w:tcPr>
            <w:tcW w:w="2180" w:type="dxa"/>
            <w:vAlign w:val="bottom"/>
          </w:tcPr>
          <w:p>
            <w:pPr>
              <w:ind w:left="180"/>
              <w:spacing w:after="0"/>
              <w:rPr>
                <w:sz w:val="20"/>
                <w:szCs w:val="20"/>
                <w:color w:val="auto"/>
              </w:rPr>
            </w:pPr>
            <w:r>
              <w:rPr>
                <w:rFonts w:ascii="Arial" w:cs="Arial" w:eastAsia="Arial" w:hAnsi="Arial"/>
                <w:sz w:val="17"/>
                <w:szCs w:val="17"/>
                <w:color w:val="404040"/>
              </w:rPr>
              <w:t>-80.00%</w:t>
            </w:r>
          </w:p>
        </w:tc>
        <w:tc>
          <w:tcPr>
            <w:tcW w:w="2180" w:type="dxa"/>
            <w:vAlign w:val="bottom"/>
          </w:tcPr>
          <w:p>
            <w:pPr>
              <w:ind w:left="140"/>
              <w:spacing w:after="0"/>
              <w:rPr>
                <w:sz w:val="20"/>
                <w:szCs w:val="20"/>
                <w:color w:val="auto"/>
              </w:rPr>
            </w:pPr>
            <w:r>
              <w:rPr>
                <w:rFonts w:ascii="Arial" w:cs="Arial" w:eastAsia="Arial" w:hAnsi="Arial"/>
                <w:sz w:val="17"/>
                <w:szCs w:val="17"/>
                <w:color w:val="404040"/>
              </w:rPr>
              <w:t>-80.0000%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$200.000</w:t>
            </w:r>
          </w:p>
        </w:tc>
      </w:tr>
      <w:tr>
        <w:trPr>
          <w:trHeight w:val="251"/>
        </w:trPr>
        <w:tc>
          <w:tcPr>
            <w:tcW w:w="1980" w:type="dxa"/>
            <w:vAlign w:val="bottom"/>
          </w:tcPr>
          <w:p>
            <w:pPr>
              <w:spacing w:after="0"/>
              <w:rPr>
                <w:sz w:val="20"/>
                <w:szCs w:val="20"/>
                <w:color w:val="auto"/>
              </w:rPr>
            </w:pPr>
            <w:r>
              <w:rPr>
                <w:rFonts w:ascii="Arial" w:cs="Arial" w:eastAsia="Arial" w:hAnsi="Arial"/>
                <w:sz w:val="17"/>
                <w:szCs w:val="17"/>
                <w:color w:val="404040"/>
              </w:rPr>
              <w:t>10.00</w:t>
            </w:r>
          </w:p>
        </w:tc>
        <w:tc>
          <w:tcPr>
            <w:tcW w:w="2180" w:type="dxa"/>
            <w:vAlign w:val="bottom"/>
          </w:tcPr>
          <w:p>
            <w:pPr>
              <w:ind w:left="180"/>
              <w:spacing w:after="0"/>
              <w:rPr>
                <w:sz w:val="20"/>
                <w:szCs w:val="20"/>
                <w:color w:val="auto"/>
              </w:rPr>
            </w:pPr>
            <w:r>
              <w:rPr>
                <w:rFonts w:ascii="Arial" w:cs="Arial" w:eastAsia="Arial" w:hAnsi="Arial"/>
                <w:sz w:val="17"/>
                <w:szCs w:val="17"/>
                <w:color w:val="404040"/>
              </w:rPr>
              <w:t>-90.00%</w:t>
            </w:r>
          </w:p>
        </w:tc>
        <w:tc>
          <w:tcPr>
            <w:tcW w:w="2180" w:type="dxa"/>
            <w:vAlign w:val="bottom"/>
          </w:tcPr>
          <w:p>
            <w:pPr>
              <w:ind w:left="140"/>
              <w:spacing w:after="0"/>
              <w:rPr>
                <w:sz w:val="20"/>
                <w:szCs w:val="20"/>
                <w:color w:val="auto"/>
              </w:rPr>
            </w:pPr>
            <w:r>
              <w:rPr>
                <w:rFonts w:ascii="Arial" w:cs="Arial" w:eastAsia="Arial" w:hAnsi="Arial"/>
                <w:sz w:val="17"/>
                <w:szCs w:val="17"/>
                <w:color w:val="404040"/>
              </w:rPr>
              <w:t>-90.0000%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$100.000</w:t>
            </w:r>
          </w:p>
        </w:tc>
      </w:tr>
      <w:tr>
        <w:trPr>
          <w:trHeight w:val="238"/>
        </w:trPr>
        <w:tc>
          <w:tcPr>
            <w:tcW w:w="1980" w:type="dxa"/>
            <w:vAlign w:val="bottom"/>
          </w:tcPr>
          <w:p>
            <w:pPr>
              <w:spacing w:after="0"/>
              <w:rPr>
                <w:sz w:val="20"/>
                <w:szCs w:val="20"/>
                <w:color w:val="auto"/>
              </w:rPr>
            </w:pPr>
            <w:r>
              <w:rPr>
                <w:rFonts w:ascii="Arial" w:cs="Arial" w:eastAsia="Arial" w:hAnsi="Arial"/>
                <w:sz w:val="17"/>
                <w:szCs w:val="17"/>
                <w:color w:val="404040"/>
              </w:rPr>
              <w:t>0.00</w:t>
            </w:r>
          </w:p>
        </w:tc>
        <w:tc>
          <w:tcPr>
            <w:tcW w:w="2180" w:type="dxa"/>
            <w:vAlign w:val="bottom"/>
          </w:tcPr>
          <w:p>
            <w:pPr>
              <w:ind w:left="180"/>
              <w:spacing w:after="0"/>
              <w:rPr>
                <w:sz w:val="20"/>
                <w:szCs w:val="20"/>
                <w:color w:val="auto"/>
              </w:rPr>
            </w:pPr>
            <w:r>
              <w:rPr>
                <w:rFonts w:ascii="Arial" w:cs="Arial" w:eastAsia="Arial" w:hAnsi="Arial"/>
                <w:sz w:val="17"/>
                <w:szCs w:val="17"/>
                <w:color w:val="404040"/>
              </w:rPr>
              <w:t>-100.00%</w:t>
            </w:r>
          </w:p>
        </w:tc>
        <w:tc>
          <w:tcPr>
            <w:tcW w:w="2180" w:type="dxa"/>
            <w:vAlign w:val="bottom"/>
          </w:tcPr>
          <w:p>
            <w:pPr>
              <w:ind w:left="140"/>
              <w:spacing w:after="0"/>
              <w:rPr>
                <w:sz w:val="20"/>
                <w:szCs w:val="20"/>
                <w:color w:val="auto"/>
              </w:rPr>
            </w:pPr>
            <w:r>
              <w:rPr>
                <w:rFonts w:ascii="Arial" w:cs="Arial" w:eastAsia="Arial" w:hAnsi="Arial"/>
                <w:sz w:val="17"/>
                <w:szCs w:val="17"/>
                <w:color w:val="404040"/>
              </w:rPr>
              <w:t>-100.0000%</w:t>
            </w:r>
          </w:p>
        </w:tc>
        <w:tc>
          <w:tcPr>
            <w:tcW w:w="1620" w:type="dxa"/>
            <w:vAlign w:val="bottom"/>
          </w:tcPr>
          <w:p>
            <w:pPr>
              <w:ind w:left="140"/>
              <w:spacing w:after="0"/>
              <w:rPr>
                <w:sz w:val="20"/>
                <w:szCs w:val="20"/>
                <w:color w:val="auto"/>
              </w:rPr>
            </w:pPr>
            <w:r>
              <w:rPr>
                <w:rFonts w:ascii="Arial" w:cs="Arial" w:eastAsia="Arial" w:hAnsi="Arial"/>
                <w:sz w:val="17"/>
                <w:szCs w:val="17"/>
                <w:color w:val="404040"/>
              </w:rPr>
              <w:t>$0.000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7"/>
          <w:szCs w:val="17"/>
          <w:color w:val="6D6E71"/>
        </w:rPr>
        <w:t>PS-2 | Structured Investments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ectPr>
          <w:pgSz w:w="11900" w:h="16838" w:orient="portrait"/>
          <w:cols w:equalWidth="0" w:num="1">
            <w:col w:w="9940"/>
          </w:cols>
          <w:pgMar w:left="1000" w:top="775" w:right="959" w:bottom="1440" w:gutter="0" w:footer="0" w:header="0"/>
        </w:sectPr>
      </w:pPr>
    </w:p>
    <w:bookmarkStart w:id="3" w:name="page4"/>
    <w:bookmarkEnd w:id="3"/>
    <w:p>
      <w:pPr>
        <w:ind w:left="5" w:right="20"/>
        <w:spacing w:after="0" w:line="291" w:lineRule="auto"/>
        <w:rPr>
          <w:sz w:val="20"/>
          <w:szCs w:val="20"/>
          <w:color w:val="auto"/>
        </w:rPr>
      </w:pPr>
      <w:r>
        <w:rPr>
          <w:rFonts w:ascii="Arial" w:cs="Arial" w:eastAsia="Arial" w:hAnsi="Arial"/>
          <w:sz w:val="17"/>
          <w:szCs w:val="17"/>
          <w:color w:val="404040"/>
        </w:rPr>
        <w:t>The following graph demonstrates the hypothetical payments at maturity on the notes for a sub-set of Lesser Performing Index Returns detailed in the table above (-50% to 50%). There can be no assurance that the performance of the Lesser Performing Index will result in the return of any of your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192405</wp:posOffset>
            </wp:positionV>
            <wp:extent cx="6378575" cy="807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8575" cy="807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4E8ABE"/>
        </w:rPr>
        <w:t>How the Notes Work</w:t>
      </w:r>
    </w:p>
    <w:p>
      <w:pPr>
        <w:spacing w:after="0" w:line="8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Upside Scenario:</w:t>
      </w:r>
    </w:p>
    <w:p>
      <w:pPr>
        <w:spacing w:after="0" w:line="82" w:lineRule="exact"/>
        <w:rPr>
          <w:sz w:val="20"/>
          <w:szCs w:val="20"/>
          <w:color w:val="auto"/>
        </w:rPr>
      </w:pPr>
    </w:p>
    <w:p>
      <w:pPr>
        <w:ind w:left="5" w:right="380"/>
        <w:spacing w:after="0" w:line="323" w:lineRule="auto"/>
        <w:rPr>
          <w:sz w:val="20"/>
          <w:szCs w:val="20"/>
          <w:color w:val="auto"/>
        </w:rPr>
      </w:pPr>
      <w:r>
        <w:rPr>
          <w:rFonts w:ascii="Arial" w:cs="Arial" w:eastAsia="Arial" w:hAnsi="Arial"/>
          <w:sz w:val="17"/>
          <w:szCs w:val="17"/>
          <w:color w:val="404040"/>
        </w:rPr>
        <w:t xml:space="preserve">If the Final Value of each Index is greater than its Strike Value, investors will receive at maturity the $1,000 principal amount </w:t>
      </w:r>
      <w:r>
        <w:rPr>
          <w:rFonts w:ascii="Arial" w:cs="Arial" w:eastAsia="Arial" w:hAnsi="Arial"/>
          <w:sz w:val="17"/>
          <w:szCs w:val="17"/>
          <w:i w:val="1"/>
          <w:iCs w:val="1"/>
          <w:color w:val="404040"/>
        </w:rPr>
        <w:t>plus</w:t>
      </w:r>
      <w:r>
        <w:rPr>
          <w:rFonts w:ascii="Arial" w:cs="Arial" w:eastAsia="Arial" w:hAnsi="Arial"/>
          <w:sz w:val="17"/>
          <w:szCs w:val="17"/>
          <w:color w:val="404040"/>
        </w:rPr>
        <w:t xml:space="preserve"> a return equal to the Lesser Performing Index Return </w:t>
      </w:r>
      <w:r>
        <w:rPr>
          <w:rFonts w:ascii="Arial" w:cs="Arial" w:eastAsia="Arial" w:hAnsi="Arial"/>
          <w:sz w:val="17"/>
          <w:szCs w:val="17"/>
          <w:i w:val="1"/>
          <w:iCs w:val="1"/>
          <w:color w:val="404040"/>
        </w:rPr>
        <w:t>times</w:t>
      </w:r>
      <w:r>
        <w:rPr>
          <w:rFonts w:ascii="Arial" w:cs="Arial" w:eastAsia="Arial" w:hAnsi="Arial"/>
          <w:sz w:val="17"/>
          <w:szCs w:val="17"/>
          <w:color w:val="404040"/>
        </w:rPr>
        <w:t xml:space="preserve"> the Upside Leverage Factor of at least 1.3455.</w:t>
      </w:r>
    </w:p>
    <w:p>
      <w:pPr>
        <w:spacing w:after="0" w:line="43" w:lineRule="exact"/>
        <w:rPr>
          <w:sz w:val="20"/>
          <w:szCs w:val="20"/>
          <w:color w:val="auto"/>
        </w:rPr>
      </w:pPr>
    </w:p>
    <w:p>
      <w:pPr>
        <w:ind w:left="325" w:right="100" w:hanging="325"/>
        <w:spacing w:after="0" w:line="242" w:lineRule="auto"/>
        <w:tabs>
          <w:tab w:leader="none" w:pos="324" w:val="left"/>
        </w:tabs>
        <w:numPr>
          <w:ilvl w:val="0"/>
          <w:numId w:val="4"/>
        </w:numPr>
        <w:rPr>
          <w:rFonts w:ascii="Arial" w:cs="Arial" w:eastAsia="Arial" w:hAnsi="Arial"/>
          <w:sz w:val="17"/>
          <w:szCs w:val="17"/>
          <w:color w:val="404040"/>
        </w:rPr>
      </w:pPr>
      <w:r>
        <w:rPr>
          <w:rFonts w:ascii="Arial" w:cs="Arial" w:eastAsia="Arial" w:hAnsi="Arial"/>
          <w:sz w:val="17"/>
          <w:szCs w:val="17"/>
          <w:color w:val="404040"/>
        </w:rPr>
        <w:t>Assuming a hypothetical Upside Leverage Factor of 1.3455, if the closing level of the Lesser Performing Index increases 10.00%, investors will receive at maturity a return of 13.455%, or $1,134.55 per $1,000 principal amount note.</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Par Scenario:</w:t>
      </w:r>
    </w:p>
    <w:p>
      <w:pPr>
        <w:spacing w:after="0" w:line="82" w:lineRule="exact"/>
        <w:rPr>
          <w:sz w:val="20"/>
          <w:szCs w:val="20"/>
          <w:color w:val="auto"/>
        </w:rPr>
      </w:pPr>
    </w:p>
    <w:p>
      <w:pPr>
        <w:ind w:left="5" w:right="180"/>
        <w:spacing w:after="0" w:line="292" w:lineRule="auto"/>
        <w:rPr>
          <w:sz w:val="20"/>
          <w:szCs w:val="20"/>
          <w:color w:val="auto"/>
        </w:rPr>
      </w:pPr>
      <w:r>
        <w:rPr>
          <w:rFonts w:ascii="Arial" w:cs="Arial" w:eastAsia="Arial" w:hAnsi="Arial"/>
          <w:sz w:val="17"/>
          <w:szCs w:val="17"/>
          <w:color w:val="404040"/>
        </w:rPr>
        <w:t>If the Final Value of either Index is equal to or is less than its Strike Value but the Final Value of each Index is greater than or equal to its Barrier Amount of 85.00% of its Strike Value, investors will receive at maturity the principal amount of their notes.</w:t>
      </w:r>
    </w:p>
    <w:p>
      <w:pPr>
        <w:spacing w:after="0" w:line="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Downside Scenario:</w:t>
      </w:r>
    </w:p>
    <w:p>
      <w:pPr>
        <w:spacing w:after="0" w:line="82" w:lineRule="exact"/>
        <w:rPr>
          <w:sz w:val="20"/>
          <w:szCs w:val="20"/>
          <w:color w:val="auto"/>
        </w:rPr>
      </w:pPr>
    </w:p>
    <w:p>
      <w:pPr>
        <w:ind w:left="5" w:right="440"/>
        <w:spacing w:after="0" w:line="323" w:lineRule="auto"/>
        <w:rPr>
          <w:sz w:val="20"/>
          <w:szCs w:val="20"/>
          <w:color w:val="auto"/>
        </w:rPr>
      </w:pPr>
      <w:r>
        <w:rPr>
          <w:rFonts w:ascii="Arial" w:cs="Arial" w:eastAsia="Arial" w:hAnsi="Arial"/>
          <w:sz w:val="17"/>
          <w:szCs w:val="17"/>
          <w:color w:val="404040"/>
        </w:rPr>
        <w:t>If the Final Value of either Index is less than its Barrier Amount of 85.00% of its Strike Value, investors will lose 1% of the principal amount of their notes for every 1% that the Final Value of the Lesser Performing Index is less than its Strike Value.</w:t>
      </w:r>
    </w:p>
    <w:p>
      <w:pPr>
        <w:spacing w:after="0" w:line="43" w:lineRule="exact"/>
        <w:rPr>
          <w:sz w:val="20"/>
          <w:szCs w:val="20"/>
          <w:color w:val="auto"/>
        </w:rPr>
      </w:pPr>
    </w:p>
    <w:p>
      <w:pPr>
        <w:ind w:left="325" w:right="480" w:hanging="325"/>
        <w:spacing w:after="0" w:line="242" w:lineRule="auto"/>
        <w:tabs>
          <w:tab w:leader="none" w:pos="324" w:val="left"/>
        </w:tabs>
        <w:numPr>
          <w:ilvl w:val="0"/>
          <w:numId w:val="5"/>
        </w:numPr>
        <w:rPr>
          <w:rFonts w:ascii="Arial" w:cs="Arial" w:eastAsia="Arial" w:hAnsi="Arial"/>
          <w:sz w:val="17"/>
          <w:szCs w:val="17"/>
          <w:color w:val="404040"/>
        </w:rPr>
      </w:pPr>
      <w:r>
        <w:rPr>
          <w:rFonts w:ascii="Arial" w:cs="Arial" w:eastAsia="Arial" w:hAnsi="Arial"/>
          <w:sz w:val="17"/>
          <w:szCs w:val="17"/>
          <w:color w:val="404040"/>
        </w:rPr>
        <w:t>For example, if the closing level of the Lesser Performing Index declines 60.00%, investors will lose 60.00% of their principal amount and receive only $400.00 per $1,000 principal amount note at maturity.</w:t>
      </w:r>
    </w:p>
    <w:p>
      <w:pPr>
        <w:spacing w:after="0" w:line="82" w:lineRule="exact"/>
        <w:rPr>
          <w:sz w:val="20"/>
          <w:szCs w:val="20"/>
          <w:color w:val="auto"/>
        </w:rPr>
      </w:pPr>
    </w:p>
    <w:p>
      <w:pPr>
        <w:ind w:left="5"/>
        <w:spacing w:after="0" w:line="291" w:lineRule="auto"/>
        <w:rPr>
          <w:sz w:val="20"/>
          <w:szCs w:val="20"/>
          <w:color w:val="auto"/>
        </w:rPr>
      </w:pPr>
      <w:r>
        <w:rPr>
          <w:rFonts w:ascii="Arial" w:cs="Arial" w:eastAsia="Arial" w:hAnsi="Arial"/>
          <w:sz w:val="17"/>
          <w:szCs w:val="17"/>
          <w:color w:val="404040"/>
        </w:rPr>
        <w:t xml:space="preserve">The hypothetical returns and hypothetical payments on the notes shown above apply </w:t>
      </w:r>
      <w:r>
        <w:rPr>
          <w:rFonts w:ascii="Arial" w:cs="Arial" w:eastAsia="Arial" w:hAnsi="Arial"/>
          <w:sz w:val="17"/>
          <w:szCs w:val="17"/>
          <w:b w:val="1"/>
          <w:bCs w:val="1"/>
          <w:color w:val="404040"/>
        </w:rPr>
        <w:t>only if you hold the notes for their entire term.</w:t>
      </w:r>
      <w:r>
        <w:rPr>
          <w:rFonts w:ascii="Arial" w:cs="Arial" w:eastAsia="Arial" w:hAnsi="Arial"/>
          <w:sz w:val="17"/>
          <w:szCs w:val="17"/>
          <w:color w:val="404040"/>
        </w:rPr>
        <w:t xml:space="preserve"> These hypotheticals do not reflect the fees or expenses that would be associated with any sale in the secondary market. If these fees and expenses were included, the hypothetical returns and hypothetical payments shown above would likely be lower.</w:t>
      </w:r>
    </w:p>
    <w:p>
      <w:pPr>
        <w:spacing w:after="0" w:line="9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4E8ABE"/>
        </w:rPr>
        <w:t>Selected Risk Considerations</w:t>
      </w:r>
    </w:p>
    <w:p>
      <w:pPr>
        <w:spacing w:after="0" w:line="89" w:lineRule="exact"/>
        <w:rPr>
          <w:sz w:val="20"/>
          <w:szCs w:val="20"/>
          <w:color w:val="auto"/>
        </w:rPr>
      </w:pPr>
    </w:p>
    <w:p>
      <w:pPr>
        <w:ind w:left="5" w:right="480"/>
        <w:spacing w:after="0" w:line="307" w:lineRule="auto"/>
        <w:rPr>
          <w:sz w:val="20"/>
          <w:szCs w:val="20"/>
          <w:color w:val="auto"/>
        </w:rPr>
      </w:pPr>
      <w:r>
        <w:rPr>
          <w:rFonts w:ascii="Arial" w:cs="Arial" w:eastAsia="Arial" w:hAnsi="Arial"/>
          <w:sz w:val="16"/>
          <w:szCs w:val="16"/>
          <w:color w:val="404040"/>
        </w:rPr>
        <w:t>An investment in the notes involves significant risks. These risks are explained in more detail in the “Risk Factors” sections of the accompanying prospectus supplement and product supplement and in Annex A to the accompanying prospectus addendum.</w:t>
      </w:r>
    </w:p>
    <w:p>
      <w:pPr>
        <w:spacing w:after="0" w:line="51" w:lineRule="exact"/>
        <w:rPr>
          <w:sz w:val="20"/>
          <w:szCs w:val="20"/>
          <w:color w:val="auto"/>
        </w:rPr>
      </w:pPr>
    </w:p>
    <w:p>
      <w:pPr>
        <w:ind w:left="325" w:hanging="325"/>
        <w:spacing w:after="0"/>
        <w:tabs>
          <w:tab w:leader="none" w:pos="325" w:val="left"/>
        </w:tabs>
        <w:numPr>
          <w:ilvl w:val="0"/>
          <w:numId w:val="6"/>
        </w:numPr>
        <w:rPr>
          <w:rFonts w:ascii="Arial" w:cs="Arial" w:eastAsia="Arial" w:hAnsi="Arial"/>
          <w:sz w:val="17"/>
          <w:szCs w:val="17"/>
          <w:color w:val="404040"/>
        </w:rPr>
      </w:pPr>
      <w:r>
        <w:rPr>
          <w:rFonts w:ascii="Arial" w:cs="Arial" w:eastAsia="Arial" w:hAnsi="Arial"/>
          <w:sz w:val="17"/>
          <w:szCs w:val="17"/>
          <w:b w:val="1"/>
          <w:bCs w:val="1"/>
          <w:color w:val="404040"/>
        </w:rPr>
        <w:t>YOUR INVESTMENT IN THE NOTES MAY RESULT IN A LOSS —</w:t>
      </w:r>
    </w:p>
    <w:p>
      <w:pPr>
        <w:ind w:left="325"/>
        <w:spacing w:after="0" w:line="225" w:lineRule="auto"/>
        <w:rPr>
          <w:rFonts w:ascii="Arial" w:cs="Arial" w:eastAsia="Arial" w:hAnsi="Arial"/>
          <w:sz w:val="17"/>
          <w:szCs w:val="17"/>
          <w:color w:val="404040"/>
        </w:rPr>
      </w:pPr>
      <w:r>
        <w:rPr>
          <w:rFonts w:ascii="Arial" w:cs="Arial" w:eastAsia="Arial" w:hAnsi="Arial"/>
          <w:sz w:val="17"/>
          <w:szCs w:val="17"/>
          <w:color w:val="404040"/>
        </w:rPr>
        <w:t>The notes do not guarantee any return of principal. If the Final Value of either Index is less than its Barrier Amount, you will lose 1% of the principal amount of your notes for every 1% that the Final Value of the Lesser Performing Index is less than its Strike Value. Accordingly, under these circumstances, you will lose more than 15.00% of your principal amount at maturity and could lose all of your principal amount at maturity.</w:t>
      </w:r>
    </w:p>
    <w:p>
      <w:pPr>
        <w:spacing w:after="0" w:line="90" w:lineRule="exact"/>
        <w:rPr>
          <w:rFonts w:ascii="Arial" w:cs="Arial" w:eastAsia="Arial" w:hAnsi="Arial"/>
          <w:sz w:val="17"/>
          <w:szCs w:val="17"/>
          <w:color w:val="404040"/>
        </w:rPr>
      </w:pPr>
    </w:p>
    <w:p>
      <w:pPr>
        <w:ind w:left="325" w:hanging="325"/>
        <w:spacing w:after="0"/>
        <w:tabs>
          <w:tab w:leader="none" w:pos="325" w:val="left"/>
        </w:tabs>
        <w:numPr>
          <w:ilvl w:val="0"/>
          <w:numId w:val="6"/>
        </w:numPr>
        <w:rPr>
          <w:rFonts w:ascii="Arial" w:cs="Arial" w:eastAsia="Arial" w:hAnsi="Arial"/>
          <w:sz w:val="17"/>
          <w:szCs w:val="17"/>
          <w:color w:val="404040"/>
        </w:rPr>
      </w:pPr>
      <w:r>
        <w:rPr>
          <w:rFonts w:ascii="Arial" w:cs="Arial" w:eastAsia="Arial" w:hAnsi="Arial"/>
          <w:sz w:val="17"/>
          <w:szCs w:val="17"/>
          <w:b w:val="1"/>
          <w:bCs w:val="1"/>
          <w:color w:val="404040"/>
        </w:rPr>
        <w:t>CREDIT RISKS OF JPMORGAN FINANCIAL AND JPMORGAN CHASE &amp; CO. —</w:t>
      </w:r>
    </w:p>
    <w:p>
      <w:pPr>
        <w:ind w:left="325" w:right="160"/>
        <w:spacing w:after="0" w:line="239" w:lineRule="auto"/>
        <w:rPr>
          <w:rFonts w:ascii="Arial" w:cs="Arial" w:eastAsia="Arial" w:hAnsi="Arial"/>
          <w:sz w:val="17"/>
          <w:szCs w:val="17"/>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200" w:lineRule="exact"/>
        <w:rPr>
          <w:sz w:val="20"/>
          <w:szCs w:val="20"/>
          <w:color w:val="auto"/>
        </w:rPr>
      </w:pPr>
    </w:p>
    <w:p>
      <w:pPr>
        <w:spacing w:after="0" w:line="229" w:lineRule="exact"/>
        <w:rPr>
          <w:sz w:val="20"/>
          <w:szCs w:val="20"/>
          <w:color w:val="auto"/>
        </w:rPr>
      </w:pPr>
    </w:p>
    <w:p>
      <w:pPr>
        <w:ind w:left="25"/>
        <w:spacing w:after="0"/>
        <w:rPr>
          <w:sz w:val="20"/>
          <w:szCs w:val="20"/>
          <w:color w:val="auto"/>
        </w:rPr>
      </w:pPr>
      <w:r>
        <w:rPr>
          <w:rFonts w:ascii="Arial" w:cs="Arial" w:eastAsia="Arial" w:hAnsi="Arial"/>
          <w:sz w:val="17"/>
          <w:szCs w:val="17"/>
          <w:color w:val="6D6E71"/>
        </w:rPr>
        <w:t>PS-3 | Structured Investments</w:t>
      </w:r>
    </w:p>
    <w:p>
      <w:pPr>
        <w:spacing w:after="0" w:line="74" w:lineRule="exact"/>
        <w:rPr>
          <w:sz w:val="20"/>
          <w:szCs w:val="20"/>
          <w:color w:val="auto"/>
        </w:rPr>
      </w:pPr>
    </w:p>
    <w:p>
      <w:pPr>
        <w:ind w:left="25"/>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sz w:val="20"/>
          <w:szCs w:val="20"/>
          <w:color w:val="auto"/>
        </w:rPr>
      </w:pPr>
    </w:p>
    <w:p>
      <w:pPr>
        <w:ind w:left="25"/>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ectPr>
          <w:pgSz w:w="11900" w:h="16838" w:orient="portrait"/>
          <w:cols w:equalWidth="0" w:num="1">
            <w:col w:w="9945"/>
          </w:cols>
          <w:pgMar w:left="995" w:top="793" w:right="959" w:bottom="1440" w:gutter="0" w:footer="0" w:header="0"/>
        </w:sectPr>
      </w:pPr>
    </w:p>
    <w:bookmarkStart w:id="4" w:name="page5"/>
    <w:bookmarkEnd w:id="4"/>
    <w:p>
      <w:pPr>
        <w:ind w:left="325" w:hanging="325"/>
        <w:spacing w:after="0"/>
        <w:tabs>
          <w:tab w:leader="none" w:pos="325"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AS A FINANCE SUBSIDIARY, JPMORGAN FINANCIAL HAS NO INDEPENDENT OPERATIONS AND HAS LIMITED ASSETS</w:t>
      </w:r>
    </w:p>
    <w:p>
      <w:pPr>
        <w:spacing w:after="0" w:line="4" w:lineRule="exact"/>
        <w:rPr>
          <w:rFonts w:ascii="Arial" w:cs="Arial" w:eastAsia="Arial" w:hAnsi="Arial"/>
          <w:sz w:val="16"/>
          <w:szCs w:val="16"/>
          <w:color w:val="404040"/>
        </w:rPr>
      </w:pPr>
    </w:p>
    <w:p>
      <w:pPr>
        <w:ind w:left="325"/>
        <w:spacing w:after="0" w:line="211" w:lineRule="auto"/>
        <w:rPr>
          <w:rFonts w:ascii="Arial" w:cs="Arial" w:eastAsia="Arial" w:hAnsi="Arial"/>
          <w:sz w:val="16"/>
          <w:szCs w:val="16"/>
          <w:color w:val="404040"/>
        </w:rPr>
      </w:pPr>
      <w:r>
        <w:rPr>
          <w:rFonts w:ascii="Arial" w:cs="Arial" w:eastAsia="Arial" w:hAnsi="Arial"/>
          <w:sz w:val="17"/>
          <w:szCs w:val="17"/>
          <w:b w:val="1"/>
          <w:bCs w:val="1"/>
          <w:color w:val="404040"/>
        </w:rPr>
        <w:t>—</w:t>
      </w:r>
    </w:p>
    <w:p>
      <w:pPr>
        <w:ind w:left="325"/>
        <w:spacing w:after="0" w:line="220" w:lineRule="auto"/>
        <w:rPr>
          <w:rFonts w:ascii="Arial" w:cs="Arial" w:eastAsia="Arial" w:hAnsi="Arial"/>
          <w:sz w:val="16"/>
          <w:szCs w:val="16"/>
          <w:color w:val="404040"/>
        </w:rPr>
      </w:pPr>
      <w:r>
        <w:rPr>
          <w:rFonts w:ascii="Arial" w:cs="Arial" w:eastAsia="Arial" w:hAnsi="Arial"/>
          <w:sz w:val="17"/>
          <w:szCs w:val="17"/>
          <w:color w:val="404040"/>
        </w:rPr>
        <w:t xml:space="preserve">As a finance subsidiary of JPMorgan Chase &amp; Co., we have no independent operations beyond the issuance and administration of our securities and the collection of intercompany obligations. Aside from the initial capital contribution from JPMorgan Chase &amp; Co., substantially all of our assets relate to obligations of JPMorgan Chase &amp; Co. to make payments under loans made by us to JPMorgan Chase &amp; Co. or under other intercompany agreements. As a result, we are dependent upon payments from JPMorgan Chase &amp; Co. to meet our obligations under the notes. We are not a key operating subsidiary of JPMorgan Chase &amp; Co. and in a bankruptcy or resolution of JPMorgan Chase &amp; Co. we are not expected to have sufficient resources to meet our obligations in respect of the notes as they come due. If JPMorgan Chase &amp; Co. does not make payments to us and we are unable to make payments on the notes, you may have to seek payment under the related guarantee by JPMorgan Chase &amp; Co., and that guarantee will rank </w:t>
      </w:r>
      <w:r>
        <w:rPr>
          <w:rFonts w:ascii="Arial" w:cs="Arial" w:eastAsia="Arial" w:hAnsi="Arial"/>
          <w:sz w:val="17"/>
          <w:szCs w:val="17"/>
          <w:i w:val="1"/>
          <w:iCs w:val="1"/>
          <w:color w:val="404040"/>
        </w:rPr>
        <w:t>pari passu</w:t>
      </w:r>
      <w:r>
        <w:rPr>
          <w:rFonts w:ascii="Arial" w:cs="Arial" w:eastAsia="Arial" w:hAnsi="Arial"/>
          <w:sz w:val="17"/>
          <w:szCs w:val="17"/>
          <w:color w:val="404040"/>
        </w:rPr>
        <w:t xml:space="preserve"> with all other unsecured and unsubordinated obligations of JPMorgan Chase &amp; Co. For more information, see the accompanying prospectus addendum.</w:t>
      </w:r>
    </w:p>
    <w:p>
      <w:pPr>
        <w:spacing w:after="0" w:line="103" w:lineRule="exact"/>
        <w:rPr>
          <w:rFonts w:ascii="Arial" w:cs="Arial" w:eastAsia="Arial" w:hAnsi="Arial"/>
          <w:sz w:val="16"/>
          <w:szCs w:val="16"/>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 xml:space="preserve">THE BENEFIT PROVIDED BY THE BARRIER AMOUNT MAY TERMINATE ON THE OBSERVATION DATE </w:t>
      </w:r>
      <w:r>
        <w:rPr>
          <w:rFonts w:ascii="Arial" w:cs="Arial" w:eastAsia="Arial" w:hAnsi="Arial"/>
          <w:sz w:val="17"/>
          <w:szCs w:val="17"/>
          <w:color w:val="404040"/>
        </w:rPr>
        <w:t>—</w:t>
      </w:r>
    </w:p>
    <w:p>
      <w:pPr>
        <w:ind w:left="325" w:right="200"/>
        <w:spacing w:after="0" w:line="231" w:lineRule="auto"/>
        <w:rPr>
          <w:rFonts w:ascii="Arial" w:cs="Arial" w:eastAsia="Arial" w:hAnsi="Arial"/>
          <w:sz w:val="17"/>
          <w:szCs w:val="17"/>
          <w:color w:val="404040"/>
        </w:rPr>
      </w:pPr>
      <w:r>
        <w:rPr>
          <w:rFonts w:ascii="Arial" w:cs="Arial" w:eastAsia="Arial" w:hAnsi="Arial"/>
          <w:sz w:val="17"/>
          <w:szCs w:val="17"/>
          <w:color w:val="404040"/>
        </w:rPr>
        <w:t>If the Final Value of either Index is less than its Barrier Amount, the benefit provided by the Barrier Amount will terminate and you will be fully exposed to any depreciation of the Lesser Performing Index.</w:t>
      </w:r>
    </w:p>
    <w:p>
      <w:pPr>
        <w:spacing w:after="0" w:line="103"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POTENTIAL CONFLICTS —</w:t>
      </w:r>
    </w:p>
    <w:p>
      <w:pPr>
        <w:ind w:left="325" w:right="200"/>
        <w:spacing w:after="0" w:line="222" w:lineRule="auto"/>
        <w:rPr>
          <w:rFonts w:ascii="Arial" w:cs="Arial" w:eastAsia="Arial" w:hAnsi="Arial"/>
          <w:sz w:val="17"/>
          <w:szCs w:val="17"/>
          <w:color w:val="404040"/>
        </w:rPr>
      </w:pPr>
      <w:r>
        <w:rPr>
          <w:rFonts w:ascii="Arial" w:cs="Arial" w:eastAsia="Arial" w:hAnsi="Arial"/>
          <w:sz w:val="17"/>
          <w:szCs w:val="17"/>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112"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THE NOTES DO NOT PAY INTEREST.</w:t>
      </w:r>
    </w:p>
    <w:p>
      <w:pPr>
        <w:spacing w:after="0" w:line="135" w:lineRule="exact"/>
        <w:rPr>
          <w:rFonts w:ascii="Arial" w:cs="Arial" w:eastAsia="Arial" w:hAnsi="Arial"/>
          <w:sz w:val="17"/>
          <w:szCs w:val="17"/>
          <w:color w:val="404040"/>
        </w:rPr>
      </w:pPr>
    </w:p>
    <w:p>
      <w:pPr>
        <w:ind w:left="325" w:right="320" w:hanging="325"/>
        <w:spacing w:after="0" w:line="252" w:lineRule="auto"/>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YOU WILL NOT RECEIVE DIVIDENDS ON THE SECURITIES INCLUDED IN EITHER INDEX OR HAVE ANY RIGHTS WITH RESPECT TO THOSE SECURITIES.</w:t>
      </w:r>
    </w:p>
    <w:p>
      <w:pPr>
        <w:spacing w:after="0" w:line="92" w:lineRule="exact"/>
        <w:rPr>
          <w:rFonts w:ascii="Arial" w:cs="Arial" w:eastAsia="Arial" w:hAnsi="Arial"/>
          <w:sz w:val="17"/>
          <w:szCs w:val="17"/>
          <w:color w:val="404040"/>
        </w:rPr>
      </w:pPr>
    </w:p>
    <w:p>
      <w:pPr>
        <w:ind w:left="325" w:right="180" w:hanging="325"/>
        <w:spacing w:after="0" w:line="252" w:lineRule="auto"/>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THE RISK OF THE CLOSING LEVEL OF AN INDEX FALLING BELOW ITS BARRIER AMOUNT IS GREATER IF THE LEVEL OF THAT INDEX IS VOLATILE.</w:t>
      </w:r>
    </w:p>
    <w:p>
      <w:pPr>
        <w:spacing w:after="0" w:line="14"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JPMORGAN CHASE &amp; CO. IS CURRENTLY ONE OF THE COMPANIES THAT MAKE UP THE S&amp;P 500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INDEX,</w:t>
      </w:r>
    </w:p>
    <w:p>
      <w:pPr>
        <w:ind w:left="325" w:right="240"/>
        <w:spacing w:after="0" w:line="245" w:lineRule="auto"/>
        <w:rPr>
          <w:rFonts w:ascii="Arial" w:cs="Arial" w:eastAsia="Arial" w:hAnsi="Arial"/>
          <w:sz w:val="17"/>
          <w:szCs w:val="17"/>
          <w:color w:val="404040"/>
        </w:rPr>
      </w:pPr>
      <w:r>
        <w:rPr>
          <w:rFonts w:ascii="Arial" w:cs="Arial" w:eastAsia="Arial" w:hAnsi="Arial"/>
          <w:sz w:val="17"/>
          <w:szCs w:val="17"/>
          <w:color w:val="404040"/>
        </w:rPr>
        <w:t>but JPMorgan Chase &amp; Co. will not have any obligation to consider your interests in taking any corporate action that might affect the level of 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w:t>
      </w:r>
    </w:p>
    <w:p>
      <w:pPr>
        <w:ind w:left="325" w:hanging="325"/>
        <w:spacing w:after="0" w:line="208" w:lineRule="auto"/>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NON-U.S. SECURITIES RISK WITH RESPECT TO THE NASDAQ-100 INDEX</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w:t>
      </w:r>
    </w:p>
    <w:p>
      <w:pPr>
        <w:ind w:left="325" w:right="180"/>
        <w:spacing w:after="0" w:line="210" w:lineRule="auto"/>
        <w:rPr>
          <w:rFonts w:ascii="Arial" w:cs="Arial" w:eastAsia="Arial" w:hAnsi="Arial"/>
          <w:sz w:val="17"/>
          <w:szCs w:val="17"/>
          <w:color w:val="404040"/>
        </w:rPr>
      </w:pPr>
      <w:r>
        <w:rPr>
          <w:rFonts w:ascii="Arial" w:cs="Arial" w:eastAsia="Arial" w:hAnsi="Arial"/>
          <w:sz w:val="17"/>
          <w:szCs w:val="17"/>
          <w:color w:val="404040"/>
        </w:rPr>
        <w:t>The non-U.S. equity securities included in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have been issued by non-U.S. companies. Investments in securities linked to the value of such non-U.S. equity securities involve risks associated with the home countries and/or the securities markets in the home countries of the issuers of those non-U.S. equity securities. Also, with respect to equity securities that are not listed in the U.S., there is generally less publicly available information about companies in some of these jurisdictions than there is about U.S. companies that are subject to the reporting requirements of the SEC.</w:t>
      </w:r>
    </w:p>
    <w:p>
      <w:pPr>
        <w:spacing w:after="0" w:line="103"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YOU ARE EXPOSED TO THE RISK OF DECLINE IN THE LEVEL OF EACH INDEX —</w:t>
      </w:r>
    </w:p>
    <w:p>
      <w:pPr>
        <w:ind w:left="325" w:right="500"/>
        <w:spacing w:after="0" w:line="230" w:lineRule="auto"/>
        <w:rPr>
          <w:rFonts w:ascii="Arial" w:cs="Arial" w:eastAsia="Arial" w:hAnsi="Arial"/>
          <w:sz w:val="17"/>
          <w:szCs w:val="17"/>
          <w:color w:val="404040"/>
        </w:rPr>
      </w:pPr>
      <w:r>
        <w:rPr>
          <w:rFonts w:ascii="Arial" w:cs="Arial" w:eastAsia="Arial" w:hAnsi="Arial"/>
          <w:sz w:val="17"/>
          <w:szCs w:val="17"/>
          <w:color w:val="404040"/>
        </w:rPr>
        <w:t>Payments on the notes are not linked to a basket composed of the Indices and are contingent upon the performance of each individual Index. Poor performance by either of the Indices over the term of the notes may negatively affect your payment at maturity and will not be offset or mitigated by positive performance by the other Index.</w:t>
      </w:r>
    </w:p>
    <w:p>
      <w:pPr>
        <w:spacing w:after="0" w:line="110"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YOUR PAYMENT AT MATURITY WILL BE DETERMINED BY THE LESSER PERFORMING INDEX.</w:t>
      </w:r>
    </w:p>
    <w:p>
      <w:pPr>
        <w:spacing w:after="0" w:line="114"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LACK OF LIQUIDITY —</w:t>
      </w:r>
    </w:p>
    <w:p>
      <w:pPr>
        <w:ind w:left="325" w:right="20"/>
        <w:spacing w:after="0" w:line="230" w:lineRule="auto"/>
        <w:rPr>
          <w:rFonts w:ascii="Arial" w:cs="Arial" w:eastAsia="Arial" w:hAnsi="Arial"/>
          <w:sz w:val="17"/>
          <w:szCs w:val="17"/>
          <w:color w:val="404040"/>
        </w:rPr>
      </w:pPr>
      <w:r>
        <w:rPr>
          <w:rFonts w:ascii="Arial" w:cs="Arial" w:eastAsia="Arial" w:hAnsi="Arial"/>
          <w:sz w:val="17"/>
          <w:szCs w:val="17"/>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89"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THE FINAL TERMS AND VALUATION OF THE NOTES WILL BE PROVIDED IN THE PRICING SUPPLEMENT —</w:t>
      </w:r>
    </w:p>
    <w:p>
      <w:pPr>
        <w:ind w:left="325" w:right="300"/>
        <w:spacing w:after="0" w:line="239" w:lineRule="auto"/>
        <w:rPr>
          <w:rFonts w:ascii="Arial" w:cs="Arial" w:eastAsia="Arial" w:hAnsi="Arial"/>
          <w:sz w:val="17"/>
          <w:szCs w:val="17"/>
          <w:color w:val="404040"/>
        </w:rPr>
      </w:pPr>
      <w:r>
        <w:rPr>
          <w:rFonts w:ascii="Arial" w:cs="Arial" w:eastAsia="Arial" w:hAnsi="Arial"/>
          <w:sz w:val="17"/>
          <w:szCs w:val="17"/>
          <w:color w:val="404040"/>
        </w:rPr>
        <w:t>You should consider your potential investment in the notes based on the minimums for the estimated value of the notes and the Upside Leverage Factor.</w:t>
      </w:r>
    </w:p>
    <w:p>
      <w:pPr>
        <w:spacing w:after="0" w:line="90" w:lineRule="exact"/>
        <w:rPr>
          <w:rFonts w:ascii="Arial" w:cs="Arial" w:eastAsia="Arial" w:hAnsi="Arial"/>
          <w:sz w:val="17"/>
          <w:szCs w:val="17"/>
          <w:color w:val="404040"/>
        </w:rPr>
      </w:pPr>
    </w:p>
    <w:p>
      <w:pPr>
        <w:ind w:left="325" w:hanging="325"/>
        <w:spacing w:after="0"/>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THE TAX DISCLOSURE IS SUBJECT TO CONFIRMATION —</w:t>
      </w:r>
    </w:p>
    <w:p>
      <w:pPr>
        <w:ind w:left="325" w:right="40"/>
        <w:spacing w:after="0" w:line="229" w:lineRule="auto"/>
        <w:rPr>
          <w:rFonts w:ascii="Arial" w:cs="Arial" w:eastAsia="Arial" w:hAnsi="Arial"/>
          <w:sz w:val="17"/>
          <w:szCs w:val="17"/>
          <w:color w:val="404040"/>
        </w:rPr>
      </w:pPr>
      <w:r>
        <w:rPr>
          <w:rFonts w:ascii="Arial" w:cs="Arial" w:eastAsia="Arial" w:hAnsi="Arial"/>
          <w:sz w:val="17"/>
          <w:szCs w:val="17"/>
          <w:color w:val="404040"/>
        </w:rPr>
        <w:t>The information set forth under “Tax Treatment” in this pricing supplement remains subject to confirmation by our special tax counsel following the pricing of the notes. If that information cannot be confirmed by our tax counsel, you may be asked to accept revisions to that information in connection with your purchase. Under these circumstances, if you decline to accept revisions to that information, your purchase of the notes will be canceled.</w:t>
      </w:r>
    </w:p>
    <w:p>
      <w:pPr>
        <w:spacing w:after="0" w:line="111" w:lineRule="exact"/>
        <w:rPr>
          <w:rFonts w:ascii="Arial" w:cs="Arial" w:eastAsia="Arial" w:hAnsi="Arial"/>
          <w:sz w:val="17"/>
          <w:szCs w:val="17"/>
          <w:color w:val="404040"/>
        </w:rPr>
      </w:pPr>
    </w:p>
    <w:p>
      <w:pPr>
        <w:ind w:left="325" w:right="320" w:hanging="325"/>
        <w:spacing w:after="0" w:line="221" w:lineRule="auto"/>
        <w:tabs>
          <w:tab w:leader="none" w:pos="325" w:val="left"/>
        </w:tabs>
        <w:numPr>
          <w:ilvl w:val="0"/>
          <w:numId w:val="7"/>
        </w:numPr>
        <w:rPr>
          <w:rFonts w:ascii="Arial" w:cs="Arial" w:eastAsia="Arial" w:hAnsi="Arial"/>
          <w:sz w:val="17"/>
          <w:szCs w:val="17"/>
          <w:color w:val="404040"/>
        </w:rPr>
      </w:pPr>
      <w:r>
        <w:rPr>
          <w:rFonts w:ascii="Arial" w:cs="Arial" w:eastAsia="Arial" w:hAnsi="Arial"/>
          <w:sz w:val="17"/>
          <w:szCs w:val="17"/>
          <w:b w:val="1"/>
          <w:bCs w:val="1"/>
          <w:color w:val="404040"/>
        </w:rPr>
        <w:t>THE ESTIMATED VALUE OF THE NOTES WILL BE LOWER THAN THE ORIGINAL ISSUE PRICE (PRICE TO PUBLIC) OF THE NOTES —</w:t>
      </w:r>
    </w:p>
    <w:p>
      <w:pPr>
        <w:ind w:left="325" w:right="60"/>
        <w:spacing w:after="0" w:line="222" w:lineRule="auto"/>
        <w:rPr>
          <w:rFonts w:ascii="Arial" w:cs="Arial" w:eastAsia="Arial" w:hAnsi="Arial"/>
          <w:sz w:val="17"/>
          <w:szCs w:val="17"/>
          <w:color w:val="404040"/>
        </w:rPr>
      </w:pPr>
      <w:r>
        <w:rPr>
          <w:rFonts w:ascii="Arial" w:cs="Arial" w:eastAsia="Arial" w:hAnsi="Arial"/>
          <w:sz w:val="17"/>
          <w:szCs w:val="17"/>
          <w:color w:val="404040"/>
        </w:rPr>
        <w:t>The estimated value of the notes is only an estimate determined by reference to several factors. The original issue price of the notes will exceed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“The Estimated Value of the Notes” in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379095</wp:posOffset>
            </wp:positionV>
            <wp:extent cx="6294755" cy="52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
        <w:spacing w:after="0"/>
        <w:rPr>
          <w:sz w:val="20"/>
          <w:szCs w:val="20"/>
          <w:color w:val="auto"/>
        </w:rPr>
      </w:pPr>
      <w:r>
        <w:rPr>
          <w:rFonts w:ascii="Arial" w:cs="Arial" w:eastAsia="Arial" w:hAnsi="Arial"/>
          <w:sz w:val="17"/>
          <w:szCs w:val="17"/>
          <w:color w:val="6D6E71"/>
        </w:rPr>
        <w:t>PS-4 | Structured Investments</w:t>
      </w:r>
    </w:p>
    <w:p>
      <w:pPr>
        <w:spacing w:after="0" w:line="74" w:lineRule="exact"/>
        <w:rPr>
          <w:sz w:val="20"/>
          <w:szCs w:val="20"/>
          <w:color w:val="auto"/>
        </w:rPr>
      </w:pPr>
    </w:p>
    <w:p>
      <w:pPr>
        <w:ind w:left="25"/>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sz w:val="20"/>
          <w:szCs w:val="20"/>
          <w:color w:val="auto"/>
        </w:rPr>
      </w:pPr>
    </w:p>
    <w:p>
      <w:pPr>
        <w:ind w:left="25"/>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ectPr>
          <w:pgSz w:w="11900" w:h="16838" w:orient="portrait"/>
          <w:cols w:equalWidth="0" w:num="1">
            <w:col w:w="9985"/>
          </w:cols>
          <w:pgMar w:left="995" w:top="753" w:right="919" w:bottom="1440" w:gutter="0" w:footer="0" w:header="0"/>
        </w:sectPr>
      </w:pPr>
    </w:p>
    <w:bookmarkStart w:id="5" w:name="page6"/>
    <w:bookmarkEnd w:id="5"/>
    <w:p>
      <w:pPr>
        <w:ind w:left="325" w:right="240" w:hanging="325"/>
        <w:spacing w:after="0" w:line="221" w:lineRule="auto"/>
        <w:tabs>
          <w:tab w:leader="none" w:pos="325" w:val="left"/>
        </w:tabs>
        <w:numPr>
          <w:ilvl w:val="0"/>
          <w:numId w:val="8"/>
        </w:numPr>
        <w:rPr>
          <w:rFonts w:ascii="Arial" w:cs="Arial" w:eastAsia="Arial" w:hAnsi="Arial"/>
          <w:sz w:val="17"/>
          <w:szCs w:val="17"/>
          <w:color w:val="404040"/>
        </w:rPr>
      </w:pPr>
      <w:r>
        <w:rPr>
          <w:rFonts w:ascii="Arial" w:cs="Arial" w:eastAsia="Arial" w:hAnsi="Arial"/>
          <w:sz w:val="17"/>
          <w:szCs w:val="17"/>
          <w:b w:val="1"/>
          <w:bCs w:val="1"/>
          <w:color w:val="404040"/>
        </w:rPr>
        <w:t>THE ESTIMATED VALUE OF THE NOTES DOES NOT REPRESENT FUTURE VALUES OF THE NOTES AND MAY DIFFER FROM OTHERS’ ESTIMATES —</w:t>
      </w:r>
    </w:p>
    <w:p>
      <w:pPr>
        <w:ind w:left="325"/>
        <w:spacing w:after="0"/>
        <w:rPr>
          <w:rFonts w:ascii="Arial" w:cs="Arial" w:eastAsia="Arial" w:hAnsi="Arial"/>
          <w:sz w:val="17"/>
          <w:szCs w:val="17"/>
          <w:color w:val="404040"/>
        </w:rPr>
      </w:pPr>
      <w:r>
        <w:rPr>
          <w:rFonts w:ascii="Arial" w:cs="Arial" w:eastAsia="Arial" w:hAnsi="Arial"/>
          <w:sz w:val="17"/>
          <w:szCs w:val="17"/>
          <w:color w:val="404040"/>
        </w:rPr>
        <w:t>See “The Estimated Value of the Notes” in this pricing supplement.</w:t>
      </w:r>
    </w:p>
    <w:p>
      <w:pPr>
        <w:spacing w:after="0" w:line="111" w:lineRule="exact"/>
        <w:rPr>
          <w:rFonts w:ascii="Arial" w:cs="Arial" w:eastAsia="Arial" w:hAnsi="Arial"/>
          <w:sz w:val="17"/>
          <w:szCs w:val="17"/>
          <w:color w:val="404040"/>
        </w:rPr>
      </w:pPr>
    </w:p>
    <w:p>
      <w:pPr>
        <w:ind w:left="325" w:hanging="325"/>
        <w:spacing w:after="0"/>
        <w:tabs>
          <w:tab w:leader="none" w:pos="325" w:val="left"/>
        </w:tabs>
        <w:numPr>
          <w:ilvl w:val="0"/>
          <w:numId w:val="8"/>
        </w:numPr>
        <w:rPr>
          <w:rFonts w:ascii="Arial" w:cs="Arial" w:eastAsia="Arial" w:hAnsi="Arial"/>
          <w:sz w:val="17"/>
          <w:szCs w:val="17"/>
          <w:color w:val="404040"/>
        </w:rPr>
      </w:pPr>
      <w:r>
        <w:rPr>
          <w:rFonts w:ascii="Arial" w:cs="Arial" w:eastAsia="Arial" w:hAnsi="Arial"/>
          <w:sz w:val="17"/>
          <w:szCs w:val="17"/>
          <w:b w:val="1"/>
          <w:bCs w:val="1"/>
          <w:color w:val="404040"/>
        </w:rPr>
        <w:t>THE ESTIMATED VALUE OF THE NOTES IS DERIVED BY REFERENCE TO AN INTERNAL FUNDING RATE —</w:t>
      </w:r>
    </w:p>
    <w:p>
      <w:pPr>
        <w:ind w:left="325" w:right="60"/>
        <w:spacing w:after="0" w:line="234" w:lineRule="auto"/>
        <w:rPr>
          <w:rFonts w:ascii="Arial" w:cs="Arial" w:eastAsia="Arial" w:hAnsi="Arial"/>
          <w:sz w:val="17"/>
          <w:szCs w:val="17"/>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See “The Estimated Value of the Notes” in this pricing supplement.</w:t>
      </w:r>
    </w:p>
    <w:p>
      <w:pPr>
        <w:spacing w:after="0" w:line="110" w:lineRule="exact"/>
        <w:rPr>
          <w:rFonts w:ascii="Arial" w:cs="Arial" w:eastAsia="Arial" w:hAnsi="Arial"/>
          <w:sz w:val="17"/>
          <w:szCs w:val="17"/>
          <w:color w:val="404040"/>
        </w:rPr>
      </w:pPr>
    </w:p>
    <w:p>
      <w:pPr>
        <w:ind w:left="325" w:right="200" w:hanging="325"/>
        <w:spacing w:after="0" w:line="223" w:lineRule="auto"/>
        <w:tabs>
          <w:tab w:leader="none" w:pos="325" w:val="left"/>
        </w:tabs>
        <w:numPr>
          <w:ilvl w:val="0"/>
          <w:numId w:val="8"/>
        </w:numPr>
        <w:rPr>
          <w:rFonts w:ascii="Arial" w:cs="Arial" w:eastAsia="Arial" w:hAnsi="Arial"/>
          <w:sz w:val="17"/>
          <w:szCs w:val="17"/>
          <w:color w:val="404040"/>
        </w:rPr>
      </w:pPr>
      <w:r>
        <w:rPr>
          <w:rFonts w:ascii="Arial" w:cs="Arial" w:eastAsia="Arial" w:hAnsi="Arial"/>
          <w:sz w:val="17"/>
          <w:szCs w:val="17"/>
          <w:b w:val="1"/>
          <w:bCs w:val="1"/>
          <w:color w:val="404040"/>
        </w:rPr>
        <w:t>THE VALUE OF THE NOTES AS PUBLISHED BY JPMS (AND WHICH MAY BE REFLECTED ON CUSTOMER ACCOUNT STATEMENTS) MAY BE HIGHER THAN THE THEN-CURRENT ESTIMATED VALUE OF THE NOTES FOR A LIMITED TIME PERIOD —</w:t>
      </w:r>
    </w:p>
    <w:p>
      <w:pPr>
        <w:ind w:left="325"/>
        <w:spacing w:after="0" w:line="222" w:lineRule="auto"/>
        <w:rPr>
          <w:rFonts w:ascii="Arial" w:cs="Arial" w:eastAsia="Arial" w:hAnsi="Arial"/>
          <w:sz w:val="17"/>
          <w:szCs w:val="17"/>
          <w:color w:val="404040"/>
        </w:rPr>
      </w:pPr>
      <w:r>
        <w:rPr>
          <w:rFonts w:ascii="Arial" w:cs="Arial" w:eastAsia="Arial" w:hAnsi="Arial"/>
          <w:sz w:val="17"/>
          <w:szCs w:val="17"/>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2" w:lineRule="exact"/>
        <w:rPr>
          <w:rFonts w:ascii="Arial" w:cs="Arial" w:eastAsia="Arial" w:hAnsi="Arial"/>
          <w:sz w:val="17"/>
          <w:szCs w:val="17"/>
          <w:color w:val="404040"/>
        </w:rPr>
      </w:pPr>
    </w:p>
    <w:p>
      <w:pPr>
        <w:ind w:left="325" w:right="300" w:hanging="325"/>
        <w:spacing w:after="0" w:line="221" w:lineRule="auto"/>
        <w:tabs>
          <w:tab w:leader="none" w:pos="325" w:val="left"/>
        </w:tabs>
        <w:numPr>
          <w:ilvl w:val="0"/>
          <w:numId w:val="8"/>
        </w:numPr>
        <w:rPr>
          <w:rFonts w:ascii="Arial" w:cs="Arial" w:eastAsia="Arial" w:hAnsi="Arial"/>
          <w:sz w:val="17"/>
          <w:szCs w:val="17"/>
          <w:color w:val="404040"/>
        </w:rPr>
      </w:pPr>
      <w:r>
        <w:rPr>
          <w:rFonts w:ascii="Arial" w:cs="Arial" w:eastAsia="Arial" w:hAnsi="Arial"/>
          <w:sz w:val="17"/>
          <w:szCs w:val="17"/>
          <w:b w:val="1"/>
          <w:bCs w:val="1"/>
          <w:color w:val="404040"/>
        </w:rPr>
        <w:t>SECONDARY MARKET PRICES OF THE NOTES WILL LIKELY BE LOWER THAN THE ORIGINAL ISSUE PRICE OF THE NOTES —</w:t>
      </w:r>
    </w:p>
    <w:p>
      <w:pPr>
        <w:ind w:left="325" w:right="20"/>
        <w:spacing w:after="0" w:line="223" w:lineRule="auto"/>
        <w:rPr>
          <w:rFonts w:ascii="Arial" w:cs="Arial" w:eastAsia="Arial" w:hAnsi="Arial"/>
          <w:sz w:val="17"/>
          <w:szCs w:val="17"/>
          <w:color w:val="404040"/>
        </w:rPr>
      </w:pPr>
      <w:r>
        <w:rPr>
          <w:rFonts w:ascii="Arial" w:cs="Arial" w:eastAsia="Arial" w:hAnsi="Arial"/>
          <w:sz w:val="17"/>
          <w:szCs w:val="17"/>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111" w:lineRule="exact"/>
        <w:rPr>
          <w:rFonts w:ascii="Arial" w:cs="Arial" w:eastAsia="Arial" w:hAnsi="Arial"/>
          <w:sz w:val="17"/>
          <w:szCs w:val="17"/>
          <w:color w:val="404040"/>
        </w:rPr>
      </w:pPr>
    </w:p>
    <w:p>
      <w:pPr>
        <w:ind w:left="325" w:right="80" w:hanging="325"/>
        <w:spacing w:after="0" w:line="220" w:lineRule="auto"/>
        <w:tabs>
          <w:tab w:leader="none" w:pos="325" w:val="left"/>
        </w:tabs>
        <w:numPr>
          <w:ilvl w:val="0"/>
          <w:numId w:val="8"/>
        </w:numPr>
        <w:rPr>
          <w:rFonts w:ascii="Arial" w:cs="Arial" w:eastAsia="Arial" w:hAnsi="Arial"/>
          <w:sz w:val="17"/>
          <w:szCs w:val="17"/>
          <w:color w:val="404040"/>
        </w:rPr>
      </w:pPr>
      <w:r>
        <w:rPr>
          <w:rFonts w:ascii="Arial" w:cs="Arial" w:eastAsia="Arial" w:hAnsi="Arial"/>
          <w:sz w:val="17"/>
          <w:szCs w:val="17"/>
          <w:b w:val="1"/>
          <w:bCs w:val="1"/>
          <w:color w:val="404040"/>
        </w:rPr>
        <w:t xml:space="preserve">SECONDARY MARKET PRICES OF THE NOTES WILL BE IMPACTED BY MANY ECONOMIC AND MARKET FACTORS — </w:t>
      </w:r>
      <w:r>
        <w:rPr>
          <w:rFonts w:ascii="Arial" w:cs="Arial" w:eastAsia="Arial" w:hAnsi="Arial"/>
          <w:sz w:val="17"/>
          <w:szCs w:val="17"/>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levels of the Indices.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4E8ABE"/>
        </w:rPr>
        <w:t>The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6378575" cy="408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8575" cy="4084320"/>
                    </a:xfrm>
                    <a:prstGeom prst="rect">
                      <a:avLst/>
                    </a:prstGeom>
                    <a:noFill/>
                  </pic:spPr>
                </pic:pic>
              </a:graphicData>
            </a:graphic>
          </wp:anchor>
        </w:drawing>
      </w:r>
    </w:p>
    <w:p>
      <w:pPr>
        <w:spacing w:after="0" w:line="69" w:lineRule="exact"/>
        <w:rPr>
          <w:sz w:val="20"/>
          <w:szCs w:val="20"/>
          <w:color w:val="auto"/>
        </w:rPr>
      </w:pPr>
    </w:p>
    <w:p>
      <w:pPr>
        <w:ind w:left="5" w:right="180"/>
        <w:spacing w:after="0" w:line="205" w:lineRule="auto"/>
        <w:rPr>
          <w:sz w:val="20"/>
          <w:szCs w:val="20"/>
          <w:color w:val="auto"/>
        </w:rPr>
      </w:pPr>
      <w:r>
        <w:rPr>
          <w:rFonts w:ascii="Arial" w:cs="Arial" w:eastAsia="Arial" w:hAnsi="Arial"/>
          <w:sz w:val="17"/>
          <w:szCs w:val="17"/>
          <w:color w:val="404040"/>
        </w:rPr>
        <w:t>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is a modified market capitalization-weighted index of 100 of the largest non-financial securities listed on The Nasdaq Stock Market based on market capitalization. For additional information about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see “Equity Index Descriptions —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in the accompanying underlying supplement.</w:t>
      </w:r>
    </w:p>
    <w:p>
      <w:pPr>
        <w:spacing w:after="0" w:line="1" w:lineRule="exact"/>
        <w:rPr>
          <w:sz w:val="20"/>
          <w:szCs w:val="20"/>
          <w:color w:val="auto"/>
        </w:rPr>
      </w:pPr>
    </w:p>
    <w:p>
      <w:pPr>
        <w:jc w:val="both"/>
        <w:ind w:left="5" w:right="180"/>
        <w:spacing w:after="0" w:line="202" w:lineRule="auto"/>
        <w:rPr>
          <w:sz w:val="20"/>
          <w:szCs w:val="20"/>
          <w:color w:val="auto"/>
        </w:rPr>
      </w:pPr>
      <w:r>
        <w:rPr>
          <w:rFonts w:ascii="Arial" w:cs="Arial" w:eastAsia="Arial" w:hAnsi="Arial"/>
          <w:sz w:val="17"/>
          <w:szCs w:val="17"/>
          <w:color w:val="404040"/>
        </w:rPr>
        <w:t>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consists of stocks of 500 companies selected to provide a performance benchmark for the U.S. equity markets. For additional information about 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see “Equity Index Descriptions — The S&amp;P U.S. Indices” in the accompanying underlying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
        <w:spacing w:after="0"/>
        <w:rPr>
          <w:sz w:val="20"/>
          <w:szCs w:val="20"/>
          <w:color w:val="auto"/>
        </w:rPr>
      </w:pPr>
      <w:r>
        <w:rPr>
          <w:rFonts w:ascii="Arial" w:cs="Arial" w:eastAsia="Arial" w:hAnsi="Arial"/>
          <w:sz w:val="17"/>
          <w:szCs w:val="17"/>
          <w:color w:val="6D6E71"/>
        </w:rPr>
        <w:t>PS-5 | Structured Investments</w:t>
      </w:r>
    </w:p>
    <w:p>
      <w:pPr>
        <w:spacing w:after="0" w:line="74" w:lineRule="exact"/>
        <w:rPr>
          <w:sz w:val="20"/>
          <w:szCs w:val="20"/>
          <w:color w:val="auto"/>
        </w:rPr>
      </w:pPr>
    </w:p>
    <w:p>
      <w:pPr>
        <w:ind w:left="25"/>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sz w:val="20"/>
          <w:szCs w:val="20"/>
          <w:color w:val="auto"/>
        </w:rPr>
      </w:pPr>
    </w:p>
    <w:p>
      <w:pPr>
        <w:ind w:left="25"/>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ectPr>
          <w:pgSz w:w="11900" w:h="16838" w:orient="portrait"/>
          <w:cols w:equalWidth="0" w:num="1">
            <w:col w:w="9925"/>
          </w:cols>
          <w:pgMar w:left="995" w:top="753" w:right="97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54301A"/>
        </w:rPr>
        <w:t>Historical Information</w:t>
      </w:r>
    </w:p>
    <w:p>
      <w:pPr>
        <w:spacing w:after="0" w:line="56" w:lineRule="exact"/>
        <w:rPr>
          <w:sz w:val="20"/>
          <w:szCs w:val="20"/>
          <w:color w:val="auto"/>
        </w:rPr>
      </w:pPr>
    </w:p>
    <w:p>
      <w:pPr>
        <w:spacing w:after="0" w:line="198" w:lineRule="auto"/>
        <w:rPr>
          <w:sz w:val="20"/>
          <w:szCs w:val="20"/>
          <w:color w:val="auto"/>
        </w:rPr>
      </w:pPr>
      <w:r>
        <w:rPr>
          <w:rFonts w:ascii="Arial" w:cs="Arial" w:eastAsia="Arial" w:hAnsi="Arial"/>
          <w:sz w:val="17"/>
          <w:szCs w:val="17"/>
          <w:color w:val="404040"/>
        </w:rPr>
        <w:t>The following graphs set forth the historical performance of each Index based on the weekly historical closing levels from January 8, 2021 through January 2, 2026. The closing level of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on January 5, 2026 was 25,401.32. The closing level of 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on January 5, 2026 was 6,902.05. We obtained the closing levels above and below from the Bloomberg Professional</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service (“Bloomberg”), without independent verification.</w:t>
      </w:r>
    </w:p>
    <w:p>
      <w:pPr>
        <w:spacing w:after="0" w:line="33"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404040"/>
        </w:rPr>
        <w:t>The historical closing levels of each Index should not be taken as an indication of future performance, and no assurance can be given as to the closing level of either Index on the Observation Date. There can be no assurance that the performance of the Indices will result in the return of any of your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187325</wp:posOffset>
            </wp:positionV>
            <wp:extent cx="6294755" cy="7479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7479665"/>
                    </a:xfrm>
                    <a:prstGeom prst="rect">
                      <a:avLst/>
                    </a:prstGeom>
                    <a:noFill/>
                  </pic:spPr>
                </pic:pic>
              </a:graphicData>
            </a:graphic>
          </wp:anchor>
        </w:drawing>
      </w: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404040"/>
        </w:rPr>
        <w:t>Historical Performance of the Nasdaq-100 Index</w:t>
      </w:r>
      <w:r>
        <w:rPr>
          <w:rFonts w:ascii="Arial" w:cs="Arial" w:eastAsia="Arial" w:hAnsi="Arial"/>
          <w:sz w:val="22"/>
          <w:szCs w:val="22"/>
          <w:b w:val="1"/>
          <w:bCs w:val="1"/>
          <w:color w:val="404040"/>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04040"/>
        </w:rPr>
        <w:t>Source: Bloomberg</w:t>
      </w:r>
    </w:p>
    <w:p>
      <w:pPr>
        <w:spacing w:after="0" w:line="200" w:lineRule="exact"/>
        <w:rPr>
          <w:sz w:val="20"/>
          <w:szCs w:val="20"/>
          <w:color w:val="auto"/>
        </w:rPr>
      </w:pP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404040"/>
        </w:rPr>
        <w:t>Historical Performance of the S&amp;P 500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04040"/>
        </w:rPr>
        <w:t>Source: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7"/>
          <w:szCs w:val="17"/>
          <w:color w:val="6D6E71"/>
        </w:rPr>
        <w:t>PS-6 | Structured Investments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ectPr>
          <w:pgSz w:w="11900" w:h="16838" w:orient="portrait"/>
          <w:cols w:equalWidth="0" w:num="1">
            <w:col w:w="9900"/>
          </w:cols>
          <w:pgMar w:left="1000" w:top="76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E8ABE"/>
        </w:rPr>
        <w:t>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6378575" cy="858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78575" cy="8580755"/>
                    </a:xfrm>
                    <a:prstGeom prst="rect">
                      <a:avLst/>
                    </a:prstGeom>
                    <a:noFill/>
                  </pic:spPr>
                </pic:pic>
              </a:graphicData>
            </a:graphic>
          </wp:anchor>
        </w:drawing>
      </w:r>
    </w:p>
    <w:p>
      <w:pPr>
        <w:spacing w:after="0" w:line="122" w:lineRule="exact"/>
        <w:rPr>
          <w:sz w:val="20"/>
          <w:szCs w:val="20"/>
          <w:color w:val="auto"/>
        </w:rPr>
      </w:pPr>
    </w:p>
    <w:p>
      <w:pPr>
        <w:ind w:right="560"/>
        <w:spacing w:after="0" w:line="284" w:lineRule="auto"/>
        <w:rPr>
          <w:sz w:val="20"/>
          <w:szCs w:val="20"/>
          <w:color w:val="auto"/>
        </w:rPr>
      </w:pPr>
      <w:r>
        <w:rPr>
          <w:rFonts w:ascii="Arial" w:cs="Arial" w:eastAsia="Arial" w:hAnsi="Arial"/>
          <w:sz w:val="16"/>
          <w:szCs w:val="16"/>
          <w:color w:val="404040"/>
        </w:rPr>
        <w:t>You should review carefully the section entitled “Material U.S. Federal Income Tax Consequences” in the accompanying product supplement no. 4-I. We expect to ask our special tax counsel to provide an opinion substantially consistent with the following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404040"/>
        </w:rPr>
        <w:t>discussion at pricing.</w:t>
      </w:r>
    </w:p>
    <w:p>
      <w:pPr>
        <w:spacing w:after="0" w:line="82" w:lineRule="exact"/>
        <w:rPr>
          <w:sz w:val="20"/>
          <w:szCs w:val="20"/>
          <w:color w:val="auto"/>
        </w:rPr>
      </w:pPr>
    </w:p>
    <w:p>
      <w:pPr>
        <w:jc w:val="both"/>
        <w:ind w:right="300"/>
        <w:spacing w:after="0" w:line="293" w:lineRule="auto"/>
        <w:rPr>
          <w:sz w:val="20"/>
          <w:szCs w:val="20"/>
          <w:color w:val="auto"/>
        </w:rPr>
      </w:pPr>
      <w:r>
        <w:rPr>
          <w:rFonts w:ascii="Arial" w:cs="Arial" w:eastAsia="Arial" w:hAnsi="Arial"/>
          <w:sz w:val="16"/>
          <w:szCs w:val="16"/>
          <w:color w:val="404040"/>
        </w:rPr>
        <w:t>Based on current market conditions, it is reasonable to treat the notes as “open transactions” that are not debt instruments for U.S. federal income tax purposes, as more fully described in “Material U.S. Federal Income Tax Consequences — Tax Consequences to U.S. Holders — Notes Treated as Open Transactions That Are Not Debt Instruments” in the accompanying product supplement.</w:t>
      </w:r>
    </w:p>
    <w:p>
      <w:pPr>
        <w:spacing w:after="0" w:line="1"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404040"/>
        </w:rPr>
        <w:t>Assuming this treatment is respected, the gain or loss on your notes should be treated as long-term capital gain or loss if you hold your notes for more than a year, whether or not you are an initial purchaser of notes at the issue price. However, the IRS or a court may not respect this treatment, in which case the timing and character of any income or loss on the notes could be materially and adversely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You should consult your tax adviser regarding the U.S. federal income tax consequences of an investment in the notes, including possible alternative treatments and the issues presented by this notice.</w:t>
      </w:r>
    </w:p>
    <w:p>
      <w:pPr>
        <w:spacing w:after="0" w:line="33" w:lineRule="exact"/>
        <w:rPr>
          <w:sz w:val="20"/>
          <w:szCs w:val="20"/>
          <w:color w:val="auto"/>
        </w:rPr>
      </w:pPr>
    </w:p>
    <w:p>
      <w:pPr>
        <w:spacing w:after="0" w:line="280" w:lineRule="auto"/>
        <w:rPr>
          <w:sz w:val="20"/>
          <w:szCs w:val="20"/>
          <w:color w:val="auto"/>
        </w:rPr>
      </w:pPr>
      <w:r>
        <w:rPr>
          <w:rFonts w:ascii="Arial" w:cs="Arial" w:eastAsia="Arial" w:hAnsi="Arial"/>
          <w:sz w:val="17"/>
          <w:szCs w:val="17"/>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2027 that do not have a delta of one with respect to underlying securities that could pay U.S.-source dividends for U.S. federal income tax purposes (each an “Underlying Security”). Based on certain determinations made by us, we expect that Section 871(m) will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If necessary, further information regarding the potential application of Section 871(m) will be provided in the pricing supplement for the notes. You should consult your tax adviser regarding the potential application of Section 871(m) to the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Estimated Value of the Notes</w:t>
      </w:r>
    </w:p>
    <w:p>
      <w:pPr>
        <w:spacing w:after="0" w:line="115" w:lineRule="exact"/>
        <w:rPr>
          <w:sz w:val="20"/>
          <w:szCs w:val="20"/>
          <w:color w:val="auto"/>
        </w:rPr>
      </w:pPr>
    </w:p>
    <w:p>
      <w:pPr>
        <w:spacing w:after="0" w:line="281" w:lineRule="auto"/>
        <w:rPr>
          <w:sz w:val="20"/>
          <w:szCs w:val="20"/>
          <w:color w:val="auto"/>
        </w:rPr>
      </w:pPr>
      <w:r>
        <w:rPr>
          <w:rFonts w:ascii="Arial" w:cs="Arial" w:eastAsia="Arial" w:hAnsi="Arial"/>
          <w:sz w:val="17"/>
          <w:szCs w:val="17"/>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The Estimated Value of the Notes Is Derived by Reference to an Internal Funding Rate” in this pricing supplement.</w:t>
      </w:r>
    </w:p>
    <w:p>
      <w:pPr>
        <w:spacing w:after="0" w:line="29" w:lineRule="exact"/>
        <w:rPr>
          <w:sz w:val="20"/>
          <w:szCs w:val="20"/>
          <w:color w:val="auto"/>
        </w:rPr>
      </w:pPr>
    </w:p>
    <w:p>
      <w:pPr>
        <w:spacing w:after="0" w:line="309" w:lineRule="auto"/>
        <w:rPr>
          <w:sz w:val="20"/>
          <w:szCs w:val="20"/>
          <w:color w:val="auto"/>
        </w:rPr>
      </w:pPr>
      <w:r>
        <w:rPr>
          <w:rFonts w:ascii="Arial" w:cs="Arial" w:eastAsia="Arial" w:hAnsi="Arial"/>
          <w:sz w:val="16"/>
          <w:szCs w:val="16"/>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notes is determined when the terms of the notes are set based on market conditions and other relevant factors and assumptions existing at that time.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color w:val="6D6E71"/>
        </w:rPr>
        <w:t>PS-7 | Structured Investments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ectPr>
          <w:pgSz w:w="11900" w:h="16838" w:orient="portrait"/>
          <w:cols w:equalWidth="0" w:num="1">
            <w:col w:w="9960"/>
          </w:cols>
          <w:pgMar w:left="1000" w:top="775" w:right="939" w:bottom="1440" w:gutter="0" w:footer="0" w:header="0"/>
        </w:sectPr>
      </w:pPr>
    </w:p>
    <w:bookmarkStart w:id="8" w:name="page9"/>
    <w:bookmarkEnd w:id="8"/>
    <w:p>
      <w:pPr>
        <w:ind w:right="140"/>
        <w:spacing w:after="0" w:line="285" w:lineRule="auto"/>
        <w:rPr>
          <w:sz w:val="20"/>
          <w:szCs w:val="20"/>
          <w:color w:val="auto"/>
        </w:rPr>
      </w:pPr>
      <w:r>
        <w:rPr>
          <w:rFonts w:ascii="Arial" w:cs="Arial" w:eastAsia="Arial" w:hAnsi="Arial"/>
          <w:sz w:val="17"/>
          <w:szCs w:val="17"/>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23" w:lineRule="exact"/>
        <w:rPr>
          <w:sz w:val="20"/>
          <w:szCs w:val="20"/>
          <w:color w:val="auto"/>
        </w:rPr>
      </w:pPr>
    </w:p>
    <w:p>
      <w:pPr>
        <w:spacing w:after="0" w:line="282" w:lineRule="auto"/>
        <w:rPr>
          <w:sz w:val="20"/>
          <w:szCs w:val="20"/>
          <w:color w:val="auto"/>
        </w:rPr>
      </w:pPr>
      <w:r>
        <w:rPr>
          <w:rFonts w:ascii="Arial" w:cs="Arial" w:eastAsia="Arial" w:hAnsi="Arial"/>
          <w:sz w:val="17"/>
          <w:szCs w:val="17"/>
          <w:color w:val="404040"/>
        </w:rPr>
        <w:t>The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The Estimated Value of the Notes Will Be Lower Than the Original Issue Price (Price to Public) of the Notes” in this pricing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6378575" cy="6286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78575" cy="6286500"/>
                    </a:xfrm>
                    <a:prstGeom prst="rect">
                      <a:avLst/>
                    </a:prstGeom>
                    <a:noFill/>
                  </pic:spPr>
                </pic:pic>
              </a:graphicData>
            </a:graphic>
          </wp:anchor>
        </w:drawing>
      </w:r>
    </w:p>
    <w:p>
      <w:pPr>
        <w:spacing w:after="0" w:line="9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and our internal secondary market funding rates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The Value of the Notes as Published by JPMS (and Which May Be Reflected on Customer Account Statements) May Be Higher Than the Then-Current Estimated Value of the Notes for a Limited Time Period” in this pricing supplement.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115" w:lineRule="exact"/>
        <w:rPr>
          <w:sz w:val="20"/>
          <w:szCs w:val="20"/>
          <w:color w:val="auto"/>
        </w:rPr>
      </w:pPr>
    </w:p>
    <w:p>
      <w:pPr>
        <w:ind w:right="40"/>
        <w:spacing w:after="0" w:line="299" w:lineRule="auto"/>
        <w:rPr>
          <w:sz w:val="20"/>
          <w:szCs w:val="20"/>
          <w:color w:val="auto"/>
        </w:rPr>
      </w:pPr>
      <w:r>
        <w:rPr>
          <w:rFonts w:ascii="Arial" w:cs="Arial" w:eastAsia="Arial" w:hAnsi="Arial"/>
          <w:sz w:val="17"/>
          <w:szCs w:val="17"/>
          <w:color w:val="404040"/>
        </w:rPr>
        <w:t>The notes are offered to meet investor demand for products that reflect the risk-return profile and market exposure provided by the notes. See “Hypothetical Payout Profile” and “How the Notes Work” in this pricing supplement for an illustration of the risk-return profile of the notes and “The Indices” in this pricing supplement for a description of the market exposure provided by the notes.</w:t>
      </w:r>
    </w:p>
    <w:p>
      <w:pPr>
        <w:spacing w:after="0" w:line="11" w:lineRule="exact"/>
        <w:rPr>
          <w:sz w:val="20"/>
          <w:szCs w:val="20"/>
          <w:color w:val="auto"/>
        </w:rPr>
      </w:pPr>
    </w:p>
    <w:p>
      <w:pPr>
        <w:spacing w:after="0" w:line="291" w:lineRule="auto"/>
        <w:rPr>
          <w:sz w:val="20"/>
          <w:szCs w:val="20"/>
          <w:color w:val="auto"/>
        </w:rPr>
      </w:pPr>
      <w:r>
        <w:rPr>
          <w:rFonts w:ascii="Arial" w:cs="Arial" w:eastAsia="Arial" w:hAnsi="Arial"/>
          <w:sz w:val="17"/>
          <w:szCs w:val="17"/>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115"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404040"/>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404040"/>
        </w:rPr>
        <w:t>You may also choose to reject such changes, in which case we may reject your offer to purchase.</w:t>
      </w:r>
    </w:p>
    <w:p>
      <w:pPr>
        <w:spacing w:after="0" w:line="82" w:lineRule="exact"/>
        <w:rPr>
          <w:sz w:val="20"/>
          <w:szCs w:val="20"/>
          <w:color w:val="auto"/>
        </w:rPr>
      </w:pPr>
    </w:p>
    <w:p>
      <w:pPr>
        <w:spacing w:after="0" w:line="281" w:lineRule="auto"/>
        <w:rPr>
          <w:sz w:val="20"/>
          <w:szCs w:val="20"/>
          <w:color w:val="auto"/>
        </w:rPr>
      </w:pPr>
      <w:r>
        <w:rPr>
          <w:rFonts w:ascii="Arial" w:cs="Arial" w:eastAsia="Arial" w:hAnsi="Arial"/>
          <w:sz w:val="17"/>
          <w:szCs w:val="17"/>
          <w:color w:val="404040"/>
        </w:rPr>
        <w:t>You should read this pricing supplement together with the accompanying prospectus, as supplemented by the accompanying prospectus supplement relating to our Series A medium-term notes of which these notes are a part, the accompanying prospectus addendum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and the accompanying product supplement and in Annex A to the accompanying prospectus addendum, as the notes involve risks not associated with conventional debt securities. We urge you to consult your investment, legal, tax, accounting and other advisers before you invest in the notes.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7"/>
          <w:szCs w:val="17"/>
          <w:color w:val="6D6E71"/>
        </w:rPr>
        <w:t>PS-8 | Structured Investments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p>
      <w:pPr>
        <w:sectPr>
          <w:pgSz w:w="11900" w:h="16838" w:orient="portrait"/>
          <w:cols w:equalWidth="0" w:num="1">
            <w:col w:w="9940"/>
          </w:cols>
          <w:pgMar w:left="1000" w:top="793" w:right="959" w:bottom="1440" w:gutter="0" w:footer="0" w:header="0"/>
        </w:sectPr>
      </w:pPr>
    </w:p>
    <w:bookmarkStart w:id="9" w:name="page10"/>
    <w:bookmarkEnd w:id="9"/>
    <w:p>
      <w:pPr>
        <w:ind w:left="5"/>
        <w:spacing w:after="0" w:line="300" w:lineRule="auto"/>
        <w:rPr>
          <w:sz w:val="20"/>
          <w:szCs w:val="20"/>
          <w:color w:val="auto"/>
        </w:rPr>
      </w:pPr>
      <w:r>
        <w:rPr>
          <w:rFonts w:ascii="Arial" w:cs="Arial" w:eastAsia="Arial" w:hAnsi="Arial"/>
          <w:sz w:val="17"/>
          <w:szCs w:val="17"/>
          <w:b w:val="1"/>
          <w:bCs w:val="1"/>
          <w:color w:val="404040"/>
        </w:rPr>
        <w:t>You may access these documents on the SEC website at www.sec.gov as follows (or if such address has changed, by reviewing our filings for the relevant date on the SEC website):</w:t>
      </w:r>
    </w:p>
    <w:p>
      <w:pPr>
        <w:spacing w:after="0" w:line="1" w:lineRule="exact"/>
        <w:rPr>
          <w:sz w:val="20"/>
          <w:szCs w:val="20"/>
          <w:color w:val="auto"/>
        </w:rPr>
      </w:pPr>
    </w:p>
    <w:p>
      <w:pPr>
        <w:ind w:left="325" w:right="2880" w:hanging="325"/>
        <w:spacing w:after="0" w:line="289" w:lineRule="auto"/>
        <w:tabs>
          <w:tab w:leader="none" w:pos="324" w:val="left"/>
        </w:tabs>
        <w:numPr>
          <w:ilvl w:val="0"/>
          <w:numId w:val="9"/>
        </w:numPr>
        <w:rPr>
          <w:rFonts w:ascii="Arial" w:cs="Arial" w:eastAsia="Arial" w:hAnsi="Arial"/>
          <w:sz w:val="16"/>
          <w:szCs w:val="16"/>
          <w:color w:val="0000FF"/>
        </w:rPr>
      </w:pPr>
      <w:r>
        <w:rPr>
          <w:rFonts w:ascii="Arial" w:cs="Arial" w:eastAsia="Arial" w:hAnsi="Arial"/>
          <w:sz w:val="16"/>
          <w:szCs w:val="16"/>
          <w:color w:val="404040"/>
        </w:rPr>
        <w:t xml:space="preserve">Product supplement no. 4-I dated April 13, 2023: </w:t>
      </w:r>
      <w:hyperlink r:id="rId17">
        <w:r>
          <w:rPr>
            <w:rFonts w:ascii="Arial" w:cs="Arial" w:eastAsia="Arial" w:hAnsi="Arial"/>
            <w:sz w:val="16"/>
            <w:szCs w:val="16"/>
            <w:color w:val="0000FF"/>
          </w:rPr>
          <w:t>http://www.sec.gov/Archives/edgar/data/19617/000121390023029539/ea152803_424b2.pdf</w:t>
        </w:r>
      </w:hyperlink>
    </w:p>
    <w:p>
      <w:pPr>
        <w:spacing w:after="0" w:line="152" w:lineRule="exact"/>
        <w:rPr>
          <w:rFonts w:ascii="Arial" w:cs="Arial" w:eastAsia="Arial" w:hAnsi="Arial"/>
          <w:sz w:val="16"/>
          <w:szCs w:val="16"/>
          <w:color w:val="0000FF"/>
        </w:rPr>
      </w:pPr>
    </w:p>
    <w:p>
      <w:pPr>
        <w:ind w:left="325" w:right="2880" w:hanging="325"/>
        <w:spacing w:after="0" w:line="307" w:lineRule="auto"/>
        <w:tabs>
          <w:tab w:leader="none" w:pos="324" w:val="left"/>
        </w:tabs>
        <w:numPr>
          <w:ilvl w:val="0"/>
          <w:numId w:val="9"/>
        </w:numPr>
        <w:rPr>
          <w:rFonts w:ascii="Arial" w:cs="Arial" w:eastAsia="Arial" w:hAnsi="Arial"/>
          <w:sz w:val="16"/>
          <w:szCs w:val="16"/>
          <w:color w:val="0000FF"/>
        </w:rPr>
      </w:pPr>
      <w:r>
        <w:rPr>
          <w:rFonts w:ascii="Arial" w:cs="Arial" w:eastAsia="Arial" w:hAnsi="Arial"/>
          <w:sz w:val="16"/>
          <w:szCs w:val="16"/>
          <w:color w:val="404040"/>
        </w:rPr>
        <w:t xml:space="preserve">Underlying supplement no. 1-I dated April 13, 2023: </w:t>
      </w:r>
      <w:hyperlink r:id="rId18">
        <w:r>
          <w:rPr>
            <w:rFonts w:ascii="Arial" w:cs="Arial" w:eastAsia="Arial" w:hAnsi="Arial"/>
            <w:sz w:val="16"/>
            <w:szCs w:val="16"/>
            <w:color w:val="0000FF"/>
          </w:rPr>
          <w:t>http://www.sec.gov/Archives/edgar/data/19617/000121390023029543/ea151873_424b2.pdf</w:t>
        </w:r>
      </w:hyperlink>
    </w:p>
    <w:p>
      <w:pPr>
        <w:spacing w:after="0" w:line="138" w:lineRule="exact"/>
        <w:rPr>
          <w:rFonts w:ascii="Arial" w:cs="Arial" w:eastAsia="Arial" w:hAnsi="Arial"/>
          <w:sz w:val="16"/>
          <w:szCs w:val="16"/>
          <w:color w:val="0000FF"/>
        </w:rPr>
      </w:pPr>
    </w:p>
    <w:p>
      <w:pPr>
        <w:ind w:left="325" w:right="2640" w:hanging="325"/>
        <w:spacing w:after="0" w:line="307" w:lineRule="auto"/>
        <w:tabs>
          <w:tab w:leader="none" w:pos="324" w:val="left"/>
        </w:tabs>
        <w:numPr>
          <w:ilvl w:val="0"/>
          <w:numId w:val="9"/>
        </w:numPr>
        <w:rPr>
          <w:rFonts w:ascii="Arial" w:cs="Arial" w:eastAsia="Arial" w:hAnsi="Arial"/>
          <w:sz w:val="16"/>
          <w:szCs w:val="16"/>
          <w:color w:val="0000FF"/>
        </w:rPr>
      </w:pPr>
      <w:r>
        <w:rPr>
          <w:rFonts w:ascii="Arial" w:cs="Arial" w:eastAsia="Arial" w:hAnsi="Arial"/>
          <w:sz w:val="16"/>
          <w:szCs w:val="16"/>
          <w:color w:val="404040"/>
        </w:rPr>
        <w:t xml:space="preserve">Prospectus supplement and prospectus, each dated April 13, 2023: </w:t>
      </w:r>
      <w:hyperlink r:id="rId19">
        <w:r>
          <w:rPr>
            <w:rFonts w:ascii="Arial" w:cs="Arial" w:eastAsia="Arial" w:hAnsi="Arial"/>
            <w:sz w:val="16"/>
            <w:szCs w:val="16"/>
            <w:color w:val="0000FF"/>
          </w:rPr>
          <w:t>http://www.sec.gov/Archives/edgar/data/19617/000095010323005751/crt_dp192097-424b2.pdf</w:t>
        </w:r>
      </w:hyperlink>
    </w:p>
    <w:p>
      <w:pPr>
        <w:spacing w:after="0" w:line="138" w:lineRule="exact"/>
        <w:rPr>
          <w:rFonts w:ascii="Arial" w:cs="Arial" w:eastAsia="Arial" w:hAnsi="Arial"/>
          <w:sz w:val="16"/>
          <w:szCs w:val="16"/>
          <w:color w:val="0000FF"/>
        </w:rPr>
      </w:pPr>
    </w:p>
    <w:p>
      <w:pPr>
        <w:ind w:left="325" w:right="2660" w:hanging="325"/>
        <w:spacing w:after="0" w:line="289" w:lineRule="auto"/>
        <w:tabs>
          <w:tab w:leader="none" w:pos="324" w:val="left"/>
        </w:tabs>
        <w:numPr>
          <w:ilvl w:val="0"/>
          <w:numId w:val="9"/>
        </w:numPr>
        <w:rPr>
          <w:rFonts w:ascii="Arial" w:cs="Arial" w:eastAsia="Arial" w:hAnsi="Arial"/>
          <w:sz w:val="16"/>
          <w:szCs w:val="16"/>
          <w:color w:val="0000FF"/>
        </w:rPr>
      </w:pPr>
      <w:r>
        <w:rPr>
          <w:rFonts w:ascii="Arial" w:cs="Arial" w:eastAsia="Arial" w:hAnsi="Arial"/>
          <w:sz w:val="16"/>
          <w:szCs w:val="16"/>
          <w:color w:val="404040"/>
        </w:rPr>
        <w:t xml:space="preserve">Prospectus addendum dated June 3, 2024: </w:t>
      </w:r>
      <w:hyperlink r:id="rId20">
        <w:r>
          <w:rPr>
            <w:rFonts w:ascii="Arial" w:cs="Arial" w:eastAsia="Arial" w:hAnsi="Arial"/>
            <w:sz w:val="16"/>
            <w:szCs w:val="16"/>
            <w:color w:val="0000FF"/>
          </w:rPr>
          <w:t>http://www.sec.gov/Archives/edgar/data/1665650/000095010324007599/dp211753_424b3.htm</w:t>
        </w:r>
      </w:hyperlink>
    </w:p>
    <w:p>
      <w:pPr>
        <w:spacing w:after="0" w:line="192" w:lineRule="exact"/>
        <w:rPr>
          <w:rFonts w:ascii="Arial" w:cs="Arial" w:eastAsia="Arial" w:hAnsi="Arial"/>
          <w:sz w:val="14"/>
          <w:szCs w:val="14"/>
          <w:color w:val="404040"/>
        </w:rPr>
      </w:pPr>
    </w:p>
    <w:p>
      <w:pPr>
        <w:ind w:left="5" w:right="380"/>
        <w:spacing w:after="0" w:line="307" w:lineRule="auto"/>
        <w:rPr>
          <w:sz w:val="20"/>
          <w:szCs w:val="20"/>
          <w:color w:val="auto"/>
        </w:rPr>
      </w:pPr>
      <w:r>
        <w:rPr>
          <w:rFonts w:ascii="Arial" w:cs="Arial" w:eastAsia="Arial" w:hAnsi="Arial"/>
          <w:sz w:val="17"/>
          <w:szCs w:val="17"/>
          <w:color w:val="404040"/>
        </w:rPr>
        <w:t>Our Central Index Key, or CIK, on the SEC website is 1665650, and JPMorgan Chase &amp; Co.’s CIK is 19617. As used in this pricing supplement, “we,” “us” and “our” refer to JPMorgan Financial.</w:t>
      </w:r>
    </w:p>
    <w:p>
      <w:pPr>
        <w:spacing w:after="0" w:line="20" w:lineRule="exact"/>
        <w:rPr>
          <w:rFonts w:ascii="Arial" w:cs="Arial" w:eastAsia="Arial" w:hAnsi="Arial"/>
          <w:sz w:val="14"/>
          <w:szCs w:val="14"/>
          <w:color w:val="404040"/>
        </w:rPr>
      </w:pPr>
      <w:r>
        <w:rPr>
          <w:rFonts w:ascii="Arial" w:cs="Arial" w:eastAsia="Arial" w:hAnsi="Arial"/>
          <w:sz w:val="14"/>
          <w:szCs w:val="14"/>
          <w:color w:val="404040"/>
        </w:rPr>
        <w:drawing>
          <wp:anchor simplePos="0" relativeHeight="251657728" behindDoc="1" locked="0" layoutInCell="0" allowOverlap="1">
            <wp:simplePos x="0" y="0"/>
            <wp:positionH relativeFrom="column">
              <wp:posOffset>3810</wp:posOffset>
            </wp:positionH>
            <wp:positionV relativeFrom="paragraph">
              <wp:posOffset>6007100</wp:posOffset>
            </wp:positionV>
            <wp:extent cx="6294755" cy="521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294755" cy="521335"/>
                    </a:xfrm>
                    <a:prstGeom prst="rect">
                      <a:avLst/>
                    </a:prstGeom>
                    <a:noFill/>
                  </pic:spPr>
                </pic:pic>
              </a:graphicData>
            </a:graphic>
          </wp:anchor>
        </w:drawing>
      </w: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99" w:lineRule="exact"/>
        <w:rPr>
          <w:rFonts w:ascii="Arial" w:cs="Arial" w:eastAsia="Arial" w:hAnsi="Arial"/>
          <w:sz w:val="14"/>
          <w:szCs w:val="14"/>
          <w:color w:val="404040"/>
        </w:rPr>
      </w:pPr>
    </w:p>
    <w:p>
      <w:pPr>
        <w:ind w:left="25"/>
        <w:spacing w:after="0"/>
        <w:rPr>
          <w:sz w:val="20"/>
          <w:szCs w:val="20"/>
          <w:color w:val="auto"/>
        </w:rPr>
      </w:pPr>
      <w:r>
        <w:rPr>
          <w:rFonts w:ascii="Arial" w:cs="Arial" w:eastAsia="Arial" w:hAnsi="Arial"/>
          <w:sz w:val="17"/>
          <w:szCs w:val="17"/>
          <w:color w:val="6D6E71"/>
        </w:rPr>
        <w:t>PS-9 | Structured Investments</w:t>
      </w:r>
    </w:p>
    <w:p>
      <w:pPr>
        <w:spacing w:after="0" w:line="74" w:lineRule="exact"/>
        <w:rPr>
          <w:rFonts w:ascii="Arial" w:cs="Arial" w:eastAsia="Arial" w:hAnsi="Arial"/>
          <w:sz w:val="14"/>
          <w:szCs w:val="14"/>
          <w:color w:val="404040"/>
        </w:rPr>
      </w:pPr>
    </w:p>
    <w:p>
      <w:pPr>
        <w:ind w:left="25"/>
        <w:spacing w:after="0"/>
        <w:rPr>
          <w:sz w:val="20"/>
          <w:szCs w:val="20"/>
          <w:color w:val="auto"/>
        </w:rPr>
      </w:pPr>
      <w:r>
        <w:rPr>
          <w:rFonts w:ascii="Arial" w:cs="Arial" w:eastAsia="Arial" w:hAnsi="Arial"/>
          <w:sz w:val="15"/>
          <w:szCs w:val="15"/>
          <w:color w:val="6D6E71"/>
        </w:rPr>
        <w:t>Uncapped Accelerated Barrier Notes Linked to the Lesser Performing of</w:t>
      </w:r>
    </w:p>
    <w:p>
      <w:pPr>
        <w:spacing w:after="0" w:line="14" w:lineRule="exact"/>
        <w:rPr>
          <w:rFonts w:ascii="Arial" w:cs="Arial" w:eastAsia="Arial" w:hAnsi="Arial"/>
          <w:sz w:val="14"/>
          <w:szCs w:val="14"/>
          <w:color w:val="404040"/>
        </w:rPr>
      </w:pPr>
    </w:p>
    <w:p>
      <w:pPr>
        <w:ind w:left="25"/>
        <w:spacing w:after="0"/>
        <w:rPr>
          <w:sz w:val="20"/>
          <w:szCs w:val="20"/>
          <w:color w:val="auto"/>
        </w:rPr>
      </w:pPr>
      <w:r>
        <w:rPr>
          <w:rFonts w:ascii="Arial" w:cs="Arial" w:eastAsia="Arial" w:hAnsi="Arial"/>
          <w:sz w:val="15"/>
          <w:szCs w:val="15"/>
          <w:color w:val="6D6E71"/>
        </w:rPr>
        <w:t>the Nasdaq-100 Index</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and the S&amp;P 500</w:t>
      </w:r>
      <w:r>
        <w:rPr>
          <w:rFonts w:ascii="Arial" w:cs="Arial" w:eastAsia="Arial" w:hAnsi="Arial"/>
          <w:sz w:val="18"/>
          <w:szCs w:val="18"/>
          <w:color w:val="6D6E71"/>
          <w:vertAlign w:val="superscript"/>
        </w:rPr>
        <w:t>®</w:t>
      </w:r>
      <w:r>
        <w:rPr>
          <w:rFonts w:ascii="Arial" w:cs="Arial" w:eastAsia="Arial" w:hAnsi="Arial"/>
          <w:sz w:val="15"/>
          <w:szCs w:val="15"/>
          <w:color w:val="6D6E71"/>
        </w:rPr>
        <w:t xml:space="preserve"> Index</w:t>
      </w:r>
    </w:p>
    <w:sectPr>
      <w:pgSz w:w="11900" w:h="16838" w:orient="portrait"/>
      <w:cols w:equalWidth="0" w:num="1">
        <w:col w:w="9985"/>
      </w:cols>
      <w:pgMar w:left="995" w:top="80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21" Type="http://schemas.openxmlformats.org/officeDocument/2006/relationships/image" Target="media/image10.jpeg"/><Relationship Id="rId17" Type="http://schemas.openxmlformats.org/officeDocument/2006/relationships/hyperlink" Target="http://www.sec.gov/Archives/edgar/data/19617/000121390023029539/ea152803_424b2.pdf" TargetMode="External"/><Relationship Id="rId18" Type="http://schemas.openxmlformats.org/officeDocument/2006/relationships/hyperlink" Target="http://www.sec.gov/Archives/edgar/data/19617/000121390023029543/ea151873_424b2.pdf" TargetMode="External"/><Relationship Id="rId19" Type="http://schemas.openxmlformats.org/officeDocument/2006/relationships/hyperlink" Target="http://www.sec.gov/Archives/edgar/data/19617/000095010323005751/crt_dp192097-424b2.pdf" TargetMode="External"/><Relationship Id="rId20" Type="http://schemas.openxmlformats.org/officeDocument/2006/relationships/hyperlink" Target="http://www.sec.gov/Archives/edgar/data/1665650/000095010324007599/dp211753_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2026-01-13T05:15:50Z</dcterms:created>
  <dcterms:modified xsi:type="dcterms:W3CDTF">2026-01-13T05:15:50Z</dcterms:modified>
</cp:coreProperties>
</file>