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023-01_fwp.htm"/>
      <w:bookmarkStart w:id="1" w:name="ksea030702301_fwp"/>
      <w:bookmarkStart w:id="2" w:name="ea0307023-01_fwp.htm"/>
      <w:bookmarkStart w:id="3" w:name="ksea030702301_fwp"/>
      <w:bookmarkEnd w:id="2"/>
      <w:bookmarkEnd w:id="3"/>
    </w:p>
    <w:tbl>
      <w:tblPr>
        <w:tblW w:w="10205" w:type="dxa"/>
        <w:jc w:val="left"/>
        <w:tblInd w:w="0" w:type="dxa"/>
        <w:tblLayout w:type="fixed"/>
        <w:tblCellMar>
          <w:top w:w="0" w:type="dxa"/>
          <w:left w:w="0" w:type="dxa"/>
          <w:bottom w:w="0" w:type="dxa"/>
          <w:right w:w="0" w:type="dxa"/>
        </w:tblCellMar>
      </w:tblPr>
      <w:tblGrid>
        <w:gridCol w:w="5903"/>
        <w:gridCol w:w="4302"/>
      </w:tblGrid>
      <w:tr>
        <w:trPr/>
        <w:tc>
          <w:tcPr>
            <w:tcW w:w="5903"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302"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w:t>
            </w:r>
            <w:r>
              <w:rPr>
                <w:rFonts w:ascii="Verdana;Helvetica;Sans-Serif" w:hAnsi="Verdana;Helvetica;Sans-Serif"/>
                <w:b w:val="false"/>
                <w:i w:val="false"/>
                <w:caps w:val="false"/>
                <w:smallCaps w:val="false"/>
                <w:sz w:val="14"/>
                <w:shd w:fill="FFFFFF" w:val="clear"/>
              </w:rPr>
              <w:t>333-293684 and 333-293684-01</w:t>
            </w:r>
          </w:p>
        </w:tc>
      </w:tr>
      <w:tr>
        <w:trPr/>
        <w:tc>
          <w:tcPr>
            <w:tcW w:w="5903" w:type="dxa"/>
            <w:vMerge w:val="continue"/>
            <w:tcBorders/>
            <w:vAlign w:val="center"/>
          </w:tcPr>
          <w:p>
            <w:pPr>
              <w:pStyle w:val="Normal"/>
              <w:bidi w:val="0"/>
              <w:jc w:val="left"/>
              <w:rPr/>
            </w:pPr>
            <w:r>
              <w:rPr/>
            </w:r>
          </w:p>
        </w:tc>
        <w:tc>
          <w:tcPr>
            <w:tcW w:w="4302"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r>
        <w:trPr/>
        <w:tc>
          <w:tcPr>
            <w:tcW w:w="10205" w:type="dxa"/>
            <w:gridSpan w:val="2"/>
            <w:tcBorders/>
            <w:shd w:fill="8F8F8F" w:val="clear"/>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Securities—Callable with Contingent Coupon with Daily Observation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Nasdaq-100 Index</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the Russell 2000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EURO STOXX 50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due April 4, 2030</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25, 2026 to Preliminary Pricing Supplement dated September 25,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24306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92430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791"/>
                              <w:gridCol w:w="8414"/>
                            </w:tblGrid>
                            <w:tr>
                              <w:trPr/>
                              <w:tc>
                                <w:tcPr>
                                  <w:tcW w:w="17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4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 and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5,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4, 2030</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With respect to each observation period, you will receive on the related contingent coupon payment date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closing level of the lowest performing Index on each eligible trading day during that observation period is greater than or equal to its coupon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observation period end-date,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observation period will be the stated maturity 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41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11.45% per annum (to be provided in the pricing supplement)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Optional Redemption:</w:t>
                                  </w:r>
                                </w:p>
                              </w:tc>
                              <w:tc>
                                <w:tcPr>
                                  <w:tcW w:w="8414"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 xml:space="preserve">We may, at our option, redeem the securities, in whole but not in part, on any optional redemption date.  If we elect to redeem the securities prior to the stated maturity date, you will be entitled to receive on the applicable optional redemption date a cash payment per security in U.S. dollars equal to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any contingent coupon payment otherwise due.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Observation Period End-Dates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30</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March, June, September and December,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observation period end-date that would otherwise occur in March 2030 will instead be April 1, 2030, commencing December 2026 and ending April 2030.  We refer to April 1, 2030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Observation Periods: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Each observation period will consist of each day that is a trading day for at least one Index (each such day, an “</w:t>
                                  </w:r>
                                  <w:r>
                                    <w:rPr>
                                      <w:rFonts w:ascii="Georgia;Times;Serif" w:hAnsi="Georgia;Times;Serif"/>
                                      <w:b w:val="false"/>
                                      <w:i w:val="false"/>
                                      <w:caps w:val="false"/>
                                      <w:smallCaps w:val="false"/>
                                      <w:sz w:val="16"/>
                                      <w:u w:val="single"/>
                                    </w:rPr>
                                    <w:t>eligible trading day</w:t>
                                  </w:r>
                                  <w:r>
                                    <w:rPr>
                                      <w:rFonts w:ascii="Georgia;Times;Serif" w:hAnsi="Georgia;Times;Serif"/>
                                      <w:b w:val="false"/>
                                      <w:i w:val="false"/>
                                      <w:caps w:val="false"/>
                                      <w:smallCaps w:val="false"/>
                                      <w:sz w:val="16"/>
                                    </w:rPr>
                                    <w:t>”) from but excluding an observation period end-date to and including the following observation period end-date, provided that the first observation period will consist of each eligible trading day from but excluding the pricing date to and including the first observation period end-date.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Optional Redemption-Dates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contingent coupon payment dates following each observation period end-date scheduled to occur from December 2026 to December 2029, inclusive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we do not redeem the securities prior to the stated maturity date:</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downside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downside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eligible trading day during an observation period (including the final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eligible trading day and that has not been disregarded due to a market disruption event or non-trading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791"/>
                        <w:gridCol w:w="8414"/>
                      </w:tblGrid>
                      <w:tr>
                        <w:trPr/>
                        <w:tc>
                          <w:tcPr>
                            <w:tcW w:w="17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4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 and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5, 2026</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April 4, 2030</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With respect to each observation period, you will receive on the related contingent coupon payment date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closing level of the lowest performing Index on each eligible trading day during that observation period is greater than or equal to its coupon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observation period end-date,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observation period will be the stated maturity 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41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11.45% per annum (to be provided in the pricing supplement)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Optional Redemption:</w:t>
                            </w:r>
                          </w:p>
                        </w:tc>
                        <w:tc>
                          <w:tcPr>
                            <w:tcW w:w="8414"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 xml:space="preserve">We may, at our option, redeem the securities, in whole but not in part, on any optional redemption date.  If we elect to redeem the securities prior to the stated maturity date, you will be entitled to receive on the applicable optional redemption date a cash payment per security in U.S. dollars equal to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any contingent coupon payment otherwise due.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Observation Period End-Dates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30</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March, June, September and December,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observation period end-date that would otherwise occur in March 2030 will instead be April 1, 2030, commencing December 2026 and ending April 2030.  We refer to April 1, 2030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Observation Periods:</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Each observation period will consist of each day that is a trading day for at least one Index (each such day, an “</w:t>
                            </w:r>
                            <w:r>
                              <w:rPr>
                                <w:rFonts w:ascii="Georgia;Times;Serif" w:hAnsi="Georgia;Times;Serif"/>
                                <w:b w:val="false"/>
                                <w:i w:val="false"/>
                                <w:caps w:val="false"/>
                                <w:smallCaps w:val="false"/>
                                <w:sz w:val="16"/>
                                <w:u w:val="single"/>
                              </w:rPr>
                              <w:t>eligible trading day</w:t>
                            </w:r>
                            <w:r>
                              <w:rPr>
                                <w:rFonts w:ascii="Georgia;Times;Serif" w:hAnsi="Georgia;Times;Serif"/>
                                <w:b w:val="false"/>
                                <w:i w:val="false"/>
                                <w:caps w:val="false"/>
                                <w:smallCaps w:val="false"/>
                                <w:sz w:val="16"/>
                              </w:rPr>
                              <w:t>”) from but excluding an observation period end-date to and including the following observation period end-date, provided that the first observation period will consist of each eligible trading day from but excluding the pricing date to and including the first observation period end-date.</w:t>
                            </w:r>
                          </w:p>
                        </w:tc>
                      </w:tr>
                      <w:tr>
                        <w:trPr/>
                        <w:tc>
                          <w:tcPr>
                            <w:tcW w:w="179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Optional Redemption-Dates </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contingent coupon payment dates following each observation period end-date scheduled to occur from December 2026 to December 2029, inclusive</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41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we do not redeem the securities prior to the stated maturity date:</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downside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downside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7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4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eligible trading day during an observation period (including the final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eligible trading day and that has not been disregarded due to a market disruption event or non-trading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874"/>
                              <w:gridCol w:w="8331"/>
                            </w:tblGrid>
                            <w:tr>
                              <w:trPr/>
                              <w:tc>
                                <w:tcPr>
                                  <w:tcW w:w="18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33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eligible trading day during an observation period, (closing level on that day – starting level) / starting level</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Threshold Level:</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 of its starting level</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Downside Threshold Level:</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60% of its starting level</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874"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33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bl>
                          <w:tbl>
                            <w:tblPr>
                              <w:tblW w:w="10205" w:type="dxa"/>
                              <w:jc w:val="left"/>
                              <w:tblInd w:w="-10" w:type="dxa"/>
                              <w:tblLayout w:type="fixed"/>
                              <w:tblCellMar>
                                <w:top w:w="28" w:type="dxa"/>
                                <w:left w:w="108" w:type="dxa"/>
                                <w:bottom w:w="28" w:type="dxa"/>
                                <w:right w:w="108" w:type="dxa"/>
                              </w:tblCellMar>
                            </w:tblPr>
                            <w:tblGrid>
                              <w:gridCol w:w="1280"/>
                              <w:gridCol w:w="892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46661P2D8</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1.25% of WFS’s fee, and WFA may also receive a distribution expense fee of 0.075%.  In addition, in respect of certain securities sold in this offering, JPMS may pay a fee of up to 0.10% to selected dealers in consideration for marketing and other services in connection with the distribution of the securities to other dealers.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0"/>
                              <w:ind w:left="108" w:right="0" w:hanging="12"/>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152775" cy="17716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52775" cy="1771650"/>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we do not redeem the securities prior to stated maturity and the ending level of the lowest performing Index on the final calculation day is less than its downside threshold level, you will lose more than 40%, and possibly all, of the principal amount of your securities at maturity.</w:t>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downside threshold level.</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$960.20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80" w:after="40"/>
                              <w:ind w:left="80" w:right="80" w:hanging="0"/>
                              <w:jc w:val="left"/>
                              <w:rPr/>
                            </w:pPr>
                            <w:r>
                              <w:rPr>
                                <w:rFonts w:ascii="Georgia;Times;Serif" w:hAnsi="Georgia;Times;Serif"/>
                                <w:b w:val="false"/>
                                <w:i w:val="false"/>
                                <w:caps w:val="false"/>
                                <w:smallCaps w:val="false"/>
                                <w:sz w:val="16"/>
                              </w:rPr>
                              <w:t xml:space="preserve">Preliminary Pricing Supplement: </w:t>
                              <w:br/>
                            </w:r>
                            <w:hyperlink r:id="rId4">
                              <w:r>
                                <w:rPr>
                                  <w:rStyle w:val="InternetLink"/>
                                  <w:rFonts w:ascii="Georgia;Times;Serif" w:hAnsi="Georgia;Times;Serif"/>
                                  <w:b w:val="false"/>
                                  <w:i w:val="false"/>
                                  <w:caps w:val="false"/>
                                  <w:smallCaps w:val="false"/>
                                  <w:sz w:val="16"/>
                                </w:rPr>
                                <w:t>http://www.sec.gov/Archives/edgar/data/19617/000121390026104171/</w:t>
                                <w:br/>
                                <w:t>ea0306923-01_424b2.htm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874"/>
                        <w:gridCol w:w="8331"/>
                      </w:tblGrid>
                      <w:tr>
                        <w:trPr/>
                        <w:tc>
                          <w:tcPr>
                            <w:tcW w:w="18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33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eligible trading day during an observation period, (closing level on that day – starting level) / starting level</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Threshold Level:</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 of its starting level</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Downside Threshold Level:</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60% of its starting level</w:t>
                            </w:r>
                          </w:p>
                        </w:tc>
                      </w:tr>
                      <w:tr>
                        <w:trPr/>
                        <w:tc>
                          <w:tcPr>
                            <w:tcW w:w="18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3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874"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331"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bl>
                    <w:tbl>
                      <w:tblPr>
                        <w:tblW w:w="10205" w:type="dxa"/>
                        <w:jc w:val="left"/>
                        <w:tblInd w:w="-10" w:type="dxa"/>
                        <w:tblLayout w:type="fixed"/>
                        <w:tblCellMar>
                          <w:top w:w="28" w:type="dxa"/>
                          <w:left w:w="108" w:type="dxa"/>
                          <w:bottom w:w="28" w:type="dxa"/>
                          <w:right w:w="108" w:type="dxa"/>
                        </w:tblCellMar>
                      </w:tblPr>
                      <w:tblGrid>
                        <w:gridCol w:w="1280"/>
                        <w:gridCol w:w="892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46661P2D8</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1.25% of WFS’s fee, and WFA may also receive a distribution expense fee of 0.075%.  In addition, in respect of certain securities sold in this offering, JPMS may pay a fee of up to 0.10% to selected dealers in consideration for marketing and other services in connection with the distribution of the securities to other dealers.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0"/>
                        <w:ind w:left="108" w:right="0" w:hanging="12"/>
                        <w:jc w:val="left"/>
                        <w:rPr>
                          <w:rFonts w:ascii="Verdana;Helvetica;Sans-Serif" w:hAnsi="Verdana;Helvetica;Sans-Serif"/>
                          <w:b w:val="false"/>
                          <w:i w:val="false"/>
                          <w:caps w:val="false"/>
                          <w:smallCaps w:val="false"/>
                          <w:color w:val="8F8F8F"/>
                          <w:sz w:val="24"/>
                        </w:rPr>
                      </w:pPr>
                      <w:r>
                        <w:rPr>
                          <w:rFonts w:ascii="Verdana;Helvetica;Sans-Serif" w:hAnsi="Verdana;Helvetica;Sans-Serif"/>
                          <w:b w:val="false"/>
                          <w:i w:val="false"/>
                          <w:caps w:val="false"/>
                          <w:smallCaps w:val="false"/>
                          <w:color w:val="8F8F8F"/>
                          <w:sz w:val="24"/>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152775" cy="17716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52775" cy="1771650"/>
                                    </a:xfrm>
                                    <a:prstGeom prst="rect">
                                      <a:avLst/>
                                    </a:prstGeom>
                                  </pic:spPr>
                                </pic:pic>
                              </a:graphicData>
                            </a:graphic>
                          </wp:inline>
                        </w:drawing>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we do not redeem the securities prior to stated maturity and the ending level of the lowest performing Index on the final calculation day is less than its downside threshold level, you will lose more than 40%, and possibly all, of the principal amount of your securities at maturity.</w:t>
                      </w:r>
                    </w:p>
                    <w:p>
                      <w:pPr>
                        <w:pStyle w:val="TextBody"/>
                        <w:bidi w:val="0"/>
                        <w:spacing w:before="40" w:after="40"/>
                        <w:ind w:left="4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downside threshold level.</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$960.20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80" w:after="40"/>
                        <w:ind w:left="80" w:right="80" w:hanging="0"/>
                        <w:jc w:val="left"/>
                        <w:rPr/>
                      </w:pPr>
                      <w:r>
                        <w:rPr>
                          <w:rFonts w:ascii="Georgia;Times;Serif" w:hAnsi="Georgia;Times;Serif"/>
                          <w:b w:val="false"/>
                          <w:i w:val="false"/>
                          <w:caps w:val="false"/>
                          <w:smallCaps w:val="false"/>
                          <w:sz w:val="16"/>
                        </w:rPr>
                        <w:t xml:space="preserve">Preliminary Pricing Supplement: </w:t>
                        <w:br/>
                      </w:r>
                      <w:hyperlink r:id="rId6">
                        <w:r>
                          <w:rPr>
                            <w:rStyle w:val="InternetLink"/>
                            <w:rFonts w:ascii="Georgia;Times;Serif" w:hAnsi="Georgia;Times;Serif"/>
                            <w:b w:val="false"/>
                            <w:i w:val="false"/>
                            <w:caps w:val="false"/>
                            <w:smallCaps w:val="false"/>
                            <w:sz w:val="16"/>
                          </w:rPr>
                          <w:t>http://www.sec.gov/Archives/edgar/data/19617/000121390026104171/</w:t>
                          <w:br/>
                          <w:t>ea0306923-01_424b2.htm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313"/>
        <w:gridCol w:w="4892"/>
      </w:tblGrid>
      <w:tr>
        <w:trPr/>
        <w:tc>
          <w:tcPr>
            <w:tcW w:w="5313"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We Do Not Redeem the Securities Prior to Stated Maturity and the Ending Level of the Lowest Performing Index on the Final Calculation Day Is Less Than Its Downside Threshold Level, You Will Lose More Than 40%, and Possibly All, of the Principal Amount of Your Securities at Maturity.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Index.</w:t>
            </w:r>
          </w:p>
          <w:p>
            <w:pPr>
              <w:pStyle w:val="TableContents"/>
              <w:bidi w:val="0"/>
              <w:ind w:left="403" w:right="0" w:hanging="403"/>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Whether You Receive a Contingent Coupon Payment on a Contingent Coupon Payment Date Will Depend on the Closing Level of the Lowest Performing Index on Each Eligible Trading Day During the Related Observation Period.</w:t>
            </w:r>
          </w:p>
          <w:p>
            <w:pPr>
              <w:pStyle w:val="TableContents"/>
              <w:bidi w:val="0"/>
              <w:ind w:left="403" w:right="0" w:hanging="403"/>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You Will Be Subject to Reinvestment Risk and Our Redemption Right May Limit Your Potential to Receive Contingent Coupon Payments.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Indices.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Downside Threshold Level May Terminate on the Final Calculation Day.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U.S. Federal Tax Consequences of the Securities Are Uncertain, and May Be Adverse to a Holder of the Securities</w:t>
            </w:r>
            <w:r>
              <w:rPr>
                <w:rFonts w:ascii="Georgia;Times;Serif" w:hAnsi="Georgia;Times;Serif"/>
                <w:b/>
                <w:i w:val="false"/>
                <w:caps w:val="false"/>
                <w:smallCaps w:val="false"/>
                <w:sz w:val="18"/>
              </w:rPr>
              <w:t>.</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4892" w:type="dxa"/>
            <w:tcBorders/>
            <w:vAlign w:val="center"/>
          </w:tcPr>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Securities Are Subject to Non-U.S. Securities Risk with Respect to the Nasdaq-100 Index</w:t>
            </w:r>
            <w:r>
              <w:rPr>
                <w:rFonts w:ascii="Georgia;Times;Serif" w:hAnsi="Georgia;Times;Serif"/>
                <w:b/>
                <w:i w:val="false"/>
                <w:caps w:val="false"/>
                <w:smallCaps w:val="false"/>
                <w:position w:val="6"/>
                <w:sz w:val="14"/>
                <w:sz w:val="18"/>
                <w:shd w:fill="FFFFFF" w:val="clear"/>
              </w:rPr>
              <w:t xml:space="preserve">® </w:t>
            </w:r>
            <w:r>
              <w:rPr>
                <w:rFonts w:ascii="Georgia;Times;Serif" w:hAnsi="Georgia;Times;Serif"/>
                <w:b/>
                <w:i w:val="false"/>
                <w:caps w:val="false"/>
                <w:smallCaps w:val="false"/>
                <w:sz w:val="18"/>
                <w:shd w:fill="FFFFFF" w:val="clear"/>
              </w:rPr>
              <w:t>and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An Investment in the Securities Is Subject to Risks </w:t>
            </w:r>
            <w:r>
              <w:rPr>
                <w:rFonts w:ascii="Georgia;Times;Serif" w:hAnsi="Georgia;Times;Serif"/>
                <w:b/>
                <w:i w:val="false"/>
                <w:caps w:val="false"/>
                <w:smallCaps w:val="false"/>
                <w:sz w:val="18"/>
              </w:rPr>
              <w:t xml:space="preserve">Associated </w:t>
            </w:r>
            <w:r>
              <w:rPr>
                <w:rFonts w:ascii="Georgia;Times;Serif" w:hAnsi="Georgia;Times;Serif"/>
                <w:b/>
                <w:i w:val="false"/>
                <w:caps w:val="false"/>
                <w:smallCaps w:val="false"/>
                <w:sz w:val="18"/>
                <w:shd w:fill="FFFFFF" w:val="clear"/>
              </w:rPr>
              <w:t>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Direct Exposure to Fluctuations in Foreign Exchange Rates with Respect to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403" w:right="0" w:hanging="403"/>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Index and Therefore the Securities Are Subject to the Risks Associated with Each Index,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300" w:after="120"/>
        <w:ind w:left="300" w:right="3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4171/ea030692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4171/ea030692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1960</Words>
  <Characters>10469</Characters>
  <CharactersWithSpaces>12465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