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271780</wp:posOffset>
            </wp:positionV>
            <wp:extent cx="2830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252095</wp:posOffset>
            </wp:positionV>
            <wp:extent cx="2830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January 21, 2020</w:t>
      </w: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-254635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267970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700" w:type="dxa"/>
        <w:tblCellMar>
          <w:top w:w="0" w:type="dxa"/>
          <w:left w:w="0" w:type="dxa"/>
          <w:bottom w:w="0" w:type="dxa"/>
          <w:right w:w="0" w:type="dxa"/>
        </w:tblCellMar>
      </w:tblPr>
      <w:tr>
        <w:trPr>
          <w:trHeight w:val="164"/>
        </w:trPr>
        <w:tc>
          <w:tcPr>
            <w:tcW w:w="2260" w:type="dxa"/>
            <w:vAlign w:val="bottom"/>
          </w:tcPr>
          <w:p>
            <w:pPr>
              <w:jc w:val="center"/>
              <w:ind w:right="97"/>
              <w:spacing w:after="0"/>
              <w:rPr>
                <w:sz w:val="20"/>
                <w:szCs w:val="20"/>
                <w:color w:val="auto"/>
              </w:rPr>
            </w:pPr>
            <w:r>
              <w:rPr>
                <w:rFonts w:ascii="Arial" w:cs="Arial" w:eastAsia="Arial" w:hAnsi="Arial"/>
                <w:sz w:val="13"/>
                <w:szCs w:val="13"/>
                <w:b w:val="1"/>
                <w:bCs w:val="1"/>
                <w:color w:val="auto"/>
                <w:w w:val="87"/>
              </w:rPr>
              <w:t>Delaware</w:t>
            </w:r>
          </w:p>
        </w:tc>
        <w:tc>
          <w:tcPr>
            <w:tcW w:w="2020" w:type="dxa"/>
            <w:vAlign w:val="bottom"/>
          </w:tcPr>
          <w:p>
            <w:pPr>
              <w:jc w:val="right"/>
              <w:ind w:right="877"/>
              <w:spacing w:after="0"/>
              <w:rPr>
                <w:sz w:val="20"/>
                <w:szCs w:val="20"/>
                <w:color w:val="auto"/>
              </w:rPr>
            </w:pPr>
            <w:r>
              <w:rPr>
                <w:rFonts w:ascii="Arial" w:cs="Arial" w:eastAsia="Arial" w:hAnsi="Arial"/>
                <w:sz w:val="13"/>
                <w:szCs w:val="13"/>
                <w:b w:val="1"/>
                <w:bCs w:val="1"/>
                <w:color w:val="auto"/>
              </w:rPr>
              <w:t>1-5805</w:t>
            </w:r>
          </w:p>
        </w:tc>
        <w:tc>
          <w:tcPr>
            <w:tcW w:w="1320" w:type="dxa"/>
            <w:vAlign w:val="bottom"/>
          </w:tcPr>
          <w:p>
            <w:pPr>
              <w:jc w:val="right"/>
              <w:ind w:right="97"/>
              <w:spacing w:after="0"/>
              <w:rPr>
                <w:sz w:val="20"/>
                <w:szCs w:val="20"/>
                <w:color w:val="auto"/>
              </w:rPr>
            </w:pPr>
            <w:r>
              <w:rPr>
                <w:rFonts w:ascii="Arial" w:cs="Arial" w:eastAsia="Arial" w:hAnsi="Arial"/>
                <w:sz w:val="13"/>
                <w:szCs w:val="13"/>
                <w:b w:val="1"/>
                <w:bCs w:val="1"/>
                <w:color w:val="auto"/>
              </w:rPr>
              <w:t>13-2624428</w:t>
            </w:r>
          </w:p>
        </w:tc>
      </w:tr>
      <w:tr>
        <w:trPr>
          <w:trHeight w:val="160"/>
        </w:trPr>
        <w:tc>
          <w:tcPr>
            <w:tcW w:w="226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(State or other jurisdiction of</w:t>
            </w:r>
          </w:p>
        </w:tc>
        <w:tc>
          <w:tcPr>
            <w:tcW w:w="2020" w:type="dxa"/>
            <w:vAlign w:val="bottom"/>
          </w:tcPr>
          <w:p>
            <w:pPr>
              <w:jc w:val="center"/>
              <w:ind w:right="137"/>
              <w:spacing w:after="0"/>
              <w:rPr>
                <w:sz w:val="20"/>
                <w:szCs w:val="20"/>
                <w:color w:val="auto"/>
              </w:rPr>
            </w:pPr>
            <w:r>
              <w:rPr>
                <w:rFonts w:ascii="Arial" w:cs="Arial" w:eastAsia="Arial" w:hAnsi="Arial"/>
                <w:sz w:val="13"/>
                <w:szCs w:val="13"/>
                <w:b w:val="1"/>
                <w:bCs w:val="1"/>
                <w:color w:val="auto"/>
                <w:w w:val="88"/>
              </w:rPr>
              <w:t>(Commission File Number)</w:t>
            </w:r>
          </w:p>
        </w:tc>
        <w:tc>
          <w:tcPr>
            <w:tcW w:w="1320" w:type="dxa"/>
            <w:vAlign w:val="bottom"/>
          </w:tcPr>
          <w:p>
            <w:pPr>
              <w:jc w:val="center"/>
              <w:ind w:left="297"/>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2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incorporation or organization)</w:t>
            </w:r>
          </w:p>
        </w:tc>
        <w:tc>
          <w:tcPr>
            <w:tcW w:w="2020" w:type="dxa"/>
            <w:vAlign w:val="bottom"/>
          </w:tcPr>
          <w:p>
            <w:pPr>
              <w:spacing w:after="0"/>
              <w:rPr>
                <w:sz w:val="14"/>
                <w:szCs w:val="14"/>
                <w:color w:val="auto"/>
              </w:rPr>
            </w:pPr>
          </w:p>
        </w:tc>
        <w:tc>
          <w:tcPr>
            <w:tcW w:w="1320" w:type="dxa"/>
            <w:vAlign w:val="bottom"/>
          </w:tcPr>
          <w:p>
            <w:pPr>
              <w:jc w:val="center"/>
              <w:ind w:left="317"/>
              <w:spacing w:after="0"/>
              <w:rPr>
                <w:sz w:val="20"/>
                <w:szCs w:val="20"/>
                <w:color w:val="auto"/>
              </w:rPr>
            </w:pPr>
            <w:r>
              <w:rPr>
                <w:rFonts w:ascii="Arial" w:cs="Arial" w:eastAsia="Arial" w:hAnsi="Arial"/>
                <w:sz w:val="13"/>
                <w:szCs w:val="13"/>
                <w:b w:val="1"/>
                <w:bCs w:val="1"/>
                <w:color w:val="auto"/>
                <w:w w:val="86"/>
              </w:rPr>
              <w:t>identification no.)</w:t>
            </w:r>
          </w:p>
        </w:tc>
      </w:tr>
      <w:tr>
        <w:trPr>
          <w:trHeight w:val="351"/>
        </w:trPr>
        <w:tc>
          <w:tcPr>
            <w:tcW w:w="226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383 Madison Avenue,</w:t>
            </w: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2260" w:type="dxa"/>
            <w:vAlign w:val="bottom"/>
          </w:tcPr>
          <w:p>
            <w:pPr>
              <w:jc w:val="center"/>
              <w:ind w:right="117"/>
              <w:spacing w:after="0"/>
              <w:rPr>
                <w:sz w:val="20"/>
                <w:szCs w:val="20"/>
                <w:color w:val="auto"/>
              </w:rPr>
            </w:pPr>
            <w:r>
              <w:rPr>
                <w:rFonts w:ascii="Arial" w:cs="Arial" w:eastAsia="Arial" w:hAnsi="Arial"/>
                <w:sz w:val="13"/>
                <w:szCs w:val="13"/>
                <w:b w:val="1"/>
                <w:bCs w:val="1"/>
                <w:color w:val="auto"/>
                <w:w w:val="92"/>
              </w:rPr>
              <w:t>New York, New York</w:t>
            </w:r>
          </w:p>
        </w:tc>
        <w:tc>
          <w:tcPr>
            <w:tcW w:w="2020" w:type="dxa"/>
            <w:vAlign w:val="bottom"/>
          </w:tcPr>
          <w:p>
            <w:pPr>
              <w:spacing w:after="0"/>
              <w:rPr>
                <w:sz w:val="23"/>
                <w:szCs w:val="23"/>
                <w:color w:val="auto"/>
              </w:rPr>
            </w:pPr>
          </w:p>
        </w:tc>
        <w:tc>
          <w:tcPr>
            <w:tcW w:w="1320" w:type="dxa"/>
            <w:vAlign w:val="bottom"/>
          </w:tcPr>
          <w:p>
            <w:pPr>
              <w:jc w:val="right"/>
              <w:ind w:right="257"/>
              <w:spacing w:after="0"/>
              <w:rPr>
                <w:sz w:val="20"/>
                <w:szCs w:val="20"/>
                <w:color w:val="auto"/>
              </w:rPr>
            </w:pPr>
            <w:r>
              <w:rPr>
                <w:rFonts w:ascii="Arial" w:cs="Arial" w:eastAsia="Arial" w:hAnsi="Arial"/>
                <w:sz w:val="13"/>
                <w:szCs w:val="13"/>
                <w:b w:val="1"/>
                <w:bCs w:val="1"/>
                <w:color w:val="auto"/>
              </w:rPr>
              <w:t>10179</w:t>
            </w:r>
          </w:p>
        </w:tc>
      </w:tr>
      <w:tr>
        <w:trPr>
          <w:trHeight w:val="270"/>
        </w:trPr>
        <w:tc>
          <w:tcPr>
            <w:tcW w:w="226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020" w:type="dxa"/>
            <w:vAlign w:val="bottom"/>
          </w:tcPr>
          <w:p>
            <w:pPr>
              <w:spacing w:after="0"/>
              <w:rPr>
                <w:sz w:val="23"/>
                <w:szCs w:val="23"/>
                <w:color w:val="auto"/>
              </w:rPr>
            </w:pPr>
          </w:p>
        </w:tc>
        <w:tc>
          <w:tcPr>
            <w:tcW w:w="1320" w:type="dxa"/>
            <w:vAlign w:val="bottom"/>
          </w:tcPr>
          <w:p>
            <w:pPr>
              <w:jc w:val="center"/>
              <w:ind w:left="317"/>
              <w:spacing w:after="0"/>
              <w:rPr>
                <w:sz w:val="20"/>
                <w:szCs w:val="20"/>
                <w:color w:val="auto"/>
              </w:rPr>
            </w:pPr>
            <w:r>
              <w:rPr>
                <w:rFonts w:ascii="Arial" w:cs="Arial" w:eastAsia="Arial" w:hAnsi="Arial"/>
                <w:sz w:val="13"/>
                <w:szCs w:val="13"/>
                <w:b w:val="1"/>
                <w:bCs w:val="1"/>
                <w:color w:val="auto"/>
                <w:w w:val="90"/>
              </w:rPr>
              <w:t>(Zip Code)</w:t>
            </w:r>
          </w:p>
        </w:tc>
      </w:tr>
    </w:tbl>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88" w:lineRule="exact"/>
        <w:rPr>
          <w:rFonts w:ascii="MS PGothic" w:cs="MS PGothic" w:eastAsia="MS PGothic" w:hAnsi="MS PGothic"/>
          <w:sz w:val="13"/>
          <w:szCs w:val="13"/>
          <w:color w:val="auto"/>
        </w:rPr>
      </w:pPr>
    </w:p>
    <w:p>
      <w:pPr>
        <w:ind w:left="380" w:hanging="345"/>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88" w:lineRule="exact"/>
        <w:rPr>
          <w:rFonts w:ascii="MS PGothic" w:cs="MS PGothic" w:eastAsia="MS PGothic" w:hAnsi="MS PGothic"/>
          <w:sz w:val="13"/>
          <w:szCs w:val="13"/>
          <w:color w:val="auto"/>
        </w:rPr>
      </w:pPr>
    </w:p>
    <w:p>
      <w:pPr>
        <w:ind w:left="380" w:hanging="345"/>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88" w:lineRule="exact"/>
        <w:rPr>
          <w:rFonts w:ascii="MS PGothic" w:cs="MS PGothic" w:eastAsia="MS PGothic" w:hAnsi="MS PGothic"/>
          <w:sz w:val="13"/>
          <w:szCs w:val="13"/>
          <w:color w:val="auto"/>
        </w:rPr>
      </w:pPr>
    </w:p>
    <w:p>
      <w:pPr>
        <w:ind w:left="380" w:hanging="345"/>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58"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2340" w:type="dxa"/>
            <w:vAlign w:val="bottom"/>
          </w:tcPr>
          <w:p>
            <w:pP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194"/>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7"/>
              </w:rPr>
              <w:t>Common stock</w:t>
            </w:r>
          </w:p>
        </w:tc>
        <w:tc>
          <w:tcPr>
            <w:tcW w:w="5160" w:type="dxa"/>
            <w:vAlign w:val="bottom"/>
          </w:tcPr>
          <w:p>
            <w:pPr>
              <w:spacing w:after="0"/>
              <w:rPr>
                <w:sz w:val="16"/>
                <w:szCs w:val="16"/>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JPM</w:t>
            </w:r>
          </w:p>
        </w:tc>
        <w:tc>
          <w:tcPr>
            <w:tcW w:w="1260" w:type="dxa"/>
            <w:vAlign w:val="bottom"/>
          </w:tcPr>
          <w:p>
            <w:pPr>
              <w:spacing w:after="0"/>
              <w:rPr>
                <w:sz w:val="16"/>
                <w:szCs w:val="16"/>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3"/>
              </w:rPr>
              <w:t>Depositary Shares, each representing a one-four hundredth interest in a share of 6.125%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F</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Y</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4"/>
              </w:rPr>
              <w:t>Depositary Shares, each representing a one-four hundredth interest in a share of 6.10%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G</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AA</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4"/>
              </w:rPr>
              <w:t>Depositary Shares, each representing a one-four hundredth interest in a share of 6.15%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H</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BB</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4"/>
              </w:rPr>
              <w:t>Depositary Shares, each representing a one-four hundredth interest in a share of 5.75%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D</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DD</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4"/>
              </w:rPr>
              <w:t>Depositary Shares, each representing a one-four hundredth interest in a share of 6.00%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C</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EE</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4"/>
              </w:rPr>
              <w:t>Depositary Shares, each representing a one-four hundredth interest in a share of 4.75% Non-Cumulative</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 PR J</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Preferred Stock, Series GG</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AMJ</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NYSE Arca, Inc.</w:t>
            </w:r>
          </w:p>
        </w:tc>
      </w:tr>
      <w:tr>
        <w:trPr>
          <w:trHeight w:val="160"/>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w w:val="92"/>
              </w:rPr>
              <w:t>Guarantee of Callable Step-Up Fixed Rate Notes due April 26, 2028 of JPMorgan Chase Financial Company</w:t>
            </w:r>
          </w:p>
        </w:tc>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JPM/28</w:t>
            </w:r>
          </w:p>
        </w:tc>
        <w:tc>
          <w:tcPr>
            <w:tcW w:w="234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64"/>
        </w:trPr>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40" w:type="dxa"/>
            <w:vAlign w:val="bottom"/>
          </w:tcPr>
          <w:p>
            <w:pPr>
              <w:spacing w:after="0"/>
              <w:rPr>
                <w:sz w:val="14"/>
                <w:szCs w:val="14"/>
                <w:color w:val="auto"/>
              </w:rPr>
            </w:pPr>
          </w:p>
        </w:tc>
      </w:tr>
    </w:tbl>
    <w:p>
      <w:pPr>
        <w:spacing w:after="0" w:line="51" w:lineRule="exact"/>
        <w:rPr>
          <w:sz w:val="24"/>
          <w:szCs w:val="24"/>
          <w:color w:val="auto"/>
        </w:rPr>
      </w:pPr>
    </w:p>
    <w:p>
      <w:pPr>
        <w:ind w:right="360"/>
        <w:spacing w:after="0" w:line="26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661" w:right="39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5.02(e) Departure of Directors or Certain Officers; Election of Directors; Appointment of Certain Officers; Compensatory Arrangements of Certain Officers</w:t>
      </w:r>
    </w:p>
    <w:p>
      <w:pPr>
        <w:spacing w:after="0" w:line="2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JPMorgan Chase &amp; Co. (the “Firm”) announced that the independent members of the Board of Directors (the “Board”) approved the total compensation for 2019 for Mr. James Dimon, CEO, in the amount of $31,500,000, compared to last year’s total compensation of $31,000,000. Mr. Dimon’s total compensation includes an annual base salary of $1,500,000 and performance-based variable incentive compensation of $30,000,000. $5,000,000 of the variable incentive compensation will be delivered in cash and the remaining $25,000,000 will be delivered in the form of Performance Share Units ("PSUs"). The amount of base salary and cash incentive remains unchanged from last year.</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determining Mr. Dimon's compensation, the independent members of the Board took into account the Firm's strong performance in 2019 and over the long term, across four broad categories: Business Results; Risk, Controls &amp; Conduct; Client/Customer/Stakeholder Focus; and Teamwork &amp; Leadership.</w:t>
      </w:r>
    </w:p>
    <w:p>
      <w:pPr>
        <w:spacing w:after="0" w:line="12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Under Mr. Dimon's stewardship, in 2019 the Firm reported record net income of $36.4 billion, or $10.72 per share, with return on tangible common equity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("ROTCE") of 19%, and returned capital to shareholders of $34.0 billion (including common dividends and net share repurchases). The Firm continued to invest in its future, strengthen its risk and control environment and reinforce its culture and values, including the longstanding commitment to serve customers, clients and communities and conduct business in a responsible way to drive inclusive growth. The Firm continued to make large investments in technology, including artificial intelligence, cloud, digital and payments, as well as other investments in innovation, talent, security and risk controls. During 2019, the Firm extended credit and raised capital of $2.3 trillion</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for U.S. consumers, businesses, institutional clients and nonprofit and government entities. The Firm gained market share in many of its businesses, demonstrated strong expense discipline, continued to achieve high customer satisfaction scores, and maintained a fortress balance sheet. In 2019, the Firm added over 70 new branches in 16 new markets, continued its Commercial Banking international expansion, and became the first U.S. bank to be approved for a majority-owned securities business in China.</w:t>
      </w:r>
    </w:p>
    <w:p>
      <w:pPr>
        <w:spacing w:after="0" w:line="19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As part of determining Mr. Dimon’s compensation, the Board also approved the design of the 2019 PSUs granted to the Firm’s Operating Committee members in January 2020. Most of the key features of the 2019 PSU program are structurally consistent with last year, including the financial metric - ROTCE - with absolute and relative performance goals, performance period, vesting and hold requirements, as well as clawback and recovery provisions</w:t>
      </w:r>
      <w:r>
        <w:rPr>
          <w:rFonts w:ascii="Arial" w:cs="Arial" w:eastAsia="Arial" w:hAnsi="Arial"/>
          <w:sz w:val="30"/>
          <w:szCs w:val="30"/>
          <w:color w:val="auto"/>
          <w:vertAlign w:val="superscript"/>
        </w:rPr>
        <w:t>3</w:t>
      </w:r>
      <w:r>
        <w:rPr>
          <w:rFonts w:ascii="Arial" w:cs="Arial" w:eastAsia="Arial" w:hAnsi="Arial"/>
          <w:sz w:val="18"/>
          <w:szCs w:val="18"/>
          <w:color w:val="auto"/>
        </w:rPr>
        <w:t>. In response to shareholder feedback, the Board made certain modifications to the design of the 2019 PSUs, including the relative payout scale and the payout calculation methodology referencing the 3-year performance period. These enhancements are designed to further strengthen the rigor and the long-term nature of the PSU program. More detailed information will be disclosed in the Firm’s Proxy Statement for the annual meeting of shareholders to be held in May 2020.</w:t>
      </w:r>
    </w:p>
    <w:p>
      <w:pPr>
        <w:spacing w:after="0" w:line="200" w:lineRule="exact"/>
        <w:rPr>
          <w:sz w:val="20"/>
          <w:szCs w:val="20"/>
          <w:color w:val="auto"/>
        </w:rPr>
      </w:pPr>
    </w:p>
    <w:p>
      <w:pPr>
        <w:spacing w:after="0" w:line="220" w:lineRule="exact"/>
        <w:rPr>
          <w:sz w:val="20"/>
          <w:szCs w:val="20"/>
          <w:color w:val="auto"/>
        </w:rPr>
      </w:pPr>
    </w:p>
    <w:p>
      <w:pPr>
        <w:ind w:left="180" w:right="140" w:hanging="172"/>
        <w:spacing w:after="0" w:line="250" w:lineRule="auto"/>
        <w:tabs>
          <w:tab w:leader="none" w:pos="180" w:val="left"/>
        </w:tabs>
        <w:numPr>
          <w:ilvl w:val="0"/>
          <w:numId w:val="2"/>
        </w:numPr>
        <w:rPr>
          <w:rFonts w:ascii="Arial" w:cs="Arial" w:eastAsia="Arial" w:hAnsi="Arial"/>
          <w:sz w:val="12"/>
          <w:szCs w:val="12"/>
          <w:color w:val="auto"/>
        </w:rPr>
      </w:pPr>
      <w:r>
        <w:rPr>
          <w:rFonts w:ascii="Arial" w:cs="Arial" w:eastAsia="Arial" w:hAnsi="Arial"/>
          <w:sz w:val="14"/>
          <w:szCs w:val="14"/>
          <w:color w:val="auto"/>
        </w:rPr>
        <w:t>ROTCE is a non-GAAP financial measure. For further discussion, see note (b) on page 6 of Exhibit 99.1 to the Firm’s Current Report on Form 8-K dated January 14, 2020, which has been filed with the U.S. Securities and Exchange Commission, containing the Firm's earnings press release for the quarter ended December 31, 2019.</w:t>
      </w:r>
    </w:p>
    <w:p>
      <w:pPr>
        <w:spacing w:after="0" w:line="1" w:lineRule="exact"/>
        <w:rPr>
          <w:sz w:val="20"/>
          <w:szCs w:val="20"/>
          <w:color w:val="auto"/>
        </w:rPr>
      </w:pPr>
    </w:p>
    <w:p>
      <w:pPr>
        <w:jc w:val="both"/>
        <w:ind w:left="180" w:right="400" w:hanging="172"/>
        <w:spacing w:after="0" w:line="260" w:lineRule="auto"/>
        <w:tabs>
          <w:tab w:leader="none" w:pos="180" w:val="left"/>
        </w:tabs>
        <w:numPr>
          <w:ilvl w:val="0"/>
          <w:numId w:val="3"/>
        </w:numPr>
        <w:rPr>
          <w:rFonts w:ascii="Arial" w:cs="Arial" w:eastAsia="Arial" w:hAnsi="Arial"/>
          <w:sz w:val="11"/>
          <w:szCs w:val="11"/>
          <w:color w:val="auto"/>
        </w:rPr>
      </w:pPr>
      <w:r>
        <w:rPr>
          <w:rFonts w:ascii="Arial" w:cs="Arial" w:eastAsia="Arial" w:hAnsi="Arial"/>
          <w:sz w:val="13"/>
          <w:szCs w:val="13"/>
          <w:color w:val="auto"/>
        </w:rPr>
        <w:t>Credit provided to clients represents new and renewed credit, including loans and commitments. Credit provided to small businesses reflects loans and increased lines of credit provided by Consumer &amp; Business Banking; Card, Merchant Services &amp; Auto; and Commercial Banking. Credit provided to nonprofit and U.S. and non-U.S. government entities, including U.S. states,</w:t>
      </w:r>
    </w:p>
    <w:p>
      <w:pPr>
        <w:ind w:left="180"/>
        <w:spacing w:after="0"/>
        <w:rPr>
          <w:sz w:val="20"/>
          <w:szCs w:val="20"/>
          <w:color w:val="auto"/>
        </w:rPr>
      </w:pPr>
      <w:r>
        <w:rPr>
          <w:rFonts w:ascii="Arial" w:cs="Arial" w:eastAsia="Arial" w:hAnsi="Arial"/>
          <w:sz w:val="14"/>
          <w:szCs w:val="14"/>
          <w:color w:val="auto"/>
        </w:rPr>
        <w:t>municipalities, hospitals and universities, represents credit provided by the Corporate &amp; Investment Bank and Commercial Banking.</w:t>
      </w:r>
    </w:p>
    <w:p>
      <w:pPr>
        <w:spacing w:after="0" w:line="1" w:lineRule="exact"/>
        <w:rPr>
          <w:sz w:val="20"/>
          <w:szCs w:val="20"/>
          <w:color w:val="auto"/>
        </w:rPr>
      </w:pPr>
    </w:p>
    <w:p>
      <w:pPr>
        <w:ind w:left="180" w:right="40" w:hanging="172"/>
        <w:spacing w:after="0" w:line="246"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4"/>
          <w:szCs w:val="14"/>
          <w:color w:val="auto"/>
        </w:rPr>
        <w:t>Equity incentives are subject to the JPMorgan Chase Bonus Recoupment Policy which applies in the event of a material restatement of the Firm's financials. In addition, all equity awards granted in 2020 contain recapture provisions that enable the Firm to cancel outstanding awards and/or recover the value of certain stock distributed under the award in specified circumstances. In addition to recapture provisions, portions of equity awards awarded to the CEO are also subject to additional Protection-based Vesting provisions under which awards may be cancelled as determined by the Compensation &amp; Management Development Committee of the Board of Directors and ratified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w:t>
      </w:r>
    </w:p>
    <w:p>
      <w:pPr>
        <w:spacing w:after="0" w:line="200" w:lineRule="exact"/>
        <w:rPr>
          <w:sz w:val="20"/>
          <w:szCs w:val="20"/>
          <w:color w:val="auto"/>
        </w:rPr>
      </w:pP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 No.</w:t>
            </w:r>
          </w:p>
        </w:tc>
        <w:tc>
          <w:tcPr>
            <w:tcW w:w="8620" w:type="dxa"/>
            <w:vAlign w:val="bottom"/>
          </w:tcPr>
          <w:p>
            <w:pPr>
              <w:ind w:left="34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r>
      <w:tr>
        <w:trPr>
          <w:trHeight w:val="438"/>
        </w:trPr>
        <w:tc>
          <w:tcPr>
            <w:tcW w:w="1540" w:type="dxa"/>
            <w:vAlign w:val="bottom"/>
          </w:tcPr>
          <w:p>
            <w:pPr>
              <w:jc w:val="right"/>
              <w:ind w:right="1150"/>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w w:val="97"/>
              </w:rPr>
              <w:t>Pursuant to Rule 406 of Regulation S-T, the cover page is formatted in Inline XBRL (Inline eXtensible Business</w:t>
            </w: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Reporting Language).</w:t>
            </w:r>
          </w:p>
        </w:tc>
      </w:tr>
      <w:tr>
        <w:trPr>
          <w:trHeight w:val="270"/>
        </w:trPr>
        <w:tc>
          <w:tcPr>
            <w:tcW w:w="1540" w:type="dxa"/>
            <w:vAlign w:val="bottom"/>
          </w:tcPr>
          <w:p>
            <w:pPr>
              <w:jc w:val="right"/>
              <w:ind w:right="115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3"/>
                <w:szCs w:val="23"/>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tc>
      </w:tr>
      <w:tr>
        <w:trPr>
          <w:trHeight w:val="675"/>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20" w:type="dxa"/>
            <w:vAlign w:val="bottom"/>
          </w:tcPr>
          <w:p>
            <w:pPr>
              <w:ind w:left="34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860"/>
          </w:cols>
          <w:pgMar w:left="240" w:top="1202" w:right="79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9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80"/>
        <w:spacing w:after="0"/>
        <w:tabs>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Molly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317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Molly Carpenter</w:t>
      </w:r>
    </w:p>
    <w:p>
      <w:pPr>
        <w:spacing w:after="0" w:line="63"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January 23,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sectPr>
      <w:pgSz w:w="11900" w:h="16838" w:orient="portrait"/>
      <w:cols w:equalWidth="0" w:num="1">
        <w:col w:w="11280"/>
      </w:cols>
      <w:pgMar w:left="240" w:top="7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2020-01-23T15:40:20Z</dcterms:created>
  <dcterms:modified xsi:type="dcterms:W3CDTF">2020-01-23T15:40:20Z</dcterms:modified>
</cp:coreProperties>
</file>