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2952-01_fwp.htm"/>
      <w:bookmarkStart w:id="1" w:name="ksea030295201_fwp"/>
      <w:bookmarkStart w:id="2" w:name="ea0302952-01_fwp.htm"/>
      <w:bookmarkStart w:id="3" w:name="ksea030295201_fwp"/>
      <w:bookmarkEnd w:id="2"/>
      <w:bookmarkEnd w:id="3"/>
    </w:p>
    <w:tbl>
      <w:tblPr>
        <w:tblW w:w="10205" w:type="dxa"/>
        <w:jc w:val="left"/>
        <w:tblInd w:w="0" w:type="dxa"/>
        <w:tblLayout w:type="fixed"/>
        <w:tblCellMar>
          <w:top w:w="0" w:type="dxa"/>
          <w:left w:w="0" w:type="dxa"/>
          <w:bottom w:w="0" w:type="dxa"/>
          <w:right w:w="0" w:type="dxa"/>
        </w:tblCellMar>
      </w:tblPr>
      <w:tblGrid>
        <w:gridCol w:w="6998"/>
        <w:gridCol w:w="3207"/>
      </w:tblGrid>
      <w:tr>
        <w:trPr/>
        <w:tc>
          <w:tcPr>
            <w:tcW w:w="6998"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207"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 xml:space="preserve">Registration Statement Nos. 333-293684 and </w:t>
              <w:br/>
              <w:t>333-293684-01</w:t>
            </w:r>
          </w:p>
        </w:tc>
      </w:tr>
      <w:tr>
        <w:trPr/>
        <w:tc>
          <w:tcPr>
            <w:tcW w:w="6998" w:type="dxa"/>
            <w:vMerge w:val="continue"/>
            <w:tcBorders/>
            <w:vAlign w:val="center"/>
          </w:tcPr>
          <w:p>
            <w:pPr>
              <w:pStyle w:val="Normal"/>
              <w:bidi w:val="0"/>
              <w:jc w:val="left"/>
              <w:rPr/>
            </w:pPr>
            <w:r>
              <w:rPr/>
            </w:r>
          </w:p>
        </w:tc>
        <w:tc>
          <w:tcPr>
            <w:tcW w:w="3207" w:type="dxa"/>
            <w:tcBorders/>
            <w:vAlign w:val="center"/>
          </w:tcPr>
          <w:p>
            <w:pPr>
              <w:pStyle w:val="TableContents"/>
              <w:bidi w:val="0"/>
              <w:spacing w:before="0" w:after="283"/>
              <w:jc w:val="right"/>
              <w:rPr/>
            </w:pPr>
            <w:r>
              <w:rPr/>
              <w:drawing>
                <wp:inline distT="0" distB="0" distL="0" distR="0">
                  <wp:extent cx="15240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400050"/>
                          </a:xfrm>
                          <a:prstGeom prst="rect">
                            <a:avLst/>
                          </a:prstGeom>
                        </pic:spPr>
                      </pic:pic>
                    </a:graphicData>
                  </a:graphic>
                </wp:inline>
              </w:drawing>
            </w:r>
            <w:r>
              <w:rPr/>
              <w:t xml:space="preserve"> </w:t>
            </w:r>
          </w:p>
        </w:tc>
      </w:tr>
      <w:tr>
        <w:trPr/>
        <w:tc>
          <w:tcPr>
            <w:tcW w:w="10205" w:type="dxa"/>
            <w:gridSpan w:val="2"/>
            <w:tcBorders/>
            <w:shd w:fill="8F8F8F" w:val="clear"/>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 — Leveraged Upside Participation and Contingent Downside</w:t>
            </w:r>
          </w:p>
          <w:p>
            <w:pPr>
              <w:pStyle w:val="TableContents"/>
              <w:bidi w:val="0"/>
              <w:spacing w:before="0" w:after="6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a Basket due September 3, 2031</w:t>
            </w:r>
          </w:p>
          <w:p>
            <w:pPr>
              <w:pStyle w:val="TableContents"/>
              <w:bidi w:val="0"/>
              <w:spacing w:before="0" w:after="12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August 20, 2026 to Preliminary Pricing Supplement dated August 20, 2026</w:t>
            </w:r>
          </w:p>
        </w:tc>
      </w:tr>
    </w:tbl>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97204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34"/>
                              <w:gridCol w:w="8671"/>
                            </w:tblGrid>
                            <w:tr>
                              <w:trPr/>
                              <w:tc>
                                <w:tcPr>
                                  <w:tcW w:w="153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7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Basket / Basket Components:</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shd w:fill="FFFFFF" w:val="clear"/>
                                    </w:rPr>
                                  </w:pPr>
                                  <w:r>
                                    <w:rPr>
                                      <w:rFonts w:ascii="Georgia;Times;Serif" w:hAnsi="Georgia;Times;Serif"/>
                                      <w:b w:val="false"/>
                                      <w:i w:val="false"/>
                                      <w:caps w:val="false"/>
                                      <w:smallCaps w:val="false"/>
                                      <w:sz w:val="16"/>
                                      <w:shd w:fill="FFFFFF" w:val="clear"/>
                                    </w:rPr>
                                    <w:t>An unequally weighted basket (the “</w:t>
                                  </w:r>
                                  <w:r>
                                    <w:rPr>
                                      <w:rFonts w:ascii="Georgia;Times;Serif" w:hAnsi="Georgia;Times;Serif"/>
                                      <w:b w:val="false"/>
                                      <w:i w:val="false"/>
                                      <w:caps w:val="false"/>
                                      <w:smallCaps w:val="false"/>
                                      <w:sz w:val="16"/>
                                      <w:u w:val="single"/>
                                      <w:shd w:fill="FFFFFF" w:val="clear"/>
                                    </w:rPr>
                                    <w:t>basket</w:t>
                                  </w:r>
                                  <w:r>
                                    <w:rPr>
                                      <w:rFonts w:ascii="Georgia;Times;Serif" w:hAnsi="Georgia;Times;Serif"/>
                                      <w:b w:val="false"/>
                                      <w:i w:val="false"/>
                                      <w:caps w:val="false"/>
                                      <w:smallCaps w:val="false"/>
                                      <w:sz w:val="16"/>
                                      <w:shd w:fill="FFFFFF" w:val="clear"/>
                                    </w:rPr>
                                    <w:t>”) composed of the following basket components, with the weighting percentages noted parenthetically: the EURO STOXX 50</w:t>
                                  </w:r>
                                  <w:r>
                                    <w:rPr>
                                      <w:rFonts w:ascii="Georgia;Times;Serif" w:hAnsi="Georgia;Times;Serif"/>
                                      <w:b w:val="false"/>
                                      <w:i w:val="false"/>
                                      <w:caps w:val="false"/>
                                      <w:smallCaps w:val="false"/>
                                      <w:position w:val="5"/>
                                      <w:sz w:val="13"/>
                                      <w:sz w:val="16"/>
                                      <w:shd w:fill="FFFFFF" w:val="clear"/>
                                    </w:rPr>
                                    <w:t>®</w:t>
                                  </w:r>
                                  <w:r>
                                    <w:rPr>
                                      <w:rFonts w:ascii="Georgia;Times;Serif" w:hAnsi="Georgia;Times;Serif"/>
                                      <w:b w:val="false"/>
                                      <w:i w:val="false"/>
                                      <w:caps w:val="false"/>
                                      <w:smallCaps w:val="false"/>
                                      <w:sz w:val="16"/>
                                      <w:shd w:fill="FFFFFF" w:val="clear"/>
                                    </w:rPr>
                                    <w:t xml:space="preserve"> Index (Bloomberg ticker: SX5E)(40%), the Nikkei 225 Index (Bloomberg ticker: NKY) (25%), the FTSE</w:t>
                                  </w:r>
                                  <w:r>
                                    <w:rPr>
                                      <w:rFonts w:ascii="Georgia;Times;Serif" w:hAnsi="Georgia;Times;Serif"/>
                                      <w:b w:val="false"/>
                                      <w:i w:val="false"/>
                                      <w:caps w:val="false"/>
                                      <w:smallCaps w:val="false"/>
                                      <w:position w:val="5"/>
                                      <w:sz w:val="13"/>
                                      <w:sz w:val="16"/>
                                      <w:shd w:fill="FFFFFF" w:val="clear"/>
                                    </w:rPr>
                                    <w:t>®</w:t>
                                  </w:r>
                                  <w:r>
                                    <w:rPr>
                                      <w:rFonts w:ascii="Georgia;Times;Serif" w:hAnsi="Georgia;Times;Serif"/>
                                      <w:b w:val="false"/>
                                      <w:i w:val="false"/>
                                      <w:caps w:val="false"/>
                                      <w:smallCaps w:val="false"/>
                                      <w:sz w:val="16"/>
                                      <w:shd w:fill="FFFFFF" w:val="clear"/>
                                    </w:rPr>
                                    <w:t xml:space="preserve"> 100 Index (Bloomberg ticker: UKX)(17.50%), the Swiss Market Index (Bloomberg ticker: SMI) (10%) and the S&amp;P/ASX 200 Index (Bloomberg ticker: AS51)(7.50%) (each referred to as a “</w:t>
                                  </w:r>
                                  <w:r>
                                    <w:rPr>
                                      <w:rFonts w:ascii="Georgia;Times;Serif" w:hAnsi="Georgia;Times;Serif"/>
                                      <w:b w:val="false"/>
                                      <w:i w:val="false"/>
                                      <w:caps w:val="false"/>
                                      <w:smallCaps w:val="false"/>
                                      <w:sz w:val="16"/>
                                      <w:u w:val="single"/>
                                      <w:shd w:fill="FFFFFF" w:val="clear"/>
                                    </w:rPr>
                                    <w:t>basket component</w:t>
                                  </w:r>
                                  <w:r>
                                    <w:rPr>
                                      <w:rFonts w:ascii="Georgia;Times;Serif" w:hAnsi="Georgia;Times;Serif"/>
                                      <w:b w:val="false"/>
                                      <w:i w:val="false"/>
                                      <w:caps w:val="false"/>
                                      <w:smallCaps w:val="false"/>
                                      <w:sz w:val="16"/>
                                      <w:shd w:fill="FFFFFF" w:val="clear"/>
                                    </w:rPr>
                                    <w:t>” and collectively as the “</w:t>
                                  </w:r>
                                  <w:r>
                                    <w:rPr>
                                      <w:rFonts w:ascii="Georgia;Times;Serif" w:hAnsi="Georgia;Times;Serif"/>
                                      <w:b w:val="false"/>
                                      <w:i w:val="false"/>
                                      <w:caps w:val="false"/>
                                      <w:smallCaps w:val="false"/>
                                      <w:sz w:val="16"/>
                                      <w:u w:val="single"/>
                                      <w:shd w:fill="FFFFFF" w:val="clear"/>
                                    </w:rPr>
                                    <w:t>basket components</w:t>
                                  </w:r>
                                  <w:r>
                                    <w:rPr>
                                      <w:rFonts w:ascii="Georgia;Times;Serif" w:hAnsi="Georgia;Times;Serif"/>
                                      <w:b w:val="false"/>
                                      <w:i w:val="false"/>
                                      <w:caps w:val="false"/>
                                      <w:smallCaps w:val="false"/>
                                      <w:sz w:val="16"/>
                                      <w:shd w:fill="FFFFFF" w:val="clear"/>
                                    </w:rPr>
                                    <w:t>”)</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August 28, 2026</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 2026</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August 28, 2031</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 2031</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71"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level is greater than the starting level:</w:t>
                                  </w:r>
                                </w:p>
                                <w:p>
                                  <w:pPr>
                                    <w:pStyle w:val="TableContents"/>
                                    <w:bidi w:val="0"/>
                                    <w:ind w:left="61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basket return × upside participation rate);</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level is less than or equal to the starting level, but greater than or equal to the threshold level: $1,000; or</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level is less than the threshold level: </w:t>
                                  </w:r>
                                </w:p>
                                <w:p>
                                  <w:pPr>
                                    <w:pStyle w:val="TableContents"/>
                                    <w:bidi w:val="0"/>
                                    <w:spacing w:before="0" w:after="283"/>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basket return)</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Level:</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100.00</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Georgia;Times;Serif" w:hAnsi="Georgia;Times;Serif"/>
                                      <w:b w:val="false"/>
                                      <w:i w:val="false"/>
                                      <w:caps w:val="false"/>
                                      <w:smallCaps w:val="false"/>
                                      <w:sz w:val="16"/>
                                      <w:shd w:fill="FFFFFF" w:val="clear"/>
                                    </w:rPr>
                                    <w:t xml:space="preserve">The weighted returns of the basket components, equal to the product of (i) 100 and (ii) an amount equal to 1 </w:t>
                                  </w:r>
                                  <w:r>
                                    <w:rPr>
                                      <w:rFonts w:ascii="Georgia;Times;Serif" w:hAnsi="Georgia;Times;Serif"/>
                                      <w:b w:val="false"/>
                                      <w:i/>
                                      <w:caps w:val="false"/>
                                      <w:smallCaps w:val="false"/>
                                      <w:sz w:val="16"/>
                                      <w:shd w:fill="FFFFFF" w:val="clear"/>
                                    </w:rPr>
                                    <w:t>plus</w:t>
                                  </w:r>
                                  <w:r>
                                    <w:rPr>
                                      <w:rFonts w:ascii="Georgia;Times;Serif" w:hAnsi="Georgia;Times;Serif"/>
                                      <w:b w:val="false"/>
                                      <w:i w:val="false"/>
                                      <w:caps w:val="false"/>
                                      <w:smallCaps w:val="false"/>
                                      <w:sz w:val="16"/>
                                      <w:shd w:fill="FFFFFF" w:val="clear"/>
                                    </w:rPr>
                                    <w:t xml:space="preserve"> the sum of (A) 40% of the basket component return of the EURO STOXX 50</w:t>
                                  </w:r>
                                  <w:r>
                                    <w:rPr>
                                      <w:rFonts w:ascii="Georgia;Times;Serif" w:hAnsi="Georgia;Times;Serif"/>
                                      <w:b w:val="false"/>
                                      <w:i w:val="false"/>
                                      <w:caps w:val="false"/>
                                      <w:smallCaps w:val="false"/>
                                      <w:position w:val="5"/>
                                      <w:sz w:val="13"/>
                                      <w:sz w:val="16"/>
                                      <w:shd w:fill="FFFFFF" w:val="clear"/>
                                    </w:rPr>
                                    <w:t>®</w:t>
                                  </w:r>
                                  <w:r>
                                    <w:rPr>
                                      <w:rFonts w:ascii="Georgia;Times;Serif" w:hAnsi="Georgia;Times;Serif"/>
                                      <w:b w:val="false"/>
                                      <w:i w:val="false"/>
                                      <w:caps w:val="false"/>
                                      <w:smallCaps w:val="false"/>
                                      <w:sz w:val="16"/>
                                      <w:shd w:fill="FFFFFF" w:val="clear"/>
                                    </w:rPr>
                                    <w:t xml:space="preserve"> Index; (B) 25% of the basket component return of the </w:t>
                                  </w:r>
                                  <w:r>
                                    <w:rPr>
                                      <w:rFonts w:ascii="Times New Roman;Times;Serif" w:hAnsi="Times New Roman;Times;Serif"/>
                                      <w:b w:val="false"/>
                                      <w:i w:val="false"/>
                                      <w:caps w:val="false"/>
                                      <w:smallCaps w:val="false"/>
                                      <w:sz w:val="16"/>
                                      <w:shd w:fill="FFFFFF" w:val="clear"/>
                                    </w:rPr>
                                    <w:t xml:space="preserve">Nikkei 225 </w:t>
                                  </w:r>
                                  <w:r>
                                    <w:rPr>
                                      <w:rFonts w:ascii="Georgia;Times;Serif" w:hAnsi="Georgia;Times;Serif"/>
                                      <w:b w:val="false"/>
                                      <w:i w:val="false"/>
                                      <w:caps w:val="false"/>
                                      <w:smallCaps w:val="false"/>
                                      <w:sz w:val="16"/>
                                      <w:shd w:fill="FFFFFF" w:val="clear"/>
                                    </w:rPr>
                                    <w:t>Index; (C) 17.50% of the basket component return of the FTSE</w:t>
                                  </w:r>
                                  <w:r>
                                    <w:rPr>
                                      <w:rFonts w:ascii="Times New Roman;Times;Serif" w:hAnsi="Times New Roman;Times;Serif"/>
                                      <w:b w:val="false"/>
                                      <w:i w:val="false"/>
                                      <w:caps w:val="false"/>
                                      <w:smallCaps w:val="false"/>
                                      <w:position w:val="5"/>
                                      <w:sz w:val="13"/>
                                      <w:sz w:val="16"/>
                                      <w:shd w:fill="FFFFFF" w:val="clear"/>
                                    </w:rPr>
                                    <w:t>®</w:t>
                                  </w:r>
                                  <w:r>
                                    <w:rPr>
                                      <w:rFonts w:ascii="Times New Roman;Times;Serif" w:hAnsi="Times New Roman;Times;Serif"/>
                                      <w:b w:val="false"/>
                                      <w:i w:val="false"/>
                                      <w:caps w:val="false"/>
                                      <w:smallCaps w:val="false"/>
                                      <w:sz w:val="16"/>
                                      <w:shd w:fill="FFFFFF" w:val="clear"/>
                                    </w:rPr>
                                    <w:t xml:space="preserve"> </w:t>
                                  </w:r>
                                  <w:r>
                                    <w:rPr>
                                      <w:rFonts w:ascii="Georgia;Times;Serif" w:hAnsi="Georgia;Times;Serif"/>
                                      <w:b w:val="false"/>
                                      <w:i w:val="false"/>
                                      <w:caps w:val="false"/>
                                      <w:smallCaps w:val="false"/>
                                      <w:sz w:val="16"/>
                                      <w:shd w:fill="FFFFFF" w:val="clear"/>
                                    </w:rPr>
                                    <w:t>100 Index; (D) 10% of the basket component return of the Swiss Market Index; and (E) 7.50% of the basket component return of the S&amp;P/ASX 200 Index</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Level:</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75.00, which is equal to 75% of the starting level</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156.35% (the actual upside participation rate will be provided in the pricing supplement)</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Basket Return:</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 – starting level) / starting level</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Basket Component Return:</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(final basket component level – initial basket component level) / initial basket component level </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Initial Basket Component Level</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basket component, its closing level on the pricing date</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Final Basket Component Level</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basket component, its closing level on the calculation day</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46661MES9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34"/>
                        <w:gridCol w:w="8671"/>
                      </w:tblGrid>
                      <w:tr>
                        <w:trPr/>
                        <w:tc>
                          <w:tcPr>
                            <w:tcW w:w="153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7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Basket / Basket Components:</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shd w:fill="FFFFFF" w:val="clear"/>
                              </w:rPr>
                            </w:pPr>
                            <w:r>
                              <w:rPr>
                                <w:rFonts w:ascii="Georgia;Times;Serif" w:hAnsi="Georgia;Times;Serif"/>
                                <w:b w:val="false"/>
                                <w:i w:val="false"/>
                                <w:caps w:val="false"/>
                                <w:smallCaps w:val="false"/>
                                <w:sz w:val="16"/>
                                <w:shd w:fill="FFFFFF" w:val="clear"/>
                              </w:rPr>
                              <w:t>An unequally weighted basket (the “</w:t>
                            </w:r>
                            <w:r>
                              <w:rPr>
                                <w:rFonts w:ascii="Georgia;Times;Serif" w:hAnsi="Georgia;Times;Serif"/>
                                <w:b w:val="false"/>
                                <w:i w:val="false"/>
                                <w:caps w:val="false"/>
                                <w:smallCaps w:val="false"/>
                                <w:sz w:val="16"/>
                                <w:u w:val="single"/>
                                <w:shd w:fill="FFFFFF" w:val="clear"/>
                              </w:rPr>
                              <w:t>basket</w:t>
                            </w:r>
                            <w:r>
                              <w:rPr>
                                <w:rFonts w:ascii="Georgia;Times;Serif" w:hAnsi="Georgia;Times;Serif"/>
                                <w:b w:val="false"/>
                                <w:i w:val="false"/>
                                <w:caps w:val="false"/>
                                <w:smallCaps w:val="false"/>
                                <w:sz w:val="16"/>
                                <w:shd w:fill="FFFFFF" w:val="clear"/>
                              </w:rPr>
                              <w:t>”) composed of the following basket components, with the weighting percentages noted parenthetically: the EURO STOXX 50</w:t>
                            </w:r>
                            <w:r>
                              <w:rPr>
                                <w:rFonts w:ascii="Georgia;Times;Serif" w:hAnsi="Georgia;Times;Serif"/>
                                <w:b w:val="false"/>
                                <w:i w:val="false"/>
                                <w:caps w:val="false"/>
                                <w:smallCaps w:val="false"/>
                                <w:position w:val="5"/>
                                <w:sz w:val="13"/>
                                <w:sz w:val="16"/>
                                <w:shd w:fill="FFFFFF" w:val="clear"/>
                              </w:rPr>
                              <w:t>®</w:t>
                            </w:r>
                            <w:r>
                              <w:rPr>
                                <w:rFonts w:ascii="Georgia;Times;Serif" w:hAnsi="Georgia;Times;Serif"/>
                                <w:b w:val="false"/>
                                <w:i w:val="false"/>
                                <w:caps w:val="false"/>
                                <w:smallCaps w:val="false"/>
                                <w:sz w:val="16"/>
                                <w:shd w:fill="FFFFFF" w:val="clear"/>
                              </w:rPr>
                              <w:t xml:space="preserve"> Index (Bloomberg ticker: SX5E)(40%), the Nikkei 225 Index (Bloomberg ticker: NKY) (25%), the FTSE</w:t>
                            </w:r>
                            <w:r>
                              <w:rPr>
                                <w:rFonts w:ascii="Georgia;Times;Serif" w:hAnsi="Georgia;Times;Serif"/>
                                <w:b w:val="false"/>
                                <w:i w:val="false"/>
                                <w:caps w:val="false"/>
                                <w:smallCaps w:val="false"/>
                                <w:position w:val="5"/>
                                <w:sz w:val="13"/>
                                <w:sz w:val="16"/>
                                <w:shd w:fill="FFFFFF" w:val="clear"/>
                              </w:rPr>
                              <w:t>®</w:t>
                            </w:r>
                            <w:r>
                              <w:rPr>
                                <w:rFonts w:ascii="Georgia;Times;Serif" w:hAnsi="Georgia;Times;Serif"/>
                                <w:b w:val="false"/>
                                <w:i w:val="false"/>
                                <w:caps w:val="false"/>
                                <w:smallCaps w:val="false"/>
                                <w:sz w:val="16"/>
                                <w:shd w:fill="FFFFFF" w:val="clear"/>
                              </w:rPr>
                              <w:t xml:space="preserve"> 100 Index (Bloomberg ticker: UKX)(17.50%), the Swiss Market Index (Bloomberg ticker: SMI) (10%) and the S&amp;P/ASX 200 Index (Bloomberg ticker: AS51)(7.50%) (each referred to as a “</w:t>
                            </w:r>
                            <w:r>
                              <w:rPr>
                                <w:rFonts w:ascii="Georgia;Times;Serif" w:hAnsi="Georgia;Times;Serif"/>
                                <w:b w:val="false"/>
                                <w:i w:val="false"/>
                                <w:caps w:val="false"/>
                                <w:smallCaps w:val="false"/>
                                <w:sz w:val="16"/>
                                <w:u w:val="single"/>
                                <w:shd w:fill="FFFFFF" w:val="clear"/>
                              </w:rPr>
                              <w:t>basket component</w:t>
                            </w:r>
                            <w:r>
                              <w:rPr>
                                <w:rFonts w:ascii="Georgia;Times;Serif" w:hAnsi="Georgia;Times;Serif"/>
                                <w:b w:val="false"/>
                                <w:i w:val="false"/>
                                <w:caps w:val="false"/>
                                <w:smallCaps w:val="false"/>
                                <w:sz w:val="16"/>
                                <w:shd w:fill="FFFFFF" w:val="clear"/>
                              </w:rPr>
                              <w:t>” and collectively as the “</w:t>
                            </w:r>
                            <w:r>
                              <w:rPr>
                                <w:rFonts w:ascii="Georgia;Times;Serif" w:hAnsi="Georgia;Times;Serif"/>
                                <w:b w:val="false"/>
                                <w:i w:val="false"/>
                                <w:caps w:val="false"/>
                                <w:smallCaps w:val="false"/>
                                <w:sz w:val="16"/>
                                <w:u w:val="single"/>
                                <w:shd w:fill="FFFFFF" w:val="clear"/>
                              </w:rPr>
                              <w:t>basket components</w:t>
                            </w:r>
                            <w:r>
                              <w:rPr>
                                <w:rFonts w:ascii="Georgia;Times;Serif" w:hAnsi="Georgia;Times;Serif"/>
                                <w:b w:val="false"/>
                                <w:i w:val="false"/>
                                <w:caps w:val="false"/>
                                <w:smallCaps w:val="false"/>
                                <w:sz w:val="16"/>
                                <w:shd w:fill="FFFFFF" w:val="clear"/>
                              </w:rPr>
                              <w:t>”)</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August 28, 2026</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 2026</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August 28, 2031</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 2031</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71"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level is greater than the starting level:</w:t>
                            </w:r>
                          </w:p>
                          <w:p>
                            <w:pPr>
                              <w:pStyle w:val="TableContents"/>
                              <w:bidi w:val="0"/>
                              <w:ind w:left="61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basket return × upside participation rate);</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level is less than or equal to the starting level, but greater than or equal to the threshold level: $1,000; or</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level is less than the threshold level: </w:t>
                            </w:r>
                          </w:p>
                          <w:p>
                            <w:pPr>
                              <w:pStyle w:val="TableContents"/>
                              <w:bidi w:val="0"/>
                              <w:spacing w:before="0" w:after="283"/>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basket return)</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Level:</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100.00</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Georgia;Times;Serif" w:hAnsi="Georgia;Times;Serif"/>
                                <w:b w:val="false"/>
                                <w:i w:val="false"/>
                                <w:caps w:val="false"/>
                                <w:smallCaps w:val="false"/>
                                <w:sz w:val="16"/>
                                <w:shd w:fill="FFFFFF" w:val="clear"/>
                              </w:rPr>
                              <w:t xml:space="preserve">The weighted returns of the basket components, equal to the product of (i) 100 and (ii) an amount equal to 1 </w:t>
                            </w:r>
                            <w:r>
                              <w:rPr>
                                <w:rFonts w:ascii="Georgia;Times;Serif" w:hAnsi="Georgia;Times;Serif"/>
                                <w:b w:val="false"/>
                                <w:i/>
                                <w:caps w:val="false"/>
                                <w:smallCaps w:val="false"/>
                                <w:sz w:val="16"/>
                                <w:shd w:fill="FFFFFF" w:val="clear"/>
                              </w:rPr>
                              <w:t>plus</w:t>
                            </w:r>
                            <w:r>
                              <w:rPr>
                                <w:rFonts w:ascii="Georgia;Times;Serif" w:hAnsi="Georgia;Times;Serif"/>
                                <w:b w:val="false"/>
                                <w:i w:val="false"/>
                                <w:caps w:val="false"/>
                                <w:smallCaps w:val="false"/>
                                <w:sz w:val="16"/>
                                <w:shd w:fill="FFFFFF" w:val="clear"/>
                              </w:rPr>
                              <w:t xml:space="preserve"> the sum of (A) 40% of the basket component return of the EURO STOXX 50</w:t>
                            </w:r>
                            <w:r>
                              <w:rPr>
                                <w:rFonts w:ascii="Georgia;Times;Serif" w:hAnsi="Georgia;Times;Serif"/>
                                <w:b w:val="false"/>
                                <w:i w:val="false"/>
                                <w:caps w:val="false"/>
                                <w:smallCaps w:val="false"/>
                                <w:position w:val="5"/>
                                <w:sz w:val="13"/>
                                <w:sz w:val="16"/>
                                <w:shd w:fill="FFFFFF" w:val="clear"/>
                              </w:rPr>
                              <w:t>®</w:t>
                            </w:r>
                            <w:r>
                              <w:rPr>
                                <w:rFonts w:ascii="Georgia;Times;Serif" w:hAnsi="Georgia;Times;Serif"/>
                                <w:b w:val="false"/>
                                <w:i w:val="false"/>
                                <w:caps w:val="false"/>
                                <w:smallCaps w:val="false"/>
                                <w:sz w:val="16"/>
                                <w:shd w:fill="FFFFFF" w:val="clear"/>
                              </w:rPr>
                              <w:t xml:space="preserve"> Index; (B) 25% of the basket component return of the </w:t>
                            </w:r>
                            <w:r>
                              <w:rPr>
                                <w:rFonts w:ascii="Times New Roman;Times;Serif" w:hAnsi="Times New Roman;Times;Serif"/>
                                <w:b w:val="false"/>
                                <w:i w:val="false"/>
                                <w:caps w:val="false"/>
                                <w:smallCaps w:val="false"/>
                                <w:sz w:val="16"/>
                                <w:shd w:fill="FFFFFF" w:val="clear"/>
                              </w:rPr>
                              <w:t xml:space="preserve">Nikkei 225 </w:t>
                            </w:r>
                            <w:r>
                              <w:rPr>
                                <w:rFonts w:ascii="Georgia;Times;Serif" w:hAnsi="Georgia;Times;Serif"/>
                                <w:b w:val="false"/>
                                <w:i w:val="false"/>
                                <w:caps w:val="false"/>
                                <w:smallCaps w:val="false"/>
                                <w:sz w:val="16"/>
                                <w:shd w:fill="FFFFFF" w:val="clear"/>
                              </w:rPr>
                              <w:t>Index; (C) 17.50% of the basket component return of the FTSE</w:t>
                            </w:r>
                            <w:r>
                              <w:rPr>
                                <w:rFonts w:ascii="Times New Roman;Times;Serif" w:hAnsi="Times New Roman;Times;Serif"/>
                                <w:b w:val="false"/>
                                <w:i w:val="false"/>
                                <w:caps w:val="false"/>
                                <w:smallCaps w:val="false"/>
                                <w:position w:val="5"/>
                                <w:sz w:val="13"/>
                                <w:sz w:val="16"/>
                                <w:shd w:fill="FFFFFF" w:val="clear"/>
                              </w:rPr>
                              <w:t>®</w:t>
                            </w:r>
                            <w:r>
                              <w:rPr>
                                <w:rFonts w:ascii="Times New Roman;Times;Serif" w:hAnsi="Times New Roman;Times;Serif"/>
                                <w:b w:val="false"/>
                                <w:i w:val="false"/>
                                <w:caps w:val="false"/>
                                <w:smallCaps w:val="false"/>
                                <w:sz w:val="16"/>
                                <w:shd w:fill="FFFFFF" w:val="clear"/>
                              </w:rPr>
                              <w:t xml:space="preserve"> </w:t>
                            </w:r>
                            <w:r>
                              <w:rPr>
                                <w:rFonts w:ascii="Georgia;Times;Serif" w:hAnsi="Georgia;Times;Serif"/>
                                <w:b w:val="false"/>
                                <w:i w:val="false"/>
                                <w:caps w:val="false"/>
                                <w:smallCaps w:val="false"/>
                                <w:sz w:val="16"/>
                                <w:shd w:fill="FFFFFF" w:val="clear"/>
                              </w:rPr>
                              <w:t>100 Index; (D) 10% of the basket component return of the Swiss Market Index; and (E) 7.50% of the basket component return of the S&amp;P/ASX 200 Index</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Level:</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75.00, which is equal to 75% of the starting level</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156.35% (the actual upside participation rate will be provided in the pricing supplement)</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Basket Return:</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 – starting level) / starting level</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Basket Component Return:</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(final basket component level – initial basket component level) / initial basket component level </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Initial Basket Component Level</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basket component, its closing level on the pricing date</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Final Basket Component Level</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basket component, its closing level on the calculation day</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46661MES9</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492615"/>
                <wp:effectExtent l="0" t="0" r="0" b="0"/>
                <wp:wrapSquare wrapText="left"/>
                <wp:docPr id="3" name="Frame2"/>
                <a:graphic xmlns:a="http://schemas.openxmlformats.org/drawingml/2006/main">
                  <a:graphicData uri="http://schemas.microsoft.com/office/word/2010/wordprocessingShape">
                    <wps:wsp>
                      <wps:cNvSpPr txBox="1"/>
                      <wps:spPr>
                        <a:xfrm>
                          <a:off x="0" y="0"/>
                          <a:ext cx="3175000" cy="9492615"/>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w:t>
                            </w:r>
                          </w:p>
                          <w:tbl>
                            <w:tblPr>
                              <w:tblW w:w="10205" w:type="dxa"/>
                              <w:jc w:val="left"/>
                              <w:tblInd w:w="-10" w:type="dxa"/>
                              <w:tblLayout w:type="fixed"/>
                              <w:tblCellMar>
                                <w:top w:w="28" w:type="dxa"/>
                                <w:left w:w="108" w:type="dxa"/>
                                <w:bottom w:w="28" w:type="dxa"/>
                                <w:right w:w="108" w:type="dxa"/>
                              </w:tblCellMar>
                            </w:tblPr>
                            <w:tblGrid>
                              <w:gridCol w:w="1281"/>
                              <w:gridCol w:w="8924"/>
                            </w:tblGrid>
                            <w:tr>
                              <w:trPr/>
                              <w:tc>
                                <w:tcPr>
                                  <w:tcW w:w="12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3.87%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3.00% of WFS’s fee, and WFA may also receive a distribution expense fee of 0.12%.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ind w:left="90" w:right="0" w:firstLine="72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spacing w:before="60" w:after="40"/>
                              <w:jc w:val="center"/>
                              <w:rPr>
                                <w:caps w:val="false"/>
                                <w:smallCaps w:val="false"/>
                              </w:rPr>
                            </w:pPr>
                            <w:r>
                              <w:rPr>
                                <w:caps w:val="false"/>
                                <w:smallCaps w:val="false"/>
                              </w:rPr>
                              <w:drawing>
                                <wp:inline distT="0" distB="0" distL="0" distR="0">
                                  <wp:extent cx="3267075" cy="20859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267075" cy="2085975"/>
                                          </a:xfrm>
                                          <a:prstGeom prst="rect">
                                            <a:avLst/>
                                          </a:prstGeom>
                                        </pic:spPr>
                                      </pic:pic>
                                    </a:graphicData>
                                  </a:graphic>
                                </wp:inline>
                              </w:drawing>
                            </w:r>
                          </w:p>
                          <w:p>
                            <w:pPr>
                              <w:pStyle w:val="TextBody"/>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an upside participation rate equal to the minimum upside participation rate</w:t>
                            </w:r>
                          </w:p>
                          <w:p>
                            <w:pPr>
                              <w:pStyle w:val="TextBody"/>
                              <w:bidi w:val="0"/>
                              <w:jc w:val="left"/>
                              <w:rPr>
                                <w:caps w:val="false"/>
                                <w:smallCaps w:val="false"/>
                              </w:rPr>
                            </w:pPr>
                            <w:r>
                              <w:rPr>
                                <w:caps w:val="false"/>
                                <w:smallCaps w:val="false"/>
                              </w:rPr>
                              <w:t> </w:t>
                            </w:r>
                          </w:p>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level of the basket is less than the threshold level, you will have full downside exposure to the decrease in the level of the basket from the starting level and will lose more than 25%, and possibly all, of the principal amount of your securities at maturity.</w:t>
                            </w:r>
                          </w:p>
                          <w:p>
                            <w:pPr>
                              <w:pStyle w:val="TextBody"/>
                              <w:bidi w:val="0"/>
                              <w:jc w:val="left"/>
                              <w:rPr>
                                <w:caps w:val="false"/>
                                <w:smallCaps w:val="false"/>
                              </w:rPr>
                            </w:pPr>
                            <w:r>
                              <w:rPr>
                                <w:caps w:val="false"/>
                                <w:smallCaps w:val="false"/>
                              </w:rPr>
                              <w:t> </w:t>
                            </w:r>
                          </w:p>
                          <w:p>
                            <w:pPr>
                              <w:pStyle w:val="TextBody"/>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jc w:val="left"/>
                              <w:rPr>
                                <w:caps w:val="false"/>
                                <w:smallCaps w:val="false"/>
                              </w:rPr>
                            </w:pPr>
                            <w:r>
                              <w:rPr>
                                <w:caps w:val="false"/>
                                <w:smallCaps w:val="false"/>
                              </w:rPr>
                              <w:t> </w:t>
                            </w:r>
                          </w:p>
                          <w:p>
                            <w:pPr>
                              <w:pStyle w:val="TextBody"/>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$938.40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pStyle w:val="TextBody"/>
                              <w:bidi w:val="0"/>
                              <w:jc w:val="left"/>
                              <w:rPr>
                                <w:caps w:val="false"/>
                                <w:smallCaps w:val="false"/>
                              </w:rPr>
                            </w:pPr>
                            <w:r>
                              <w:rPr>
                                <w:caps w:val="false"/>
                                <w:smallCaps w:val="false"/>
                              </w:rPr>
                              <w:t> </w:t>
                            </w:r>
                          </w:p>
                          <w:p>
                            <w:pPr>
                              <w:pStyle w:val="TextBody"/>
                              <w:bidi w:val="0"/>
                              <w:spacing w:before="0" w:after="283"/>
                              <w:jc w:val="left"/>
                              <w:rPr/>
                            </w:pPr>
                            <w:r>
                              <w:rPr>
                                <w:rFonts w:ascii="Georgia;Times;Serif" w:hAnsi="Georgia;Times;Serif"/>
                                <w:b w:val="false"/>
                                <w:i w:val="false"/>
                                <w:caps w:val="false"/>
                                <w:smallCaps w:val="false"/>
                                <w:sz w:val="16"/>
                              </w:rPr>
                              <w:t xml:space="preserve">Preliminary Pricing Supplement: </w:t>
                              <w:br/>
                            </w:r>
                            <w:hyperlink r:id="rId4">
                              <w:r>
                                <w:rPr>
                                  <w:rStyle w:val="InternetLink"/>
                                  <w:rFonts w:ascii="Georgia;Times;Serif" w:hAnsi="Georgia;Times;Serif"/>
                                  <w:b w:val="false"/>
                                  <w:i w:val="false"/>
                                  <w:caps w:val="false"/>
                                  <w:smallCaps w:val="false"/>
                                  <w:sz w:val="16"/>
                                </w:rPr>
                                <w:t>http://www.sec.gov/Archives/edgar/data/19617/000121390026092209/</w:t>
                                <w:br/>
                                <w:t>ea0302941-01_424b2.htm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47.4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w:t>
                      </w:r>
                    </w:p>
                    <w:tbl>
                      <w:tblPr>
                        <w:tblW w:w="10205" w:type="dxa"/>
                        <w:jc w:val="left"/>
                        <w:tblInd w:w="-10" w:type="dxa"/>
                        <w:tblLayout w:type="fixed"/>
                        <w:tblCellMar>
                          <w:top w:w="28" w:type="dxa"/>
                          <w:left w:w="108" w:type="dxa"/>
                          <w:bottom w:w="28" w:type="dxa"/>
                          <w:right w:w="108" w:type="dxa"/>
                        </w:tblCellMar>
                      </w:tblPr>
                      <w:tblGrid>
                        <w:gridCol w:w="1281"/>
                        <w:gridCol w:w="8924"/>
                      </w:tblGrid>
                      <w:tr>
                        <w:trPr/>
                        <w:tc>
                          <w:tcPr>
                            <w:tcW w:w="12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3.87%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3.00% of WFS’s fee, and WFA may also receive a distribution expense fee of 0.12%.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ind w:left="90" w:right="0" w:firstLine="72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spacing w:before="60" w:after="40"/>
                        <w:jc w:val="center"/>
                        <w:rPr>
                          <w:caps w:val="false"/>
                          <w:smallCaps w:val="false"/>
                        </w:rPr>
                      </w:pPr>
                      <w:r>
                        <w:rPr>
                          <w:caps w:val="false"/>
                          <w:smallCaps w:val="false"/>
                        </w:rPr>
                        <w:drawing>
                          <wp:inline distT="0" distB="0" distL="0" distR="0">
                            <wp:extent cx="3267075" cy="20859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267075" cy="2085975"/>
                                    </a:xfrm>
                                    <a:prstGeom prst="rect">
                                      <a:avLst/>
                                    </a:prstGeom>
                                  </pic:spPr>
                                </pic:pic>
                              </a:graphicData>
                            </a:graphic>
                          </wp:inline>
                        </w:drawing>
                      </w:r>
                    </w:p>
                    <w:p>
                      <w:pPr>
                        <w:pStyle w:val="TextBody"/>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an upside participation rate equal to the minimum upside participation rate</w:t>
                      </w:r>
                    </w:p>
                    <w:p>
                      <w:pPr>
                        <w:pStyle w:val="TextBody"/>
                        <w:bidi w:val="0"/>
                        <w:jc w:val="left"/>
                        <w:rPr>
                          <w:caps w:val="false"/>
                          <w:smallCaps w:val="false"/>
                        </w:rPr>
                      </w:pPr>
                      <w:r>
                        <w:rPr>
                          <w:caps w:val="false"/>
                          <w:smallCaps w:val="false"/>
                        </w:rPr>
                        <w:t> </w:t>
                      </w:r>
                    </w:p>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level of the basket is less than the threshold level, you will have full downside exposure to the decrease in the level of the basket from the starting level and will lose more than 25%, and possibly all, of the principal amount of your securities at maturity.</w:t>
                      </w:r>
                    </w:p>
                    <w:p>
                      <w:pPr>
                        <w:pStyle w:val="TextBody"/>
                        <w:bidi w:val="0"/>
                        <w:jc w:val="left"/>
                        <w:rPr>
                          <w:caps w:val="false"/>
                          <w:smallCaps w:val="false"/>
                        </w:rPr>
                      </w:pPr>
                      <w:r>
                        <w:rPr>
                          <w:caps w:val="false"/>
                          <w:smallCaps w:val="false"/>
                        </w:rPr>
                        <w:t> </w:t>
                      </w:r>
                    </w:p>
                    <w:p>
                      <w:pPr>
                        <w:pStyle w:val="TextBody"/>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jc w:val="left"/>
                        <w:rPr>
                          <w:caps w:val="false"/>
                          <w:smallCaps w:val="false"/>
                        </w:rPr>
                      </w:pPr>
                      <w:r>
                        <w:rPr>
                          <w:caps w:val="false"/>
                          <w:smallCaps w:val="false"/>
                        </w:rPr>
                        <w:t> </w:t>
                      </w:r>
                    </w:p>
                    <w:p>
                      <w:pPr>
                        <w:pStyle w:val="TextBody"/>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$938.40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pStyle w:val="TextBody"/>
                        <w:bidi w:val="0"/>
                        <w:jc w:val="left"/>
                        <w:rPr>
                          <w:caps w:val="false"/>
                          <w:smallCaps w:val="false"/>
                        </w:rPr>
                      </w:pPr>
                      <w:r>
                        <w:rPr>
                          <w:caps w:val="false"/>
                          <w:smallCaps w:val="false"/>
                        </w:rPr>
                        <w:t> </w:t>
                      </w:r>
                    </w:p>
                    <w:p>
                      <w:pPr>
                        <w:pStyle w:val="TextBody"/>
                        <w:bidi w:val="0"/>
                        <w:spacing w:before="0" w:after="283"/>
                        <w:jc w:val="left"/>
                        <w:rPr/>
                      </w:pPr>
                      <w:r>
                        <w:rPr>
                          <w:rFonts w:ascii="Georgia;Times;Serif" w:hAnsi="Georgia;Times;Serif"/>
                          <w:b w:val="false"/>
                          <w:i w:val="false"/>
                          <w:caps w:val="false"/>
                          <w:smallCaps w:val="false"/>
                          <w:sz w:val="16"/>
                        </w:rPr>
                        <w:t xml:space="preserve">Preliminary Pricing Supplement: </w:t>
                        <w:br/>
                      </w:r>
                      <w:hyperlink r:id="rId6">
                        <w:r>
                          <w:rPr>
                            <w:rStyle w:val="InternetLink"/>
                            <w:rFonts w:ascii="Georgia;Times;Serif" w:hAnsi="Georgia;Times;Serif"/>
                            <w:b w:val="false"/>
                            <w:i w:val="false"/>
                            <w:caps w:val="false"/>
                            <w:smallCaps w:val="false"/>
                            <w:sz w:val="16"/>
                          </w:rPr>
                          <w:t>http://www.sec.gov/Archives/edgar/data/19617/000121390026092209/</w:t>
                          <w:br/>
                          <w:t>ea0302941-01_424b2.htm</w:t>
                        </w:r>
                      </w:hyperlink>
                    </w:p>
                  </w:txbxContent>
                </v:textbox>
                <w10:wrap type="square" side="left"/>
              </v:rect>
            </w:pict>
          </mc:Fallback>
        </mc:AlternateContent>
      </w:r>
    </w:p>
    <w:p>
      <w:pPr>
        <w:pStyle w:val="TextBody"/>
        <w:bidi w:val="0"/>
        <w:spacing w:before="60" w:after="60"/>
        <w:ind w:left="60" w:right="6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product supplement and underlying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158"/>
        <w:gridCol w:w="6047"/>
      </w:tblGrid>
      <w:tr>
        <w:trPr/>
        <w:tc>
          <w:tcPr>
            <w:tcW w:w="4158"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Ending Level of the Basket Is Less Than the Threshold Level, You Will Lose More Than 25%,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Changes in the Levels of the Basket Components May Offset Each Other.</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Correlation of Performances Among the Basket Components May Reduce the Performance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0"/>
              <w:jc w:val="left"/>
              <w:rPr>
                <w:caps w:val="false"/>
                <w:smallCaps w:val="false"/>
              </w:rPr>
            </w:pPr>
            <w:r>
              <w:rPr>
                <w:caps w:val="false"/>
                <w:smallCaps w:val="false"/>
              </w:rPr>
              <w:t> </w:t>
            </w:r>
          </w:p>
        </w:tc>
        <w:tc>
          <w:tcPr>
            <w:tcW w:w="6047"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Non-U.S. Securities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Direct Exposure to Fluctuations in Foreign Exchange Rates.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The Maturity Payment Amount Will Depend upon the Performance of the </w:t>
            </w:r>
            <w:r>
              <w:rPr>
                <w:rFonts w:ascii="Georgia;Times;Serif" w:hAnsi="Georgia;Times;Serif"/>
                <w:b/>
                <w:i w:val="false"/>
                <w:caps w:val="false"/>
                <w:smallCaps w:val="false"/>
                <w:sz w:val="18"/>
                <w:shd w:fill="FFFFFF" w:val="clear"/>
              </w:rPr>
              <w:t>Basket and Therefore the Securities Are Subject to the Risks Associated with Each Basket Component, Each as Discussed in the Accompanying Preliminary Pricing Supplement and Product Supplement.</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92209/ea0302941-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92209/ea0302941-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1443</Words>
  <Characters>7839</Characters>
  <CharactersWithSpaces>9309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