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30" w:lineRule="exact"/>
        <w:rPr>
          <w:sz w:val="24"/>
          <w:szCs w:val="24"/>
          <w:color w:val="auto"/>
        </w:rPr>
      </w:pPr>
    </w:p>
    <w:p>
      <w:pPr>
        <w:jc w:val="right"/>
        <w:ind w:right="100"/>
        <w:spacing w:after="0"/>
        <w:rPr>
          <w:sz w:val="20"/>
          <w:szCs w:val="20"/>
          <w:color w:val="auto"/>
        </w:rPr>
      </w:pPr>
      <w:r>
        <w:rPr>
          <w:rFonts w:ascii="Arial" w:cs="Arial" w:eastAsia="Arial" w:hAnsi="Arial"/>
          <w:sz w:val="14"/>
          <w:szCs w:val="14"/>
          <w:color w:val="808080"/>
        </w:rPr>
        <w:t>Free Writing Prospectus Filed Pursuant to Rule 433</w:t>
      </w:r>
    </w:p>
    <w:p>
      <w:pPr>
        <w:jc w:val="right"/>
        <w:ind w:right="100"/>
        <w:spacing w:after="0" w:line="238" w:lineRule="auto"/>
        <w:rPr>
          <w:sz w:val="20"/>
          <w:szCs w:val="20"/>
          <w:color w:val="auto"/>
        </w:rPr>
      </w:pPr>
      <w:r>
        <w:rPr>
          <w:rFonts w:ascii="Arial" w:cs="Arial" w:eastAsia="Arial" w:hAnsi="Arial"/>
          <w:sz w:val="14"/>
          <w:szCs w:val="14"/>
          <w:color w:val="808080"/>
        </w:rPr>
        <w:t>Registration Statement Nos. 333-270004 and 333-270004-01</w:t>
      </w:r>
    </w:p>
    <w:p>
      <w:pPr>
        <w:jc w:val="right"/>
        <w:ind w:right="100"/>
        <w:spacing w:after="0" w:line="225" w:lineRule="auto"/>
        <w:rPr>
          <w:sz w:val="20"/>
          <w:szCs w:val="20"/>
          <w:color w:val="auto"/>
        </w:rPr>
      </w:pPr>
      <w:r>
        <w:rPr>
          <w:rFonts w:ascii="Arial" w:cs="Arial" w:eastAsia="Arial" w:hAnsi="Arial"/>
          <w:sz w:val="14"/>
          <w:szCs w:val="14"/>
          <w:color w:val="808080"/>
        </w:rPr>
        <w:t>Dated October 30, 2025</w:t>
      </w:r>
    </w:p>
    <w:p>
      <w:pPr>
        <w:spacing w:after="0" w:line="1" w:lineRule="exact"/>
        <w:rPr>
          <w:sz w:val="24"/>
          <w:szCs w:val="24"/>
          <w:color w:val="auto"/>
        </w:rPr>
      </w:pPr>
    </w:p>
    <w:p>
      <w:pPr>
        <w:spacing w:after="0"/>
        <w:rPr>
          <w:sz w:val="20"/>
          <w:szCs w:val="20"/>
          <w:color w:val="auto"/>
        </w:rPr>
      </w:pPr>
      <w:r>
        <w:rPr>
          <w:rFonts w:ascii="Arial" w:cs="Arial" w:eastAsia="Arial" w:hAnsi="Arial"/>
          <w:sz w:val="28"/>
          <w:szCs w:val="28"/>
          <w:color w:val="296DC1"/>
        </w:rPr>
        <w:t>2y IBIT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 w:lineRule="exact"/>
        <w:rPr>
          <w:sz w:val="24"/>
          <w:szCs w:val="24"/>
          <w:color w:val="auto"/>
        </w:rPr>
      </w:pPr>
    </w:p>
    <w:p>
      <w:pPr>
        <w:ind w:left="100" w:right="380"/>
        <w:spacing w:after="0" w:line="226" w:lineRule="auto"/>
        <w:rPr>
          <w:sz w:val="20"/>
          <w:szCs w:val="20"/>
          <w:color w:val="auto"/>
        </w:rPr>
      </w:pPr>
      <w:r>
        <w:rPr>
          <w:rFonts w:ascii="Arial" w:cs="Arial" w:eastAsia="Arial" w:hAnsi="Arial"/>
          <w:sz w:val="15"/>
          <w:szCs w:val="15"/>
          <w:b w:val="1"/>
          <w:bCs w:val="1"/>
          <w:i w:val="1"/>
          <w:iCs w:val="1"/>
          <w:color w:val="auto"/>
        </w:rPr>
        <w:t>This document provides a summary of the terms of the securities. Investors must carefully review the accompanying preliminary pricing supplement referenced below, product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418840"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18840" cy="118745"/>
                    </a:xfrm>
                    <a:prstGeom prst="rect">
                      <a:avLst/>
                    </a:prstGeom>
                    <a:noFill/>
                  </pic:spPr>
                </pic:pic>
              </a:graphicData>
            </a:graphic>
          </wp:anchor>
        </w:drawing>
      </w:r>
    </w:p>
    <w:p>
      <w:pPr>
        <w:sectPr>
          <w:pgSz w:w="11900" w:h="16838" w:orient="portrait"/>
          <w:cols w:equalWidth="0" w:num="1">
            <w:col w:w="11340"/>
          </w:cols>
          <w:pgMar w:left="320" w:top="218" w:right="239" w:bottom="1440" w:gutter="0" w:footer="0" w:header="0"/>
        </w:sectPr>
      </w:pPr>
    </w:p>
    <w:p>
      <w:pPr>
        <w:spacing w:after="0" w:line="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ind w:left="100"/>
              <w:spacing w:after="0"/>
              <w:rPr>
                <w:sz w:val="20"/>
                <w:szCs w:val="20"/>
                <w:color w:val="auto"/>
              </w:rPr>
            </w:pPr>
            <w:r>
              <w:rPr>
                <w:rFonts w:ascii="Arial" w:cs="Arial" w:eastAsia="Arial" w:hAnsi="Arial"/>
                <w:sz w:val="14"/>
                <w:szCs w:val="14"/>
                <w:b w:val="1"/>
                <w:bCs w:val="1"/>
                <w:color w:val="296DC1"/>
              </w:rPr>
              <w:t>Issuer:</w:t>
            </w:r>
          </w:p>
        </w:tc>
        <w:tc>
          <w:tcPr>
            <w:tcW w:w="4320" w:type="dxa"/>
            <w:vAlign w:val="bottom"/>
          </w:tcPr>
          <w:p>
            <w:pPr>
              <w:ind w:left="160"/>
              <w:spacing w:after="0"/>
              <w:rPr>
                <w:sz w:val="20"/>
                <w:szCs w:val="20"/>
                <w:color w:val="auto"/>
              </w:rPr>
            </w:pPr>
            <w:r>
              <w:rPr>
                <w:rFonts w:ascii="Arial" w:cs="Arial" w:eastAsia="Arial" w:hAnsi="Arial"/>
                <w:sz w:val="14"/>
                <w:szCs w:val="14"/>
                <w:color w:val="auto"/>
              </w:rPr>
              <w:t>JPMorgan Chase Financial Company LLC (“JPMorgan Financial”)</w:t>
            </w:r>
          </w:p>
        </w:tc>
      </w:tr>
      <w:tr>
        <w:trPr>
          <w:trHeight w:val="187"/>
        </w:trPr>
        <w:tc>
          <w:tcPr>
            <w:tcW w:w="10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Guarantor:</w:t>
            </w:r>
          </w:p>
        </w:tc>
        <w:tc>
          <w:tcPr>
            <w:tcW w:w="4320" w:type="dxa"/>
            <w:vAlign w:val="bottom"/>
            <w:shd w:val="clear" w:color="auto" w:fill="DCEBF4"/>
          </w:tcPr>
          <w:p>
            <w:pPr>
              <w:ind w:left="160"/>
              <w:spacing w:after="0"/>
              <w:rPr>
                <w:sz w:val="20"/>
                <w:szCs w:val="20"/>
                <w:color w:val="auto"/>
              </w:rPr>
            </w:pPr>
            <w:r>
              <w:rPr>
                <w:rFonts w:ascii="Arial" w:cs="Arial" w:eastAsia="Arial" w:hAnsi="Arial"/>
                <w:sz w:val="14"/>
                <w:szCs w:val="14"/>
                <w:color w:val="auto"/>
              </w:rPr>
              <w:t>JPMorgan Chase &amp; Co.</w:t>
            </w:r>
          </w:p>
        </w:tc>
      </w:tr>
      <w:tr>
        <w:trPr>
          <w:trHeight w:val="189"/>
        </w:trPr>
        <w:tc>
          <w:tcPr>
            <w:tcW w:w="1080" w:type="dxa"/>
            <w:vAlign w:val="bottom"/>
          </w:tcPr>
          <w:p>
            <w:pPr>
              <w:ind w:left="100"/>
              <w:spacing w:after="0"/>
              <w:rPr>
                <w:sz w:val="20"/>
                <w:szCs w:val="20"/>
                <w:color w:val="auto"/>
              </w:rPr>
            </w:pPr>
            <w:r>
              <w:rPr>
                <w:rFonts w:ascii="Arial" w:cs="Arial" w:eastAsia="Arial" w:hAnsi="Arial"/>
                <w:sz w:val="14"/>
                <w:szCs w:val="14"/>
                <w:b w:val="1"/>
                <w:bCs w:val="1"/>
                <w:color w:val="296DC1"/>
              </w:rPr>
              <w:t>ETF Shares:</w:t>
            </w:r>
          </w:p>
        </w:tc>
        <w:tc>
          <w:tcPr>
            <w:tcW w:w="4320" w:type="dxa"/>
            <w:vAlign w:val="bottom"/>
          </w:tcPr>
          <w:p>
            <w:pPr>
              <w:ind w:left="160"/>
              <w:spacing w:after="0" w:line="190" w:lineRule="exact"/>
              <w:rPr>
                <w:sz w:val="20"/>
                <w:szCs w:val="20"/>
                <w:color w:val="auto"/>
              </w:rPr>
            </w:pPr>
            <w:r>
              <w:rPr>
                <w:rFonts w:ascii="Arial" w:cs="Arial" w:eastAsia="Arial" w:hAnsi="Arial"/>
                <w:sz w:val="13"/>
                <w:szCs w:val="13"/>
                <w:color w:val="auto"/>
              </w:rPr>
              <w:t>Shares of the iShares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Bitcoin Trust ETF (Bloomberg ticker: IBIT</w:t>
            </w:r>
          </w:p>
        </w:tc>
      </w:tr>
      <w:tr>
        <w:trPr>
          <w:trHeight w:val="188"/>
        </w:trPr>
        <w:tc>
          <w:tcPr>
            <w:tcW w:w="1080" w:type="dxa"/>
            <w:vAlign w:val="bottom"/>
          </w:tcPr>
          <w:p>
            <w:pPr>
              <w:spacing w:after="0"/>
              <w:rPr>
                <w:sz w:val="16"/>
                <w:szCs w:val="16"/>
                <w:color w:val="auto"/>
              </w:rPr>
            </w:pPr>
          </w:p>
        </w:tc>
        <w:tc>
          <w:tcPr>
            <w:tcW w:w="4320" w:type="dxa"/>
            <w:vAlign w:val="bottom"/>
          </w:tcPr>
          <w:p>
            <w:pPr>
              <w:ind w:left="160"/>
              <w:spacing w:after="0" w:line="188" w:lineRule="exact"/>
              <w:rPr>
                <w:sz w:val="20"/>
                <w:szCs w:val="20"/>
                <w:color w:val="auto"/>
              </w:rPr>
            </w:pPr>
            <w:r>
              <w:rPr>
                <w:rFonts w:ascii="Arial" w:cs="Arial" w:eastAsia="Arial" w:hAnsi="Arial"/>
                <w:sz w:val="13"/>
                <w:szCs w:val="13"/>
                <w:color w:val="auto"/>
              </w:rPr>
              <w:t>UQ Equity). We refer to the iShares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Bitcoin Trust ETF as the</w:t>
            </w:r>
          </w:p>
        </w:tc>
      </w:tr>
      <w:tr>
        <w:trPr>
          <w:trHeight w:val="183"/>
        </w:trPr>
        <w:tc>
          <w:tcPr>
            <w:tcW w:w="1080" w:type="dxa"/>
            <w:vAlign w:val="bottom"/>
          </w:tcPr>
          <w:p>
            <w:pPr>
              <w:spacing w:after="0"/>
              <w:rPr>
                <w:sz w:val="15"/>
                <w:szCs w:val="15"/>
                <w:color w:val="auto"/>
              </w:rPr>
            </w:pPr>
          </w:p>
        </w:tc>
        <w:tc>
          <w:tcPr>
            <w:tcW w:w="4320" w:type="dxa"/>
            <w:vAlign w:val="bottom"/>
          </w:tcPr>
          <w:p>
            <w:pPr>
              <w:ind w:left="160"/>
              <w:spacing w:after="0"/>
              <w:rPr>
                <w:sz w:val="20"/>
                <w:szCs w:val="20"/>
                <w:color w:val="auto"/>
              </w:rPr>
            </w:pPr>
            <w:r>
              <w:rPr>
                <w:rFonts w:ascii="Arial" w:cs="Arial" w:eastAsia="Arial" w:hAnsi="Arial"/>
                <w:sz w:val="14"/>
                <w:szCs w:val="14"/>
                <w:color w:val="auto"/>
              </w:rPr>
              <w:t>“Fund.”</w:t>
            </w:r>
          </w:p>
        </w:tc>
      </w:tr>
      <w:tr>
        <w:trPr>
          <w:trHeight w:val="164"/>
        </w:trPr>
        <w:tc>
          <w:tcPr>
            <w:tcW w:w="10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Early</w:t>
            </w:r>
          </w:p>
        </w:tc>
        <w:tc>
          <w:tcPr>
            <w:tcW w:w="4320" w:type="dxa"/>
            <w:vAlign w:val="bottom"/>
            <w:shd w:val="clear" w:color="auto" w:fill="DCEBF4"/>
          </w:tcPr>
          <w:p>
            <w:pPr>
              <w:ind w:left="160"/>
              <w:spacing w:after="0"/>
              <w:rPr>
                <w:sz w:val="20"/>
                <w:szCs w:val="20"/>
                <w:color w:val="auto"/>
              </w:rPr>
            </w:pPr>
            <w:r>
              <w:rPr>
                <w:rFonts w:ascii="Arial" w:cs="Arial" w:eastAsia="Arial" w:hAnsi="Arial"/>
                <w:sz w:val="14"/>
                <w:szCs w:val="14"/>
                <w:color w:val="auto"/>
              </w:rPr>
              <w:t>If, on any determination date (other than the final determination</w:t>
            </w:r>
          </w:p>
        </w:tc>
      </w:tr>
      <w:tr>
        <w:trPr>
          <w:trHeight w:val="160"/>
        </w:trPr>
        <w:tc>
          <w:tcPr>
            <w:tcW w:w="1080" w:type="dxa"/>
            <w:vAlign w:val="bottom"/>
            <w:shd w:val="clear" w:color="auto" w:fill="DCEBF4"/>
          </w:tcPr>
          <w:p>
            <w:pPr>
              <w:ind w:left="100"/>
              <w:spacing w:after="0" w:line="160" w:lineRule="exact"/>
              <w:rPr>
                <w:sz w:val="20"/>
                <w:szCs w:val="20"/>
                <w:color w:val="auto"/>
              </w:rPr>
            </w:pPr>
            <w:r>
              <w:rPr>
                <w:rFonts w:ascii="Arial" w:cs="Arial" w:eastAsia="Arial" w:hAnsi="Arial"/>
                <w:sz w:val="14"/>
                <w:szCs w:val="14"/>
                <w:b w:val="1"/>
                <w:bCs w:val="1"/>
                <w:color w:val="296DC1"/>
              </w:rPr>
              <w:t>redemption:</w:t>
            </w: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color w:val="auto"/>
              </w:rPr>
              <w:t xml:space="preserve">date), the closing price of one ETF Share is </w:t>
            </w:r>
            <w:r>
              <w:rPr>
                <w:rFonts w:ascii="Arial" w:cs="Arial" w:eastAsia="Arial" w:hAnsi="Arial"/>
                <w:sz w:val="14"/>
                <w:szCs w:val="14"/>
                <w:b w:val="1"/>
                <w:bCs w:val="1"/>
                <w:color w:val="auto"/>
              </w:rPr>
              <w:t>greater than or</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b w:val="1"/>
                <w:bCs w:val="1"/>
                <w:color w:val="auto"/>
              </w:rPr>
              <w:t xml:space="preserve">equal to </w:t>
            </w:r>
            <w:r>
              <w:rPr>
                <w:rFonts w:ascii="Arial" w:cs="Arial" w:eastAsia="Arial" w:hAnsi="Arial"/>
                <w:sz w:val="14"/>
                <w:szCs w:val="14"/>
                <w:color w:val="auto"/>
              </w:rPr>
              <w:t>the initial share price, the securities will be automatically</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color w:val="auto"/>
              </w:rPr>
              <w:t>redeemed for an early redemption payment on the first contingent</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color w:val="auto"/>
              </w:rPr>
              <w:t>payment date immediately following the related determination</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color w:val="auto"/>
              </w:rPr>
              <w:t>date. No further payments will be made on the securities once</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color w:val="auto"/>
              </w:rPr>
              <w:t>they have been redeemed.</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b w:val="1"/>
                <w:bCs w:val="1"/>
                <w:color w:val="auto"/>
              </w:rPr>
              <w:t>The securities will not be redeemed early on any contingent</w:t>
            </w:r>
          </w:p>
        </w:tc>
      </w:tr>
      <w:tr>
        <w:trPr>
          <w:trHeight w:val="160"/>
        </w:trPr>
        <w:tc>
          <w:tcPr>
            <w:tcW w:w="1080" w:type="dxa"/>
            <w:vAlign w:val="bottom"/>
            <w:shd w:val="clear" w:color="auto" w:fill="DCEBF4"/>
          </w:tcPr>
          <w:p>
            <w:pPr>
              <w:spacing w:after="0"/>
              <w:rPr>
                <w:sz w:val="13"/>
                <w:szCs w:val="13"/>
                <w:color w:val="auto"/>
              </w:rPr>
            </w:pPr>
          </w:p>
        </w:tc>
        <w:tc>
          <w:tcPr>
            <w:tcW w:w="4320" w:type="dxa"/>
            <w:vAlign w:val="bottom"/>
            <w:shd w:val="clear" w:color="auto" w:fill="DCEBF4"/>
          </w:tcPr>
          <w:p>
            <w:pPr>
              <w:ind w:left="160"/>
              <w:spacing w:after="0" w:line="160" w:lineRule="exact"/>
              <w:rPr>
                <w:sz w:val="20"/>
                <w:szCs w:val="20"/>
                <w:color w:val="auto"/>
              </w:rPr>
            </w:pPr>
            <w:r>
              <w:rPr>
                <w:rFonts w:ascii="Arial" w:cs="Arial" w:eastAsia="Arial" w:hAnsi="Arial"/>
                <w:sz w:val="14"/>
                <w:szCs w:val="14"/>
                <w:b w:val="1"/>
                <w:bCs w:val="1"/>
                <w:color w:val="auto"/>
              </w:rPr>
              <w:t>payment date if the closing price of one ETF Share is below</w:t>
            </w:r>
          </w:p>
        </w:tc>
      </w:tr>
      <w:tr>
        <w:trPr>
          <w:trHeight w:val="183"/>
        </w:trPr>
        <w:tc>
          <w:tcPr>
            <w:tcW w:w="1080" w:type="dxa"/>
            <w:vAlign w:val="bottom"/>
            <w:shd w:val="clear" w:color="auto" w:fill="DCEBF4"/>
          </w:tcPr>
          <w:p>
            <w:pPr>
              <w:spacing w:after="0"/>
              <w:rPr>
                <w:sz w:val="15"/>
                <w:szCs w:val="15"/>
                <w:color w:val="auto"/>
              </w:rPr>
            </w:pPr>
          </w:p>
        </w:tc>
        <w:tc>
          <w:tcPr>
            <w:tcW w:w="43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auto"/>
              </w:rPr>
              <w:t>the initial share price on the related determination date.</w:t>
            </w:r>
          </w:p>
        </w:tc>
      </w:tr>
      <w:tr>
        <w:trPr>
          <w:trHeight w:val="164"/>
        </w:trPr>
        <w:tc>
          <w:tcPr>
            <w:tcW w:w="1080" w:type="dxa"/>
            <w:vAlign w:val="bottom"/>
          </w:tcPr>
          <w:p>
            <w:pPr>
              <w:ind w:left="100"/>
              <w:spacing w:after="0"/>
              <w:rPr>
                <w:sz w:val="20"/>
                <w:szCs w:val="20"/>
                <w:color w:val="auto"/>
              </w:rPr>
            </w:pPr>
            <w:r>
              <w:rPr>
                <w:rFonts w:ascii="Arial" w:cs="Arial" w:eastAsia="Arial" w:hAnsi="Arial"/>
                <w:sz w:val="14"/>
                <w:szCs w:val="14"/>
                <w:b w:val="1"/>
                <w:bCs w:val="1"/>
                <w:color w:val="296DC1"/>
              </w:rPr>
              <w:t>Early</w:t>
            </w:r>
          </w:p>
        </w:tc>
        <w:tc>
          <w:tcPr>
            <w:tcW w:w="4320" w:type="dxa"/>
            <w:vAlign w:val="bottom"/>
          </w:tcPr>
          <w:p>
            <w:pPr>
              <w:ind w:left="160"/>
              <w:spacing w:after="0"/>
              <w:rPr>
                <w:sz w:val="20"/>
                <w:szCs w:val="20"/>
                <w:color w:val="auto"/>
              </w:rPr>
            </w:pPr>
            <w:r>
              <w:rPr>
                <w:rFonts w:ascii="Arial" w:cs="Arial" w:eastAsia="Arial" w:hAnsi="Arial"/>
                <w:sz w:val="14"/>
                <w:szCs w:val="14"/>
                <w:color w:val="auto"/>
              </w:rPr>
              <w:t>The early redemption payment will be an amount equal to (i) the</w:t>
            </w:r>
          </w:p>
        </w:tc>
      </w:tr>
      <w:tr>
        <w:trPr>
          <w:trHeight w:val="160"/>
        </w:trPr>
        <w:tc>
          <w:tcPr>
            <w:tcW w:w="108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redemption</w:t>
            </w:r>
          </w:p>
        </w:tc>
        <w:tc>
          <w:tcPr>
            <w:tcW w:w="4320" w:type="dxa"/>
            <w:vAlign w:val="bottom"/>
          </w:tcPr>
          <w:p>
            <w:pPr>
              <w:ind w:left="160"/>
              <w:spacing w:after="0" w:line="160" w:lineRule="exact"/>
              <w:rPr>
                <w:sz w:val="20"/>
                <w:szCs w:val="20"/>
                <w:color w:val="auto"/>
              </w:rPr>
            </w:pPr>
            <w:r>
              <w:rPr>
                <w:rFonts w:ascii="Arial" w:cs="Arial" w:eastAsia="Arial" w:hAnsi="Arial"/>
                <w:sz w:val="14"/>
                <w:szCs w:val="14"/>
                <w:color w:val="auto"/>
              </w:rPr>
              <w:t xml:space="preserve">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the contingent quarterly payment</w:t>
            </w:r>
          </w:p>
        </w:tc>
      </w:tr>
      <w:tr>
        <w:trPr>
          <w:trHeight w:val="160"/>
        </w:trPr>
        <w:tc>
          <w:tcPr>
            <w:tcW w:w="108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payment:</w:t>
            </w:r>
          </w:p>
        </w:tc>
        <w:tc>
          <w:tcPr>
            <w:tcW w:w="4320" w:type="dxa"/>
            <w:vAlign w:val="bottom"/>
          </w:tcPr>
          <w:p>
            <w:pPr>
              <w:ind w:left="160"/>
              <w:spacing w:after="0" w:line="160" w:lineRule="exact"/>
              <w:rPr>
                <w:sz w:val="20"/>
                <w:szCs w:val="20"/>
                <w:color w:val="auto"/>
              </w:rPr>
            </w:pPr>
            <w:r>
              <w:rPr>
                <w:rFonts w:ascii="Arial" w:cs="Arial" w:eastAsia="Arial" w:hAnsi="Arial"/>
                <w:sz w:val="14"/>
                <w:szCs w:val="14"/>
                <w:color w:val="auto"/>
              </w:rPr>
              <w:t xml:space="preserve">with respect to the related determination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any</w:t>
            </w:r>
          </w:p>
        </w:tc>
      </w:tr>
      <w:tr>
        <w:trPr>
          <w:trHeight w:val="160"/>
        </w:trPr>
        <w:tc>
          <w:tcPr>
            <w:tcW w:w="1080" w:type="dxa"/>
            <w:vAlign w:val="bottom"/>
          </w:tcPr>
          <w:p>
            <w:pPr>
              <w:spacing w:after="0"/>
              <w:rPr>
                <w:sz w:val="13"/>
                <w:szCs w:val="13"/>
                <w:color w:val="auto"/>
              </w:rPr>
            </w:pPr>
          </w:p>
        </w:tc>
        <w:tc>
          <w:tcPr>
            <w:tcW w:w="4320" w:type="dxa"/>
            <w:vAlign w:val="bottom"/>
          </w:tcPr>
          <w:p>
            <w:pPr>
              <w:ind w:left="160"/>
              <w:spacing w:after="0" w:line="160" w:lineRule="exact"/>
              <w:rPr>
                <w:sz w:val="20"/>
                <w:szCs w:val="20"/>
                <w:color w:val="auto"/>
              </w:rPr>
            </w:pPr>
            <w:r>
              <w:rPr>
                <w:rFonts w:ascii="Arial" w:cs="Arial" w:eastAsia="Arial" w:hAnsi="Arial"/>
                <w:sz w:val="14"/>
                <w:szCs w:val="14"/>
                <w:color w:val="auto"/>
              </w:rPr>
              <w:t>previously unpaid contingent quarterly payments with respect to</w:t>
            </w:r>
          </w:p>
        </w:tc>
      </w:tr>
      <w:tr>
        <w:trPr>
          <w:trHeight w:val="189"/>
        </w:trPr>
        <w:tc>
          <w:tcPr>
            <w:tcW w:w="1080" w:type="dxa"/>
            <w:vAlign w:val="bottom"/>
          </w:tcPr>
          <w:p>
            <w:pPr>
              <w:spacing w:after="0"/>
              <w:rPr>
                <w:sz w:val="16"/>
                <w:szCs w:val="16"/>
                <w:color w:val="auto"/>
              </w:rPr>
            </w:pPr>
          </w:p>
        </w:tc>
        <w:tc>
          <w:tcPr>
            <w:tcW w:w="4320" w:type="dxa"/>
            <w:vAlign w:val="bottom"/>
          </w:tcPr>
          <w:p>
            <w:pPr>
              <w:ind w:left="160"/>
              <w:spacing w:after="0"/>
              <w:rPr>
                <w:sz w:val="20"/>
                <w:szCs w:val="20"/>
                <w:color w:val="auto"/>
              </w:rPr>
            </w:pPr>
            <w:r>
              <w:rPr>
                <w:rFonts w:ascii="Arial" w:cs="Arial" w:eastAsia="Arial" w:hAnsi="Arial"/>
                <w:sz w:val="14"/>
                <w:szCs w:val="14"/>
                <w:color w:val="auto"/>
              </w:rPr>
              <w:t>any prior determination dates.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418840" cy="1946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8840" cy="1946275"/>
                    </a:xfrm>
                    <a:prstGeom prst="rect">
                      <a:avLst/>
                    </a:prstGeom>
                    <a:noFill/>
                  </pic:spPr>
                </pic:pic>
              </a:graphicData>
            </a:graphic>
          </wp:anchor>
        </w:drawing>
      </w:r>
    </w:p>
    <w:p>
      <w:pPr>
        <w:ind w:left="100"/>
        <w:spacing w:after="0"/>
        <w:tabs>
          <w:tab w:leader="none" w:pos="1220" w:val="left"/>
          <w:tab w:leader="none" w:pos="1360" w:val="left"/>
        </w:tabs>
        <w:rPr>
          <w:sz w:val="20"/>
          <w:szCs w:val="20"/>
          <w:color w:val="auto"/>
        </w:rPr>
      </w:pPr>
      <w:r>
        <w:rPr>
          <w:rFonts w:ascii="Arial" w:cs="Arial" w:eastAsia="Arial" w:hAnsi="Arial"/>
          <w:sz w:val="14"/>
          <w:szCs w:val="14"/>
          <w:b w:val="1"/>
          <w:bCs w:val="1"/>
          <w:color w:val="296DC1"/>
        </w:rPr>
        <w:t>Contingent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If, on any determination date, the closing price of one ETF</w:t>
      </w:r>
    </w:p>
    <w:p>
      <w:pPr>
        <w:spacing w:after="0" w:line="9" w:lineRule="exact"/>
        <w:rPr>
          <w:sz w:val="24"/>
          <w:szCs w:val="24"/>
          <w:color w:val="auto"/>
        </w:rPr>
      </w:pPr>
    </w:p>
    <w:p>
      <w:pPr>
        <w:ind w:left="100"/>
        <w:spacing w:after="0"/>
        <w:tabs>
          <w:tab w:leader="none" w:pos="1380" w:val="left"/>
        </w:tabs>
        <w:rPr>
          <w:sz w:val="20"/>
          <w:szCs w:val="20"/>
          <w:color w:val="auto"/>
        </w:rPr>
      </w:pPr>
      <w:r>
        <w:rPr>
          <w:rFonts w:ascii="Arial" w:cs="Arial" w:eastAsia="Arial" w:hAnsi="Arial"/>
          <w:sz w:val="14"/>
          <w:szCs w:val="14"/>
          <w:b w:val="1"/>
          <w:bCs w:val="1"/>
          <w:color w:val="296DC1"/>
        </w:rPr>
        <w:t>quarterly</w:t>
      </w:r>
      <w:r>
        <w:rPr>
          <w:sz w:val="20"/>
          <w:szCs w:val="20"/>
          <w:color w:val="auto"/>
        </w:rPr>
        <w:tab/>
      </w:r>
      <w:r>
        <w:rPr>
          <w:rFonts w:ascii="Arial" w:cs="Arial" w:eastAsia="Arial" w:hAnsi="Arial"/>
          <w:sz w:val="14"/>
          <w:szCs w:val="14"/>
          <w:color w:val="auto"/>
        </w:rPr>
        <w:t>Share is greater than or equal to the downside threshold level,</w:t>
      </w:r>
    </w:p>
    <w:p>
      <w:pPr>
        <w:ind w:left="1400" w:right="20" w:hanging="1299"/>
        <w:spacing w:after="0" w:line="238" w:lineRule="auto"/>
        <w:tabs>
          <w:tab w:leader="none" w:pos="1380" w:val="left"/>
        </w:tabs>
        <w:rPr>
          <w:sz w:val="20"/>
          <w:szCs w:val="20"/>
          <w:color w:val="auto"/>
        </w:rPr>
      </w:pPr>
      <w:r>
        <w:rPr>
          <w:rFonts w:ascii="Arial" w:cs="Arial" w:eastAsia="Arial" w:hAnsi="Arial"/>
          <w:sz w:val="14"/>
          <w:szCs w:val="14"/>
          <w:b w:val="1"/>
          <w:bCs w:val="1"/>
          <w:color w:val="296DC1"/>
        </w:rPr>
        <w:t>payment:</w:t>
      </w:r>
      <w:r>
        <w:rPr>
          <w:sz w:val="20"/>
          <w:szCs w:val="20"/>
          <w:color w:val="auto"/>
        </w:rPr>
        <w:tab/>
      </w:r>
      <w:r>
        <w:rPr>
          <w:rFonts w:ascii="Arial" w:cs="Arial" w:eastAsia="Arial" w:hAnsi="Arial"/>
          <w:sz w:val="14"/>
          <w:szCs w:val="14"/>
          <w:color w:val="auto"/>
        </w:rPr>
        <w:t xml:space="preserve">we will pay a contingent quarterly payment of at least $34.00 (at least 3.40% of the stated principal amount) per security on the related contingent payment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any previously unpaid contingent quarterly payments with respect to any prior determination dates. The actual contingent quarterly payment will be provided in the pricing supplement. </w:t>
      </w:r>
      <w:r>
        <w:rPr>
          <w:rFonts w:ascii="Arial" w:cs="Arial" w:eastAsia="Arial" w:hAnsi="Arial"/>
          <w:sz w:val="14"/>
          <w:szCs w:val="14"/>
          <w:b w:val="1"/>
          <w:bCs w:val="1"/>
          <w:color w:val="auto"/>
        </w:rPr>
        <w:t>However, even if</w:t>
      </w:r>
      <w:r>
        <w:rPr>
          <w:rFonts w:ascii="Arial" w:cs="Arial" w:eastAsia="Arial" w:hAnsi="Arial"/>
          <w:sz w:val="14"/>
          <w:szCs w:val="14"/>
          <w:color w:val="auto"/>
        </w:rPr>
        <w:t xml:space="preserve"> </w:t>
      </w:r>
      <w:r>
        <w:rPr>
          <w:rFonts w:ascii="Arial" w:cs="Arial" w:eastAsia="Arial" w:hAnsi="Arial"/>
          <w:sz w:val="14"/>
          <w:szCs w:val="14"/>
          <w:b w:val="1"/>
          <w:bCs w:val="1"/>
          <w:color w:val="auto"/>
        </w:rPr>
        <w:t>any unpaid contingent quarterly payment is payable on a later contingent payment date, no additional interest will accrue or be payable in respect of that unpaid contingent quarterly payment.</w:t>
      </w:r>
    </w:p>
    <w:p>
      <w:pPr>
        <w:spacing w:after="0" w:line="3" w:lineRule="exact"/>
        <w:rPr>
          <w:sz w:val="24"/>
          <w:szCs w:val="24"/>
          <w:color w:val="auto"/>
        </w:rPr>
      </w:pPr>
    </w:p>
    <w:p>
      <w:pPr>
        <w:ind w:left="1380" w:right="120" w:hanging="134"/>
        <w:spacing w:after="0" w:line="242" w:lineRule="auto"/>
        <w:tabs>
          <w:tab w:leader="none" w:pos="1378"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If, on any determination date, the closing price of one ETF Share is less than the downside threshold level, no contingent quarterly payment will be made with respect to that determination date. </w:t>
      </w:r>
      <w:r>
        <w:rPr>
          <w:rFonts w:ascii="Arial" w:cs="Arial" w:eastAsia="Arial" w:hAnsi="Arial"/>
          <w:sz w:val="14"/>
          <w:szCs w:val="14"/>
          <w:b w:val="1"/>
          <w:bCs w:val="1"/>
          <w:color w:val="auto"/>
        </w:rPr>
        <w:t>It is possible that the closing price of</w:t>
      </w:r>
      <w:r>
        <w:rPr>
          <w:rFonts w:ascii="Arial" w:cs="Arial" w:eastAsia="Arial" w:hAnsi="Arial"/>
          <w:sz w:val="14"/>
          <w:szCs w:val="14"/>
          <w:color w:val="auto"/>
        </w:rPr>
        <w:t xml:space="preserve"> </w:t>
      </w:r>
      <w:r>
        <w:rPr>
          <w:rFonts w:ascii="Arial" w:cs="Arial" w:eastAsia="Arial" w:hAnsi="Arial"/>
          <w:sz w:val="14"/>
          <w:szCs w:val="14"/>
          <w:b w:val="1"/>
          <w:bCs w:val="1"/>
          <w:color w:val="auto"/>
        </w:rPr>
        <w:t>one ETF Share will be below the downside threshold level on most or all of the determination dates so that you will receive few or no contingent quarterly payments.</w:t>
      </w:r>
    </w:p>
    <w:p>
      <w:pPr>
        <w:spacing w:after="0" w:line="3" w:lineRule="exact"/>
        <w:rPr>
          <w:sz w:val="24"/>
          <w:szCs w:val="24"/>
          <w:color w:val="auto"/>
        </w:rPr>
      </w:pPr>
    </w:p>
    <w:p>
      <w:pPr>
        <w:ind w:left="100"/>
        <w:spacing w:after="0"/>
        <w:tabs>
          <w:tab w:leader="none" w:pos="1220" w:val="left"/>
        </w:tabs>
        <w:rPr>
          <w:sz w:val="20"/>
          <w:szCs w:val="20"/>
          <w:color w:val="auto"/>
        </w:rPr>
      </w:pPr>
      <w:r>
        <w:rPr>
          <w:rFonts w:ascii="Arial" w:cs="Arial" w:eastAsia="Arial" w:hAnsi="Arial"/>
          <w:sz w:val="14"/>
          <w:szCs w:val="14"/>
          <w:b w:val="1"/>
          <w:bCs w:val="1"/>
          <w:color w:val="296DC1"/>
        </w:rPr>
        <w:t>Determination</w:t>
      </w:r>
      <w:r>
        <w:rPr>
          <w:sz w:val="20"/>
          <w:szCs w:val="20"/>
          <w:color w:val="auto"/>
        </w:rPr>
        <w:tab/>
      </w:r>
      <w:r>
        <w:rPr>
          <w:rFonts w:ascii="Arial" w:cs="Arial" w:eastAsia="Arial" w:hAnsi="Arial"/>
          <w:sz w:val="14"/>
          <w:szCs w:val="14"/>
          <w:color w:val="auto"/>
        </w:rPr>
        <w:t>February 9, 2026, May 7, 2026, August 7, 2026, November 9,</w:t>
      </w:r>
    </w:p>
    <w:p>
      <w:pPr>
        <w:ind w:left="1240" w:right="500" w:hanging="1143"/>
        <w:spacing w:after="0" w:line="262" w:lineRule="auto"/>
        <w:tabs>
          <w:tab w:leader="none" w:pos="1220" w:val="left"/>
        </w:tabs>
        <w:rPr>
          <w:sz w:val="20"/>
          <w:szCs w:val="20"/>
          <w:color w:val="auto"/>
        </w:rPr>
      </w:pPr>
      <w:r>
        <w:rPr>
          <w:rFonts w:ascii="Arial" w:cs="Arial" w:eastAsia="Arial" w:hAnsi="Arial"/>
          <w:sz w:val="28"/>
          <w:szCs w:val="28"/>
          <w:b w:val="1"/>
          <w:bCs w:val="1"/>
          <w:color w:val="296DC1"/>
          <w:vertAlign w:val="subscript"/>
        </w:rPr>
        <w:t>dates</w:t>
      </w:r>
      <w:r>
        <w:rPr>
          <w:rFonts w:ascii="Arial" w:cs="Arial" w:eastAsia="Arial" w:hAnsi="Arial"/>
          <w:sz w:val="23"/>
          <w:szCs w:val="23"/>
          <w:b w:val="1"/>
          <w:bCs w:val="1"/>
          <w:color w:val="296DC1"/>
          <w:vertAlign w:val="superscript"/>
        </w:rPr>
        <w:t>†</w:t>
      </w:r>
      <w:r>
        <w:rPr>
          <w:rFonts w:ascii="Arial" w:cs="Arial" w:eastAsia="Arial" w:hAnsi="Arial"/>
          <w:sz w:val="28"/>
          <w:szCs w:val="28"/>
          <w:b w:val="1"/>
          <w:bCs w:val="1"/>
          <w:color w:val="296DC1"/>
          <w:vertAlign w:val="subscript"/>
        </w:rPr>
        <w:t>:</w:t>
      </w:r>
      <w:r>
        <w:rPr>
          <w:sz w:val="20"/>
          <w:szCs w:val="20"/>
          <w:color w:val="auto"/>
        </w:rPr>
        <w:tab/>
      </w:r>
      <w:r>
        <w:rPr>
          <w:rFonts w:ascii="Arial" w:cs="Arial" w:eastAsia="Arial" w:hAnsi="Arial"/>
          <w:sz w:val="14"/>
          <w:szCs w:val="14"/>
          <w:color w:val="auto"/>
        </w:rPr>
        <w:t>2026, February 8, 2027, May 7, 2027, August 9, 2027 and November 8,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418840" cy="338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18840" cy="3384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160" w:type="dxa"/>
            <w:vAlign w:val="bottom"/>
          </w:tcPr>
          <w:p>
            <w:pPr>
              <w:ind w:left="100"/>
              <w:spacing w:after="0" w:line="147" w:lineRule="exact"/>
              <w:rPr>
                <w:sz w:val="20"/>
                <w:szCs w:val="20"/>
                <w:color w:val="auto"/>
              </w:rPr>
            </w:pPr>
            <w:r>
              <w:rPr>
                <w:rFonts w:ascii="Arial" w:cs="Arial" w:eastAsia="Arial" w:hAnsi="Arial"/>
                <w:sz w:val="14"/>
                <w:szCs w:val="14"/>
                <w:b w:val="1"/>
                <w:bCs w:val="1"/>
                <w:color w:val="296DC1"/>
              </w:rPr>
              <w:t>Share</w:t>
            </w:r>
          </w:p>
        </w:tc>
        <w:tc>
          <w:tcPr>
            <w:tcW w:w="4360" w:type="dxa"/>
            <w:vAlign w:val="bottom"/>
            <w:gridSpan w:val="3"/>
          </w:tcPr>
          <w:p>
            <w:pPr>
              <w:spacing w:after="0" w:line="147" w:lineRule="exact"/>
              <w:rPr>
                <w:sz w:val="20"/>
                <w:szCs w:val="20"/>
                <w:color w:val="auto"/>
              </w:rPr>
            </w:pPr>
            <w:r>
              <w:rPr>
                <w:rFonts w:ascii="Arial" w:cs="Arial" w:eastAsia="Arial" w:hAnsi="Arial"/>
                <w:sz w:val="14"/>
                <w:szCs w:val="14"/>
                <w:color w:val="auto"/>
              </w:rPr>
              <w:t>The share adjustment factor is referenced in determining the closing</w:t>
            </w:r>
          </w:p>
        </w:tc>
        <w:tc>
          <w:tcPr>
            <w:tcW w:w="0" w:type="dxa"/>
            <w:vAlign w:val="bottom"/>
          </w:tcPr>
          <w:p>
            <w:pPr>
              <w:spacing w:after="0"/>
              <w:rPr>
                <w:sz w:val="1"/>
                <w:szCs w:val="1"/>
                <w:color w:val="auto"/>
              </w:rPr>
            </w:pPr>
          </w:p>
        </w:tc>
      </w:tr>
      <w:tr>
        <w:trPr>
          <w:trHeight w:val="160"/>
        </w:trPr>
        <w:tc>
          <w:tcPr>
            <w:tcW w:w="116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adjustment</w:t>
            </w:r>
          </w:p>
        </w:tc>
        <w:tc>
          <w:tcPr>
            <w:tcW w:w="4360" w:type="dxa"/>
            <w:vAlign w:val="bottom"/>
            <w:gridSpan w:val="3"/>
          </w:tcPr>
          <w:p>
            <w:pPr>
              <w:spacing w:after="0" w:line="160" w:lineRule="exact"/>
              <w:rPr>
                <w:sz w:val="20"/>
                <w:szCs w:val="20"/>
                <w:color w:val="auto"/>
              </w:rPr>
            </w:pPr>
            <w:r>
              <w:rPr>
                <w:rFonts w:ascii="Arial" w:cs="Arial" w:eastAsia="Arial" w:hAnsi="Arial"/>
                <w:sz w:val="14"/>
                <w:szCs w:val="14"/>
                <w:color w:val="auto"/>
              </w:rPr>
              <w:t>price of one ETF Share and is set initially at 1.0 on the pricing</w:t>
            </w:r>
          </w:p>
        </w:tc>
        <w:tc>
          <w:tcPr>
            <w:tcW w:w="0" w:type="dxa"/>
            <w:vAlign w:val="bottom"/>
          </w:tcPr>
          <w:p>
            <w:pPr>
              <w:spacing w:after="0"/>
              <w:rPr>
                <w:sz w:val="1"/>
                <w:szCs w:val="1"/>
                <w:color w:val="auto"/>
              </w:rPr>
            </w:pPr>
          </w:p>
        </w:tc>
      </w:tr>
      <w:tr>
        <w:trPr>
          <w:trHeight w:val="160"/>
        </w:trPr>
        <w:tc>
          <w:tcPr>
            <w:tcW w:w="116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factor:</w:t>
            </w:r>
          </w:p>
        </w:tc>
        <w:tc>
          <w:tcPr>
            <w:tcW w:w="4360" w:type="dxa"/>
            <w:vAlign w:val="bottom"/>
            <w:gridSpan w:val="3"/>
          </w:tcPr>
          <w:p>
            <w:pPr>
              <w:spacing w:after="0" w:line="160" w:lineRule="exact"/>
              <w:rPr>
                <w:sz w:val="20"/>
                <w:szCs w:val="20"/>
                <w:color w:val="auto"/>
              </w:rPr>
            </w:pPr>
            <w:r>
              <w:rPr>
                <w:rFonts w:ascii="Arial" w:cs="Arial" w:eastAsia="Arial" w:hAnsi="Arial"/>
                <w:sz w:val="14"/>
                <w:szCs w:val="14"/>
                <w:color w:val="auto"/>
              </w:rPr>
              <w:t>date. The share adjustment factor is subject to adjustment in the</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4360" w:type="dxa"/>
            <w:vAlign w:val="bottom"/>
            <w:gridSpan w:val="3"/>
          </w:tcPr>
          <w:p>
            <w:pPr>
              <w:spacing w:after="0" w:line="160" w:lineRule="exact"/>
              <w:rPr>
                <w:sz w:val="20"/>
                <w:szCs w:val="20"/>
                <w:color w:val="auto"/>
              </w:rPr>
            </w:pPr>
            <w:r>
              <w:rPr>
                <w:rFonts w:ascii="Arial" w:cs="Arial" w:eastAsia="Arial" w:hAnsi="Arial"/>
                <w:sz w:val="14"/>
                <w:szCs w:val="14"/>
                <w:color w:val="auto"/>
              </w:rPr>
              <w:t>event of certain events affecting the ETF Shares. See “The</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4360" w:type="dxa"/>
            <w:vAlign w:val="bottom"/>
            <w:gridSpan w:val="3"/>
          </w:tcPr>
          <w:p>
            <w:pPr>
              <w:spacing w:after="0" w:line="160" w:lineRule="exact"/>
              <w:rPr>
                <w:sz w:val="20"/>
                <w:szCs w:val="20"/>
                <w:color w:val="auto"/>
              </w:rPr>
            </w:pPr>
            <w:r>
              <w:rPr>
                <w:rFonts w:ascii="Arial" w:cs="Arial" w:eastAsia="Arial" w:hAnsi="Arial"/>
                <w:sz w:val="14"/>
                <w:szCs w:val="14"/>
                <w:color w:val="auto"/>
              </w:rPr>
              <w:t>Underlyings — Funds — Anti-Dilution Adjustments” in the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360" w:type="dxa"/>
            <w:vAlign w:val="bottom"/>
            <w:gridSpan w:val="3"/>
          </w:tcPr>
          <w:p>
            <w:pPr>
              <w:spacing w:after="0"/>
              <w:rPr>
                <w:sz w:val="20"/>
                <w:szCs w:val="20"/>
                <w:color w:val="auto"/>
              </w:rPr>
            </w:pPr>
            <w:r>
              <w:rPr>
                <w:rFonts w:ascii="Arial" w:cs="Arial" w:eastAsia="Arial" w:hAnsi="Arial"/>
                <w:sz w:val="14"/>
                <w:szCs w:val="14"/>
                <w:color w:val="auto"/>
              </w:rPr>
              <w:t>accompanying product supplement.</w:t>
            </w:r>
          </w:p>
        </w:tc>
        <w:tc>
          <w:tcPr>
            <w:tcW w:w="0" w:type="dxa"/>
            <w:vAlign w:val="bottom"/>
          </w:tcPr>
          <w:p>
            <w:pPr>
              <w:spacing w:after="0"/>
              <w:rPr>
                <w:sz w:val="1"/>
                <w:szCs w:val="1"/>
                <w:color w:val="auto"/>
              </w:rPr>
            </w:pPr>
          </w:p>
        </w:tc>
      </w:tr>
      <w:tr>
        <w:trPr>
          <w:trHeight w:val="151"/>
        </w:trPr>
        <w:tc>
          <w:tcPr>
            <w:tcW w:w="116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Share</w:t>
            </w:r>
          </w:p>
        </w:tc>
        <w:tc>
          <w:tcPr>
            <w:tcW w:w="436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final share price / initial share price</w:t>
            </w:r>
          </w:p>
        </w:tc>
        <w:tc>
          <w:tcPr>
            <w:tcW w:w="0" w:type="dxa"/>
            <w:vAlign w:val="bottom"/>
          </w:tcPr>
          <w:p>
            <w:pPr>
              <w:spacing w:after="0"/>
              <w:rPr>
                <w:sz w:val="1"/>
                <w:szCs w:val="1"/>
                <w:color w:val="auto"/>
              </w:rPr>
            </w:pPr>
          </w:p>
        </w:tc>
      </w:tr>
      <w:tr>
        <w:trPr>
          <w:trHeight w:val="160"/>
        </w:trPr>
        <w:tc>
          <w:tcPr>
            <w:tcW w:w="1160" w:type="dxa"/>
            <w:vAlign w:val="bottom"/>
            <w:shd w:val="clear" w:color="auto" w:fill="DCEBF4"/>
          </w:tcPr>
          <w:p>
            <w:pPr>
              <w:ind w:left="100"/>
              <w:spacing w:after="0" w:line="160" w:lineRule="exact"/>
              <w:rPr>
                <w:sz w:val="20"/>
                <w:szCs w:val="20"/>
                <w:color w:val="auto"/>
              </w:rPr>
            </w:pPr>
            <w:r>
              <w:rPr>
                <w:rFonts w:ascii="Arial" w:cs="Arial" w:eastAsia="Arial" w:hAnsi="Arial"/>
                <w:sz w:val="14"/>
                <w:szCs w:val="14"/>
                <w:b w:val="1"/>
                <w:bCs w:val="1"/>
                <w:color w:val="296DC1"/>
              </w:rPr>
              <w:t>performance</w:t>
            </w:r>
          </w:p>
        </w:tc>
        <w:tc>
          <w:tcPr>
            <w:tcW w:w="1660" w:type="dxa"/>
            <w:vAlign w:val="bottom"/>
            <w:shd w:val="clear" w:color="auto" w:fill="DCEBF4"/>
          </w:tcPr>
          <w:p>
            <w:pPr>
              <w:spacing w:after="0"/>
              <w:rPr>
                <w:sz w:val="13"/>
                <w:szCs w:val="13"/>
                <w:color w:val="auto"/>
              </w:rPr>
            </w:pPr>
          </w:p>
        </w:tc>
        <w:tc>
          <w:tcPr>
            <w:tcW w:w="268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factor:</w:t>
            </w:r>
          </w:p>
        </w:tc>
        <w:tc>
          <w:tcPr>
            <w:tcW w:w="1660" w:type="dxa"/>
            <w:vAlign w:val="bottom"/>
            <w:shd w:val="clear" w:color="auto" w:fill="DCEBF4"/>
          </w:tcPr>
          <w:p>
            <w:pPr>
              <w:spacing w:after="0"/>
              <w:rPr>
                <w:sz w:val="14"/>
                <w:szCs w:val="14"/>
                <w:color w:val="auto"/>
              </w:rPr>
            </w:pPr>
          </w:p>
        </w:tc>
        <w:tc>
          <w:tcPr>
            <w:tcW w:w="268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tcPr>
          <w:p>
            <w:pPr>
              <w:ind w:left="100"/>
              <w:spacing w:after="0" w:line="151" w:lineRule="exact"/>
              <w:rPr>
                <w:sz w:val="20"/>
                <w:szCs w:val="20"/>
                <w:color w:val="auto"/>
              </w:rPr>
            </w:pPr>
            <w:r>
              <w:rPr>
                <w:rFonts w:ascii="Arial" w:cs="Arial" w:eastAsia="Arial" w:hAnsi="Arial"/>
                <w:sz w:val="14"/>
                <w:szCs w:val="14"/>
                <w:b w:val="1"/>
                <w:bCs w:val="1"/>
                <w:color w:val="296DC1"/>
              </w:rPr>
              <w:t>Stated</w:t>
            </w:r>
          </w:p>
        </w:tc>
        <w:tc>
          <w:tcPr>
            <w:tcW w:w="4360" w:type="dxa"/>
            <w:vAlign w:val="bottom"/>
            <w:gridSpan w:val="3"/>
          </w:tcPr>
          <w:p>
            <w:pPr>
              <w:spacing w:after="0" w:line="151" w:lineRule="exact"/>
              <w:rPr>
                <w:sz w:val="20"/>
                <w:szCs w:val="20"/>
                <w:color w:val="auto"/>
              </w:rPr>
            </w:pPr>
            <w:r>
              <w:rPr>
                <w:rFonts w:ascii="Arial" w:cs="Arial" w:eastAsia="Arial" w:hAnsi="Arial"/>
                <w:sz w:val="14"/>
                <w:szCs w:val="14"/>
                <w:color w:val="auto"/>
              </w:rPr>
              <w:t>$1,000 per security</w:t>
            </w:r>
          </w:p>
        </w:tc>
        <w:tc>
          <w:tcPr>
            <w:tcW w:w="0" w:type="dxa"/>
            <w:vAlign w:val="bottom"/>
          </w:tcPr>
          <w:p>
            <w:pPr>
              <w:spacing w:after="0"/>
              <w:rPr>
                <w:sz w:val="1"/>
                <w:szCs w:val="1"/>
                <w:color w:val="auto"/>
              </w:rPr>
            </w:pPr>
          </w:p>
        </w:tc>
      </w:tr>
      <w:tr>
        <w:trPr>
          <w:trHeight w:val="160"/>
        </w:trPr>
        <w:tc>
          <w:tcPr>
            <w:tcW w:w="116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principal</w:t>
            </w:r>
          </w:p>
        </w:tc>
        <w:tc>
          <w:tcPr>
            <w:tcW w:w="16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00"/>
              <w:spacing w:after="0"/>
              <w:rPr>
                <w:sz w:val="20"/>
                <w:szCs w:val="20"/>
                <w:color w:val="auto"/>
              </w:rPr>
            </w:pPr>
            <w:r>
              <w:rPr>
                <w:rFonts w:ascii="Arial" w:cs="Arial" w:eastAsia="Arial" w:hAnsi="Arial"/>
                <w:sz w:val="14"/>
                <w:szCs w:val="14"/>
                <w:b w:val="1"/>
                <w:bCs w:val="1"/>
                <w:color w:val="296DC1"/>
              </w:rPr>
              <w:t>amount:</w:t>
            </w:r>
          </w:p>
        </w:tc>
        <w:tc>
          <w:tcPr>
            <w:tcW w:w="1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DCEBF4"/>
          </w:tcPr>
          <w:p>
            <w:pPr>
              <w:ind w:left="100"/>
              <w:spacing w:after="0" w:line="160" w:lineRule="exact"/>
              <w:rPr>
                <w:sz w:val="20"/>
                <w:szCs w:val="20"/>
                <w:color w:val="auto"/>
              </w:rPr>
            </w:pPr>
            <w:r>
              <w:rPr>
                <w:rFonts w:ascii="Arial" w:cs="Arial" w:eastAsia="Arial" w:hAnsi="Arial"/>
                <w:sz w:val="14"/>
                <w:szCs w:val="14"/>
                <w:b w:val="1"/>
                <w:bCs w:val="1"/>
                <w:color w:val="296DC1"/>
              </w:rPr>
              <w:t>Issue price:</w:t>
            </w:r>
          </w:p>
        </w:tc>
        <w:tc>
          <w:tcPr>
            <w:tcW w:w="4360" w:type="dxa"/>
            <w:vAlign w:val="bottom"/>
            <w:gridSpan w:val="3"/>
            <w:shd w:val="clear" w:color="auto" w:fill="DCEBF4"/>
          </w:tcPr>
          <w:p>
            <w:pPr>
              <w:spacing w:after="0" w:line="160" w:lineRule="exact"/>
              <w:rPr>
                <w:sz w:val="20"/>
                <w:szCs w:val="20"/>
                <w:color w:val="auto"/>
              </w:rPr>
            </w:pPr>
            <w:r>
              <w:rPr>
                <w:rFonts w:ascii="Arial" w:cs="Arial" w:eastAsia="Arial" w:hAnsi="Arial"/>
                <w:sz w:val="14"/>
                <w:szCs w:val="14"/>
                <w:color w:val="auto"/>
              </w:rPr>
              <w:t>$1,000 per security</w:t>
            </w:r>
          </w:p>
        </w:tc>
        <w:tc>
          <w:tcPr>
            <w:tcW w:w="0" w:type="dxa"/>
            <w:vAlign w:val="bottom"/>
          </w:tcPr>
          <w:p>
            <w:pPr>
              <w:spacing w:after="0"/>
              <w:rPr>
                <w:sz w:val="1"/>
                <w:szCs w:val="1"/>
                <w:color w:val="auto"/>
              </w:rPr>
            </w:pPr>
          </w:p>
        </w:tc>
      </w:tr>
      <w:tr>
        <w:trPr>
          <w:trHeight w:val="160"/>
        </w:trPr>
        <w:tc>
          <w:tcPr>
            <w:tcW w:w="1160" w:type="dxa"/>
            <w:vAlign w:val="bottom"/>
          </w:tcPr>
          <w:p>
            <w:pPr>
              <w:ind w:left="100"/>
              <w:spacing w:after="0" w:line="160" w:lineRule="exact"/>
              <w:rPr>
                <w:sz w:val="20"/>
                <w:szCs w:val="20"/>
                <w:color w:val="auto"/>
              </w:rPr>
            </w:pPr>
            <w:r>
              <w:rPr>
                <w:rFonts w:ascii="Arial" w:cs="Arial" w:eastAsia="Arial" w:hAnsi="Arial"/>
                <w:sz w:val="14"/>
                <w:szCs w:val="14"/>
                <w:b w:val="1"/>
                <w:bCs w:val="1"/>
                <w:color w:val="296DC1"/>
              </w:rPr>
              <w:t>Pricing date:</w:t>
            </w:r>
          </w:p>
        </w:tc>
        <w:tc>
          <w:tcPr>
            <w:tcW w:w="4360" w:type="dxa"/>
            <w:vAlign w:val="bottom"/>
            <w:gridSpan w:val="3"/>
          </w:tcPr>
          <w:p>
            <w:pPr>
              <w:spacing w:after="0" w:line="160" w:lineRule="exact"/>
              <w:rPr>
                <w:sz w:val="20"/>
                <w:szCs w:val="20"/>
                <w:color w:val="auto"/>
              </w:rPr>
            </w:pPr>
            <w:r>
              <w:rPr>
                <w:rFonts w:ascii="Arial" w:cs="Arial" w:eastAsia="Arial" w:hAnsi="Arial"/>
                <w:sz w:val="14"/>
                <w:szCs w:val="14"/>
                <w:color w:val="auto"/>
              </w:rPr>
              <w:t>Expected to be November 7, 2025</w:t>
            </w:r>
          </w:p>
        </w:tc>
        <w:tc>
          <w:tcPr>
            <w:tcW w:w="0" w:type="dxa"/>
            <w:vAlign w:val="bottom"/>
          </w:tcPr>
          <w:p>
            <w:pPr>
              <w:spacing w:after="0"/>
              <w:rPr>
                <w:sz w:val="1"/>
                <w:szCs w:val="1"/>
                <w:color w:val="auto"/>
              </w:rPr>
            </w:pPr>
          </w:p>
        </w:tc>
      </w:tr>
      <w:tr>
        <w:trPr>
          <w:trHeight w:val="151"/>
        </w:trPr>
        <w:tc>
          <w:tcPr>
            <w:tcW w:w="116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Original</w:t>
            </w:r>
          </w:p>
        </w:tc>
        <w:tc>
          <w:tcPr>
            <w:tcW w:w="4360" w:type="dxa"/>
            <w:vAlign w:val="bottom"/>
            <w:gridSpan w:val="3"/>
            <w:shd w:val="clear" w:color="auto" w:fill="DCEBF4"/>
          </w:tcPr>
          <w:p>
            <w:pPr>
              <w:spacing w:after="0" w:line="151" w:lineRule="exact"/>
              <w:rPr>
                <w:sz w:val="20"/>
                <w:szCs w:val="20"/>
                <w:color w:val="auto"/>
              </w:rPr>
            </w:pPr>
            <w:r>
              <w:rPr>
                <w:rFonts w:ascii="Arial" w:cs="Arial" w:eastAsia="Arial" w:hAnsi="Arial"/>
                <w:sz w:val="14"/>
                <w:szCs w:val="14"/>
                <w:color w:val="auto"/>
              </w:rPr>
              <w:t>3 business days after the pricing date</w:t>
            </w:r>
          </w:p>
        </w:tc>
        <w:tc>
          <w:tcPr>
            <w:tcW w:w="0" w:type="dxa"/>
            <w:vAlign w:val="bottom"/>
          </w:tcPr>
          <w:p>
            <w:pPr>
              <w:spacing w:after="0"/>
              <w:rPr>
                <w:sz w:val="1"/>
                <w:szCs w:val="1"/>
                <w:color w:val="auto"/>
              </w:rPr>
            </w:pPr>
          </w:p>
        </w:tc>
      </w:tr>
      <w:tr>
        <w:trPr>
          <w:trHeight w:val="160"/>
        </w:trPr>
        <w:tc>
          <w:tcPr>
            <w:tcW w:w="1160" w:type="dxa"/>
            <w:vAlign w:val="bottom"/>
            <w:shd w:val="clear" w:color="auto" w:fill="DCEBF4"/>
          </w:tcPr>
          <w:p>
            <w:pPr>
              <w:ind w:left="100"/>
              <w:spacing w:after="0" w:line="160" w:lineRule="exact"/>
              <w:rPr>
                <w:sz w:val="20"/>
                <w:szCs w:val="20"/>
                <w:color w:val="auto"/>
              </w:rPr>
            </w:pPr>
            <w:r>
              <w:rPr>
                <w:rFonts w:ascii="Arial" w:cs="Arial" w:eastAsia="Arial" w:hAnsi="Arial"/>
                <w:sz w:val="14"/>
                <w:szCs w:val="14"/>
                <w:b w:val="1"/>
                <w:bCs w:val="1"/>
                <w:color w:val="296DC1"/>
              </w:rPr>
              <w:t>issue date</w:t>
            </w:r>
          </w:p>
        </w:tc>
        <w:tc>
          <w:tcPr>
            <w:tcW w:w="1660" w:type="dxa"/>
            <w:vAlign w:val="bottom"/>
            <w:shd w:val="clear" w:color="auto" w:fill="DCEBF4"/>
          </w:tcPr>
          <w:p>
            <w:pPr>
              <w:spacing w:after="0"/>
              <w:rPr>
                <w:sz w:val="13"/>
                <w:szCs w:val="13"/>
                <w:color w:val="auto"/>
              </w:rPr>
            </w:pPr>
          </w:p>
        </w:tc>
        <w:tc>
          <w:tcPr>
            <w:tcW w:w="268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DCEBF4"/>
          </w:tcPr>
          <w:p>
            <w:pPr>
              <w:ind w:left="100"/>
              <w:spacing w:after="0" w:line="160" w:lineRule="exact"/>
              <w:rPr>
                <w:sz w:val="20"/>
                <w:szCs w:val="20"/>
                <w:color w:val="auto"/>
              </w:rPr>
            </w:pPr>
            <w:r>
              <w:rPr>
                <w:rFonts w:ascii="Arial" w:cs="Arial" w:eastAsia="Arial" w:hAnsi="Arial"/>
                <w:sz w:val="14"/>
                <w:szCs w:val="14"/>
                <w:b w:val="1"/>
                <w:bCs w:val="1"/>
                <w:color w:val="296DC1"/>
              </w:rPr>
              <w:t>(settlement</w:t>
            </w:r>
          </w:p>
        </w:tc>
        <w:tc>
          <w:tcPr>
            <w:tcW w:w="1660" w:type="dxa"/>
            <w:vAlign w:val="bottom"/>
            <w:shd w:val="clear" w:color="auto" w:fill="DCEBF4"/>
          </w:tcPr>
          <w:p>
            <w:pPr>
              <w:spacing w:after="0"/>
              <w:rPr>
                <w:sz w:val="13"/>
                <w:szCs w:val="13"/>
                <w:color w:val="auto"/>
              </w:rPr>
            </w:pPr>
          </w:p>
        </w:tc>
        <w:tc>
          <w:tcPr>
            <w:tcW w:w="2680" w:type="dxa"/>
            <w:vAlign w:val="bottom"/>
            <w:shd w:val="clear" w:color="auto" w:fill="DCEBF4"/>
          </w:tcPr>
          <w:p>
            <w:pPr>
              <w:spacing w:after="0"/>
              <w:rPr>
                <w:sz w:val="13"/>
                <w:szCs w:val="13"/>
                <w:color w:val="auto"/>
              </w:rPr>
            </w:pPr>
          </w:p>
        </w:tc>
        <w:tc>
          <w:tcPr>
            <w:tcW w:w="2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1660" w:type="dxa"/>
            <w:vAlign w:val="bottom"/>
            <w:shd w:val="clear" w:color="auto" w:fill="DCEBF4"/>
          </w:tcPr>
          <w:p>
            <w:pPr>
              <w:spacing w:after="0"/>
              <w:rPr>
                <w:sz w:val="14"/>
                <w:szCs w:val="14"/>
                <w:color w:val="auto"/>
              </w:rPr>
            </w:pPr>
          </w:p>
        </w:tc>
        <w:tc>
          <w:tcPr>
            <w:tcW w:w="2680" w:type="dxa"/>
            <w:vAlign w:val="bottom"/>
            <w:shd w:val="clear" w:color="auto" w:fill="DCEBF4"/>
          </w:tcPr>
          <w:p>
            <w:pPr>
              <w:spacing w:after="0"/>
              <w:rPr>
                <w:sz w:val="14"/>
                <w:szCs w:val="14"/>
                <w:color w:val="auto"/>
              </w:rPr>
            </w:pPr>
          </w:p>
        </w:tc>
        <w:tc>
          <w:tcPr>
            <w:tcW w:w="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60" w:type="dxa"/>
            <w:vAlign w:val="bottom"/>
          </w:tcPr>
          <w:p>
            <w:pPr>
              <w:ind w:left="100"/>
              <w:spacing w:after="0" w:line="147" w:lineRule="exact"/>
              <w:rPr>
                <w:sz w:val="20"/>
                <w:szCs w:val="20"/>
                <w:color w:val="auto"/>
              </w:rPr>
            </w:pPr>
            <w:r>
              <w:rPr>
                <w:rFonts w:ascii="Arial" w:cs="Arial" w:eastAsia="Arial" w:hAnsi="Arial"/>
                <w:sz w:val="14"/>
                <w:szCs w:val="14"/>
                <w:b w:val="1"/>
                <w:bCs w:val="1"/>
                <w:color w:val="296DC1"/>
              </w:rPr>
              <w:t>Maturity</w:t>
            </w:r>
          </w:p>
        </w:tc>
        <w:tc>
          <w:tcPr>
            <w:tcW w:w="4360" w:type="dxa"/>
            <w:vAlign w:val="bottom"/>
            <w:gridSpan w:val="3"/>
          </w:tcPr>
          <w:p>
            <w:pPr>
              <w:spacing w:after="0" w:line="147" w:lineRule="exact"/>
              <w:rPr>
                <w:sz w:val="20"/>
                <w:szCs w:val="20"/>
                <w:color w:val="auto"/>
              </w:rPr>
            </w:pPr>
            <w:r>
              <w:rPr>
                <w:rFonts w:ascii="Arial" w:cs="Arial" w:eastAsia="Arial" w:hAnsi="Arial"/>
                <w:sz w:val="14"/>
                <w:szCs w:val="14"/>
                <w:color w:val="auto"/>
              </w:rPr>
              <w:t>November 12, 2027</w:t>
            </w:r>
          </w:p>
        </w:tc>
        <w:tc>
          <w:tcPr>
            <w:tcW w:w="0" w:type="dxa"/>
            <w:vAlign w:val="bottom"/>
          </w:tcPr>
          <w:p>
            <w:pPr>
              <w:spacing w:after="0"/>
              <w:rPr>
                <w:sz w:val="1"/>
                <w:szCs w:val="1"/>
                <w:color w:val="auto"/>
              </w:rPr>
            </w:pPr>
          </w:p>
        </w:tc>
      </w:tr>
      <w:tr>
        <w:trPr>
          <w:trHeight w:val="199"/>
        </w:trPr>
        <w:tc>
          <w:tcPr>
            <w:tcW w:w="1160" w:type="dxa"/>
            <w:vAlign w:val="bottom"/>
          </w:tcPr>
          <w:p>
            <w:pPr>
              <w:ind w:left="100"/>
              <w:spacing w:after="0" w:line="199" w:lineRule="exact"/>
              <w:rPr>
                <w:sz w:val="20"/>
                <w:szCs w:val="20"/>
                <w:color w:val="auto"/>
              </w:rPr>
            </w:pPr>
            <w:r>
              <w:rPr>
                <w:rFonts w:ascii="Arial" w:cs="Arial" w:eastAsia="Arial" w:hAnsi="Arial"/>
                <w:sz w:val="14"/>
                <w:szCs w:val="14"/>
                <w:b w:val="1"/>
                <w:bCs w:val="1"/>
                <w:color w:val="296DC1"/>
              </w:rPr>
              <w:t>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1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6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CUSIP /</w:t>
            </w:r>
          </w:p>
        </w:tc>
        <w:tc>
          <w:tcPr>
            <w:tcW w:w="4360" w:type="dxa"/>
            <w:vAlign w:val="bottom"/>
            <w:gridSpan w:val="3"/>
            <w:vMerge w:val="restart"/>
            <w:shd w:val="clear" w:color="auto" w:fill="DCEBF4"/>
          </w:tcPr>
          <w:p>
            <w:pPr>
              <w:spacing w:after="0"/>
              <w:rPr>
                <w:sz w:val="20"/>
                <w:szCs w:val="20"/>
                <w:color w:val="auto"/>
              </w:rPr>
            </w:pPr>
            <w:r>
              <w:rPr>
                <w:rFonts w:ascii="Arial" w:cs="Arial" w:eastAsia="Arial" w:hAnsi="Arial"/>
                <w:sz w:val="14"/>
                <w:szCs w:val="14"/>
                <w:color w:val="auto"/>
              </w:rPr>
              <w:t xml:space="preserve">48136JGW8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US48136JGW80</w:t>
            </w:r>
          </w:p>
        </w:tc>
        <w:tc>
          <w:tcPr>
            <w:tcW w:w="0" w:type="dxa"/>
            <w:vAlign w:val="bottom"/>
          </w:tcPr>
          <w:p>
            <w:pPr>
              <w:spacing w:after="0"/>
              <w:rPr>
                <w:sz w:val="1"/>
                <w:szCs w:val="1"/>
                <w:color w:val="auto"/>
              </w:rPr>
            </w:pPr>
          </w:p>
        </w:tc>
      </w:tr>
      <w:tr>
        <w:trPr>
          <w:trHeight w:val="109"/>
        </w:trPr>
        <w:tc>
          <w:tcPr>
            <w:tcW w:w="1160" w:type="dxa"/>
            <w:vAlign w:val="bottom"/>
            <w:vMerge w:val="restart"/>
            <w:shd w:val="clear" w:color="auto" w:fill="DCEBF4"/>
          </w:tcPr>
          <w:p>
            <w:pPr>
              <w:ind w:left="100"/>
              <w:spacing w:after="0"/>
              <w:rPr>
                <w:sz w:val="20"/>
                <w:szCs w:val="20"/>
                <w:color w:val="auto"/>
              </w:rPr>
            </w:pPr>
            <w:r>
              <w:rPr>
                <w:rFonts w:ascii="Arial" w:cs="Arial" w:eastAsia="Arial" w:hAnsi="Arial"/>
                <w:sz w:val="14"/>
                <w:szCs w:val="14"/>
                <w:b w:val="1"/>
                <w:bCs w:val="1"/>
                <w:color w:val="296DC1"/>
              </w:rPr>
              <w:t>ISIN:</w:t>
            </w:r>
          </w:p>
        </w:tc>
        <w:tc>
          <w:tcPr>
            <w:tcW w:w="4360" w:type="dxa"/>
            <w:vAlign w:val="bottom"/>
            <w:gridSpan w:val="3"/>
            <w:vMerge w:val="continue"/>
            <w:shd w:val="clear" w:color="auto" w:fill="DCEBF4"/>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vMerge w:val="continue"/>
            <w:shd w:val="clear" w:color="auto" w:fill="DCEBF4"/>
          </w:tcPr>
          <w:p>
            <w:pPr>
              <w:spacing w:after="0"/>
              <w:rPr>
                <w:sz w:val="5"/>
                <w:szCs w:val="5"/>
                <w:color w:val="auto"/>
              </w:rPr>
            </w:pPr>
          </w:p>
        </w:tc>
        <w:tc>
          <w:tcPr>
            <w:tcW w:w="1660" w:type="dxa"/>
            <w:vAlign w:val="bottom"/>
            <w:shd w:val="clear" w:color="auto" w:fill="DCEBF4"/>
          </w:tcPr>
          <w:p>
            <w:pPr>
              <w:spacing w:after="0"/>
              <w:rPr>
                <w:sz w:val="5"/>
                <w:szCs w:val="5"/>
                <w:color w:val="auto"/>
              </w:rPr>
            </w:pPr>
          </w:p>
        </w:tc>
        <w:tc>
          <w:tcPr>
            <w:tcW w:w="2680" w:type="dxa"/>
            <w:vAlign w:val="bottom"/>
            <w:shd w:val="clear" w:color="auto" w:fill="DCEBF4"/>
          </w:tcPr>
          <w:p>
            <w:pPr>
              <w:spacing w:after="0"/>
              <w:rPr>
                <w:sz w:val="5"/>
                <w:szCs w:val="5"/>
                <w:color w:val="auto"/>
              </w:rPr>
            </w:pPr>
          </w:p>
        </w:tc>
        <w:tc>
          <w:tcPr>
            <w:tcW w:w="20" w:type="dxa"/>
            <w:vAlign w:val="bottom"/>
            <w:shd w:val="clear" w:color="auto" w:fill="DCEBF4"/>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60" w:type="dxa"/>
            <w:vAlign w:val="bottom"/>
          </w:tcPr>
          <w:p>
            <w:pPr>
              <w:ind w:left="100"/>
              <w:spacing w:after="0" w:line="147" w:lineRule="exact"/>
              <w:rPr>
                <w:sz w:val="20"/>
                <w:szCs w:val="20"/>
                <w:color w:val="auto"/>
              </w:rPr>
            </w:pPr>
            <w:r>
              <w:rPr>
                <w:rFonts w:ascii="Arial" w:cs="Arial" w:eastAsia="Arial" w:hAnsi="Arial"/>
                <w:sz w:val="14"/>
                <w:szCs w:val="14"/>
                <w:b w:val="1"/>
                <w:bCs w:val="1"/>
                <w:color w:val="296DC1"/>
              </w:rPr>
              <w:t>Preliminary</w:t>
            </w:r>
          </w:p>
        </w:tc>
        <w:tc>
          <w:tcPr>
            <w:tcW w:w="4360" w:type="dxa"/>
            <w:vAlign w:val="bottom"/>
            <w:gridSpan w:val="3"/>
          </w:tcPr>
          <w:p>
            <w:pPr>
              <w:spacing w:after="0" w:line="147" w:lineRule="exact"/>
              <w:rPr>
                <w:rFonts w:ascii="Arial" w:cs="Arial" w:eastAsia="Arial" w:hAnsi="Arial"/>
                <w:sz w:val="14"/>
                <w:szCs w:val="14"/>
                <w:color w:val="0000EE"/>
              </w:rPr>
            </w:pPr>
            <w:hyperlink r:id="rId12">
              <w:r>
                <w:rPr>
                  <w:rFonts w:ascii="Arial" w:cs="Arial" w:eastAsia="Arial" w:hAnsi="Arial"/>
                  <w:sz w:val="14"/>
                  <w:szCs w:val="14"/>
                  <w:color w:val="0000EE"/>
                </w:rPr>
                <w:t>http://www.sec.gov/Archives/edgar/data/19617/00012139002510362</w:t>
              </w:r>
            </w:hyperlink>
          </w:p>
        </w:tc>
        <w:tc>
          <w:tcPr>
            <w:tcW w:w="0" w:type="dxa"/>
            <w:vAlign w:val="bottom"/>
          </w:tcPr>
          <w:p>
            <w:pPr>
              <w:spacing w:after="0"/>
              <w:rPr>
                <w:sz w:val="1"/>
                <w:szCs w:val="1"/>
                <w:color w:val="auto"/>
              </w:rPr>
            </w:pPr>
          </w:p>
        </w:tc>
      </w:tr>
      <w:tr>
        <w:trPr>
          <w:trHeight w:val="140"/>
        </w:trPr>
        <w:tc>
          <w:tcPr>
            <w:tcW w:w="1160" w:type="dxa"/>
            <w:vAlign w:val="bottom"/>
          </w:tcPr>
          <w:p>
            <w:pPr>
              <w:ind w:left="100"/>
              <w:spacing w:after="0" w:line="140" w:lineRule="exact"/>
              <w:rPr>
                <w:sz w:val="20"/>
                <w:szCs w:val="20"/>
                <w:color w:val="auto"/>
              </w:rPr>
            </w:pPr>
            <w:r>
              <w:rPr>
                <w:rFonts w:ascii="Arial" w:cs="Arial" w:eastAsia="Arial" w:hAnsi="Arial"/>
                <w:sz w:val="14"/>
                <w:szCs w:val="14"/>
                <w:b w:val="1"/>
                <w:bCs w:val="1"/>
                <w:color w:val="296DC1"/>
              </w:rPr>
              <w:t>pricing</w:t>
            </w:r>
          </w:p>
        </w:tc>
        <w:tc>
          <w:tcPr>
            <w:tcW w:w="4340" w:type="dxa"/>
            <w:vAlign w:val="bottom"/>
            <w:tcBorders>
              <w:top w:val="single" w:sz="8" w:color="0000EE"/>
            </w:tcBorders>
            <w:gridSpan w:val="2"/>
          </w:tcPr>
          <w:p>
            <w:pPr>
              <w:spacing w:after="0" w:line="140" w:lineRule="exact"/>
              <w:rPr>
                <w:rFonts w:ascii="Arial" w:cs="Arial" w:eastAsia="Arial" w:hAnsi="Arial"/>
                <w:sz w:val="14"/>
                <w:szCs w:val="14"/>
                <w:color w:val="0000EE"/>
              </w:rPr>
            </w:pPr>
            <w:hyperlink r:id="rId12">
              <w:r>
                <w:rPr>
                  <w:rFonts w:ascii="Arial" w:cs="Arial" w:eastAsia="Arial" w:hAnsi="Arial"/>
                  <w:sz w:val="14"/>
                  <w:szCs w:val="14"/>
                  <w:color w:val="0000EE"/>
                </w:rPr>
                <w:t>ea0263051-01_424b2.htm</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supplement:</w:t>
            </w:r>
          </w:p>
        </w:tc>
        <w:tc>
          <w:tcPr>
            <w:tcW w:w="1660" w:type="dxa"/>
            <w:vAlign w:val="bottom"/>
            <w:tcBorders>
              <w:top w:val="single" w:sz="8" w:color="0000EE"/>
            </w:tcBorders>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7"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 or early acceleration</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The estimated value of the securities on the pricing date will be provided in the pricing supplement and will not be less than $910.00 per $1,000 stated principal amount security. For information about the estimated value of the securities, which likely will be lower than the price you paid for the securities, please see the hyperlink above.</w:t>
      </w:r>
    </w:p>
    <w:p>
      <w:pPr>
        <w:spacing w:after="0" w:line="1" w:lineRule="exact"/>
        <w:rPr>
          <w:sz w:val="20"/>
          <w:szCs w:val="20"/>
          <w:color w:val="auto"/>
        </w:rPr>
      </w:pPr>
    </w:p>
    <w:p>
      <w:pPr>
        <w:ind w:right="520"/>
        <w:spacing w:after="0" w:line="246" w:lineRule="auto"/>
        <w:rPr>
          <w:sz w:val="20"/>
          <w:szCs w:val="20"/>
          <w:color w:val="auto"/>
        </w:rPr>
      </w:pPr>
      <w:r>
        <w:rPr>
          <w:rFonts w:ascii="Arial" w:cs="Arial" w:eastAsia="Arial" w:hAnsi="Arial"/>
          <w:sz w:val="16"/>
          <w:szCs w:val="16"/>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3418840" cy="558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18840" cy="55880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FFFFFF"/>
        </w:rPr>
        <w:t>Hypothetical Payout at Maturity</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FFFFFF"/>
        </w:rPr>
        <w:t>(if the securities have not previously been redeemed)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880" w:type="dxa"/>
            <w:vAlign w:val="bottom"/>
          </w:tcPr>
          <w:p>
            <w:pPr>
              <w:jc w:val="center"/>
              <w:ind w:left="230"/>
              <w:spacing w:after="0"/>
              <w:rPr>
                <w:sz w:val="20"/>
                <w:szCs w:val="20"/>
                <w:color w:val="auto"/>
              </w:rPr>
            </w:pPr>
            <w:r>
              <w:rPr>
                <w:rFonts w:ascii="Arial" w:cs="Arial" w:eastAsia="Arial" w:hAnsi="Arial"/>
                <w:sz w:val="14"/>
                <w:szCs w:val="14"/>
                <w:b w:val="1"/>
                <w:bCs w:val="1"/>
                <w:color w:val="FFFFFF"/>
              </w:rPr>
              <w:t>Payment at Maturity (excluding any</w:t>
            </w:r>
          </w:p>
        </w:tc>
      </w:tr>
      <w:tr>
        <w:trPr>
          <w:trHeight w:val="160"/>
        </w:trPr>
        <w:tc>
          <w:tcPr>
            <w:tcW w:w="2500" w:type="dxa"/>
            <w:vAlign w:val="bottom"/>
          </w:tcPr>
          <w:p>
            <w:pPr>
              <w:jc w:val="center"/>
              <w:ind w:left="250"/>
              <w:spacing w:after="0" w:line="160" w:lineRule="exact"/>
              <w:rPr>
                <w:sz w:val="20"/>
                <w:szCs w:val="20"/>
                <w:color w:val="auto"/>
              </w:rPr>
            </w:pPr>
            <w:r>
              <w:rPr>
                <w:rFonts w:ascii="Arial" w:cs="Arial" w:eastAsia="Arial" w:hAnsi="Arial"/>
                <w:sz w:val="14"/>
                <w:szCs w:val="14"/>
                <w:b w:val="1"/>
                <w:bCs w:val="1"/>
                <w:color w:val="FFFFFF"/>
              </w:rPr>
              <w:t>Change in ETF Shares</w:t>
            </w:r>
          </w:p>
        </w:tc>
        <w:tc>
          <w:tcPr>
            <w:tcW w:w="2880" w:type="dxa"/>
            <w:vAlign w:val="bottom"/>
          </w:tcPr>
          <w:p>
            <w:pPr>
              <w:jc w:val="center"/>
              <w:ind w:left="250"/>
              <w:spacing w:after="0" w:line="160" w:lineRule="exact"/>
              <w:rPr>
                <w:sz w:val="20"/>
                <w:szCs w:val="20"/>
                <w:color w:val="auto"/>
              </w:rPr>
            </w:pPr>
            <w:r>
              <w:rPr>
                <w:rFonts w:ascii="Arial" w:cs="Arial" w:eastAsia="Arial" w:hAnsi="Arial"/>
                <w:sz w:val="14"/>
                <w:szCs w:val="14"/>
                <w:b w:val="1"/>
                <w:bCs w:val="1"/>
                <w:color w:val="FFFFFF"/>
              </w:rPr>
              <w:t>contingent quarterly payment payable</w:t>
            </w:r>
          </w:p>
        </w:tc>
      </w:tr>
      <w:tr>
        <w:trPr>
          <w:trHeight w:val="183"/>
        </w:trPr>
        <w:tc>
          <w:tcPr>
            <w:tcW w:w="2500" w:type="dxa"/>
            <w:vAlign w:val="bottom"/>
          </w:tcPr>
          <w:p>
            <w:pPr>
              <w:spacing w:after="0"/>
              <w:rPr>
                <w:sz w:val="15"/>
                <w:szCs w:val="15"/>
                <w:color w:val="auto"/>
              </w:rPr>
            </w:pPr>
          </w:p>
        </w:tc>
        <w:tc>
          <w:tcPr>
            <w:tcW w:w="2880" w:type="dxa"/>
            <w:vAlign w:val="bottom"/>
          </w:tcPr>
          <w:p>
            <w:pPr>
              <w:jc w:val="center"/>
              <w:ind w:left="270"/>
              <w:spacing w:after="0"/>
              <w:rPr>
                <w:sz w:val="20"/>
                <w:szCs w:val="20"/>
                <w:color w:val="auto"/>
              </w:rPr>
            </w:pPr>
            <w:r>
              <w:rPr>
                <w:rFonts w:ascii="Arial" w:cs="Arial" w:eastAsia="Arial" w:hAnsi="Arial"/>
                <w:sz w:val="14"/>
                <w:szCs w:val="14"/>
                <w:b w:val="1"/>
                <w:bCs w:val="1"/>
                <w:color w:val="FFFFFF"/>
              </w:rPr>
              <w:t>at maturity)</w:t>
            </w:r>
          </w:p>
        </w:tc>
      </w:tr>
      <w:tr>
        <w:trPr>
          <w:trHeight w:val="213"/>
        </w:trPr>
        <w:tc>
          <w:tcPr>
            <w:tcW w:w="2500" w:type="dxa"/>
            <w:vAlign w:val="bottom"/>
            <w:shd w:val="clear" w:color="auto" w:fill="D9D9D9"/>
          </w:tcPr>
          <w:p>
            <w:pPr>
              <w:jc w:val="center"/>
              <w:ind w:left="270"/>
              <w:spacing w:after="0"/>
              <w:rPr>
                <w:sz w:val="20"/>
                <w:szCs w:val="20"/>
                <w:color w:val="auto"/>
              </w:rPr>
            </w:pPr>
            <w:r>
              <w:rPr>
                <w:rFonts w:ascii="Arial" w:cs="Arial" w:eastAsia="Arial" w:hAnsi="Arial"/>
                <w:sz w:val="14"/>
                <w:szCs w:val="14"/>
                <w:color w:val="auto"/>
              </w:rPr>
              <w:t>50.00%</w:t>
            </w:r>
          </w:p>
        </w:tc>
        <w:tc>
          <w:tcPr>
            <w:tcW w:w="2880" w:type="dxa"/>
            <w:vAlign w:val="bottom"/>
            <w:shd w:val="clear" w:color="auto" w:fill="D9D9D9"/>
          </w:tcPr>
          <w:p>
            <w:pPr>
              <w:jc w:val="center"/>
              <w:ind w:left="270"/>
              <w:spacing w:after="0"/>
              <w:rPr>
                <w:sz w:val="20"/>
                <w:szCs w:val="20"/>
                <w:color w:val="auto"/>
              </w:rPr>
            </w:pPr>
            <w:r>
              <w:rPr>
                <w:rFonts w:ascii="Arial" w:cs="Arial" w:eastAsia="Arial" w:hAnsi="Arial"/>
                <w:sz w:val="14"/>
                <w:szCs w:val="14"/>
                <w:color w:val="auto"/>
                <w:w w:val="99"/>
              </w:rPr>
              <w:t>$1,000.00</w:t>
            </w:r>
          </w:p>
        </w:tc>
      </w:tr>
      <w:tr>
        <w:trPr>
          <w:trHeight w:val="206"/>
        </w:trPr>
        <w:tc>
          <w:tcPr>
            <w:tcW w:w="2500" w:type="dxa"/>
            <w:vAlign w:val="bottom"/>
          </w:tcPr>
          <w:p>
            <w:pPr>
              <w:jc w:val="center"/>
              <w:ind w:left="270"/>
              <w:spacing w:after="0"/>
              <w:rPr>
                <w:sz w:val="20"/>
                <w:szCs w:val="20"/>
                <w:color w:val="auto"/>
              </w:rPr>
            </w:pPr>
            <w:r>
              <w:rPr>
                <w:rFonts w:ascii="Arial" w:cs="Arial" w:eastAsia="Arial" w:hAnsi="Arial"/>
                <w:sz w:val="14"/>
                <w:szCs w:val="14"/>
                <w:color w:val="auto"/>
              </w:rPr>
              <w:t>40.00%</w:t>
            </w:r>
          </w:p>
        </w:tc>
        <w:tc>
          <w:tcPr>
            <w:tcW w:w="2880" w:type="dxa"/>
            <w:vAlign w:val="bottom"/>
          </w:tcPr>
          <w:p>
            <w:pPr>
              <w:jc w:val="center"/>
              <w:ind w:left="270"/>
              <w:spacing w:after="0"/>
              <w:rPr>
                <w:sz w:val="20"/>
                <w:szCs w:val="20"/>
                <w:color w:val="auto"/>
              </w:rPr>
            </w:pPr>
            <w:r>
              <w:rPr>
                <w:rFonts w:ascii="Arial" w:cs="Arial" w:eastAsia="Arial" w:hAnsi="Arial"/>
                <w:sz w:val="14"/>
                <w:szCs w:val="14"/>
                <w:color w:val="auto"/>
                <w:w w:val="99"/>
              </w:rPr>
              <w:t>$1,000.00</w:t>
            </w:r>
          </w:p>
        </w:tc>
      </w:tr>
      <w:tr>
        <w:trPr>
          <w:trHeight w:val="119"/>
        </w:trPr>
        <w:tc>
          <w:tcPr>
            <w:tcW w:w="2500" w:type="dxa"/>
            <w:vAlign w:val="bottom"/>
          </w:tcPr>
          <w:p>
            <w:pPr>
              <w:jc w:val="center"/>
              <w:ind w:left="270"/>
              <w:spacing w:after="0" w:line="119" w:lineRule="exact"/>
              <w:rPr>
                <w:sz w:val="20"/>
                <w:szCs w:val="20"/>
                <w:color w:val="auto"/>
              </w:rPr>
            </w:pPr>
            <w:r>
              <w:rPr>
                <w:rFonts w:ascii="Arial" w:cs="Arial" w:eastAsia="Arial" w:hAnsi="Arial"/>
                <w:sz w:val="13"/>
                <w:szCs w:val="13"/>
                <w:color w:val="auto"/>
              </w:rPr>
              <w:t>30.00%</w:t>
            </w:r>
          </w:p>
        </w:tc>
        <w:tc>
          <w:tcPr>
            <w:tcW w:w="2880" w:type="dxa"/>
            <w:vAlign w:val="bottom"/>
          </w:tcPr>
          <w:p>
            <w:pPr>
              <w:jc w:val="center"/>
              <w:ind w:left="270"/>
              <w:spacing w:after="0" w:line="119" w:lineRule="exact"/>
              <w:rPr>
                <w:sz w:val="20"/>
                <w:szCs w:val="20"/>
                <w:color w:val="auto"/>
              </w:rPr>
            </w:pPr>
            <w:r>
              <w:rPr>
                <w:rFonts w:ascii="Arial" w:cs="Arial" w:eastAsia="Arial" w:hAnsi="Arial"/>
                <w:sz w:val="13"/>
                <w:szCs w:val="13"/>
                <w:color w:val="auto"/>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3418840"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18840" cy="135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00" w:space="440"/>
            <w:col w:w="5500"/>
          </w:cols>
          <w:pgMar w:left="320" w:top="218" w:right="239" w:bottom="1440" w:gutter="0" w:footer="0" w:header="0"/>
          <w:type w:val="continuous"/>
        </w:sectPr>
      </w:pPr>
    </w:p>
    <w:p>
      <w:pPr>
        <w:ind w:left="100"/>
        <w:spacing w:after="0" w:line="234" w:lineRule="auto"/>
        <w:rPr>
          <w:sz w:val="20"/>
          <w:szCs w:val="20"/>
          <w:color w:val="auto"/>
        </w:rPr>
      </w:pPr>
      <w:r>
        <w:rPr>
          <w:rFonts w:ascii="Arial" w:cs="Arial" w:eastAsia="Arial" w:hAnsi="Arial"/>
          <w:sz w:val="14"/>
          <w:szCs w:val="14"/>
          <w:b w:val="1"/>
          <w:bCs w:val="1"/>
          <w:color w:val="296DC1"/>
        </w:rPr>
        <w:t>Contingent payment</w:t>
      </w:r>
    </w:p>
    <w:p>
      <w:pPr>
        <w:ind w:left="100"/>
        <w:spacing w:after="0" w:line="198" w:lineRule="auto"/>
        <w:rPr>
          <w:sz w:val="20"/>
          <w:szCs w:val="20"/>
          <w:color w:val="auto"/>
        </w:rPr>
      </w:pPr>
      <w:r>
        <w:rPr>
          <w:rFonts w:ascii="Arial" w:cs="Arial" w:eastAsia="Arial" w:hAnsi="Arial"/>
          <w:sz w:val="14"/>
          <w:szCs w:val="14"/>
          <w:b w:val="1"/>
          <w:bCs w:val="1"/>
          <w:color w:val="296DC1"/>
        </w:rPr>
        <w:t>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4"/>
          <w:szCs w:val="14"/>
          <w:color w:val="auto"/>
        </w:rPr>
        <w:t>February 12, 2026, May 12, 2026, August 12, 2026, November 13, 2026, February 11, 2027, May 12, 2027, August 12, 2027 and the maturity date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jc w:val="right"/>
              <w:ind w:right="989"/>
              <w:spacing w:after="0"/>
              <w:rPr>
                <w:sz w:val="20"/>
                <w:szCs w:val="20"/>
                <w:color w:val="auto"/>
              </w:rPr>
            </w:pPr>
            <w:r>
              <w:rPr>
                <w:rFonts w:ascii="Arial" w:cs="Arial" w:eastAsia="Arial" w:hAnsi="Arial"/>
                <w:sz w:val="14"/>
                <w:szCs w:val="14"/>
                <w:color w:val="auto"/>
              </w:rPr>
              <w:t>20.00%</w:t>
            </w:r>
          </w:p>
        </w:tc>
        <w:tc>
          <w:tcPr>
            <w:tcW w:w="2660" w:type="dxa"/>
            <w:vAlign w:val="bottom"/>
          </w:tcPr>
          <w:p>
            <w:pPr>
              <w:jc w:val="right"/>
              <w:ind w:right="889"/>
              <w:spacing w:after="0"/>
              <w:rPr>
                <w:sz w:val="20"/>
                <w:szCs w:val="20"/>
                <w:color w:val="auto"/>
              </w:rPr>
            </w:pPr>
            <w:r>
              <w:rPr>
                <w:rFonts w:ascii="Arial" w:cs="Arial" w:eastAsia="Arial" w:hAnsi="Arial"/>
                <w:sz w:val="14"/>
                <w:szCs w:val="14"/>
                <w:color w:val="auto"/>
              </w:rPr>
              <w:t>$1,000.00</w:t>
            </w:r>
          </w:p>
        </w:tc>
      </w:tr>
      <w:tr>
        <w:trPr>
          <w:trHeight w:val="217"/>
        </w:trPr>
        <w:tc>
          <w:tcPr>
            <w:tcW w:w="2720" w:type="dxa"/>
            <w:vAlign w:val="bottom"/>
            <w:shd w:val="clear" w:color="auto" w:fill="D9D9D9"/>
          </w:tcPr>
          <w:p>
            <w:pPr>
              <w:jc w:val="right"/>
              <w:ind w:right="989"/>
              <w:spacing w:after="0"/>
              <w:rPr>
                <w:sz w:val="20"/>
                <w:szCs w:val="20"/>
                <w:color w:val="auto"/>
              </w:rPr>
            </w:pPr>
            <w:r>
              <w:rPr>
                <w:rFonts w:ascii="Arial" w:cs="Arial" w:eastAsia="Arial" w:hAnsi="Arial"/>
                <w:sz w:val="14"/>
                <w:szCs w:val="14"/>
                <w:color w:val="auto"/>
              </w:rPr>
              <w:t>10.00%</w:t>
            </w:r>
          </w:p>
        </w:tc>
        <w:tc>
          <w:tcPr>
            <w:tcW w:w="2660" w:type="dxa"/>
            <w:vAlign w:val="bottom"/>
            <w:shd w:val="clear" w:color="auto" w:fill="D9D9D9"/>
          </w:tcPr>
          <w:p>
            <w:pPr>
              <w:jc w:val="right"/>
              <w:ind w:right="889"/>
              <w:spacing w:after="0"/>
              <w:rPr>
                <w:sz w:val="20"/>
                <w:szCs w:val="20"/>
                <w:color w:val="auto"/>
              </w:rPr>
            </w:pPr>
            <w:r>
              <w:rPr>
                <w:rFonts w:ascii="Arial" w:cs="Arial" w:eastAsia="Arial" w:hAnsi="Arial"/>
                <w:sz w:val="14"/>
                <w:szCs w:val="14"/>
                <w:color w:val="auto"/>
              </w:rPr>
              <w:t>$1,000.00</w:t>
            </w:r>
          </w:p>
        </w:tc>
      </w:tr>
    </w:tbl>
    <w:p>
      <w:pPr>
        <w:spacing w:after="0" w:line="4" w:lineRule="exact"/>
        <w:rPr>
          <w:sz w:val="20"/>
          <w:szCs w:val="20"/>
          <w:color w:val="auto"/>
        </w:rPr>
      </w:pPr>
    </w:p>
    <w:p>
      <w:pPr>
        <w:sectPr>
          <w:pgSz w:w="11900" w:h="16838" w:orient="portrait"/>
          <w:cols w:equalWidth="0" w:num="3">
            <w:col w:w="860" w:space="380"/>
            <w:col w:w="4120" w:space="480"/>
            <w:col w:w="5500"/>
          </w:cols>
          <w:pgMar w:left="320" w:top="218" w:right="239" w:bottom="1440" w:gutter="0" w:footer="0" w:header="0"/>
          <w:type w:val="continuous"/>
        </w:sectPr>
      </w:pPr>
    </w:p>
    <w:p>
      <w:pPr>
        <w:ind w:left="100"/>
        <w:spacing w:after="0" w:line="267" w:lineRule="auto"/>
        <w:rPr>
          <w:sz w:val="20"/>
          <w:szCs w:val="20"/>
          <w:color w:val="auto"/>
        </w:rPr>
      </w:pPr>
      <w:r>
        <w:rPr>
          <w:rFonts w:ascii="Arial" w:cs="Arial" w:eastAsia="Arial" w:hAnsi="Arial"/>
          <w:sz w:val="14"/>
          <w:szCs w:val="14"/>
          <w:b w:val="1"/>
          <w:bCs w:val="1"/>
          <w:color w:val="296DC1"/>
        </w:rPr>
        <w:t>Payment at maturity:</w:t>
      </w:r>
    </w:p>
    <w:p>
      <w:pPr>
        <w:spacing w:after="0" w:line="20" w:lineRule="exact"/>
        <w:rPr>
          <w:sz w:val="20"/>
          <w:szCs w:val="20"/>
          <w:color w:val="auto"/>
        </w:rPr>
      </w:pPr>
      <w:r>
        <w:rPr>
          <w:sz w:val="20"/>
          <w:szCs w:val="20"/>
          <w:color w:val="auto"/>
        </w:rPr>
        <w:br w:type="column"/>
      </w:r>
    </w:p>
    <w:p>
      <w:pPr>
        <w:ind w:left="94" w:right="40" w:hanging="94"/>
        <w:spacing w:after="0" w:line="248" w:lineRule="auto"/>
        <w:tabs>
          <w:tab w:leader="none" w:pos="127"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If the final share price is </w:t>
      </w:r>
      <w:r>
        <w:rPr>
          <w:rFonts w:ascii="Arial" w:cs="Arial" w:eastAsia="Arial" w:hAnsi="Arial"/>
          <w:sz w:val="14"/>
          <w:szCs w:val="14"/>
          <w:b w:val="1"/>
          <w:bCs w:val="1"/>
          <w:color w:val="auto"/>
        </w:rPr>
        <w:t xml:space="preserve">greater than or equal to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downside threshold level:</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2" w:lineRule="exact"/>
        <w:rPr>
          <w:rFonts w:ascii="Times New Roman" w:cs="Times New Roman" w:eastAsia="Times New Roman" w:hAnsi="Times New Roman"/>
          <w:sz w:val="14"/>
          <w:szCs w:val="14"/>
          <w:color w:val="auto"/>
        </w:rPr>
      </w:pPr>
    </w:p>
    <w:p>
      <w:pPr>
        <w:jc w:val="both"/>
        <w:ind w:left="94" w:hanging="94"/>
        <w:spacing w:after="0" w:line="258" w:lineRule="auto"/>
        <w:tabs>
          <w:tab w:leader="none" w:pos="127"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If the final share price is </w:t>
      </w:r>
      <w:r>
        <w:rPr>
          <w:rFonts w:ascii="Arial" w:cs="Arial" w:eastAsia="Arial" w:hAnsi="Arial"/>
          <w:sz w:val="14"/>
          <w:szCs w:val="14"/>
          <w:b w:val="1"/>
          <w:bCs w:val="1"/>
          <w:color w:val="auto"/>
        </w:rPr>
        <w:t>less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than </w:t>
      </w:r>
      <w:r>
        <w:rPr>
          <w:rFonts w:ascii="Arial" w:cs="Arial" w:eastAsia="Arial" w:hAnsi="Arial"/>
          <w:sz w:val="14"/>
          <w:szCs w:val="14"/>
          <w:color w:val="auto"/>
        </w:rPr>
        <w:t>the downside threshold</w:t>
      </w:r>
      <w:r>
        <w:rPr>
          <w:rFonts w:ascii="Arial" w:cs="Arial" w:eastAsia="Arial" w:hAnsi="Arial"/>
          <w:sz w:val="14"/>
          <w:szCs w:val="14"/>
          <w:b w:val="1"/>
          <w:bCs w:val="1"/>
          <w:color w:val="auto"/>
        </w:rPr>
        <w:t xml:space="preserve"> </w:t>
      </w:r>
      <w:r>
        <w:rPr>
          <w:rFonts w:ascii="Arial" w:cs="Arial" w:eastAsia="Arial" w:hAnsi="Arial"/>
          <w:sz w:val="14"/>
          <w:szCs w:val="14"/>
          <w:color w:val="auto"/>
        </w:rPr>
        <w:t>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293370</wp:posOffset>
            </wp:positionV>
            <wp:extent cx="3418840" cy="321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18840" cy="321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 w:firstLine="1"/>
        <w:spacing w:after="0" w:line="241" w:lineRule="auto"/>
        <w:tabs>
          <w:tab w:leader="none" w:pos="165"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stated principal amount </w:t>
      </w:r>
      <w:r>
        <w:rPr>
          <w:rFonts w:ascii="Arial" w:cs="Arial" w:eastAsia="Arial" w:hAnsi="Arial"/>
          <w:sz w:val="14"/>
          <w:szCs w:val="14"/>
          <w:i w:val="1"/>
          <w:iCs w:val="1"/>
          <w:color w:val="auto"/>
        </w:rPr>
        <w:t xml:space="preserve">plus </w:t>
      </w:r>
      <w:r>
        <w:rPr>
          <w:rFonts w:ascii="Arial" w:cs="Arial" w:eastAsia="Arial" w:hAnsi="Arial"/>
          <w:sz w:val="14"/>
          <w:szCs w:val="14"/>
          <w:color w:val="auto"/>
        </w:rPr>
        <w:t>(ii) the contingent quarterly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payment with respect to the final determination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any previously unpaid contingent quarterly payments with respect to any prior determination dates.</w:t>
      </w:r>
    </w:p>
    <w:p>
      <w:pPr>
        <w:spacing w:after="0" w:line="2" w:lineRule="exact"/>
        <w:rPr>
          <w:rFonts w:ascii="Arial" w:cs="Arial" w:eastAsia="Arial" w:hAnsi="Arial"/>
          <w:sz w:val="14"/>
          <w:szCs w:val="14"/>
          <w:color w:val="auto"/>
        </w:rPr>
      </w:pPr>
    </w:p>
    <w:p>
      <w:pPr>
        <w:ind w:left="-1" w:right="40" w:firstLine="1"/>
        <w:spacing w:after="0" w:line="246" w:lineRule="auto"/>
        <w:tabs>
          <w:tab w:leader="none" w:pos="165"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stated principal amount </w:t>
      </w:r>
      <w:r>
        <w:rPr>
          <w:rFonts w:ascii="Arial" w:cs="Arial" w:eastAsia="Arial" w:hAnsi="Arial"/>
          <w:sz w:val="14"/>
          <w:szCs w:val="14"/>
          <w:i w:val="1"/>
          <w:iCs w:val="1"/>
          <w:color w:val="auto"/>
        </w:rPr>
        <w:t xml:space="preserve">times </w:t>
      </w:r>
      <w:r>
        <w:rPr>
          <w:rFonts w:ascii="Arial" w:cs="Arial" w:eastAsia="Arial" w:hAnsi="Arial"/>
          <w:sz w:val="14"/>
          <w:szCs w:val="14"/>
          <w:color w:val="auto"/>
        </w:rPr>
        <w:t>(ii) the share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factor. This cash payment will be less than 60% of the stated principal amount of the securities and could be zero.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jc w:val="center"/>
              <w:ind w:left="29"/>
              <w:spacing w:after="0"/>
              <w:rPr>
                <w:sz w:val="20"/>
                <w:szCs w:val="20"/>
                <w:color w:val="auto"/>
              </w:rPr>
            </w:pPr>
            <w:r>
              <w:rPr>
                <w:rFonts w:ascii="Arial" w:cs="Arial" w:eastAsia="Arial" w:hAnsi="Arial"/>
                <w:sz w:val="14"/>
                <w:szCs w:val="14"/>
                <w:color w:val="auto"/>
              </w:rPr>
              <w:t>5.00%</w:t>
            </w:r>
          </w:p>
        </w:tc>
        <w:tc>
          <w:tcPr>
            <w:tcW w:w="2640" w:type="dxa"/>
            <w:vAlign w:val="bottom"/>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7"/>
        </w:trPr>
        <w:tc>
          <w:tcPr>
            <w:tcW w:w="27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rPr>
              <w:t>0.00%</w:t>
            </w:r>
          </w:p>
        </w:tc>
        <w:tc>
          <w:tcPr>
            <w:tcW w:w="26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0"/>
        </w:trPr>
        <w:tc>
          <w:tcPr>
            <w:tcW w:w="2740" w:type="dxa"/>
            <w:vAlign w:val="bottom"/>
          </w:tcPr>
          <w:p>
            <w:pPr>
              <w:jc w:val="center"/>
              <w:ind w:left="29"/>
              <w:spacing w:after="0"/>
              <w:rPr>
                <w:sz w:val="20"/>
                <w:szCs w:val="20"/>
                <w:color w:val="auto"/>
              </w:rPr>
            </w:pPr>
            <w:r>
              <w:rPr>
                <w:rFonts w:ascii="Arial" w:cs="Arial" w:eastAsia="Arial" w:hAnsi="Arial"/>
                <w:sz w:val="14"/>
                <w:szCs w:val="14"/>
                <w:color w:val="auto"/>
                <w:w w:val="99"/>
              </w:rPr>
              <w:t>-10.00%</w:t>
            </w:r>
          </w:p>
        </w:tc>
        <w:tc>
          <w:tcPr>
            <w:tcW w:w="2640" w:type="dxa"/>
            <w:vAlign w:val="bottom"/>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7"/>
        </w:trPr>
        <w:tc>
          <w:tcPr>
            <w:tcW w:w="27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-20.00%</w:t>
            </w:r>
          </w:p>
        </w:tc>
        <w:tc>
          <w:tcPr>
            <w:tcW w:w="26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0"/>
        </w:trPr>
        <w:tc>
          <w:tcPr>
            <w:tcW w:w="2740" w:type="dxa"/>
            <w:vAlign w:val="bottom"/>
          </w:tcPr>
          <w:p>
            <w:pPr>
              <w:jc w:val="center"/>
              <w:ind w:left="29"/>
              <w:spacing w:after="0"/>
              <w:rPr>
                <w:sz w:val="20"/>
                <w:szCs w:val="20"/>
                <w:color w:val="auto"/>
              </w:rPr>
            </w:pPr>
            <w:r>
              <w:rPr>
                <w:rFonts w:ascii="Arial" w:cs="Arial" w:eastAsia="Arial" w:hAnsi="Arial"/>
                <w:sz w:val="14"/>
                <w:szCs w:val="14"/>
                <w:color w:val="auto"/>
                <w:w w:val="99"/>
              </w:rPr>
              <w:t>-30.00%</w:t>
            </w:r>
          </w:p>
        </w:tc>
        <w:tc>
          <w:tcPr>
            <w:tcW w:w="2640" w:type="dxa"/>
            <w:vAlign w:val="bottom"/>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7"/>
        </w:trPr>
        <w:tc>
          <w:tcPr>
            <w:tcW w:w="27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-40.00%</w:t>
            </w:r>
          </w:p>
        </w:tc>
        <w:tc>
          <w:tcPr>
            <w:tcW w:w="26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$1,000.00</w:t>
            </w:r>
          </w:p>
        </w:tc>
      </w:tr>
      <w:tr>
        <w:trPr>
          <w:trHeight w:val="210"/>
        </w:trPr>
        <w:tc>
          <w:tcPr>
            <w:tcW w:w="2740" w:type="dxa"/>
            <w:vAlign w:val="bottom"/>
          </w:tcPr>
          <w:p>
            <w:pPr>
              <w:jc w:val="center"/>
              <w:ind w:left="29"/>
              <w:spacing w:after="0"/>
              <w:rPr>
                <w:sz w:val="20"/>
                <w:szCs w:val="20"/>
                <w:color w:val="auto"/>
              </w:rPr>
            </w:pPr>
            <w:r>
              <w:rPr>
                <w:rFonts w:ascii="Arial" w:cs="Arial" w:eastAsia="Arial" w:hAnsi="Arial"/>
                <w:sz w:val="14"/>
                <w:szCs w:val="14"/>
                <w:color w:val="auto"/>
                <w:w w:val="99"/>
              </w:rPr>
              <w:t>-40.01%</w:t>
            </w:r>
          </w:p>
        </w:tc>
        <w:tc>
          <w:tcPr>
            <w:tcW w:w="2640" w:type="dxa"/>
            <w:vAlign w:val="bottom"/>
          </w:tcPr>
          <w:p>
            <w:pPr>
              <w:jc w:val="center"/>
              <w:ind w:left="29"/>
              <w:spacing w:after="0"/>
              <w:rPr>
                <w:sz w:val="20"/>
                <w:szCs w:val="20"/>
                <w:color w:val="auto"/>
              </w:rPr>
            </w:pPr>
            <w:r>
              <w:rPr>
                <w:rFonts w:ascii="Arial" w:cs="Arial" w:eastAsia="Arial" w:hAnsi="Arial"/>
                <w:sz w:val="14"/>
                <w:szCs w:val="14"/>
                <w:color w:val="auto"/>
                <w:w w:val="98"/>
              </w:rPr>
              <w:t>$599.90</w:t>
            </w:r>
          </w:p>
        </w:tc>
      </w:tr>
      <w:tr>
        <w:trPr>
          <w:trHeight w:val="217"/>
        </w:trPr>
        <w:tc>
          <w:tcPr>
            <w:tcW w:w="27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-50.00%</w:t>
            </w:r>
          </w:p>
        </w:tc>
        <w:tc>
          <w:tcPr>
            <w:tcW w:w="26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8"/>
              </w:rPr>
              <w:t>$500.00</w:t>
            </w:r>
          </w:p>
        </w:tc>
      </w:tr>
      <w:tr>
        <w:trPr>
          <w:trHeight w:val="210"/>
        </w:trPr>
        <w:tc>
          <w:tcPr>
            <w:tcW w:w="2740" w:type="dxa"/>
            <w:vAlign w:val="bottom"/>
          </w:tcPr>
          <w:p>
            <w:pPr>
              <w:jc w:val="center"/>
              <w:ind w:left="29"/>
              <w:spacing w:after="0"/>
              <w:rPr>
                <w:sz w:val="20"/>
                <w:szCs w:val="20"/>
                <w:color w:val="auto"/>
              </w:rPr>
            </w:pPr>
            <w:r>
              <w:rPr>
                <w:rFonts w:ascii="Arial" w:cs="Arial" w:eastAsia="Arial" w:hAnsi="Arial"/>
                <w:sz w:val="14"/>
                <w:szCs w:val="14"/>
                <w:color w:val="auto"/>
                <w:w w:val="99"/>
              </w:rPr>
              <w:t>-60.00%</w:t>
            </w:r>
          </w:p>
        </w:tc>
        <w:tc>
          <w:tcPr>
            <w:tcW w:w="2640" w:type="dxa"/>
            <w:vAlign w:val="bottom"/>
          </w:tcPr>
          <w:p>
            <w:pPr>
              <w:jc w:val="center"/>
              <w:ind w:left="29"/>
              <w:spacing w:after="0"/>
              <w:rPr>
                <w:sz w:val="20"/>
                <w:szCs w:val="20"/>
                <w:color w:val="auto"/>
              </w:rPr>
            </w:pPr>
            <w:r>
              <w:rPr>
                <w:rFonts w:ascii="Arial" w:cs="Arial" w:eastAsia="Arial" w:hAnsi="Arial"/>
                <w:sz w:val="14"/>
                <w:szCs w:val="14"/>
                <w:color w:val="auto"/>
                <w:w w:val="98"/>
              </w:rPr>
              <w:t>$400.00</w:t>
            </w:r>
          </w:p>
        </w:tc>
      </w:tr>
      <w:tr>
        <w:trPr>
          <w:trHeight w:val="217"/>
        </w:trPr>
        <w:tc>
          <w:tcPr>
            <w:tcW w:w="27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9"/>
              </w:rPr>
              <w:t>-80.00%</w:t>
            </w:r>
          </w:p>
        </w:tc>
        <w:tc>
          <w:tcPr>
            <w:tcW w:w="2640" w:type="dxa"/>
            <w:vAlign w:val="bottom"/>
            <w:shd w:val="clear" w:color="auto" w:fill="D9D9D9"/>
          </w:tcPr>
          <w:p>
            <w:pPr>
              <w:jc w:val="center"/>
              <w:ind w:left="29"/>
              <w:spacing w:after="0"/>
              <w:rPr>
                <w:sz w:val="20"/>
                <w:szCs w:val="20"/>
                <w:color w:val="auto"/>
              </w:rPr>
            </w:pPr>
            <w:r>
              <w:rPr>
                <w:rFonts w:ascii="Arial" w:cs="Arial" w:eastAsia="Arial" w:hAnsi="Arial"/>
                <w:sz w:val="14"/>
                <w:szCs w:val="14"/>
                <w:color w:val="auto"/>
                <w:w w:val="98"/>
              </w:rPr>
              <w:t>$200.00</w:t>
            </w:r>
          </w:p>
        </w:tc>
      </w:tr>
    </w:tbl>
    <w:p>
      <w:pPr>
        <w:spacing w:after="0" w:line="1" w:lineRule="exact"/>
        <w:rPr>
          <w:sz w:val="20"/>
          <w:szCs w:val="20"/>
          <w:color w:val="auto"/>
        </w:rPr>
      </w:pPr>
    </w:p>
    <w:p>
      <w:pPr>
        <w:sectPr>
          <w:pgSz w:w="11900" w:h="16838" w:orient="portrait"/>
          <w:cols w:equalWidth="0" w:num="4">
            <w:col w:w="860" w:space="386"/>
            <w:col w:w="1954" w:space="141"/>
            <w:col w:w="2039" w:space="460"/>
            <w:col w:w="5500"/>
          </w:cols>
          <w:pgMar w:left="320" w:top="218" w:right="239" w:bottom="1440" w:gutter="0" w:footer="0" w:header="0"/>
          <w:type w:val="continuous"/>
        </w:sectPr>
      </w:pPr>
    </w:p>
    <w:p>
      <w:pPr>
        <w:ind w:left="100"/>
        <w:spacing w:after="0"/>
        <w:tabs>
          <w:tab w:leader="none" w:pos="1220" w:val="left"/>
        </w:tabs>
        <w:rPr>
          <w:sz w:val="20"/>
          <w:szCs w:val="20"/>
          <w:color w:val="auto"/>
        </w:rPr>
      </w:pPr>
      <w:r>
        <w:rPr>
          <w:rFonts w:ascii="Arial" w:cs="Arial" w:eastAsia="Arial" w:hAnsi="Arial"/>
          <w:sz w:val="14"/>
          <w:szCs w:val="14"/>
          <w:b w:val="1"/>
          <w:bCs w:val="1"/>
          <w:color w:val="296DC1"/>
        </w:rPr>
        <w:t>Downside</w:t>
      </w:r>
      <w:r>
        <w:rPr>
          <w:sz w:val="20"/>
          <w:szCs w:val="20"/>
          <w:color w:val="auto"/>
        </w:rPr>
        <w:tab/>
      </w:r>
      <w:r>
        <w:rPr>
          <w:rFonts w:ascii="Arial" w:cs="Arial" w:eastAsia="Arial" w:hAnsi="Arial"/>
          <w:sz w:val="14"/>
          <w:szCs w:val="14"/>
          <w:color w:val="auto"/>
        </w:rPr>
        <w:t>60% of the initial share price</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threshold</w:t>
      </w:r>
    </w:p>
    <w:p>
      <w:pPr>
        <w:ind w:left="100"/>
        <w:spacing w:after="0"/>
        <w:rPr>
          <w:sz w:val="20"/>
          <w:szCs w:val="20"/>
          <w:color w:val="auto"/>
        </w:rPr>
      </w:pPr>
      <w:r>
        <w:rPr>
          <w:rFonts w:ascii="Arial" w:cs="Arial" w:eastAsia="Arial" w:hAnsi="Arial"/>
          <w:sz w:val="14"/>
          <w:szCs w:val="14"/>
          <w:b w:val="1"/>
          <w:bCs w:val="1"/>
          <w:color w:val="296DC1"/>
        </w:rPr>
        <w:t>level: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jc w:val="right"/>
              <w:ind w:right="1029"/>
              <w:spacing w:after="0"/>
              <w:rPr>
                <w:sz w:val="20"/>
                <w:szCs w:val="20"/>
                <w:color w:val="auto"/>
              </w:rPr>
            </w:pPr>
            <w:r>
              <w:rPr>
                <w:rFonts w:ascii="Arial" w:cs="Arial" w:eastAsia="Arial" w:hAnsi="Arial"/>
                <w:sz w:val="14"/>
                <w:szCs w:val="14"/>
                <w:color w:val="auto"/>
                <w:w w:val="96"/>
              </w:rPr>
              <w:t>-100.00%</w:t>
            </w:r>
          </w:p>
        </w:tc>
        <w:tc>
          <w:tcPr>
            <w:tcW w:w="1460" w:type="dxa"/>
            <w:vAlign w:val="bottom"/>
          </w:tcPr>
          <w:p>
            <w:pPr>
              <w:jc w:val="right"/>
              <w:spacing w:after="0"/>
              <w:rPr>
                <w:sz w:val="20"/>
                <w:szCs w:val="20"/>
                <w:color w:val="auto"/>
              </w:rPr>
            </w:pPr>
            <w:r>
              <w:rPr>
                <w:rFonts w:ascii="Arial" w:cs="Arial" w:eastAsia="Arial" w:hAnsi="Arial"/>
                <w:sz w:val="14"/>
                <w:szCs w:val="14"/>
                <w:color w:val="auto"/>
              </w:rPr>
              <w:t>$0.00</w:t>
            </w:r>
          </w:p>
        </w:tc>
      </w:tr>
    </w:tbl>
    <w:p>
      <w:pPr>
        <w:spacing w:after="0" w:line="299" w:lineRule="exact"/>
        <w:rPr>
          <w:sz w:val="20"/>
          <w:szCs w:val="20"/>
          <w:color w:val="auto"/>
        </w:rPr>
      </w:pPr>
    </w:p>
    <w:p>
      <w:pPr>
        <w:sectPr>
          <w:pgSz w:w="11900" w:h="16838" w:orient="portrait"/>
          <w:cols w:equalWidth="0" w:num="2">
            <w:col w:w="6240" w:space="720"/>
            <w:col w:w="4380"/>
          </w:cols>
          <w:pgMar w:left="320" w:top="218" w:right="239" w:bottom="1440" w:gutter="0" w:footer="0" w:header="0"/>
          <w:type w:val="continuous"/>
        </w:sectPr>
      </w:pPr>
    </w:p>
    <w:p>
      <w:pPr>
        <w:ind w:left="100"/>
        <w:spacing w:after="0"/>
        <w:tabs>
          <w:tab w:leader="none" w:pos="1220" w:val="left"/>
        </w:tabs>
        <w:rPr>
          <w:sz w:val="20"/>
          <w:szCs w:val="20"/>
          <w:color w:val="auto"/>
        </w:rPr>
      </w:pPr>
      <w:r>
        <w:rPr>
          <w:rFonts w:ascii="Arial" w:cs="Arial" w:eastAsia="Arial" w:hAnsi="Arial"/>
          <w:sz w:val="14"/>
          <w:szCs w:val="14"/>
          <w:b w:val="1"/>
          <w:bCs w:val="1"/>
          <w:color w:val="296DC1"/>
        </w:rPr>
        <w:t>Initial share</w:t>
      </w:r>
      <w:r>
        <w:rPr>
          <w:sz w:val="20"/>
          <w:szCs w:val="20"/>
          <w:color w:val="auto"/>
        </w:rPr>
        <w:tab/>
      </w:r>
      <w:r>
        <w:rPr>
          <w:rFonts w:ascii="Arial" w:cs="Arial" w:eastAsia="Arial" w:hAnsi="Arial"/>
          <w:sz w:val="14"/>
          <w:szCs w:val="14"/>
          <w:color w:val="auto"/>
        </w:rPr>
        <w:t>The closing price of one ETF Share on the pricing date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418840" cy="22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18840" cy="220345"/>
                    </a:xfrm>
                    <a:prstGeom prst="rect">
                      <a:avLst/>
                    </a:prstGeom>
                    <a:noFill/>
                  </pic:spPr>
                </pic:pic>
              </a:graphicData>
            </a:graphic>
          </wp:anchor>
        </w:drawing>
      </w:r>
    </w:p>
    <w:p>
      <w:pPr>
        <w:ind w:left="100"/>
        <w:spacing w:after="0"/>
        <w:tabs>
          <w:tab w:leader="none" w:pos="1220" w:val="left"/>
        </w:tabs>
        <w:rPr>
          <w:sz w:val="20"/>
          <w:szCs w:val="20"/>
          <w:color w:val="auto"/>
        </w:rPr>
      </w:pPr>
      <w:r>
        <w:rPr>
          <w:rFonts w:ascii="Arial" w:cs="Arial" w:eastAsia="Arial" w:hAnsi="Arial"/>
          <w:sz w:val="14"/>
          <w:szCs w:val="14"/>
          <w:b w:val="1"/>
          <w:bCs w:val="1"/>
          <w:color w:val="296DC1"/>
        </w:rPr>
        <w:t>Final share</w:t>
      </w:r>
      <w:r>
        <w:rPr>
          <w:sz w:val="20"/>
          <w:szCs w:val="20"/>
          <w:color w:val="auto"/>
        </w:rPr>
        <w:tab/>
      </w:r>
      <w:r>
        <w:rPr>
          <w:rFonts w:ascii="Arial" w:cs="Arial" w:eastAsia="Arial" w:hAnsi="Arial"/>
          <w:sz w:val="14"/>
          <w:szCs w:val="14"/>
          <w:color w:val="auto"/>
        </w:rPr>
        <w:t>The closing price of one ETF Share on the final determination</w:t>
      </w:r>
    </w:p>
    <w:p>
      <w:pPr>
        <w:spacing w:after="0" w:line="5"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4"/>
          <w:szCs w:val="14"/>
          <w:b w:val="1"/>
          <w:bCs w:val="1"/>
          <w:color w:val="296DC1"/>
        </w:rPr>
        <w:t>price:</w:t>
      </w:r>
      <w:r>
        <w:rPr>
          <w:sz w:val="20"/>
          <w:szCs w:val="20"/>
          <w:color w:val="auto"/>
        </w:rPr>
        <w:tab/>
      </w:r>
      <w:r>
        <w:rPr>
          <w:rFonts w:ascii="Arial" w:cs="Arial" w:eastAsia="Arial" w:hAnsi="Arial"/>
          <w:sz w:val="14"/>
          <w:szCs w:val="14"/>
          <w:color w:val="auto"/>
        </w:rPr>
        <w:t>date</w:t>
      </w:r>
    </w:p>
    <w:p>
      <w:pPr>
        <w:sectPr>
          <w:pgSz w:w="11900" w:h="16838" w:orient="portrait"/>
          <w:cols w:equalWidth="0" w:num="1">
            <w:col w:w="11340"/>
          </w:cols>
          <w:pgMar w:left="320" w:top="21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23" w:lineRule="exact"/>
        <w:rPr>
          <w:sz w:val="20"/>
          <w:szCs w:val="20"/>
          <w:color w:val="auto"/>
        </w:rPr>
      </w:pPr>
    </w:p>
    <w:p>
      <w:pPr>
        <w:spacing w:after="0"/>
        <w:rPr>
          <w:sz w:val="20"/>
          <w:szCs w:val="20"/>
          <w:color w:val="auto"/>
        </w:rPr>
      </w:pPr>
      <w:r>
        <w:rPr>
          <w:rFonts w:ascii="Arial" w:cs="Arial" w:eastAsia="Arial" w:hAnsi="Arial"/>
          <w:sz w:val="28"/>
          <w:szCs w:val="28"/>
          <w:color w:val="296DC1"/>
        </w:rPr>
        <w:t>2y IBIT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296DC1"/>
        </w:rPr>
        <w:t>ETF Shares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ETF Shares, including historical performance information, see the accompanying preliminary pricing supplement.</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6"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227" w:lineRule="auto"/>
        <w:rPr>
          <w:sz w:val="20"/>
          <w:szCs w:val="20"/>
          <w:color w:val="auto"/>
        </w:rPr>
      </w:pPr>
      <w:r>
        <w:rPr>
          <w:rFonts w:ascii="Arial" w:cs="Arial" w:eastAsia="Arial" w:hAnsi="Arial"/>
          <w:sz w:val="18"/>
          <w:szCs w:val="18"/>
          <w:color w:val="296DC1"/>
        </w:rPr>
        <w:t>Risks Relating to the Securities Generally</w:t>
      </w:r>
    </w:p>
    <w:p>
      <w:pPr>
        <w:ind w:left="320" w:hanging="313"/>
        <w:spacing w:after="0" w:line="182" w:lineRule="auto"/>
        <w:tabs>
          <w:tab w:leader="none" w:pos="32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2" w:lineRule="exact"/>
        <w:rPr>
          <w:rFonts w:ascii="Wingdings" w:cs="Wingdings" w:eastAsia="Wingdings" w:hAnsi="Wingdings"/>
          <w:sz w:val="24"/>
          <w:szCs w:val="24"/>
          <w:b w:val="1"/>
          <w:bCs w:val="1"/>
          <w:color w:val="A3C4EB"/>
          <w:vertAlign w:val="subscript"/>
        </w:rPr>
      </w:pPr>
    </w:p>
    <w:p>
      <w:pPr>
        <w:ind w:left="320" w:right="40" w:hanging="313"/>
        <w:spacing w:after="0" w:line="185" w:lineRule="auto"/>
        <w:tabs>
          <w:tab w:leader="none" w:pos="32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period (or any previously unpaid contingent quarterly payments) if the closing price of one ETF Share on the relevant determination date is less than the downside threshold level.</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contingent quarterly payment is based solely on the closing prices of one ETF Share on the specified determination dates.</w:t>
      </w:r>
    </w:p>
    <w:p>
      <w:pPr>
        <w:spacing w:after="0" w:line="31" w:lineRule="exact"/>
        <w:rPr>
          <w:rFonts w:ascii="Wingdings" w:cs="Wingdings" w:eastAsia="Wingdings" w:hAnsi="Wingdings"/>
          <w:sz w:val="23"/>
          <w:szCs w:val="23"/>
          <w:b w:val="1"/>
          <w:bCs w:val="1"/>
          <w:color w:val="A3C4EB"/>
          <w:vertAlign w:val="subscript"/>
        </w:rPr>
      </w:pPr>
    </w:p>
    <w:p>
      <w:pPr>
        <w:ind w:left="320" w:right="720" w:hanging="313"/>
        <w:spacing w:after="0" w:line="185" w:lineRule="auto"/>
        <w:tabs>
          <w:tab w:leader="none" w:pos="32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Investors will not participate in any appreciation of the ETF Shares.</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3"/>
          <w:szCs w:val="23"/>
          <w:b w:val="1"/>
          <w:bCs w:val="1"/>
          <w:color w:val="A3C4EB"/>
          <w:vertAlign w:val="subscript"/>
        </w:rPr>
      </w:pPr>
    </w:p>
    <w:p>
      <w:pPr>
        <w:ind w:left="320" w:right="440" w:hanging="313"/>
        <w:spacing w:after="0" w:line="185" w:lineRule="auto"/>
        <w:tabs>
          <w:tab w:leader="none" w:pos="32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We may accelerate your securities in our sole discretion and the calculation agent may adjust their final payment in good faith and in a commercially reasonable manner if a liquidation event occurs.</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5"/>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20" w:right="280" w:hanging="313"/>
        <w:spacing w:after="0" w:line="180" w:lineRule="auto"/>
        <w:tabs>
          <w:tab w:leader="none" w:pos="320" w:val="left"/>
        </w:tabs>
        <w:numPr>
          <w:ilvl w:val="0"/>
          <w:numId w:val="6"/>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1" w:lineRule="exact"/>
        <w:rPr>
          <w:rFonts w:ascii="Wingdings" w:cs="Wingdings" w:eastAsia="Wingdings" w:hAnsi="Wingdings"/>
          <w:sz w:val="31"/>
          <w:szCs w:val="31"/>
          <w:b w:val="1"/>
          <w:bCs w:val="1"/>
          <w:color w:val="A3C4EB"/>
          <w:vertAlign w:val="subscript"/>
        </w:rPr>
      </w:pPr>
    </w:p>
    <w:p>
      <w:pPr>
        <w:ind w:left="320" w:hanging="313"/>
        <w:spacing w:after="0" w:line="183" w:lineRule="auto"/>
        <w:tabs>
          <w:tab w:leader="none" w:pos="320" w:val="left"/>
        </w:tabs>
        <w:numPr>
          <w:ilvl w:val="0"/>
          <w:numId w:val="6"/>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20" w:hanging="313"/>
        <w:spacing w:after="0" w:line="181" w:lineRule="auto"/>
        <w:tabs>
          <w:tab w:leader="none" w:pos="320" w:val="left"/>
        </w:tabs>
        <w:numPr>
          <w:ilvl w:val="0"/>
          <w:numId w:val="7"/>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2" w:lineRule="exact"/>
        <w:rPr>
          <w:rFonts w:ascii="Wingdings" w:cs="Wingdings" w:eastAsia="Wingdings" w:hAnsi="Wingdings"/>
          <w:sz w:val="24"/>
          <w:szCs w:val="24"/>
          <w:b w:val="1"/>
          <w:bCs w:val="1"/>
          <w:color w:val="A3C4EB"/>
          <w:vertAlign w:val="subscript"/>
        </w:rPr>
      </w:pPr>
    </w:p>
    <w:p>
      <w:pPr>
        <w:ind w:left="320" w:hanging="313"/>
        <w:spacing w:after="0" w:line="186" w:lineRule="auto"/>
        <w:tabs>
          <w:tab w:leader="none" w:pos="320" w:val="left"/>
        </w:tabs>
        <w:numPr>
          <w:ilvl w:val="0"/>
          <w:numId w:val="7"/>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8"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7"/>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3"/>
          <w:szCs w:val="23"/>
          <w:b w:val="1"/>
          <w:bCs w:val="1"/>
          <w:color w:val="A3C4EB"/>
          <w:vertAlign w:val="subscript"/>
        </w:rPr>
      </w:pPr>
    </w:p>
    <w:p>
      <w:pPr>
        <w:ind w:left="320" w:right="40" w:hanging="313"/>
        <w:spacing w:after="0" w:line="185" w:lineRule="auto"/>
        <w:tabs>
          <w:tab w:leader="none" w:pos="320" w:val="left"/>
        </w:tabs>
        <w:numPr>
          <w:ilvl w:val="0"/>
          <w:numId w:val="7"/>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7"/>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7"/>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ETF Shares</w:t>
      </w:r>
    </w:p>
    <w:p>
      <w:pPr>
        <w:ind w:left="320" w:hanging="313"/>
        <w:spacing w:after="0" w:line="181" w:lineRule="auto"/>
        <w:tabs>
          <w:tab w:leader="none" w:pos="320" w:val="left"/>
        </w:tabs>
        <w:numPr>
          <w:ilvl w:val="0"/>
          <w:numId w:val="8"/>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securities is not equivalent to investing in the ETF Shares.</w:t>
      </w:r>
    </w:p>
    <w:p>
      <w:pPr>
        <w:spacing w:after="0" w:line="32" w:lineRule="exact"/>
        <w:rPr>
          <w:rFonts w:ascii="Wingdings" w:cs="Wingdings" w:eastAsia="Wingdings" w:hAnsi="Wingdings"/>
          <w:sz w:val="24"/>
          <w:szCs w:val="24"/>
          <w:b w:val="1"/>
          <w:bCs w:val="1"/>
          <w:color w:val="A3C4EB"/>
          <w:vertAlign w:val="subscript"/>
        </w:rPr>
      </w:pPr>
    </w:p>
    <w:p>
      <w:pPr>
        <w:ind w:left="320" w:right="640" w:hanging="313"/>
        <w:spacing w:after="0" w:line="185" w:lineRule="auto"/>
        <w:tabs>
          <w:tab w:leader="none" w:pos="320" w:val="left"/>
        </w:tabs>
        <w:numPr>
          <w:ilvl w:val="0"/>
          <w:numId w:val="8"/>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Fund is not an investment company or a commodity pool and will not be subject to regulation under the Investment Company Act of 1940, as amended, or the Commodity Exchange Act.</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There are risks associated with the ETF Shares.</w:t>
      </w:r>
    </w:p>
    <w:p>
      <w:pPr>
        <w:spacing w:after="0" w:line="31" w:lineRule="exact"/>
        <w:rPr>
          <w:rFonts w:ascii="Wingdings" w:cs="Wingdings" w:eastAsia="Wingdings" w:hAnsi="Wingdings"/>
          <w:sz w:val="23"/>
          <w:szCs w:val="23"/>
          <w:b w:val="1"/>
          <w:bCs w:val="1"/>
          <w:color w:val="A3C4EB"/>
          <w:vertAlign w:val="subscript"/>
        </w:rPr>
      </w:pPr>
    </w:p>
    <w:p>
      <w:pPr>
        <w:ind w:left="320" w:right="520" w:hanging="313"/>
        <w:spacing w:after="0" w:line="185" w:lineRule="auto"/>
        <w:tabs>
          <w:tab w:leader="none" w:pos="320" w:val="left"/>
        </w:tabs>
        <w:numPr>
          <w:ilvl w:val="0"/>
          <w:numId w:val="8"/>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performance and market value of the ETF Shares, particularly during periods of market volatility, may not correlate with the performance of the underlying asset as well as the net asset value per ETF Share.</w:t>
      </w:r>
    </w:p>
    <w:p>
      <w:pPr>
        <w:spacing w:after="0" w:line="1" w:lineRule="exact"/>
        <w:rPr>
          <w:rFonts w:ascii="Wingdings" w:cs="Wingdings" w:eastAsia="Wingdings" w:hAnsi="Wingdings"/>
          <w:sz w:val="30"/>
          <w:szCs w:val="30"/>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securities are subject to volatility risk.</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securities are subject to risks relating to bitcoin and the bitcoin network.</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Limited trading history.</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rFonts w:ascii="Wingdings" w:cs="Wingdings" w:eastAsia="Wingdings" w:hAnsi="Wingdings"/>
          <w:sz w:val="23"/>
          <w:szCs w:val="23"/>
          <w:b w:val="1"/>
          <w:bCs w:val="1"/>
          <w:color w:val="A3C4EB"/>
          <w:vertAlign w:val="subscript"/>
        </w:rPr>
      </w:pPr>
    </w:p>
    <w:p>
      <w:pPr>
        <w:ind w:left="320" w:hanging="313"/>
        <w:spacing w:after="0" w:line="183" w:lineRule="auto"/>
        <w:tabs>
          <w:tab w:leader="none" w:pos="320" w:val="left"/>
        </w:tabs>
        <w:numPr>
          <w:ilvl w:val="0"/>
          <w:numId w:val="8"/>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anti-dilution protection for the ETF Shares is limited.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296DC1"/>
        </w:rPr>
        <w:t>Tax Considerations</w:t>
      </w:r>
    </w:p>
    <w:p>
      <w:pPr>
        <w:ind w:right="440"/>
        <w:spacing w:after="0" w:line="257"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-847090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20"/>
      </w:cols>
      <w:pgMar w:left="320" w:top="2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2" Type="http://schemas.openxmlformats.org/officeDocument/2006/relationships/hyperlink" Target="http://www.sec.gov/Archives/edgar/data/19617/000121390025103624/ea0263051-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2025-10-30T12:01:10Z</dcterms:created>
  <dcterms:modified xsi:type="dcterms:W3CDTF">2025-10-30T12:01:10Z</dcterms:modified>
</cp:coreProperties>
</file>