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10265-01_fwp.htm"/>
      <w:bookmarkStart w:id="1" w:name="ksea031026501_fwp"/>
      <w:bookmarkStart w:id="2" w:name="ea0310265-01_fwp.htm"/>
      <w:bookmarkStart w:id="3" w:name="ksea031026501_fwp"/>
      <w:bookmarkEnd w:id="2"/>
      <w:bookmarkEnd w:id="3"/>
    </w:p>
    <w:tbl>
      <w:tblPr>
        <w:tblW w:w="10205" w:type="dxa"/>
        <w:jc w:val="left"/>
        <w:tblInd w:w="0" w:type="dxa"/>
        <w:tblLayout w:type="fixed"/>
        <w:tblCellMar>
          <w:top w:w="0" w:type="dxa"/>
          <w:left w:w="0" w:type="dxa"/>
          <w:bottom w:w="0" w:type="dxa"/>
          <w:right w:w="0" w:type="dxa"/>
        </w:tblCellMar>
      </w:tblPr>
      <w:tblGrid>
        <w:gridCol w:w="7010"/>
        <w:gridCol w:w="3195"/>
      </w:tblGrid>
      <w:tr>
        <w:trPr/>
        <w:tc>
          <w:tcPr>
            <w:tcW w:w="7010"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95"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 xml:space="preserve">Registration Statement Nos. 333-293684 and </w:t>
              <w:br/>
              <w:t>333-293684-01</w:t>
            </w:r>
          </w:p>
        </w:tc>
      </w:tr>
    </w:tbl>
    <w:tbl>
      <w:tblPr>
        <w:tblW w:w="2490" w:type="dxa"/>
        <w:jc w:val="left"/>
        <w:tblInd w:w="0" w:type="dxa"/>
        <w:tblLayout w:type="fixed"/>
        <w:tblCellMar>
          <w:top w:w="0" w:type="dxa"/>
          <w:left w:w="0" w:type="dxa"/>
          <w:bottom w:w="0" w:type="dxa"/>
          <w:right w:w="0" w:type="dxa"/>
        </w:tblCellMar>
      </w:tblPr>
      <w:tblGrid>
        <w:gridCol w:w="75"/>
        <w:gridCol w:w="2415"/>
      </w:tblGrid>
      <w:tr>
        <w:trPr/>
        <w:tc>
          <w:tcPr>
            <w:tcW w:w="75" w:type="dxa"/>
            <w:tcBorders/>
            <w:vAlign w:val="center"/>
          </w:tcPr>
          <w:p>
            <w:pPr>
              <w:pStyle w:val="TableContents"/>
              <w:bidi w:val="0"/>
              <w:spacing w:before="0" w:after="283"/>
              <w:jc w:val="left"/>
              <w:rPr>
                <w:caps w:val="false"/>
                <w:smallCaps w:val="false"/>
                <w:color w:val="688FCF"/>
              </w:rPr>
            </w:pPr>
            <w:r>
              <w:rPr>
                <w:caps w:val="false"/>
                <w:smallCaps w:val="false"/>
                <w:color w:val="688FCF"/>
              </w:rPr>
              <w:t> </w:t>
            </w:r>
          </w:p>
        </w:tc>
        <w:tc>
          <w:tcPr>
            <w:tcW w:w="24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429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SoFi Technologies, Inc. due November 2, 2027</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29, 2026 to Preliminary Pricing Supplement dated October 29, 2026</w:t>
            </w:r>
          </w:p>
        </w:tc>
      </w:tr>
    </w:tbl>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29068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29068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649"/>
                              <w:gridCol w:w="8556"/>
                            </w:tblGrid>
                            <w:tr>
                              <w:trPr/>
                              <w:tc>
                                <w:tcPr>
                                  <w:tcW w:w="1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55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SoFi Technologies, Inc. (Bloomberg ticker: SOFI)</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30, 2026</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4, 2026</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2, 2027</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the stock closing price of the Underlying Stock on the related calculation day is greater than or equal to the threshold price.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19.75% per annum (to be provided in the pricing supplement)</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Underlying Stock on any of the calculation days from April 2027 to September 2027,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28</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November 2026 and ending October 2027. We refer to October 28, 2027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55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final calculation day</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70% of the starting price</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46661QWG6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649"/>
                        <w:gridCol w:w="8556"/>
                      </w:tblGrid>
                      <w:tr>
                        <w:trPr/>
                        <w:tc>
                          <w:tcPr>
                            <w:tcW w:w="1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55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SoFi Technologies, Inc. (Bloomberg ticker: SOFI)</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30, 2026</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4, 2026</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2, 2027</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the stock closing price of the Underlying Stock on the related calculation day is greater than or equal to the threshold price.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19.75% per annum (to be provided in the pricing supplement)</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Underlying Stock on any of the calculation days from April 2027 to September 2027,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28</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November 2026 and ending October 2027. We refer to October 28, 2027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55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final calculation day</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70% of the starting price</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46661QWG6</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8423275"/>
                <wp:effectExtent l="0" t="0" r="0" b="0"/>
                <wp:wrapSquare wrapText="left"/>
                <wp:docPr id="3" name="Frame2"/>
                <a:graphic xmlns:a="http://schemas.openxmlformats.org/drawingml/2006/main">
                  <a:graphicData uri="http://schemas.microsoft.com/office/word/2010/wordprocessingShape">
                    <wps:wsp>
                      <wps:cNvSpPr txBox="1"/>
                      <wps:spPr>
                        <a:xfrm>
                          <a:off x="0" y="0"/>
                          <a:ext cx="3175000" cy="842327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80"/>
                              <w:gridCol w:w="8925"/>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1.00%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0"/>
                              <w:ind w:left="108" w:right="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305175" cy="21240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05175" cy="2124075"/>
                                          </a:xfrm>
                                          <a:prstGeom prst="rect">
                                            <a:avLst/>
                                          </a:prstGeom>
                                        </pic:spPr>
                                      </pic:pic>
                                    </a:graphicData>
                                  </a:graphic>
                                </wp:inline>
                              </w:drawing>
                            </w:r>
                          </w:p>
                          <w:p>
                            <w:pPr>
                              <w:pStyle w:val="TextBody"/>
                              <w:bidi w:val="0"/>
                              <w:spacing w:before="80" w:after="4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is less than the threshold price, you will lose more than 30%, and possibly all, of the principal amount of your securities at maturity.</w:t>
                            </w:r>
                          </w:p>
                          <w:p>
                            <w:pPr>
                              <w:pStyle w:val="TextBody"/>
                              <w:bidi w:val="0"/>
                              <w:spacing w:before="80" w:after="4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spacing w:before="80" w:after="4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80" w:after="4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$958.90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80" w:after="40"/>
                              <w:ind w:left="108" w:right="0" w:hanging="0"/>
                              <w:jc w:val="left"/>
                              <w:rPr/>
                            </w:pPr>
                            <w:r>
                              <w:rPr>
                                <w:rFonts w:ascii="Georgia;Times;Serif" w:hAnsi="Georgia;Times;Serif"/>
                                <w:b w:val="false"/>
                                <w:i w:val="false"/>
                                <w:caps w:val="false"/>
                                <w:smallCaps w:val="false"/>
                                <w:sz w:val="16"/>
                              </w:rPr>
                              <w:t>Preliminary Pricing Supplement:</w:t>
                              <w:br/>
                            </w:r>
                            <w:hyperlink r:id="rId4">
                              <w:r>
                                <w:rPr>
                                  <w:rStyle w:val="InternetLink"/>
                                  <w:rFonts w:ascii="Georgia;Times;Serif" w:hAnsi="Georgia;Times;Serif"/>
                                  <w:b w:val="false"/>
                                  <w:i w:val="false"/>
                                  <w:caps w:val="false"/>
                                  <w:smallCaps w:val="false"/>
                                  <w:sz w:val="16"/>
                                </w:rPr>
                                <w:t>http://www.sec.gov/Archives/edgar/data/19617/000121390026113847</w:t>
                                <w:br/>
                                <w:t>/ea0310184-01_424b2.htm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63.2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80"/>
                        <w:gridCol w:w="8925"/>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1.00%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0"/>
                        <w:ind w:left="108" w:right="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305175" cy="2124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05175" cy="2124075"/>
                                    </a:xfrm>
                                    <a:prstGeom prst="rect">
                                      <a:avLst/>
                                    </a:prstGeom>
                                  </pic:spPr>
                                </pic:pic>
                              </a:graphicData>
                            </a:graphic>
                          </wp:inline>
                        </w:drawing>
                      </w:r>
                    </w:p>
                    <w:p>
                      <w:pPr>
                        <w:pStyle w:val="TextBody"/>
                        <w:bidi w:val="0"/>
                        <w:spacing w:before="80" w:after="4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is less than the threshold price, you will lose more than 30%, and possibly all, of the principal amount of your securities at maturity.</w:t>
                      </w:r>
                    </w:p>
                    <w:p>
                      <w:pPr>
                        <w:pStyle w:val="TextBody"/>
                        <w:bidi w:val="0"/>
                        <w:spacing w:before="80" w:after="4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spacing w:before="80" w:after="4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80" w:after="4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$958.90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80" w:after="40"/>
                        <w:ind w:left="108" w:right="0" w:hanging="0"/>
                        <w:jc w:val="left"/>
                        <w:rPr/>
                      </w:pPr>
                      <w:r>
                        <w:rPr>
                          <w:rFonts w:ascii="Georgia;Times;Serif" w:hAnsi="Georgia;Times;Serif"/>
                          <w:b w:val="false"/>
                          <w:i w:val="false"/>
                          <w:caps w:val="false"/>
                          <w:smallCaps w:val="false"/>
                          <w:sz w:val="16"/>
                        </w:rPr>
                        <w:t>Preliminary Pricing Supplement:</w:t>
                        <w:br/>
                      </w:r>
                      <w:hyperlink r:id="rId6">
                        <w:r>
                          <w:rPr>
                            <w:rStyle w:val="InternetLink"/>
                            <w:rFonts w:ascii="Georgia;Times;Serif" w:hAnsi="Georgia;Times;Serif"/>
                            <w:b w:val="false"/>
                            <w:i w:val="false"/>
                            <w:caps w:val="false"/>
                            <w:smallCaps w:val="false"/>
                            <w:sz w:val="16"/>
                          </w:rPr>
                          <w:t>http://www.sec.gov/Archives/edgar/data/19617/000121390026113847</w:t>
                          <w:br/>
                          <w:t>/ea0310184-01_424b2.htm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09"/>
        <w:gridCol w:w="5796"/>
      </w:tblGrid>
      <w:tr>
        <w:trPr/>
        <w:tc>
          <w:tcPr>
            <w:tcW w:w="4409"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30%, and Possibly All, of the Principal Amount of Your Securities at Maturity.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96"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Limited Trading History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the Underlying Stock and Therefore the Securities Are Subject to the Risks Associated with the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13847/ea0310184-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13847/ea0310184-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1553</Words>
  <Characters>8353</Characters>
  <CharactersWithSpaces>9946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