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jc w:val="center"/>
        <w:ind w:right="321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spacing w:after="0" w:line="167"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WASHINGTON, DC 20549</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 8-K</w:t>
      </w:r>
    </w:p>
    <w:p>
      <w:pPr>
        <w:spacing w:after="0" w:line="173"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4"/>
          <w:szCs w:val="14"/>
          <w:color w:val="auto"/>
        </w:rPr>
        <w:t>CURRENT REPORT PURSUANT TO SECTION 13 OR 15(d) OF</w:t>
      </w:r>
    </w:p>
    <w:p>
      <w:pPr>
        <w:spacing w:after="0" w:line="3"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SECURITIES EXCHANGE ACT OF 1934</w:t>
      </w:r>
    </w:p>
    <w:p>
      <w:pPr>
        <w:sectPr>
          <w:pgSz w:w="11900" w:h="16838" w:orient="portrait"/>
          <w:cols w:equalWidth="0" w:num="1">
            <w:col w:w="10239"/>
          </w:cols>
          <w:pgMar w:left="220" w:top="225" w:right="1440" w:bottom="1440" w:gutter="0" w:footer="0" w:header="0"/>
        </w:sectPr>
      </w:pPr>
    </w:p>
    <w:p>
      <w:pPr>
        <w:spacing w:after="0" w:line="341" w:lineRule="exact"/>
        <w:rPr>
          <w:sz w:val="24"/>
          <w:szCs w:val="24"/>
          <w:color w:val="auto"/>
        </w:rPr>
      </w:pPr>
    </w:p>
    <w:p>
      <w:pPr>
        <w:jc w:val="right"/>
        <w:ind w:right="860"/>
        <w:spacing w:after="0" w:line="234" w:lineRule="auto"/>
        <w:rPr>
          <w:sz w:val="20"/>
          <w:szCs w:val="20"/>
          <w:color w:val="auto"/>
        </w:rPr>
      </w:pPr>
      <w:r>
        <w:rPr>
          <w:rFonts w:ascii="Courier New" w:cs="Courier New" w:eastAsia="Courier New" w:hAnsi="Courier New"/>
          <w:sz w:val="15"/>
          <w:szCs w:val="15"/>
          <w:color w:val="auto"/>
        </w:rPr>
        <w:t>DATE OF REPORT DECEMBER 31,  2000 ------------------</w:t>
      </w:r>
    </w:p>
    <w:p>
      <w:pPr>
        <w:spacing w:after="0" w:line="20" w:lineRule="exact"/>
        <w:rPr>
          <w:sz w:val="24"/>
          <w:szCs w:val="24"/>
          <w:color w:val="auto"/>
        </w:rPr>
      </w:pPr>
      <w:r>
        <w:rPr>
          <w:sz w:val="24"/>
          <w:szCs w:val="24"/>
          <w:color w:val="auto"/>
        </w:rPr>
        <w:br w:type="column"/>
      </w:r>
    </w:p>
    <w:p>
      <w:pPr>
        <w:spacing w:after="0" w:line="321" w:lineRule="exact"/>
        <w:rPr>
          <w:sz w:val="24"/>
          <w:szCs w:val="24"/>
          <w:color w:val="auto"/>
        </w:rPr>
      </w:pPr>
    </w:p>
    <w:p>
      <w:pPr>
        <w:jc w:val="right"/>
        <w:ind w:right="3239"/>
        <w:spacing w:after="0"/>
        <w:rPr>
          <w:sz w:val="20"/>
          <w:szCs w:val="20"/>
          <w:color w:val="auto"/>
        </w:rPr>
      </w:pPr>
      <w:r>
        <w:rPr>
          <w:rFonts w:ascii="Courier New" w:cs="Courier New" w:eastAsia="Courier New" w:hAnsi="Courier New"/>
          <w:sz w:val="14"/>
          <w:szCs w:val="14"/>
          <w:color w:val="auto"/>
        </w:rPr>
        <w:t>COMMISSION FILE NUMBER 1-5805</w:t>
      </w:r>
    </w:p>
    <w:p>
      <w:pPr>
        <w:spacing w:after="0" w:line="3" w:lineRule="exact"/>
        <w:rPr>
          <w:sz w:val="24"/>
          <w:szCs w:val="24"/>
          <w:color w:val="auto"/>
        </w:rPr>
      </w:pPr>
    </w:p>
    <w:p>
      <w:pPr>
        <w:jc w:val="right"/>
        <w:ind w:right="323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ectPr>
          <w:pgSz w:w="11900" w:h="16838" w:orient="portrait"/>
          <w:cols w:equalWidth="0" w:num="2">
            <w:col w:w="3760" w:space="720"/>
            <w:col w:w="5759"/>
          </w:cols>
          <w:pgMar w:left="220" w:top="225" w:right="1440" w:bottom="1440" w:gutter="0" w:footer="0" w:header="0"/>
          <w:type w:val="continuous"/>
        </w:sectPr>
      </w:pPr>
    </w:p>
    <w:p>
      <w:pPr>
        <w:spacing w:after="0" w:line="135"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J.P. MORGAN CHASE &amp; CO.</w:t>
      </w:r>
    </w:p>
    <w:p>
      <w:pPr>
        <w:jc w:val="center"/>
        <w:ind w:right="321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ind w:left="1500"/>
              <w:spacing w:after="0"/>
              <w:rPr>
                <w:sz w:val="20"/>
                <w:szCs w:val="20"/>
                <w:color w:val="auto"/>
              </w:rPr>
            </w:pPr>
            <w:r>
              <w:rPr>
                <w:rFonts w:ascii="Courier New" w:cs="Courier New" w:eastAsia="Courier New" w:hAnsi="Courier New"/>
                <w:sz w:val="15"/>
                <w:szCs w:val="15"/>
                <w:color w:val="auto"/>
              </w:rPr>
              <w:t>DELAWARE</w:t>
            </w:r>
          </w:p>
        </w:tc>
        <w:tc>
          <w:tcPr>
            <w:tcW w:w="22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13-2624428</w:t>
            </w:r>
          </w:p>
        </w:tc>
      </w:tr>
      <w:tr>
        <w:trPr>
          <w:trHeight w:val="168"/>
        </w:trPr>
        <w:tc>
          <w:tcPr>
            <w:tcW w:w="43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226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3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(STATE OR OTHER JURISDICTION OF</w:t>
            </w:r>
          </w:p>
        </w:tc>
        <w:tc>
          <w:tcPr>
            <w:tcW w:w="2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(IRS EMPLOYER</w:t>
            </w:r>
          </w:p>
        </w:tc>
      </w:tr>
      <w:tr>
        <w:trPr>
          <w:trHeight w:val="168"/>
        </w:trPr>
        <w:tc>
          <w:tcPr>
            <w:tcW w:w="43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INCORPORATION OR ORGANIZATION)</w:t>
            </w:r>
          </w:p>
        </w:tc>
        <w:tc>
          <w:tcPr>
            <w:tcW w:w="226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w w:val="95"/>
              </w:rPr>
              <w:t>IDENTIFICATION NO.)</w:t>
            </w:r>
          </w:p>
        </w:tc>
      </w:tr>
      <w:tr>
        <w:trPr>
          <w:trHeight w:val="673"/>
        </w:trPr>
        <w:tc>
          <w:tcPr>
            <w:tcW w:w="4300" w:type="dxa"/>
            <w:vAlign w:val="bottom"/>
          </w:tcPr>
          <w:p>
            <w:pPr>
              <w:spacing w:after="0"/>
              <w:rPr>
                <w:sz w:val="20"/>
                <w:szCs w:val="20"/>
                <w:color w:val="auto"/>
              </w:rPr>
            </w:pPr>
            <w:r>
              <w:rPr>
                <w:rFonts w:ascii="Courier New" w:cs="Courier New" w:eastAsia="Courier New" w:hAnsi="Courier New"/>
                <w:sz w:val="15"/>
                <w:szCs w:val="15"/>
                <w:color w:val="auto"/>
              </w:rPr>
              <w:t>270 PARK AVENUE, NEW YORK, NEW YORK</w:t>
            </w:r>
          </w:p>
        </w:tc>
        <w:tc>
          <w:tcPr>
            <w:tcW w:w="2260" w:type="dxa"/>
            <w:vAlign w:val="bottom"/>
          </w:tcPr>
          <w:p>
            <w:pPr>
              <w:ind w:left="1220"/>
              <w:spacing w:after="0"/>
              <w:rPr>
                <w:sz w:val="20"/>
                <w:szCs w:val="20"/>
                <w:color w:val="auto"/>
              </w:rPr>
            </w:pPr>
            <w:r>
              <w:rPr>
                <w:rFonts w:ascii="Courier New" w:cs="Courier New" w:eastAsia="Courier New" w:hAnsi="Courier New"/>
                <w:sz w:val="15"/>
                <w:szCs w:val="15"/>
                <w:color w:val="auto"/>
              </w:rPr>
              <w:t>10017</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26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(ADDRESS OF PRINCIPAL EXECUTIVE OFFICES)</w:t>
            </w:r>
          </w:p>
        </w:tc>
        <w:tc>
          <w:tcPr>
            <w:tcW w:w="2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(ZIP CODE)</w:t>
            </w:r>
          </w:p>
        </w:tc>
      </w:tr>
    </w:tbl>
    <w:p>
      <w:pPr>
        <w:spacing w:after="0" w:line="200" w:lineRule="exact"/>
        <w:rPr>
          <w:sz w:val="24"/>
          <w:szCs w:val="24"/>
          <w:color w:val="auto"/>
        </w:rPr>
      </w:pPr>
    </w:p>
    <w:p>
      <w:pPr>
        <w:spacing w:after="0" w:line="303"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REGISTRANT'S TELEPHONE NUMBER, INCLUDING AREA CODE (212) 270-6000</w:t>
      </w:r>
    </w:p>
    <w:p>
      <w:pPr>
        <w:ind w:left="51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CHASE MANHATTAN CORPORATION</w:t>
      </w:r>
    </w:p>
    <w:p>
      <w:pPr>
        <w:ind w:left="880"/>
        <w:spacing w:after="0" w:line="237" w:lineRule="auto"/>
        <w:rPr>
          <w:sz w:val="20"/>
          <w:szCs w:val="20"/>
          <w:color w:val="auto"/>
        </w:rPr>
      </w:pPr>
      <w:r>
        <w:rPr>
          <w:rFonts w:ascii="Courier New" w:cs="Courier New" w:eastAsia="Courier New" w:hAnsi="Courier New"/>
          <w:sz w:val="15"/>
          <w:szCs w:val="15"/>
          <w:color w:val="auto"/>
        </w:rPr>
        <w:t>-------------------------------------------------------------</w:t>
      </w:r>
    </w:p>
    <w:p>
      <w:pPr>
        <w:ind w:left="880"/>
        <w:spacing w:after="0" w:line="238" w:lineRule="auto"/>
        <w:rPr>
          <w:sz w:val="20"/>
          <w:szCs w:val="20"/>
          <w:color w:val="auto"/>
        </w:rPr>
      </w:pPr>
      <w:r>
        <w:rPr>
          <w:rFonts w:ascii="Courier New" w:cs="Courier New" w:eastAsia="Courier New" w:hAnsi="Courier New"/>
          <w:sz w:val="15"/>
          <w:szCs w:val="15"/>
          <w:color w:val="auto"/>
        </w:rPr>
        <w:t>(FORMER NAME OR FORMER ADDRESS, IF CHANGED SINCE LAST REPORT)</w:t>
      </w:r>
    </w:p>
    <w:p>
      <w:pPr>
        <w:sectPr>
          <w:pgSz w:w="11900" w:h="16838" w:orient="portrait"/>
          <w:cols w:equalWidth="0" w:num="1">
            <w:col w:w="10239"/>
          </w:cols>
          <w:pgMar w:left="220" w:top="22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0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Acquisition or Disposition of Assets.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On December 31, 2000, J.P. Morgan &amp; Co. Incorporated ("J.P. Morgan") merged with and into The Chase Manhattan Corporation ("Chase"). Upon completion of the merger, Chase changed its name to "J.P. Morgan Chase &amp; Co." As a result of the merger, each outstanding share of common stock of J.P. Morgan was converted into 3.7 shares of common stock of J.P. Morgan Chase &amp; Co. and each outstanding share of preferred stock of J.P. Morgan was converted into a share of preferred stock of J.P. Morgan Chase &amp; Co. having substantially the same rights, powers and preferences as the J.P. Morgan preferred stock. A copy of the press release announcing the completion of the merger is filed as an exhibit hereto and incorporated by reference herein.</w:t>
      </w:r>
    </w:p>
    <w:p>
      <w:pPr>
        <w:spacing w:after="0" w:line="1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Other Events.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merger was accounted for as a pooling of interests. As a result, financial information following completion of the merger will present the combined results of Chase and J.P. Morgan as if the merger had been in effect for all periods presented. For informational purposes, we have attached as exhibits hereto pro forma combined financial data for Chase and J.P. Morgan for specified quarterly periods prior to the merger. This historical financial information does not reflect the anticipated merger-related charge of $1.2 billion to be taken at December 31, 2000, nor the cancellation and retirement of all remaining shares of J.P. Morgan's treasury stock, at the time of the merger.</w:t>
      </w:r>
    </w:p>
    <w:p>
      <w:pPr>
        <w:spacing w:after="0" w:line="15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Financial Statements, Pro Forma Financial Information and Exhibits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ind w:left="800" w:hanging="790"/>
        <w:spacing w:after="0"/>
        <w:tabs>
          <w:tab w:leader="none" w:pos="8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of Business Acquired</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right="3239" w:firstLine="797"/>
        <w:spacing w:after="0" w:line="235" w:lineRule="auto"/>
        <w:tabs>
          <w:tab w:leader="none" w:pos="1137" w:val="left"/>
        </w:tabs>
        <w:numPr>
          <w:ilvl w:val="1"/>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 of Independent Accountants to the Board of Directors and Stockholders of J.P. Morgan dated January 12, 2000 (incorporated by reference to Chase's Current Report on Form 8-K dated November 28, 2000).</w:t>
      </w:r>
    </w:p>
    <w:p>
      <w:pPr>
        <w:spacing w:after="0" w:line="173" w:lineRule="exact"/>
        <w:rPr>
          <w:rFonts w:ascii="Courier New" w:cs="Courier New" w:eastAsia="Courier New" w:hAnsi="Courier New"/>
          <w:sz w:val="15"/>
          <w:szCs w:val="15"/>
          <w:color w:val="auto"/>
        </w:rPr>
      </w:pPr>
    </w:p>
    <w:p>
      <w:pPr>
        <w:ind w:right="3239" w:firstLine="797"/>
        <w:spacing w:after="0" w:line="236" w:lineRule="auto"/>
        <w:tabs>
          <w:tab w:leader="none" w:pos="1137" w:val="left"/>
        </w:tabs>
        <w:numPr>
          <w:ilvl w:val="1"/>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audited consolidated balance sheet of J.P. Morgan and subsidiaries as of December 31, 1999 and 1998, and the related consolidated statements of income, cash flows and changes in stockholders' equity for each of the years in the three-year period ended December 31, 1999, and the consolidated statement of condition of Morgan Guaranty Trust Company of New York and its subsidiaries as of December 31, 1999 and 1998 (incorporated by reference to Chase's Current Report on Form 8-K dated November 28, 2000).</w:t>
      </w:r>
    </w:p>
    <w:p>
      <w:pPr>
        <w:spacing w:after="0" w:line="175" w:lineRule="exact"/>
        <w:rPr>
          <w:rFonts w:ascii="Courier New" w:cs="Courier New" w:eastAsia="Courier New" w:hAnsi="Courier New"/>
          <w:sz w:val="15"/>
          <w:szCs w:val="15"/>
          <w:color w:val="auto"/>
        </w:rPr>
      </w:pPr>
    </w:p>
    <w:p>
      <w:pPr>
        <w:ind w:right="3239" w:firstLine="797"/>
        <w:spacing w:after="0" w:line="255" w:lineRule="auto"/>
        <w:tabs>
          <w:tab w:leader="none" w:pos="1137" w:val="left"/>
        </w:tabs>
        <w:numPr>
          <w:ilvl w:val="1"/>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unaudited consolidated balance sheet of J.P. Morgan and subsidiaries as of September 30, 2000 and 1999 and the unaudited consolidated statements of income, cash flows and changes in stockholders' equity of J.P. Morgan and subsidiaries for the nine months ended September 30, 2000 and 1999, and the consolidated statement of condition of Morgan Guaranty Trust Company of New York and its subsidiaries as of September 30, 2000 and 1999 (incorporated by reference to Chase's Current Report on Form 8-K dated November 28, 2000).</w:t>
      </w:r>
    </w:p>
    <w:p>
      <w:pPr>
        <w:sectPr>
          <w:pgSz w:w="11900" w:h="16838" w:orient="portrait"/>
          <w:cols w:equalWidth="0" w:num="1">
            <w:col w:w="10239"/>
          </w:cols>
          <w:pgMar w:left="220" w:top="28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ind w:left="800" w:hanging="790"/>
        <w:spacing w:after="0" w:line="237" w:lineRule="auto"/>
        <w:tabs>
          <w:tab w:leader="none" w:pos="8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Financial Information</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right="3239" w:firstLine="797"/>
        <w:spacing w:after="0" w:line="236" w:lineRule="auto"/>
        <w:tabs>
          <w:tab w:leader="none" w:pos="1137"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Chase and J.P. Morgan unaudited pro forma combined statement of income summary, unaudited pro forma combined balance sheet at September 30, 2000, unaudited pro forma combined statements of income for each of the years in the three-year period ended December 31, 1999 and for the nine months ended September 30, 2000 and 1999, and the notes to unaudited pro forma combined financial statements (incorporated by reference to Chase's Current Report on Form 8-K dated November 28, 2000).</w:t>
      </w:r>
    </w:p>
    <w:p>
      <w:pPr>
        <w:spacing w:after="0" w:line="337"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exhibits are filed with this report.</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20"/>
                <w:szCs w:val="20"/>
                <w:color w:val="auto"/>
              </w:rPr>
            </w:pPr>
            <w:r>
              <w:rPr>
                <w:rFonts w:ascii="Courier New" w:cs="Courier New" w:eastAsia="Courier New" w:hAnsi="Courier New"/>
                <w:sz w:val="15"/>
                <w:szCs w:val="15"/>
                <w:color w:val="auto"/>
              </w:rPr>
              <w:t>Exhibit Number</w:t>
            </w:r>
          </w:p>
        </w:tc>
        <w:tc>
          <w:tcPr>
            <w:tcW w:w="6720" w:type="dxa"/>
            <w:vAlign w:val="bottom"/>
          </w:tcPr>
          <w:p>
            <w:pPr>
              <w:ind w:left="520"/>
              <w:spacing w:after="0"/>
              <w:rPr>
                <w:sz w:val="20"/>
                <w:szCs w:val="20"/>
                <w:color w:val="auto"/>
              </w:rPr>
            </w:pPr>
            <w:r>
              <w:rPr>
                <w:rFonts w:ascii="Courier New" w:cs="Courier New" w:eastAsia="Courier New" w:hAnsi="Courier New"/>
                <w:sz w:val="15"/>
                <w:szCs w:val="15"/>
                <w:color w:val="auto"/>
              </w:rPr>
              <w:t>Description</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67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6720" w:type="dxa"/>
            <w:vAlign w:val="bottom"/>
          </w:tcPr>
          <w:p>
            <w:pPr>
              <w:ind w:left="520"/>
              <w:spacing w:after="0"/>
              <w:rPr>
                <w:sz w:val="20"/>
                <w:szCs w:val="20"/>
                <w:color w:val="auto"/>
              </w:rPr>
            </w:pPr>
            <w:r>
              <w:rPr>
                <w:rFonts w:ascii="Courier New" w:cs="Courier New" w:eastAsia="Courier New" w:hAnsi="Courier New"/>
                <w:sz w:val="15"/>
                <w:szCs w:val="15"/>
                <w:color w:val="auto"/>
                <w:w w:val="99"/>
              </w:rPr>
              <w:t>Agreement and Plan of Merger, dated as of September 12, 2000, between</w:t>
            </w:r>
          </w:p>
        </w:tc>
      </w:tr>
      <w:tr>
        <w:trPr>
          <w:trHeight w:val="168"/>
        </w:trPr>
        <w:tc>
          <w:tcPr>
            <w:tcW w:w="1940" w:type="dxa"/>
            <w:vAlign w:val="bottom"/>
          </w:tcPr>
          <w:p>
            <w:pPr>
              <w:spacing w:after="0"/>
              <w:rPr>
                <w:sz w:val="14"/>
                <w:szCs w:val="14"/>
                <w:color w:val="auto"/>
              </w:rPr>
            </w:pPr>
          </w:p>
        </w:tc>
        <w:tc>
          <w:tcPr>
            <w:tcW w:w="67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The Chase Manhattan Corporation and J.P. Morgan &amp; Co. Incorporated</w:t>
            </w:r>
          </w:p>
        </w:tc>
      </w:tr>
      <w:tr>
        <w:trPr>
          <w:trHeight w:val="168"/>
        </w:trPr>
        <w:tc>
          <w:tcPr>
            <w:tcW w:w="1940" w:type="dxa"/>
            <w:vAlign w:val="bottom"/>
          </w:tcPr>
          <w:p>
            <w:pPr>
              <w:spacing w:after="0"/>
              <w:rPr>
                <w:sz w:val="14"/>
                <w:szCs w:val="14"/>
                <w:color w:val="auto"/>
              </w:rPr>
            </w:pPr>
          </w:p>
        </w:tc>
        <w:tc>
          <w:tcPr>
            <w:tcW w:w="67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(incorporated by reference to Current Report on Form 8-K of The Chase</w:t>
            </w:r>
          </w:p>
        </w:tc>
      </w:tr>
      <w:tr>
        <w:trPr>
          <w:trHeight w:val="168"/>
        </w:trPr>
        <w:tc>
          <w:tcPr>
            <w:tcW w:w="1940" w:type="dxa"/>
            <w:vAlign w:val="bottom"/>
          </w:tcPr>
          <w:p>
            <w:pPr>
              <w:spacing w:after="0"/>
              <w:rPr>
                <w:sz w:val="14"/>
                <w:szCs w:val="14"/>
                <w:color w:val="auto"/>
              </w:rPr>
            </w:pPr>
          </w:p>
        </w:tc>
        <w:tc>
          <w:tcPr>
            <w:tcW w:w="67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6"/>
              </w:rPr>
              <w:t>Manhattan Corporation, dated September 12, 2000 and filed September 18,</w:t>
            </w:r>
          </w:p>
        </w:tc>
      </w:tr>
      <w:tr>
        <w:trPr>
          <w:trHeight w:val="168"/>
        </w:trPr>
        <w:tc>
          <w:tcPr>
            <w:tcW w:w="1940" w:type="dxa"/>
            <w:vAlign w:val="bottom"/>
          </w:tcPr>
          <w:p>
            <w:pPr>
              <w:spacing w:after="0"/>
              <w:rPr>
                <w:sz w:val="14"/>
                <w:szCs w:val="14"/>
                <w:color w:val="auto"/>
              </w:rPr>
            </w:pPr>
          </w:p>
        </w:tc>
        <w:tc>
          <w:tcPr>
            <w:tcW w:w="67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2000).</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99.1</w:t>
            </w:r>
          </w:p>
        </w:tc>
        <w:tc>
          <w:tcPr>
            <w:tcW w:w="6720" w:type="dxa"/>
            <w:vAlign w:val="bottom"/>
          </w:tcPr>
          <w:p>
            <w:pPr>
              <w:ind w:left="520"/>
              <w:spacing w:after="0"/>
              <w:rPr>
                <w:sz w:val="20"/>
                <w:szCs w:val="20"/>
                <w:color w:val="auto"/>
              </w:rPr>
            </w:pPr>
            <w:r>
              <w:rPr>
                <w:rFonts w:ascii="Courier New" w:cs="Courier New" w:eastAsia="Courier New" w:hAnsi="Courier New"/>
                <w:sz w:val="15"/>
                <w:szCs w:val="15"/>
                <w:color w:val="auto"/>
              </w:rPr>
              <w:t>Press Release.</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99.2</w:t>
            </w:r>
          </w:p>
        </w:tc>
        <w:tc>
          <w:tcPr>
            <w:tcW w:w="6720" w:type="dxa"/>
            <w:vAlign w:val="bottom"/>
          </w:tcPr>
          <w:p>
            <w:pPr>
              <w:ind w:left="520"/>
              <w:spacing w:after="0"/>
              <w:rPr>
                <w:sz w:val="20"/>
                <w:szCs w:val="20"/>
                <w:color w:val="auto"/>
              </w:rPr>
            </w:pPr>
            <w:r>
              <w:rPr>
                <w:rFonts w:ascii="Courier New" w:cs="Courier New" w:eastAsia="Courier New" w:hAnsi="Courier New"/>
                <w:sz w:val="15"/>
                <w:szCs w:val="15"/>
                <w:color w:val="auto"/>
                <w:w w:val="98"/>
              </w:rPr>
              <w:t>Supplemental unaudited pro forma combined statements of income of J.P.</w:t>
            </w:r>
          </w:p>
        </w:tc>
      </w:tr>
      <w:tr>
        <w:trPr>
          <w:trHeight w:val="168"/>
        </w:trPr>
        <w:tc>
          <w:tcPr>
            <w:tcW w:w="1940" w:type="dxa"/>
            <w:vAlign w:val="bottom"/>
          </w:tcPr>
          <w:p>
            <w:pPr>
              <w:spacing w:after="0"/>
              <w:rPr>
                <w:sz w:val="14"/>
                <w:szCs w:val="14"/>
                <w:color w:val="auto"/>
              </w:rPr>
            </w:pPr>
          </w:p>
        </w:tc>
        <w:tc>
          <w:tcPr>
            <w:tcW w:w="67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Morgan Chase &amp; Co.</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99.3</w:t>
            </w:r>
          </w:p>
        </w:tc>
        <w:tc>
          <w:tcPr>
            <w:tcW w:w="6720" w:type="dxa"/>
            <w:vAlign w:val="bottom"/>
          </w:tcPr>
          <w:p>
            <w:pPr>
              <w:ind w:left="520"/>
              <w:spacing w:after="0"/>
              <w:rPr>
                <w:sz w:val="20"/>
                <w:szCs w:val="20"/>
                <w:color w:val="auto"/>
              </w:rPr>
            </w:pPr>
            <w:r>
              <w:rPr>
                <w:rFonts w:ascii="Courier New" w:cs="Courier New" w:eastAsia="Courier New" w:hAnsi="Courier New"/>
                <w:sz w:val="15"/>
                <w:szCs w:val="15"/>
                <w:color w:val="auto"/>
                <w:w w:val="98"/>
              </w:rPr>
              <w:t>Supplemental unaudited pro forma combined balance sheet of J.P. Morgan</w:t>
            </w:r>
          </w:p>
        </w:tc>
      </w:tr>
      <w:tr>
        <w:trPr>
          <w:trHeight w:val="168"/>
        </w:trPr>
        <w:tc>
          <w:tcPr>
            <w:tcW w:w="1940" w:type="dxa"/>
            <w:vAlign w:val="bottom"/>
          </w:tcPr>
          <w:p>
            <w:pPr>
              <w:spacing w:after="0"/>
              <w:rPr>
                <w:sz w:val="14"/>
                <w:szCs w:val="14"/>
                <w:color w:val="auto"/>
              </w:rPr>
            </w:pPr>
          </w:p>
        </w:tc>
        <w:tc>
          <w:tcPr>
            <w:tcW w:w="67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Chase &amp; Co.</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99.4</w:t>
            </w:r>
          </w:p>
        </w:tc>
        <w:tc>
          <w:tcPr>
            <w:tcW w:w="6720" w:type="dxa"/>
            <w:vAlign w:val="bottom"/>
          </w:tcPr>
          <w:p>
            <w:pPr>
              <w:ind w:left="520"/>
              <w:spacing w:after="0"/>
              <w:rPr>
                <w:sz w:val="20"/>
                <w:szCs w:val="20"/>
                <w:color w:val="auto"/>
              </w:rPr>
            </w:pPr>
            <w:r>
              <w:rPr>
                <w:rFonts w:ascii="Courier New" w:cs="Courier New" w:eastAsia="Courier New" w:hAnsi="Courier New"/>
                <w:sz w:val="15"/>
                <w:szCs w:val="15"/>
                <w:color w:val="auto"/>
              </w:rPr>
              <w:t>Report of Independent Accountants to the Board of Directors and</w:t>
            </w:r>
          </w:p>
        </w:tc>
      </w:tr>
      <w:tr>
        <w:trPr>
          <w:trHeight w:val="168"/>
        </w:trPr>
        <w:tc>
          <w:tcPr>
            <w:tcW w:w="1940" w:type="dxa"/>
            <w:vAlign w:val="bottom"/>
          </w:tcPr>
          <w:p>
            <w:pPr>
              <w:spacing w:after="0"/>
              <w:rPr>
                <w:sz w:val="14"/>
                <w:szCs w:val="14"/>
                <w:color w:val="auto"/>
              </w:rPr>
            </w:pPr>
          </w:p>
        </w:tc>
        <w:tc>
          <w:tcPr>
            <w:tcW w:w="67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Stockholders of J.P. Morgan dated January 12, 2000 (incorporated by</w:t>
            </w:r>
          </w:p>
        </w:tc>
      </w:tr>
      <w:tr>
        <w:trPr>
          <w:trHeight w:val="168"/>
        </w:trPr>
        <w:tc>
          <w:tcPr>
            <w:tcW w:w="1940" w:type="dxa"/>
            <w:vAlign w:val="bottom"/>
          </w:tcPr>
          <w:p>
            <w:pPr>
              <w:spacing w:after="0"/>
              <w:rPr>
                <w:sz w:val="14"/>
                <w:szCs w:val="14"/>
                <w:color w:val="auto"/>
              </w:rPr>
            </w:pPr>
          </w:p>
        </w:tc>
        <w:tc>
          <w:tcPr>
            <w:tcW w:w="67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reference to Chase's Current Report on Form 8-K dated November 28,</w:t>
            </w:r>
          </w:p>
        </w:tc>
      </w:tr>
      <w:tr>
        <w:trPr>
          <w:trHeight w:val="168"/>
        </w:trPr>
        <w:tc>
          <w:tcPr>
            <w:tcW w:w="1940" w:type="dxa"/>
            <w:vAlign w:val="bottom"/>
          </w:tcPr>
          <w:p>
            <w:pPr>
              <w:spacing w:after="0"/>
              <w:rPr>
                <w:sz w:val="14"/>
                <w:szCs w:val="14"/>
                <w:color w:val="auto"/>
              </w:rPr>
            </w:pPr>
          </w:p>
        </w:tc>
        <w:tc>
          <w:tcPr>
            <w:tcW w:w="67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2000).</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99.5</w:t>
            </w:r>
          </w:p>
        </w:tc>
        <w:tc>
          <w:tcPr>
            <w:tcW w:w="6720" w:type="dxa"/>
            <w:vAlign w:val="bottom"/>
          </w:tcPr>
          <w:p>
            <w:pPr>
              <w:ind w:left="520"/>
              <w:spacing w:after="0"/>
              <w:rPr>
                <w:sz w:val="20"/>
                <w:szCs w:val="20"/>
                <w:color w:val="auto"/>
              </w:rPr>
            </w:pPr>
            <w:r>
              <w:rPr>
                <w:rFonts w:ascii="Courier New" w:cs="Courier New" w:eastAsia="Courier New" w:hAnsi="Courier New"/>
                <w:sz w:val="15"/>
                <w:szCs w:val="15"/>
                <w:color w:val="auto"/>
                <w:w w:val="98"/>
              </w:rPr>
              <w:t>The audited consolidated balance sheet of J.P. Morgan and subsidiaries</w:t>
            </w:r>
          </w:p>
        </w:tc>
      </w:tr>
      <w:tr>
        <w:trPr>
          <w:trHeight w:val="168"/>
        </w:trPr>
        <w:tc>
          <w:tcPr>
            <w:tcW w:w="1940" w:type="dxa"/>
            <w:vAlign w:val="bottom"/>
          </w:tcPr>
          <w:p>
            <w:pPr>
              <w:spacing w:after="0"/>
              <w:rPr>
                <w:sz w:val="14"/>
                <w:szCs w:val="14"/>
                <w:color w:val="auto"/>
              </w:rPr>
            </w:pPr>
          </w:p>
        </w:tc>
        <w:tc>
          <w:tcPr>
            <w:tcW w:w="67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as of December 31, 1999 and 1998, and the related consolidated</w:t>
            </w:r>
          </w:p>
        </w:tc>
      </w:tr>
      <w:tr>
        <w:trPr>
          <w:trHeight w:val="168"/>
        </w:trPr>
        <w:tc>
          <w:tcPr>
            <w:tcW w:w="1940" w:type="dxa"/>
            <w:vAlign w:val="bottom"/>
          </w:tcPr>
          <w:p>
            <w:pPr>
              <w:spacing w:after="0"/>
              <w:rPr>
                <w:sz w:val="14"/>
                <w:szCs w:val="14"/>
                <w:color w:val="auto"/>
              </w:rPr>
            </w:pPr>
          </w:p>
        </w:tc>
        <w:tc>
          <w:tcPr>
            <w:tcW w:w="67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statements of income, cash flows and changes in stockholders' equity</w:t>
            </w:r>
          </w:p>
        </w:tc>
      </w:tr>
      <w:tr>
        <w:trPr>
          <w:trHeight w:val="168"/>
        </w:trPr>
        <w:tc>
          <w:tcPr>
            <w:tcW w:w="1940" w:type="dxa"/>
            <w:vAlign w:val="bottom"/>
          </w:tcPr>
          <w:p>
            <w:pPr>
              <w:spacing w:after="0"/>
              <w:rPr>
                <w:sz w:val="14"/>
                <w:szCs w:val="14"/>
                <w:color w:val="auto"/>
              </w:rPr>
            </w:pPr>
          </w:p>
        </w:tc>
        <w:tc>
          <w:tcPr>
            <w:tcW w:w="67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6"/>
              </w:rPr>
              <w:t>for each of the years in the three-year period ended December 31, 1999,</w:t>
            </w:r>
          </w:p>
        </w:tc>
      </w:tr>
      <w:tr>
        <w:trPr>
          <w:trHeight w:val="168"/>
        </w:trPr>
        <w:tc>
          <w:tcPr>
            <w:tcW w:w="1940" w:type="dxa"/>
            <w:vAlign w:val="bottom"/>
          </w:tcPr>
          <w:p>
            <w:pPr>
              <w:spacing w:after="0"/>
              <w:rPr>
                <w:sz w:val="14"/>
                <w:szCs w:val="14"/>
                <w:color w:val="auto"/>
              </w:rPr>
            </w:pPr>
          </w:p>
        </w:tc>
        <w:tc>
          <w:tcPr>
            <w:tcW w:w="67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and the consolidated statement of condition of Morgan Guaranty Trust</w:t>
            </w:r>
          </w:p>
        </w:tc>
      </w:tr>
      <w:tr>
        <w:trPr>
          <w:trHeight w:val="168"/>
        </w:trPr>
        <w:tc>
          <w:tcPr>
            <w:tcW w:w="1940" w:type="dxa"/>
            <w:vAlign w:val="bottom"/>
          </w:tcPr>
          <w:p>
            <w:pPr>
              <w:spacing w:after="0"/>
              <w:rPr>
                <w:sz w:val="14"/>
                <w:szCs w:val="14"/>
                <w:color w:val="auto"/>
              </w:rPr>
            </w:pPr>
          </w:p>
        </w:tc>
        <w:tc>
          <w:tcPr>
            <w:tcW w:w="67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Company of New York and its subsidiaries as of December 31, 1999 and</w:t>
            </w:r>
          </w:p>
        </w:tc>
      </w:tr>
      <w:tr>
        <w:trPr>
          <w:trHeight w:val="168"/>
        </w:trPr>
        <w:tc>
          <w:tcPr>
            <w:tcW w:w="1940" w:type="dxa"/>
            <w:vAlign w:val="bottom"/>
          </w:tcPr>
          <w:p>
            <w:pPr>
              <w:spacing w:after="0"/>
              <w:rPr>
                <w:sz w:val="14"/>
                <w:szCs w:val="14"/>
                <w:color w:val="auto"/>
              </w:rPr>
            </w:pPr>
          </w:p>
        </w:tc>
        <w:tc>
          <w:tcPr>
            <w:tcW w:w="67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1998 (incorporated by reference to Chase's Current Report on Form 8-K</w:t>
            </w:r>
          </w:p>
        </w:tc>
      </w:tr>
      <w:tr>
        <w:trPr>
          <w:trHeight w:val="168"/>
        </w:trPr>
        <w:tc>
          <w:tcPr>
            <w:tcW w:w="1940" w:type="dxa"/>
            <w:vAlign w:val="bottom"/>
          </w:tcPr>
          <w:p>
            <w:pPr>
              <w:spacing w:after="0"/>
              <w:rPr>
                <w:sz w:val="14"/>
                <w:szCs w:val="14"/>
                <w:color w:val="auto"/>
              </w:rPr>
            </w:pPr>
          </w:p>
        </w:tc>
        <w:tc>
          <w:tcPr>
            <w:tcW w:w="67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dated November 28, 2000).</w:t>
            </w:r>
          </w:p>
        </w:tc>
      </w:tr>
    </w:tbl>
    <w:p>
      <w:pPr>
        <w:sectPr>
          <w:pgSz w:w="11900" w:h="16838" w:orient="portrait"/>
          <w:cols w:equalWidth="0" w:num="1">
            <w:col w:w="10239"/>
          </w:cols>
          <w:pgMar w:left="220" w:top="281" w:right="1440"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4</w:t>
            </w:r>
          </w:p>
        </w:tc>
        <w:tc>
          <w:tcPr>
            <w:tcW w:w="504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673"/>
        </w:trPr>
        <w:tc>
          <w:tcPr>
            <w:tcW w:w="1400" w:type="dxa"/>
            <w:vAlign w:val="bottom"/>
          </w:tcPr>
          <w:p>
            <w:pPr>
              <w:jc w:val="right"/>
              <w:ind w:right="967"/>
              <w:spacing w:after="0"/>
              <w:rPr>
                <w:sz w:val="20"/>
                <w:szCs w:val="20"/>
                <w:color w:val="auto"/>
              </w:rPr>
            </w:pPr>
            <w:r>
              <w:rPr>
                <w:rFonts w:ascii="Courier New" w:cs="Courier New" w:eastAsia="Courier New" w:hAnsi="Courier New"/>
                <w:sz w:val="15"/>
                <w:szCs w:val="15"/>
                <w:color w:val="auto"/>
                <w:w w:val="94"/>
              </w:rPr>
              <w:t>99.6</w:t>
            </w:r>
          </w:p>
        </w:tc>
        <w:tc>
          <w:tcPr>
            <w:tcW w:w="7260" w:type="dxa"/>
            <w:vAlign w:val="bottom"/>
            <w:gridSpan w:val="2"/>
          </w:tcPr>
          <w:p>
            <w:pPr>
              <w:ind w:left="1060"/>
              <w:spacing w:after="0"/>
              <w:rPr>
                <w:sz w:val="20"/>
                <w:szCs w:val="20"/>
                <w:color w:val="auto"/>
              </w:rPr>
            </w:pPr>
            <w:r>
              <w:rPr>
                <w:rFonts w:ascii="Courier New" w:cs="Courier New" w:eastAsia="Courier New" w:hAnsi="Courier New"/>
                <w:sz w:val="15"/>
                <w:szCs w:val="15"/>
                <w:color w:val="auto"/>
              </w:rPr>
              <w:t>The unaudited consolidated balance sheet of J.P. Morgan and</w:t>
            </w:r>
          </w:p>
        </w:tc>
      </w:tr>
      <w:tr>
        <w:trPr>
          <w:trHeight w:val="168"/>
        </w:trPr>
        <w:tc>
          <w:tcPr>
            <w:tcW w:w="1400" w:type="dxa"/>
            <w:vAlign w:val="bottom"/>
          </w:tcPr>
          <w:p>
            <w:pPr>
              <w:spacing w:after="0"/>
              <w:rPr>
                <w:sz w:val="14"/>
                <w:szCs w:val="14"/>
                <w:color w:val="auto"/>
              </w:rPr>
            </w:pPr>
          </w:p>
        </w:tc>
        <w:tc>
          <w:tcPr>
            <w:tcW w:w="7260" w:type="dxa"/>
            <w:vAlign w:val="bottom"/>
            <w:gridSpan w:val="2"/>
          </w:tcPr>
          <w:p>
            <w:pPr>
              <w:ind w:left="1060"/>
              <w:spacing w:after="0" w:line="168" w:lineRule="exact"/>
              <w:rPr>
                <w:sz w:val="20"/>
                <w:szCs w:val="20"/>
                <w:color w:val="auto"/>
              </w:rPr>
            </w:pPr>
            <w:r>
              <w:rPr>
                <w:rFonts w:ascii="Courier New" w:cs="Courier New" w:eastAsia="Courier New" w:hAnsi="Courier New"/>
                <w:sz w:val="15"/>
                <w:szCs w:val="15"/>
                <w:color w:val="auto"/>
              </w:rPr>
              <w:t>subsidiaries as of September 30, 2000 and 1999 and the unaudited</w:t>
            </w:r>
          </w:p>
        </w:tc>
      </w:tr>
      <w:tr>
        <w:trPr>
          <w:trHeight w:val="168"/>
        </w:trPr>
        <w:tc>
          <w:tcPr>
            <w:tcW w:w="1400" w:type="dxa"/>
            <w:vAlign w:val="bottom"/>
          </w:tcPr>
          <w:p>
            <w:pPr>
              <w:spacing w:after="0"/>
              <w:rPr>
                <w:sz w:val="14"/>
                <w:szCs w:val="14"/>
                <w:color w:val="auto"/>
              </w:rPr>
            </w:pPr>
          </w:p>
        </w:tc>
        <w:tc>
          <w:tcPr>
            <w:tcW w:w="50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w w:val="97"/>
              </w:rPr>
              <w:t>consolidated statements of income, cash flows</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changes in</w:t>
            </w:r>
          </w:p>
        </w:tc>
      </w:tr>
      <w:tr>
        <w:trPr>
          <w:trHeight w:val="168"/>
        </w:trPr>
        <w:tc>
          <w:tcPr>
            <w:tcW w:w="1400" w:type="dxa"/>
            <w:vAlign w:val="bottom"/>
          </w:tcPr>
          <w:p>
            <w:pPr>
              <w:spacing w:after="0"/>
              <w:rPr>
                <w:sz w:val="14"/>
                <w:szCs w:val="14"/>
                <w:color w:val="auto"/>
              </w:rPr>
            </w:pPr>
          </w:p>
        </w:tc>
        <w:tc>
          <w:tcPr>
            <w:tcW w:w="7260" w:type="dxa"/>
            <w:vAlign w:val="bottom"/>
            <w:gridSpan w:val="2"/>
          </w:tcPr>
          <w:p>
            <w:pPr>
              <w:ind w:left="1060"/>
              <w:spacing w:after="0" w:line="168" w:lineRule="exact"/>
              <w:rPr>
                <w:sz w:val="20"/>
                <w:szCs w:val="20"/>
                <w:color w:val="auto"/>
              </w:rPr>
            </w:pPr>
            <w:r>
              <w:rPr>
                <w:rFonts w:ascii="Courier New" w:cs="Courier New" w:eastAsia="Courier New" w:hAnsi="Courier New"/>
                <w:sz w:val="15"/>
                <w:szCs w:val="15"/>
                <w:color w:val="auto"/>
              </w:rPr>
              <w:t>stockholders' equity of J.P. Morgan and subsidiaries for the nine</w:t>
            </w:r>
          </w:p>
        </w:tc>
      </w:tr>
      <w:tr>
        <w:trPr>
          <w:trHeight w:val="168"/>
        </w:trPr>
        <w:tc>
          <w:tcPr>
            <w:tcW w:w="1400" w:type="dxa"/>
            <w:vAlign w:val="bottom"/>
          </w:tcPr>
          <w:p>
            <w:pPr>
              <w:spacing w:after="0"/>
              <w:rPr>
                <w:sz w:val="14"/>
                <w:szCs w:val="14"/>
                <w:color w:val="auto"/>
              </w:rPr>
            </w:pPr>
          </w:p>
        </w:tc>
        <w:tc>
          <w:tcPr>
            <w:tcW w:w="50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w w:val="97"/>
              </w:rPr>
              <w:t>months ended September 30, 2000 and 1999, and</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consolidated</w:t>
            </w:r>
          </w:p>
        </w:tc>
      </w:tr>
      <w:tr>
        <w:trPr>
          <w:trHeight w:val="168"/>
        </w:trPr>
        <w:tc>
          <w:tcPr>
            <w:tcW w:w="1400" w:type="dxa"/>
            <w:vAlign w:val="bottom"/>
          </w:tcPr>
          <w:p>
            <w:pPr>
              <w:spacing w:after="0"/>
              <w:rPr>
                <w:sz w:val="14"/>
                <w:szCs w:val="14"/>
                <w:color w:val="auto"/>
              </w:rPr>
            </w:pPr>
          </w:p>
        </w:tc>
        <w:tc>
          <w:tcPr>
            <w:tcW w:w="7260" w:type="dxa"/>
            <w:vAlign w:val="bottom"/>
            <w:gridSpan w:val="2"/>
          </w:tcPr>
          <w:p>
            <w:pPr>
              <w:ind w:left="1060"/>
              <w:spacing w:after="0" w:line="168" w:lineRule="exact"/>
              <w:rPr>
                <w:sz w:val="20"/>
                <w:szCs w:val="20"/>
                <w:color w:val="auto"/>
              </w:rPr>
            </w:pPr>
            <w:r>
              <w:rPr>
                <w:rFonts w:ascii="Courier New" w:cs="Courier New" w:eastAsia="Courier New" w:hAnsi="Courier New"/>
                <w:sz w:val="15"/>
                <w:szCs w:val="15"/>
                <w:color w:val="auto"/>
                <w:w w:val="96"/>
              </w:rPr>
              <w:t>statement of condition of Morgan Guaranty Trust Company of New York and</w:t>
            </w:r>
          </w:p>
        </w:tc>
      </w:tr>
      <w:tr>
        <w:trPr>
          <w:trHeight w:val="168"/>
        </w:trPr>
        <w:tc>
          <w:tcPr>
            <w:tcW w:w="1400" w:type="dxa"/>
            <w:vAlign w:val="bottom"/>
          </w:tcPr>
          <w:p>
            <w:pPr>
              <w:spacing w:after="0"/>
              <w:rPr>
                <w:sz w:val="14"/>
                <w:szCs w:val="14"/>
                <w:color w:val="auto"/>
              </w:rPr>
            </w:pPr>
          </w:p>
        </w:tc>
        <w:tc>
          <w:tcPr>
            <w:tcW w:w="50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w w:val="97"/>
              </w:rPr>
              <w:t>its subsidiaries as of September 30, 2000 and</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1999 (incorporated by</w:t>
            </w:r>
          </w:p>
        </w:tc>
      </w:tr>
      <w:tr>
        <w:trPr>
          <w:trHeight w:val="168"/>
        </w:trPr>
        <w:tc>
          <w:tcPr>
            <w:tcW w:w="1400" w:type="dxa"/>
            <w:vAlign w:val="bottom"/>
          </w:tcPr>
          <w:p>
            <w:pPr>
              <w:spacing w:after="0"/>
              <w:rPr>
                <w:sz w:val="14"/>
                <w:szCs w:val="14"/>
                <w:color w:val="auto"/>
              </w:rPr>
            </w:pPr>
          </w:p>
        </w:tc>
        <w:tc>
          <w:tcPr>
            <w:tcW w:w="7260" w:type="dxa"/>
            <w:vAlign w:val="bottom"/>
            <w:gridSpan w:val="2"/>
          </w:tcPr>
          <w:p>
            <w:pPr>
              <w:ind w:left="1060"/>
              <w:spacing w:after="0" w:line="168" w:lineRule="exact"/>
              <w:rPr>
                <w:sz w:val="20"/>
                <w:szCs w:val="20"/>
                <w:color w:val="auto"/>
              </w:rPr>
            </w:pPr>
            <w:r>
              <w:rPr>
                <w:rFonts w:ascii="Courier New" w:cs="Courier New" w:eastAsia="Courier New" w:hAnsi="Courier New"/>
                <w:sz w:val="15"/>
                <w:szCs w:val="15"/>
                <w:color w:val="auto"/>
              </w:rPr>
              <w:t>reference to Chase's Current Report on Form 8-K dated November 28,</w:t>
            </w:r>
          </w:p>
        </w:tc>
      </w:tr>
      <w:tr>
        <w:trPr>
          <w:trHeight w:val="168"/>
        </w:trPr>
        <w:tc>
          <w:tcPr>
            <w:tcW w:w="1400" w:type="dxa"/>
            <w:vAlign w:val="bottom"/>
          </w:tcPr>
          <w:p>
            <w:pPr>
              <w:spacing w:after="0"/>
              <w:rPr>
                <w:sz w:val="14"/>
                <w:szCs w:val="14"/>
                <w:color w:val="auto"/>
              </w:rPr>
            </w:pPr>
          </w:p>
        </w:tc>
        <w:tc>
          <w:tcPr>
            <w:tcW w:w="50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2000).</w:t>
            </w:r>
          </w:p>
        </w:tc>
        <w:tc>
          <w:tcPr>
            <w:tcW w:w="2220" w:type="dxa"/>
            <w:vAlign w:val="bottom"/>
          </w:tcPr>
          <w:p>
            <w:pPr>
              <w:spacing w:after="0"/>
              <w:rPr>
                <w:sz w:val="14"/>
                <w:szCs w:val="14"/>
                <w:color w:val="auto"/>
              </w:rPr>
            </w:pPr>
          </w:p>
        </w:tc>
      </w:tr>
      <w:tr>
        <w:trPr>
          <w:trHeight w:val="336"/>
        </w:trPr>
        <w:tc>
          <w:tcPr>
            <w:tcW w:w="1400" w:type="dxa"/>
            <w:vAlign w:val="bottom"/>
          </w:tcPr>
          <w:p>
            <w:pPr>
              <w:jc w:val="right"/>
              <w:ind w:right="967"/>
              <w:spacing w:after="0"/>
              <w:rPr>
                <w:sz w:val="20"/>
                <w:szCs w:val="20"/>
                <w:color w:val="auto"/>
              </w:rPr>
            </w:pPr>
            <w:r>
              <w:rPr>
                <w:rFonts w:ascii="Courier New" w:cs="Courier New" w:eastAsia="Courier New" w:hAnsi="Courier New"/>
                <w:sz w:val="15"/>
                <w:szCs w:val="15"/>
                <w:color w:val="auto"/>
                <w:w w:val="94"/>
              </w:rPr>
              <w:t>99.7</w:t>
            </w:r>
          </w:p>
        </w:tc>
        <w:tc>
          <w:tcPr>
            <w:tcW w:w="7260" w:type="dxa"/>
            <w:vAlign w:val="bottom"/>
            <w:gridSpan w:val="2"/>
          </w:tcPr>
          <w:p>
            <w:pPr>
              <w:ind w:left="1060"/>
              <w:spacing w:after="0"/>
              <w:rPr>
                <w:sz w:val="20"/>
                <w:szCs w:val="20"/>
                <w:color w:val="auto"/>
              </w:rPr>
            </w:pPr>
            <w:r>
              <w:rPr>
                <w:rFonts w:ascii="Courier New" w:cs="Courier New" w:eastAsia="Courier New" w:hAnsi="Courier New"/>
                <w:sz w:val="15"/>
                <w:szCs w:val="15"/>
                <w:color w:val="auto"/>
                <w:w w:val="98"/>
              </w:rPr>
              <w:t>Chase and J.P. Morgan unaudited pro forma combined statement of income</w:t>
            </w:r>
          </w:p>
        </w:tc>
      </w:tr>
      <w:tr>
        <w:trPr>
          <w:trHeight w:val="168"/>
        </w:trPr>
        <w:tc>
          <w:tcPr>
            <w:tcW w:w="1400" w:type="dxa"/>
            <w:vAlign w:val="bottom"/>
          </w:tcPr>
          <w:p>
            <w:pPr>
              <w:spacing w:after="0"/>
              <w:rPr>
                <w:sz w:val="14"/>
                <w:szCs w:val="14"/>
                <w:color w:val="auto"/>
              </w:rPr>
            </w:pPr>
          </w:p>
        </w:tc>
        <w:tc>
          <w:tcPr>
            <w:tcW w:w="50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w w:val="97"/>
              </w:rPr>
              <w:t>summary, unaudited pro forma combined balance</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sheet at September 30,</w:t>
            </w:r>
          </w:p>
        </w:tc>
      </w:tr>
      <w:tr>
        <w:trPr>
          <w:trHeight w:val="168"/>
        </w:trPr>
        <w:tc>
          <w:tcPr>
            <w:tcW w:w="1400" w:type="dxa"/>
            <w:vAlign w:val="bottom"/>
          </w:tcPr>
          <w:p>
            <w:pPr>
              <w:spacing w:after="0"/>
              <w:rPr>
                <w:sz w:val="14"/>
                <w:szCs w:val="14"/>
                <w:color w:val="auto"/>
              </w:rPr>
            </w:pPr>
          </w:p>
        </w:tc>
        <w:tc>
          <w:tcPr>
            <w:tcW w:w="50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w w:val="97"/>
              </w:rPr>
              <w:t>2000, unaudited pro forma combined statements</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of income for each of the</w:t>
            </w:r>
          </w:p>
        </w:tc>
      </w:tr>
      <w:tr>
        <w:trPr>
          <w:trHeight w:val="168"/>
        </w:trPr>
        <w:tc>
          <w:tcPr>
            <w:tcW w:w="1400" w:type="dxa"/>
            <w:vAlign w:val="bottom"/>
          </w:tcPr>
          <w:p>
            <w:pPr>
              <w:spacing w:after="0"/>
              <w:rPr>
                <w:sz w:val="14"/>
                <w:szCs w:val="14"/>
                <w:color w:val="auto"/>
              </w:rPr>
            </w:pPr>
          </w:p>
        </w:tc>
        <w:tc>
          <w:tcPr>
            <w:tcW w:w="50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w w:val="97"/>
              </w:rPr>
              <w:t>years in the three-year period ended December</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31, 1999 and for the nine</w:t>
            </w:r>
          </w:p>
        </w:tc>
      </w:tr>
      <w:tr>
        <w:trPr>
          <w:trHeight w:val="168"/>
        </w:trPr>
        <w:tc>
          <w:tcPr>
            <w:tcW w:w="1400" w:type="dxa"/>
            <w:vAlign w:val="bottom"/>
          </w:tcPr>
          <w:p>
            <w:pPr>
              <w:spacing w:after="0"/>
              <w:rPr>
                <w:sz w:val="14"/>
                <w:szCs w:val="14"/>
                <w:color w:val="auto"/>
              </w:rPr>
            </w:pPr>
          </w:p>
        </w:tc>
        <w:tc>
          <w:tcPr>
            <w:tcW w:w="50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w w:val="97"/>
              </w:rPr>
              <w:t>months ended September 30, 2000 and 1999, and</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notes to unaudited</w:t>
            </w:r>
          </w:p>
        </w:tc>
      </w:tr>
      <w:tr>
        <w:trPr>
          <w:trHeight w:val="168"/>
        </w:trPr>
        <w:tc>
          <w:tcPr>
            <w:tcW w:w="1400" w:type="dxa"/>
            <w:vAlign w:val="bottom"/>
          </w:tcPr>
          <w:p>
            <w:pPr>
              <w:spacing w:after="0"/>
              <w:rPr>
                <w:sz w:val="14"/>
                <w:szCs w:val="14"/>
                <w:color w:val="auto"/>
              </w:rPr>
            </w:pPr>
          </w:p>
        </w:tc>
        <w:tc>
          <w:tcPr>
            <w:tcW w:w="7260" w:type="dxa"/>
            <w:vAlign w:val="bottom"/>
            <w:gridSpan w:val="2"/>
          </w:tcPr>
          <w:p>
            <w:pPr>
              <w:ind w:left="1060"/>
              <w:spacing w:after="0" w:line="168" w:lineRule="exact"/>
              <w:rPr>
                <w:sz w:val="20"/>
                <w:szCs w:val="20"/>
                <w:color w:val="auto"/>
              </w:rPr>
            </w:pPr>
            <w:r>
              <w:rPr>
                <w:rFonts w:ascii="Courier New" w:cs="Courier New" w:eastAsia="Courier New" w:hAnsi="Courier New"/>
                <w:sz w:val="15"/>
                <w:szCs w:val="15"/>
                <w:color w:val="auto"/>
                <w:w w:val="99"/>
              </w:rPr>
              <w:t>pro forma combined financial statements (incorporated by reference to</w:t>
            </w:r>
          </w:p>
        </w:tc>
      </w:tr>
      <w:tr>
        <w:trPr>
          <w:trHeight w:val="168"/>
        </w:trPr>
        <w:tc>
          <w:tcPr>
            <w:tcW w:w="1400" w:type="dxa"/>
            <w:vAlign w:val="bottom"/>
          </w:tcPr>
          <w:p>
            <w:pPr>
              <w:spacing w:after="0"/>
              <w:rPr>
                <w:sz w:val="14"/>
                <w:szCs w:val="14"/>
                <w:color w:val="auto"/>
              </w:rPr>
            </w:pPr>
          </w:p>
        </w:tc>
        <w:tc>
          <w:tcPr>
            <w:tcW w:w="7260" w:type="dxa"/>
            <w:vAlign w:val="bottom"/>
            <w:gridSpan w:val="2"/>
          </w:tcPr>
          <w:p>
            <w:pPr>
              <w:ind w:left="1060"/>
              <w:spacing w:after="0" w:line="168" w:lineRule="exact"/>
              <w:rPr>
                <w:sz w:val="20"/>
                <w:szCs w:val="20"/>
                <w:color w:val="auto"/>
              </w:rPr>
            </w:pPr>
            <w:r>
              <w:rPr>
                <w:rFonts w:ascii="Courier New" w:cs="Courier New" w:eastAsia="Courier New" w:hAnsi="Courier New"/>
                <w:sz w:val="15"/>
                <w:szCs w:val="15"/>
                <w:color w:val="auto"/>
              </w:rPr>
              <w:t>Chase's Current Report on Form 8-K dated November 28, 2000).</w:t>
            </w:r>
          </w:p>
        </w:tc>
      </w:tr>
    </w:tbl>
    <w:p>
      <w:pPr>
        <w:sectPr>
          <w:pgSz w:w="11900" w:h="16838" w:orient="portrait"/>
          <w:cols w:equalWidth="0" w:num="1">
            <w:col w:w="10239"/>
          </w:cols>
          <w:pgMar w:left="220" w:top="28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ind w:left="3160"/>
        <w:spacing w:after="0" w:line="237" w:lineRule="auto"/>
        <w:rPr>
          <w:sz w:val="20"/>
          <w:szCs w:val="20"/>
          <w:color w:val="auto"/>
        </w:rPr>
      </w:pPr>
      <w:r>
        <w:rPr>
          <w:rFonts w:ascii="Courier New" w:cs="Courier New" w:eastAsia="Courier New" w:hAnsi="Courier New"/>
          <w:sz w:val="15"/>
          <w:szCs w:val="15"/>
          <w:color w:val="auto"/>
        </w:rPr>
        <w:t>SIGNATURE</w:t>
      </w:r>
    </w:p>
    <w:p>
      <w:pPr>
        <w:spacing w:after="0" w:line="200" w:lineRule="exact"/>
        <w:rPr>
          <w:sz w:val="20"/>
          <w:szCs w:val="20"/>
          <w:color w:val="auto"/>
        </w:rPr>
      </w:pPr>
    </w:p>
    <w:p>
      <w:pPr>
        <w:spacing w:after="0" w:line="310" w:lineRule="exact"/>
        <w:rPr>
          <w:sz w:val="20"/>
          <w:szCs w:val="20"/>
          <w:color w:val="auto"/>
        </w:rPr>
      </w:pPr>
    </w:p>
    <w:p>
      <w:pPr>
        <w:jc w:val="both"/>
        <w:ind w:right="39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J.P. MORGAN CHASE &amp; CO.</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By:</w:t>
        <w:tab/>
        <w:t>/s/ Joseph L. Sclafani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Joseph L. Sclafani</w:t>
      </w:r>
    </w:p>
    <w:p>
      <w:pPr>
        <w:spacing w:after="0" w:line="166" w:lineRule="exact"/>
        <w:rPr>
          <w:sz w:val="20"/>
          <w:szCs w:val="20"/>
          <w:color w:val="auto"/>
        </w:rPr>
      </w:pPr>
    </w:p>
    <w:p>
      <w:pPr>
        <w:sectPr>
          <w:pgSz w:w="11900" w:h="16838" w:orient="portrait"/>
          <w:cols w:equalWidth="0" w:num="4">
            <w:col w:w="360" w:space="440"/>
            <w:col w:w="600" w:space="180"/>
            <w:col w:w="1560" w:space="720"/>
            <w:col w:w="6379"/>
          </w:cols>
          <w:pgMar w:left="220" w:top="281" w:right="1440" w:bottom="1440" w:gutter="0" w:footer="0" w:header="0"/>
          <w:type w:val="continuous"/>
        </w:sectPr>
      </w:pPr>
    </w:p>
    <w:p>
      <w:pPr>
        <w:ind w:left="4380"/>
        <w:spacing w:after="0"/>
        <w:rPr>
          <w:sz w:val="20"/>
          <w:szCs w:val="20"/>
          <w:color w:val="auto"/>
        </w:rPr>
      </w:pPr>
      <w:r>
        <w:rPr>
          <w:rFonts w:ascii="Courier New" w:cs="Courier New" w:eastAsia="Courier New" w:hAnsi="Courier New"/>
          <w:sz w:val="15"/>
          <w:szCs w:val="15"/>
          <w:color w:val="auto"/>
        </w:rPr>
        <w:t>Executive Vice President</w:t>
      </w:r>
    </w:p>
    <w:p>
      <w:pPr>
        <w:ind w:left="4740"/>
        <w:spacing w:after="0" w:line="237" w:lineRule="auto"/>
        <w:rPr>
          <w:sz w:val="20"/>
          <w:szCs w:val="20"/>
          <w:color w:val="auto"/>
        </w:rPr>
      </w:pPr>
      <w:r>
        <w:rPr>
          <w:rFonts w:ascii="Courier New" w:cs="Courier New" w:eastAsia="Courier New" w:hAnsi="Courier New"/>
          <w:sz w:val="15"/>
          <w:szCs w:val="15"/>
          <w:color w:val="auto"/>
        </w:rPr>
        <w:t>and Controller</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[Principal Accounting Officer]</w:t>
      </w:r>
    </w:p>
    <w:p>
      <w:pPr>
        <w:sectPr>
          <w:pgSz w:w="11900" w:h="16838" w:orient="portrait"/>
          <w:cols w:equalWidth="0" w:num="1">
            <w:col w:w="10239"/>
          </w:cols>
          <w:pgMar w:left="220" w:top="281" w:right="1440" w:bottom="1440" w:gutter="0" w:footer="0" w:header="0"/>
          <w:type w:val="continuous"/>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tbl>
      <w:tblPr>
        <w:tblLayout w:type="fixed"/>
        <w:tblInd w:w="0" w:type="dxa"/>
        <w:tblCellMar>
          <w:top w:w="0" w:type="dxa"/>
          <w:left w:w="0" w:type="dxa"/>
          <w:bottom w:w="0" w:type="dxa"/>
          <w:right w:w="0" w:type="dxa"/>
        </w:tblCellMar>
      </w:tblPr>
      <w:tr>
        <w:trPr>
          <w:trHeight w:val="168"/>
        </w:trPr>
        <w:tc>
          <w:tcPr>
            <w:tcW w:w="1900" w:type="dxa"/>
            <w:vAlign w:val="bottom"/>
          </w:tcPr>
          <w:p>
            <w:pPr>
              <w:spacing w:after="0"/>
              <w:rPr>
                <w:sz w:val="14"/>
                <w:szCs w:val="14"/>
                <w:color w:val="auto"/>
              </w:rPr>
            </w:pPr>
          </w:p>
        </w:tc>
        <w:tc>
          <w:tcPr>
            <w:tcW w:w="510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EXHIBIT INDEX</w:t>
            </w:r>
          </w:p>
        </w:tc>
      </w:tr>
      <w:tr>
        <w:trPr>
          <w:trHeight w:val="673"/>
        </w:trPr>
        <w:tc>
          <w:tcPr>
            <w:tcW w:w="1900" w:type="dxa"/>
            <w:vAlign w:val="bottom"/>
          </w:tcPr>
          <w:p>
            <w:pPr>
              <w:spacing w:after="0"/>
              <w:rPr>
                <w:sz w:val="20"/>
                <w:szCs w:val="20"/>
                <w:color w:val="auto"/>
              </w:rPr>
            </w:pPr>
            <w:r>
              <w:rPr>
                <w:rFonts w:ascii="Courier New" w:cs="Courier New" w:eastAsia="Courier New" w:hAnsi="Courier New"/>
                <w:sz w:val="15"/>
                <w:szCs w:val="15"/>
                <w:color w:val="auto"/>
              </w:rPr>
              <w:t>Exhibit Number</w:t>
            </w:r>
          </w:p>
        </w:tc>
        <w:tc>
          <w:tcPr>
            <w:tcW w:w="5100" w:type="dxa"/>
            <w:vAlign w:val="bottom"/>
          </w:tcPr>
          <w:p>
            <w:pPr>
              <w:ind w:left="560"/>
              <w:spacing w:after="0"/>
              <w:rPr>
                <w:sz w:val="20"/>
                <w:szCs w:val="20"/>
                <w:color w:val="auto"/>
              </w:rPr>
            </w:pPr>
            <w:r>
              <w:rPr>
                <w:rFonts w:ascii="Courier New" w:cs="Courier New" w:eastAsia="Courier New" w:hAnsi="Courier New"/>
                <w:sz w:val="15"/>
                <w:szCs w:val="15"/>
                <w:color w:val="auto"/>
              </w:rPr>
              <w:t>Description</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10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0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5100" w:type="dxa"/>
            <w:vAlign w:val="bottom"/>
          </w:tcPr>
          <w:p>
            <w:pPr>
              <w:ind w:left="480"/>
              <w:spacing w:after="0"/>
              <w:rPr>
                <w:sz w:val="20"/>
                <w:szCs w:val="20"/>
                <w:color w:val="auto"/>
              </w:rPr>
            </w:pPr>
            <w:r>
              <w:rPr>
                <w:rFonts w:ascii="Courier New" w:cs="Courier New" w:eastAsia="Courier New" w:hAnsi="Courier New"/>
                <w:sz w:val="15"/>
                <w:szCs w:val="15"/>
                <w:color w:val="auto"/>
              </w:rPr>
              <w:t>Agreement and Plan of Merger, dated as of September</w:t>
            </w:r>
          </w:p>
        </w:tc>
      </w:tr>
      <w:tr>
        <w:trPr>
          <w:trHeight w:val="168"/>
        </w:trPr>
        <w:tc>
          <w:tcPr>
            <w:tcW w:w="1900" w:type="dxa"/>
            <w:vAlign w:val="bottom"/>
          </w:tcPr>
          <w:p>
            <w:pPr>
              <w:spacing w:after="0"/>
              <w:rPr>
                <w:sz w:val="14"/>
                <w:szCs w:val="14"/>
                <w:color w:val="auto"/>
              </w:rPr>
            </w:pPr>
          </w:p>
        </w:tc>
        <w:tc>
          <w:tcPr>
            <w:tcW w:w="5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6"/>
              </w:rPr>
              <w:t>12, 2000, between The Chase Manhattan Corporation and</w:t>
            </w:r>
          </w:p>
        </w:tc>
      </w:tr>
      <w:tr>
        <w:trPr>
          <w:trHeight w:val="168"/>
        </w:trPr>
        <w:tc>
          <w:tcPr>
            <w:tcW w:w="1900" w:type="dxa"/>
            <w:vAlign w:val="bottom"/>
          </w:tcPr>
          <w:p>
            <w:pPr>
              <w:spacing w:after="0"/>
              <w:rPr>
                <w:sz w:val="14"/>
                <w:szCs w:val="14"/>
                <w:color w:val="auto"/>
              </w:rPr>
            </w:pPr>
          </w:p>
        </w:tc>
        <w:tc>
          <w:tcPr>
            <w:tcW w:w="5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J.P. Morgan &amp; Co. Incorporated (incorporated by</w:t>
            </w:r>
          </w:p>
        </w:tc>
      </w:tr>
      <w:tr>
        <w:trPr>
          <w:trHeight w:val="168"/>
        </w:trPr>
        <w:tc>
          <w:tcPr>
            <w:tcW w:w="1900" w:type="dxa"/>
            <w:vAlign w:val="bottom"/>
          </w:tcPr>
          <w:p>
            <w:pPr>
              <w:spacing w:after="0"/>
              <w:rPr>
                <w:sz w:val="14"/>
                <w:szCs w:val="14"/>
                <w:color w:val="auto"/>
              </w:rPr>
            </w:pPr>
          </w:p>
        </w:tc>
        <w:tc>
          <w:tcPr>
            <w:tcW w:w="5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8"/>
              </w:rPr>
              <w:t>reference to Current Report on Form 8-K of The Chase</w:t>
            </w:r>
          </w:p>
        </w:tc>
      </w:tr>
      <w:tr>
        <w:trPr>
          <w:trHeight w:val="168"/>
        </w:trPr>
        <w:tc>
          <w:tcPr>
            <w:tcW w:w="1900" w:type="dxa"/>
            <w:vAlign w:val="bottom"/>
          </w:tcPr>
          <w:p>
            <w:pPr>
              <w:spacing w:after="0"/>
              <w:rPr>
                <w:sz w:val="14"/>
                <w:szCs w:val="14"/>
                <w:color w:val="auto"/>
              </w:rPr>
            </w:pPr>
          </w:p>
        </w:tc>
        <w:tc>
          <w:tcPr>
            <w:tcW w:w="5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Manhattan Corporation, dated September 12, 2000 and</w:t>
            </w:r>
          </w:p>
        </w:tc>
      </w:tr>
      <w:tr>
        <w:trPr>
          <w:trHeight w:val="168"/>
        </w:trPr>
        <w:tc>
          <w:tcPr>
            <w:tcW w:w="1900" w:type="dxa"/>
            <w:vAlign w:val="bottom"/>
          </w:tcPr>
          <w:p>
            <w:pPr>
              <w:spacing w:after="0"/>
              <w:rPr>
                <w:sz w:val="14"/>
                <w:szCs w:val="14"/>
                <w:color w:val="auto"/>
              </w:rPr>
            </w:pPr>
          </w:p>
        </w:tc>
        <w:tc>
          <w:tcPr>
            <w:tcW w:w="5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filed September 18, 2000).</w:t>
            </w:r>
          </w:p>
        </w:tc>
      </w:tr>
      <w:tr>
        <w:trPr>
          <w:trHeight w:val="336"/>
        </w:trPr>
        <w:tc>
          <w:tcPr>
            <w:tcW w:w="1900" w:type="dxa"/>
            <w:vAlign w:val="bottom"/>
          </w:tcPr>
          <w:p>
            <w:pPr>
              <w:spacing w:after="0"/>
              <w:rPr>
                <w:sz w:val="20"/>
                <w:szCs w:val="20"/>
                <w:color w:val="auto"/>
              </w:rPr>
            </w:pPr>
            <w:r>
              <w:rPr>
                <w:rFonts w:ascii="Courier New" w:cs="Courier New" w:eastAsia="Courier New" w:hAnsi="Courier New"/>
                <w:sz w:val="15"/>
                <w:szCs w:val="15"/>
                <w:color w:val="auto"/>
              </w:rPr>
              <w:t>99.1</w:t>
            </w:r>
          </w:p>
        </w:tc>
        <w:tc>
          <w:tcPr>
            <w:tcW w:w="5100" w:type="dxa"/>
            <w:vAlign w:val="bottom"/>
          </w:tcPr>
          <w:p>
            <w:pPr>
              <w:ind w:left="480"/>
              <w:spacing w:after="0"/>
              <w:rPr>
                <w:sz w:val="20"/>
                <w:szCs w:val="20"/>
                <w:color w:val="auto"/>
              </w:rPr>
            </w:pPr>
            <w:r>
              <w:rPr>
                <w:rFonts w:ascii="Courier New" w:cs="Courier New" w:eastAsia="Courier New" w:hAnsi="Courier New"/>
                <w:sz w:val="15"/>
                <w:szCs w:val="15"/>
                <w:color w:val="auto"/>
              </w:rPr>
              <w:t>Press Release.</w:t>
            </w:r>
          </w:p>
        </w:tc>
      </w:tr>
      <w:tr>
        <w:trPr>
          <w:trHeight w:val="336"/>
        </w:trPr>
        <w:tc>
          <w:tcPr>
            <w:tcW w:w="1900" w:type="dxa"/>
            <w:vAlign w:val="bottom"/>
          </w:tcPr>
          <w:p>
            <w:pPr>
              <w:spacing w:after="0"/>
              <w:rPr>
                <w:sz w:val="20"/>
                <w:szCs w:val="20"/>
                <w:color w:val="auto"/>
              </w:rPr>
            </w:pPr>
            <w:r>
              <w:rPr>
                <w:rFonts w:ascii="Courier New" w:cs="Courier New" w:eastAsia="Courier New" w:hAnsi="Courier New"/>
                <w:sz w:val="15"/>
                <w:szCs w:val="15"/>
                <w:color w:val="auto"/>
              </w:rPr>
              <w:t>99.2</w:t>
            </w:r>
          </w:p>
        </w:tc>
        <w:tc>
          <w:tcPr>
            <w:tcW w:w="5100" w:type="dxa"/>
            <w:vAlign w:val="bottom"/>
          </w:tcPr>
          <w:p>
            <w:pPr>
              <w:ind w:left="480"/>
              <w:spacing w:after="0"/>
              <w:rPr>
                <w:sz w:val="20"/>
                <w:szCs w:val="20"/>
                <w:color w:val="auto"/>
              </w:rPr>
            </w:pPr>
            <w:r>
              <w:rPr>
                <w:rFonts w:ascii="Courier New" w:cs="Courier New" w:eastAsia="Courier New" w:hAnsi="Courier New"/>
                <w:sz w:val="15"/>
                <w:szCs w:val="15"/>
                <w:color w:val="auto"/>
                <w:w w:val="98"/>
              </w:rPr>
              <w:t>Supplemental unaudited pro forma combined statements</w:t>
            </w:r>
          </w:p>
        </w:tc>
      </w:tr>
      <w:tr>
        <w:trPr>
          <w:trHeight w:val="168"/>
        </w:trPr>
        <w:tc>
          <w:tcPr>
            <w:tcW w:w="1900" w:type="dxa"/>
            <w:vAlign w:val="bottom"/>
          </w:tcPr>
          <w:p>
            <w:pPr>
              <w:spacing w:after="0"/>
              <w:rPr>
                <w:sz w:val="14"/>
                <w:szCs w:val="14"/>
                <w:color w:val="auto"/>
              </w:rPr>
            </w:pPr>
          </w:p>
        </w:tc>
        <w:tc>
          <w:tcPr>
            <w:tcW w:w="5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of income of J.P. Morgan Chase &amp; Co.</w:t>
            </w:r>
          </w:p>
        </w:tc>
      </w:tr>
      <w:tr>
        <w:trPr>
          <w:trHeight w:val="336"/>
        </w:trPr>
        <w:tc>
          <w:tcPr>
            <w:tcW w:w="1900" w:type="dxa"/>
            <w:vAlign w:val="bottom"/>
          </w:tcPr>
          <w:p>
            <w:pPr>
              <w:spacing w:after="0"/>
              <w:rPr>
                <w:sz w:val="20"/>
                <w:szCs w:val="20"/>
                <w:color w:val="auto"/>
              </w:rPr>
            </w:pPr>
            <w:r>
              <w:rPr>
                <w:rFonts w:ascii="Courier New" w:cs="Courier New" w:eastAsia="Courier New" w:hAnsi="Courier New"/>
                <w:sz w:val="15"/>
                <w:szCs w:val="15"/>
                <w:color w:val="auto"/>
              </w:rPr>
              <w:t>99.3</w:t>
            </w:r>
          </w:p>
        </w:tc>
        <w:tc>
          <w:tcPr>
            <w:tcW w:w="5100" w:type="dxa"/>
            <w:vAlign w:val="bottom"/>
          </w:tcPr>
          <w:p>
            <w:pPr>
              <w:ind w:left="480"/>
              <w:spacing w:after="0"/>
              <w:rPr>
                <w:sz w:val="20"/>
                <w:szCs w:val="20"/>
                <w:color w:val="auto"/>
              </w:rPr>
            </w:pPr>
            <w:r>
              <w:rPr>
                <w:rFonts w:ascii="Courier New" w:cs="Courier New" w:eastAsia="Courier New" w:hAnsi="Courier New"/>
                <w:sz w:val="15"/>
                <w:szCs w:val="15"/>
                <w:color w:val="auto"/>
              </w:rPr>
              <w:t>Supplemental unaudited pro forma combined balance</w:t>
            </w:r>
          </w:p>
        </w:tc>
      </w:tr>
      <w:tr>
        <w:trPr>
          <w:trHeight w:val="168"/>
        </w:trPr>
        <w:tc>
          <w:tcPr>
            <w:tcW w:w="1900" w:type="dxa"/>
            <w:vAlign w:val="bottom"/>
          </w:tcPr>
          <w:p>
            <w:pPr>
              <w:spacing w:after="0"/>
              <w:rPr>
                <w:sz w:val="14"/>
                <w:szCs w:val="14"/>
                <w:color w:val="auto"/>
              </w:rPr>
            </w:pPr>
          </w:p>
        </w:tc>
        <w:tc>
          <w:tcPr>
            <w:tcW w:w="5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sheet of J.P. Morgan Chase &amp; Co.</w:t>
            </w:r>
          </w:p>
        </w:tc>
      </w:tr>
      <w:tr>
        <w:trPr>
          <w:trHeight w:val="336"/>
        </w:trPr>
        <w:tc>
          <w:tcPr>
            <w:tcW w:w="1900" w:type="dxa"/>
            <w:vAlign w:val="bottom"/>
          </w:tcPr>
          <w:p>
            <w:pPr>
              <w:spacing w:after="0"/>
              <w:rPr>
                <w:sz w:val="20"/>
                <w:szCs w:val="20"/>
                <w:color w:val="auto"/>
              </w:rPr>
            </w:pPr>
            <w:r>
              <w:rPr>
                <w:rFonts w:ascii="Courier New" w:cs="Courier New" w:eastAsia="Courier New" w:hAnsi="Courier New"/>
                <w:sz w:val="15"/>
                <w:szCs w:val="15"/>
                <w:color w:val="auto"/>
              </w:rPr>
              <w:t>99.4</w:t>
            </w:r>
          </w:p>
        </w:tc>
        <w:tc>
          <w:tcPr>
            <w:tcW w:w="5100" w:type="dxa"/>
            <w:vAlign w:val="bottom"/>
          </w:tcPr>
          <w:p>
            <w:pPr>
              <w:ind w:left="480"/>
              <w:spacing w:after="0"/>
              <w:rPr>
                <w:sz w:val="20"/>
                <w:szCs w:val="20"/>
                <w:color w:val="auto"/>
              </w:rPr>
            </w:pPr>
            <w:r>
              <w:rPr>
                <w:rFonts w:ascii="Courier New" w:cs="Courier New" w:eastAsia="Courier New" w:hAnsi="Courier New"/>
                <w:sz w:val="15"/>
                <w:szCs w:val="15"/>
                <w:color w:val="auto"/>
              </w:rPr>
              <w:t>Report of Independent Accountants to the Board of</w:t>
            </w:r>
          </w:p>
        </w:tc>
      </w:tr>
      <w:tr>
        <w:trPr>
          <w:trHeight w:val="168"/>
        </w:trPr>
        <w:tc>
          <w:tcPr>
            <w:tcW w:w="1900" w:type="dxa"/>
            <w:vAlign w:val="bottom"/>
          </w:tcPr>
          <w:p>
            <w:pPr>
              <w:spacing w:after="0"/>
              <w:rPr>
                <w:sz w:val="14"/>
                <w:szCs w:val="14"/>
                <w:color w:val="auto"/>
              </w:rPr>
            </w:pPr>
          </w:p>
        </w:tc>
        <w:tc>
          <w:tcPr>
            <w:tcW w:w="5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Directors and Stockholders of J.P. Morgan dated</w:t>
            </w:r>
          </w:p>
        </w:tc>
      </w:tr>
      <w:tr>
        <w:trPr>
          <w:trHeight w:val="168"/>
        </w:trPr>
        <w:tc>
          <w:tcPr>
            <w:tcW w:w="1900" w:type="dxa"/>
            <w:vAlign w:val="bottom"/>
          </w:tcPr>
          <w:p>
            <w:pPr>
              <w:spacing w:after="0"/>
              <w:rPr>
                <w:sz w:val="14"/>
                <w:szCs w:val="14"/>
                <w:color w:val="auto"/>
              </w:rPr>
            </w:pPr>
          </w:p>
        </w:tc>
        <w:tc>
          <w:tcPr>
            <w:tcW w:w="5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January 12, 2000 (incorporated by reference to</w:t>
            </w:r>
          </w:p>
        </w:tc>
      </w:tr>
      <w:tr>
        <w:trPr>
          <w:trHeight w:val="168"/>
        </w:trPr>
        <w:tc>
          <w:tcPr>
            <w:tcW w:w="1900" w:type="dxa"/>
            <w:vAlign w:val="bottom"/>
          </w:tcPr>
          <w:p>
            <w:pPr>
              <w:spacing w:after="0"/>
              <w:rPr>
                <w:sz w:val="14"/>
                <w:szCs w:val="14"/>
                <w:color w:val="auto"/>
              </w:rPr>
            </w:pPr>
          </w:p>
        </w:tc>
        <w:tc>
          <w:tcPr>
            <w:tcW w:w="5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6"/>
              </w:rPr>
              <w:t>Chase's Current Report on Form 8-K dated November 28,</w:t>
            </w:r>
          </w:p>
        </w:tc>
      </w:tr>
      <w:tr>
        <w:trPr>
          <w:trHeight w:val="168"/>
        </w:trPr>
        <w:tc>
          <w:tcPr>
            <w:tcW w:w="1900" w:type="dxa"/>
            <w:vAlign w:val="bottom"/>
          </w:tcPr>
          <w:p>
            <w:pPr>
              <w:spacing w:after="0"/>
              <w:rPr>
                <w:sz w:val="14"/>
                <w:szCs w:val="14"/>
                <w:color w:val="auto"/>
              </w:rPr>
            </w:pPr>
          </w:p>
        </w:tc>
        <w:tc>
          <w:tcPr>
            <w:tcW w:w="5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2000).</w:t>
            </w:r>
          </w:p>
        </w:tc>
      </w:tr>
      <w:tr>
        <w:trPr>
          <w:trHeight w:val="336"/>
        </w:trPr>
        <w:tc>
          <w:tcPr>
            <w:tcW w:w="1900" w:type="dxa"/>
            <w:vAlign w:val="bottom"/>
          </w:tcPr>
          <w:p>
            <w:pPr>
              <w:spacing w:after="0"/>
              <w:rPr>
                <w:sz w:val="20"/>
                <w:szCs w:val="20"/>
                <w:color w:val="auto"/>
              </w:rPr>
            </w:pPr>
            <w:r>
              <w:rPr>
                <w:rFonts w:ascii="Courier New" w:cs="Courier New" w:eastAsia="Courier New" w:hAnsi="Courier New"/>
                <w:sz w:val="15"/>
                <w:szCs w:val="15"/>
                <w:color w:val="auto"/>
              </w:rPr>
              <w:t>99.5</w:t>
            </w:r>
          </w:p>
        </w:tc>
        <w:tc>
          <w:tcPr>
            <w:tcW w:w="5100" w:type="dxa"/>
            <w:vAlign w:val="bottom"/>
          </w:tcPr>
          <w:p>
            <w:pPr>
              <w:ind w:left="480"/>
              <w:spacing w:after="0"/>
              <w:rPr>
                <w:sz w:val="20"/>
                <w:szCs w:val="20"/>
                <w:color w:val="auto"/>
              </w:rPr>
            </w:pPr>
            <w:r>
              <w:rPr>
                <w:rFonts w:ascii="Courier New" w:cs="Courier New" w:eastAsia="Courier New" w:hAnsi="Courier New"/>
                <w:sz w:val="15"/>
                <w:szCs w:val="15"/>
                <w:color w:val="auto"/>
                <w:w w:val="96"/>
              </w:rPr>
              <w:t>The audited consolidated balance sheet of J.P. Morgan</w:t>
            </w:r>
          </w:p>
        </w:tc>
      </w:tr>
      <w:tr>
        <w:trPr>
          <w:trHeight w:val="168"/>
        </w:trPr>
        <w:tc>
          <w:tcPr>
            <w:tcW w:w="1900" w:type="dxa"/>
            <w:vAlign w:val="bottom"/>
          </w:tcPr>
          <w:p>
            <w:pPr>
              <w:spacing w:after="0"/>
              <w:rPr>
                <w:sz w:val="14"/>
                <w:szCs w:val="14"/>
                <w:color w:val="auto"/>
              </w:rPr>
            </w:pPr>
          </w:p>
        </w:tc>
        <w:tc>
          <w:tcPr>
            <w:tcW w:w="5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and subsidiaries as of December 31, 1999 and 1998,</w:t>
            </w:r>
          </w:p>
        </w:tc>
      </w:tr>
      <w:tr>
        <w:trPr>
          <w:trHeight w:val="168"/>
        </w:trPr>
        <w:tc>
          <w:tcPr>
            <w:tcW w:w="1900" w:type="dxa"/>
            <w:vAlign w:val="bottom"/>
          </w:tcPr>
          <w:p>
            <w:pPr>
              <w:spacing w:after="0"/>
              <w:rPr>
                <w:sz w:val="14"/>
                <w:szCs w:val="14"/>
                <w:color w:val="auto"/>
              </w:rPr>
            </w:pPr>
          </w:p>
        </w:tc>
        <w:tc>
          <w:tcPr>
            <w:tcW w:w="5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and the related consolidated statements of income,</w:t>
            </w:r>
          </w:p>
        </w:tc>
      </w:tr>
      <w:tr>
        <w:trPr>
          <w:trHeight w:val="168"/>
        </w:trPr>
        <w:tc>
          <w:tcPr>
            <w:tcW w:w="1900" w:type="dxa"/>
            <w:vAlign w:val="bottom"/>
          </w:tcPr>
          <w:p>
            <w:pPr>
              <w:spacing w:after="0"/>
              <w:rPr>
                <w:sz w:val="14"/>
                <w:szCs w:val="14"/>
                <w:color w:val="auto"/>
              </w:rPr>
            </w:pPr>
          </w:p>
        </w:tc>
        <w:tc>
          <w:tcPr>
            <w:tcW w:w="5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cash flows and changes in stockholders' equity for</w:t>
            </w:r>
          </w:p>
        </w:tc>
      </w:tr>
      <w:tr>
        <w:trPr>
          <w:trHeight w:val="168"/>
        </w:trPr>
        <w:tc>
          <w:tcPr>
            <w:tcW w:w="1900" w:type="dxa"/>
            <w:vAlign w:val="bottom"/>
          </w:tcPr>
          <w:p>
            <w:pPr>
              <w:spacing w:after="0"/>
              <w:rPr>
                <w:sz w:val="14"/>
                <w:szCs w:val="14"/>
                <w:color w:val="auto"/>
              </w:rPr>
            </w:pPr>
          </w:p>
        </w:tc>
        <w:tc>
          <w:tcPr>
            <w:tcW w:w="5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each of the years in the three-year period ended</w:t>
            </w:r>
          </w:p>
        </w:tc>
      </w:tr>
      <w:tr>
        <w:trPr>
          <w:trHeight w:val="168"/>
        </w:trPr>
        <w:tc>
          <w:tcPr>
            <w:tcW w:w="1900" w:type="dxa"/>
            <w:vAlign w:val="bottom"/>
          </w:tcPr>
          <w:p>
            <w:pPr>
              <w:spacing w:after="0"/>
              <w:rPr>
                <w:sz w:val="14"/>
                <w:szCs w:val="14"/>
                <w:color w:val="auto"/>
              </w:rPr>
            </w:pPr>
          </w:p>
        </w:tc>
        <w:tc>
          <w:tcPr>
            <w:tcW w:w="5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8"/>
              </w:rPr>
              <w:t>December 31, 1999, and the consolidated statement of</w:t>
            </w:r>
          </w:p>
        </w:tc>
      </w:tr>
      <w:tr>
        <w:trPr>
          <w:trHeight w:val="168"/>
        </w:trPr>
        <w:tc>
          <w:tcPr>
            <w:tcW w:w="1900" w:type="dxa"/>
            <w:vAlign w:val="bottom"/>
          </w:tcPr>
          <w:p>
            <w:pPr>
              <w:spacing w:after="0"/>
              <w:rPr>
                <w:sz w:val="14"/>
                <w:szCs w:val="14"/>
                <w:color w:val="auto"/>
              </w:rPr>
            </w:pPr>
          </w:p>
        </w:tc>
        <w:tc>
          <w:tcPr>
            <w:tcW w:w="5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condition of Morgan Guaranty Trust Company of New</w:t>
            </w:r>
          </w:p>
        </w:tc>
      </w:tr>
      <w:tr>
        <w:trPr>
          <w:trHeight w:val="168"/>
        </w:trPr>
        <w:tc>
          <w:tcPr>
            <w:tcW w:w="1900" w:type="dxa"/>
            <w:vAlign w:val="bottom"/>
          </w:tcPr>
          <w:p>
            <w:pPr>
              <w:spacing w:after="0"/>
              <w:rPr>
                <w:sz w:val="14"/>
                <w:szCs w:val="14"/>
                <w:color w:val="auto"/>
              </w:rPr>
            </w:pPr>
          </w:p>
        </w:tc>
        <w:tc>
          <w:tcPr>
            <w:tcW w:w="5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6"/>
              </w:rPr>
              <w:t>York and its subsidiaries as of December 31, 1999 and</w:t>
            </w:r>
          </w:p>
        </w:tc>
      </w:tr>
      <w:tr>
        <w:trPr>
          <w:trHeight w:val="168"/>
        </w:trPr>
        <w:tc>
          <w:tcPr>
            <w:tcW w:w="1900" w:type="dxa"/>
            <w:vAlign w:val="bottom"/>
          </w:tcPr>
          <w:p>
            <w:pPr>
              <w:spacing w:after="0"/>
              <w:rPr>
                <w:sz w:val="14"/>
                <w:szCs w:val="14"/>
                <w:color w:val="auto"/>
              </w:rPr>
            </w:pPr>
          </w:p>
        </w:tc>
        <w:tc>
          <w:tcPr>
            <w:tcW w:w="5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1998 (incorporated by reference to Chase's Current</w:t>
            </w:r>
          </w:p>
        </w:tc>
      </w:tr>
      <w:tr>
        <w:trPr>
          <w:trHeight w:val="168"/>
        </w:trPr>
        <w:tc>
          <w:tcPr>
            <w:tcW w:w="1900" w:type="dxa"/>
            <w:vAlign w:val="bottom"/>
          </w:tcPr>
          <w:p>
            <w:pPr>
              <w:spacing w:after="0"/>
              <w:rPr>
                <w:sz w:val="14"/>
                <w:szCs w:val="14"/>
                <w:color w:val="auto"/>
              </w:rPr>
            </w:pPr>
          </w:p>
        </w:tc>
        <w:tc>
          <w:tcPr>
            <w:tcW w:w="5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Report on Form 8-K dated November 28, 2000).</w:t>
            </w:r>
          </w:p>
        </w:tc>
      </w:tr>
      <w:tr>
        <w:trPr>
          <w:trHeight w:val="336"/>
        </w:trPr>
        <w:tc>
          <w:tcPr>
            <w:tcW w:w="1900" w:type="dxa"/>
            <w:vAlign w:val="bottom"/>
          </w:tcPr>
          <w:p>
            <w:pPr>
              <w:spacing w:after="0"/>
              <w:rPr>
                <w:sz w:val="20"/>
                <w:szCs w:val="20"/>
                <w:color w:val="auto"/>
              </w:rPr>
            </w:pPr>
            <w:r>
              <w:rPr>
                <w:rFonts w:ascii="Courier New" w:cs="Courier New" w:eastAsia="Courier New" w:hAnsi="Courier New"/>
                <w:sz w:val="15"/>
                <w:szCs w:val="15"/>
                <w:color w:val="auto"/>
              </w:rPr>
              <w:t>99.6</w:t>
            </w:r>
          </w:p>
        </w:tc>
        <w:tc>
          <w:tcPr>
            <w:tcW w:w="5100" w:type="dxa"/>
            <w:vAlign w:val="bottom"/>
          </w:tcPr>
          <w:p>
            <w:pPr>
              <w:ind w:left="480"/>
              <w:spacing w:after="0"/>
              <w:rPr>
                <w:sz w:val="20"/>
                <w:szCs w:val="20"/>
                <w:color w:val="auto"/>
              </w:rPr>
            </w:pPr>
            <w:r>
              <w:rPr>
                <w:rFonts w:ascii="Courier New" w:cs="Courier New" w:eastAsia="Courier New" w:hAnsi="Courier New"/>
                <w:sz w:val="15"/>
                <w:szCs w:val="15"/>
                <w:color w:val="auto"/>
              </w:rPr>
              <w:t>The unaudited consolidated balance sheet of J.P.</w:t>
            </w:r>
          </w:p>
        </w:tc>
      </w:tr>
      <w:tr>
        <w:trPr>
          <w:trHeight w:val="168"/>
        </w:trPr>
        <w:tc>
          <w:tcPr>
            <w:tcW w:w="1900" w:type="dxa"/>
            <w:vAlign w:val="bottom"/>
          </w:tcPr>
          <w:p>
            <w:pPr>
              <w:spacing w:after="0"/>
              <w:rPr>
                <w:sz w:val="14"/>
                <w:szCs w:val="14"/>
                <w:color w:val="auto"/>
              </w:rPr>
            </w:pPr>
          </w:p>
        </w:tc>
        <w:tc>
          <w:tcPr>
            <w:tcW w:w="5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8"/>
              </w:rPr>
              <w:t>Morgan and subsidiaries as of September 30, 2000 and</w:t>
            </w:r>
          </w:p>
        </w:tc>
      </w:tr>
      <w:tr>
        <w:trPr>
          <w:trHeight w:val="168"/>
        </w:trPr>
        <w:tc>
          <w:tcPr>
            <w:tcW w:w="1900" w:type="dxa"/>
            <w:vAlign w:val="bottom"/>
          </w:tcPr>
          <w:p>
            <w:pPr>
              <w:spacing w:after="0"/>
              <w:rPr>
                <w:sz w:val="14"/>
                <w:szCs w:val="14"/>
                <w:color w:val="auto"/>
              </w:rPr>
            </w:pPr>
          </w:p>
        </w:tc>
        <w:tc>
          <w:tcPr>
            <w:tcW w:w="5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1999 and the unaudited consolidated statements of</w:t>
            </w:r>
          </w:p>
        </w:tc>
      </w:tr>
      <w:tr>
        <w:trPr>
          <w:trHeight w:val="168"/>
        </w:trPr>
        <w:tc>
          <w:tcPr>
            <w:tcW w:w="1900" w:type="dxa"/>
            <w:vAlign w:val="bottom"/>
          </w:tcPr>
          <w:p>
            <w:pPr>
              <w:spacing w:after="0"/>
              <w:rPr>
                <w:sz w:val="14"/>
                <w:szCs w:val="14"/>
                <w:color w:val="auto"/>
              </w:rPr>
            </w:pPr>
          </w:p>
        </w:tc>
        <w:tc>
          <w:tcPr>
            <w:tcW w:w="5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income, cash flows and changes in stockholders'</w:t>
            </w:r>
          </w:p>
        </w:tc>
      </w:tr>
      <w:tr>
        <w:trPr>
          <w:trHeight w:val="168"/>
        </w:trPr>
        <w:tc>
          <w:tcPr>
            <w:tcW w:w="1900" w:type="dxa"/>
            <w:vAlign w:val="bottom"/>
          </w:tcPr>
          <w:p>
            <w:pPr>
              <w:spacing w:after="0"/>
              <w:rPr>
                <w:sz w:val="14"/>
                <w:szCs w:val="14"/>
                <w:color w:val="auto"/>
              </w:rPr>
            </w:pPr>
          </w:p>
        </w:tc>
        <w:tc>
          <w:tcPr>
            <w:tcW w:w="5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equity of J.P. Morgan and subsidiaries for the nine</w:t>
            </w:r>
          </w:p>
        </w:tc>
      </w:tr>
      <w:tr>
        <w:trPr>
          <w:trHeight w:val="168"/>
        </w:trPr>
        <w:tc>
          <w:tcPr>
            <w:tcW w:w="1900" w:type="dxa"/>
            <w:vAlign w:val="bottom"/>
          </w:tcPr>
          <w:p>
            <w:pPr>
              <w:spacing w:after="0"/>
              <w:rPr>
                <w:sz w:val="14"/>
                <w:szCs w:val="14"/>
                <w:color w:val="auto"/>
              </w:rPr>
            </w:pPr>
          </w:p>
        </w:tc>
        <w:tc>
          <w:tcPr>
            <w:tcW w:w="5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months ended September 30, 2000 and 1999, and the</w:t>
            </w:r>
          </w:p>
        </w:tc>
      </w:tr>
      <w:tr>
        <w:trPr>
          <w:trHeight w:val="168"/>
        </w:trPr>
        <w:tc>
          <w:tcPr>
            <w:tcW w:w="1900" w:type="dxa"/>
            <w:vAlign w:val="bottom"/>
          </w:tcPr>
          <w:p>
            <w:pPr>
              <w:spacing w:after="0"/>
              <w:rPr>
                <w:sz w:val="14"/>
                <w:szCs w:val="14"/>
                <w:color w:val="auto"/>
              </w:rPr>
            </w:pPr>
          </w:p>
        </w:tc>
        <w:tc>
          <w:tcPr>
            <w:tcW w:w="5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consolidated statement of condition of Morgan</w:t>
            </w:r>
          </w:p>
        </w:tc>
      </w:tr>
      <w:tr>
        <w:trPr>
          <w:trHeight w:val="168"/>
        </w:trPr>
        <w:tc>
          <w:tcPr>
            <w:tcW w:w="1900" w:type="dxa"/>
            <w:vAlign w:val="bottom"/>
          </w:tcPr>
          <w:p>
            <w:pPr>
              <w:spacing w:after="0"/>
              <w:rPr>
                <w:sz w:val="14"/>
                <w:szCs w:val="14"/>
                <w:color w:val="auto"/>
              </w:rPr>
            </w:pPr>
          </w:p>
        </w:tc>
        <w:tc>
          <w:tcPr>
            <w:tcW w:w="5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Guaranty Trust Company of New York and its</w:t>
            </w:r>
          </w:p>
        </w:tc>
      </w:tr>
      <w:tr>
        <w:trPr>
          <w:trHeight w:val="168"/>
        </w:trPr>
        <w:tc>
          <w:tcPr>
            <w:tcW w:w="1900" w:type="dxa"/>
            <w:vAlign w:val="bottom"/>
          </w:tcPr>
          <w:p>
            <w:pPr>
              <w:spacing w:after="0"/>
              <w:rPr>
                <w:sz w:val="14"/>
                <w:szCs w:val="14"/>
                <w:color w:val="auto"/>
              </w:rPr>
            </w:pPr>
          </w:p>
        </w:tc>
        <w:tc>
          <w:tcPr>
            <w:tcW w:w="5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subsidiaries as of September 30, 2000 and 1999</w:t>
            </w:r>
          </w:p>
        </w:tc>
      </w:tr>
    </w:tbl>
    <w:p>
      <w:pPr>
        <w:sectPr>
          <w:pgSz w:w="11900" w:h="16838" w:orient="portrait"/>
          <w:cols w:equalWidth="0" w:num="1">
            <w:col w:w="10239"/>
          </w:cols>
          <w:pgMar w:left="220" w:top="281" w:right="1440"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7</w:t>
            </w:r>
          </w:p>
        </w:tc>
        <w:tc>
          <w:tcPr>
            <w:tcW w:w="5640" w:type="dxa"/>
            <w:vAlign w:val="bottom"/>
          </w:tcPr>
          <w:p>
            <w:pPr>
              <w:spacing w:after="0"/>
              <w:rPr>
                <w:sz w:val="14"/>
                <w:szCs w:val="14"/>
                <w:color w:val="auto"/>
              </w:rPr>
            </w:pPr>
          </w:p>
        </w:tc>
      </w:tr>
      <w:tr>
        <w:trPr>
          <w:trHeight w:val="673"/>
        </w:trPr>
        <w:tc>
          <w:tcPr>
            <w:tcW w:w="1360" w:type="dxa"/>
            <w:vAlign w:val="bottom"/>
          </w:tcPr>
          <w:p>
            <w:pPr>
              <w:spacing w:after="0"/>
              <w:rPr>
                <w:sz w:val="24"/>
                <w:szCs w:val="24"/>
                <w:color w:val="auto"/>
              </w:rPr>
            </w:pPr>
          </w:p>
        </w:tc>
        <w:tc>
          <w:tcPr>
            <w:tcW w:w="5640" w:type="dxa"/>
            <w:vAlign w:val="bottom"/>
          </w:tcPr>
          <w:p>
            <w:pPr>
              <w:ind w:left="1020"/>
              <w:spacing w:after="0"/>
              <w:rPr>
                <w:sz w:val="20"/>
                <w:szCs w:val="20"/>
                <w:color w:val="auto"/>
              </w:rPr>
            </w:pPr>
            <w:r>
              <w:rPr>
                <w:rFonts w:ascii="Courier New" w:cs="Courier New" w:eastAsia="Courier New" w:hAnsi="Courier New"/>
                <w:sz w:val="15"/>
                <w:szCs w:val="15"/>
                <w:color w:val="auto"/>
                <w:w w:val="98"/>
              </w:rPr>
              <w:t>(incorporated by reference to Chase's Current Report</w:t>
            </w:r>
          </w:p>
        </w:tc>
      </w:tr>
      <w:tr>
        <w:trPr>
          <w:trHeight w:val="168"/>
        </w:trPr>
        <w:tc>
          <w:tcPr>
            <w:tcW w:w="1360" w:type="dxa"/>
            <w:vAlign w:val="bottom"/>
          </w:tcPr>
          <w:p>
            <w:pPr>
              <w:spacing w:after="0"/>
              <w:rPr>
                <w:sz w:val="14"/>
                <w:szCs w:val="14"/>
                <w:color w:val="auto"/>
              </w:rPr>
            </w:pPr>
          </w:p>
        </w:tc>
        <w:tc>
          <w:tcPr>
            <w:tcW w:w="5640" w:type="dxa"/>
            <w:vAlign w:val="bottom"/>
          </w:tcPr>
          <w:p>
            <w:pPr>
              <w:ind w:left="1020"/>
              <w:spacing w:after="0" w:line="168" w:lineRule="exact"/>
              <w:rPr>
                <w:sz w:val="20"/>
                <w:szCs w:val="20"/>
                <w:color w:val="auto"/>
              </w:rPr>
            </w:pPr>
            <w:r>
              <w:rPr>
                <w:rFonts w:ascii="Courier New" w:cs="Courier New" w:eastAsia="Courier New" w:hAnsi="Courier New"/>
                <w:sz w:val="15"/>
                <w:szCs w:val="15"/>
                <w:color w:val="auto"/>
              </w:rPr>
              <w:t>on Form 8-K dated November 28, 2000).</w:t>
            </w:r>
          </w:p>
        </w:tc>
      </w:tr>
      <w:tr>
        <w:trPr>
          <w:trHeight w:val="336"/>
        </w:trPr>
        <w:tc>
          <w:tcPr>
            <w:tcW w:w="1360" w:type="dxa"/>
            <w:vAlign w:val="bottom"/>
          </w:tcPr>
          <w:p>
            <w:pPr>
              <w:jc w:val="right"/>
              <w:ind w:right="927"/>
              <w:spacing w:after="0"/>
              <w:rPr>
                <w:sz w:val="20"/>
                <w:szCs w:val="20"/>
                <w:color w:val="auto"/>
              </w:rPr>
            </w:pPr>
            <w:r>
              <w:rPr>
                <w:rFonts w:ascii="Courier New" w:cs="Courier New" w:eastAsia="Courier New" w:hAnsi="Courier New"/>
                <w:sz w:val="15"/>
                <w:szCs w:val="15"/>
                <w:color w:val="auto"/>
                <w:w w:val="94"/>
              </w:rPr>
              <w:t>99.7</w:t>
            </w:r>
          </w:p>
        </w:tc>
        <w:tc>
          <w:tcPr>
            <w:tcW w:w="5640" w:type="dxa"/>
            <w:vAlign w:val="bottom"/>
          </w:tcPr>
          <w:p>
            <w:pPr>
              <w:ind w:left="1020"/>
              <w:spacing w:after="0"/>
              <w:rPr>
                <w:sz w:val="20"/>
                <w:szCs w:val="20"/>
                <w:color w:val="auto"/>
              </w:rPr>
            </w:pPr>
            <w:r>
              <w:rPr>
                <w:rFonts w:ascii="Courier New" w:cs="Courier New" w:eastAsia="Courier New" w:hAnsi="Courier New"/>
                <w:sz w:val="15"/>
                <w:szCs w:val="15"/>
                <w:color w:val="auto"/>
              </w:rPr>
              <w:t>Chase and J.P. Morgan unaudited pro forma combined</w:t>
            </w:r>
          </w:p>
        </w:tc>
      </w:tr>
      <w:tr>
        <w:trPr>
          <w:trHeight w:val="168"/>
        </w:trPr>
        <w:tc>
          <w:tcPr>
            <w:tcW w:w="1360" w:type="dxa"/>
            <w:vAlign w:val="bottom"/>
          </w:tcPr>
          <w:p>
            <w:pPr>
              <w:spacing w:after="0"/>
              <w:rPr>
                <w:sz w:val="14"/>
                <w:szCs w:val="14"/>
                <w:color w:val="auto"/>
              </w:rPr>
            </w:pPr>
          </w:p>
        </w:tc>
        <w:tc>
          <w:tcPr>
            <w:tcW w:w="5640" w:type="dxa"/>
            <w:vAlign w:val="bottom"/>
          </w:tcPr>
          <w:p>
            <w:pPr>
              <w:ind w:left="1020"/>
              <w:spacing w:after="0" w:line="168" w:lineRule="exact"/>
              <w:rPr>
                <w:sz w:val="20"/>
                <w:szCs w:val="20"/>
                <w:color w:val="auto"/>
              </w:rPr>
            </w:pPr>
            <w:r>
              <w:rPr>
                <w:rFonts w:ascii="Courier New" w:cs="Courier New" w:eastAsia="Courier New" w:hAnsi="Courier New"/>
                <w:sz w:val="15"/>
                <w:szCs w:val="15"/>
                <w:color w:val="auto"/>
              </w:rPr>
              <w:t>statement of income summary, unaudited pro forma</w:t>
            </w:r>
          </w:p>
        </w:tc>
      </w:tr>
      <w:tr>
        <w:trPr>
          <w:trHeight w:val="168"/>
        </w:trPr>
        <w:tc>
          <w:tcPr>
            <w:tcW w:w="1360" w:type="dxa"/>
            <w:vAlign w:val="bottom"/>
          </w:tcPr>
          <w:p>
            <w:pPr>
              <w:spacing w:after="0"/>
              <w:rPr>
                <w:sz w:val="14"/>
                <w:szCs w:val="14"/>
                <w:color w:val="auto"/>
              </w:rPr>
            </w:pPr>
          </w:p>
        </w:tc>
        <w:tc>
          <w:tcPr>
            <w:tcW w:w="5640" w:type="dxa"/>
            <w:vAlign w:val="bottom"/>
          </w:tcPr>
          <w:p>
            <w:pPr>
              <w:ind w:left="1020"/>
              <w:spacing w:after="0" w:line="168" w:lineRule="exact"/>
              <w:rPr>
                <w:sz w:val="20"/>
                <w:szCs w:val="20"/>
                <w:color w:val="auto"/>
              </w:rPr>
            </w:pPr>
            <w:r>
              <w:rPr>
                <w:rFonts w:ascii="Courier New" w:cs="Courier New" w:eastAsia="Courier New" w:hAnsi="Courier New"/>
                <w:sz w:val="15"/>
                <w:szCs w:val="15"/>
                <w:color w:val="auto"/>
              </w:rPr>
              <w:t>combined balance sheet at September 30, 2000,</w:t>
            </w:r>
          </w:p>
        </w:tc>
      </w:tr>
      <w:tr>
        <w:trPr>
          <w:trHeight w:val="168"/>
        </w:trPr>
        <w:tc>
          <w:tcPr>
            <w:tcW w:w="1360" w:type="dxa"/>
            <w:vAlign w:val="bottom"/>
          </w:tcPr>
          <w:p>
            <w:pPr>
              <w:spacing w:after="0"/>
              <w:rPr>
                <w:sz w:val="14"/>
                <w:szCs w:val="14"/>
                <w:color w:val="auto"/>
              </w:rPr>
            </w:pPr>
          </w:p>
        </w:tc>
        <w:tc>
          <w:tcPr>
            <w:tcW w:w="5640" w:type="dxa"/>
            <w:vAlign w:val="bottom"/>
          </w:tcPr>
          <w:p>
            <w:pPr>
              <w:ind w:left="1020"/>
              <w:spacing w:after="0" w:line="168" w:lineRule="exact"/>
              <w:rPr>
                <w:sz w:val="20"/>
                <w:szCs w:val="20"/>
                <w:color w:val="auto"/>
              </w:rPr>
            </w:pPr>
            <w:r>
              <w:rPr>
                <w:rFonts w:ascii="Courier New" w:cs="Courier New" w:eastAsia="Courier New" w:hAnsi="Courier New"/>
                <w:sz w:val="15"/>
                <w:szCs w:val="15"/>
                <w:color w:val="auto"/>
                <w:w w:val="96"/>
              </w:rPr>
              <w:t>unaudited pro forma combined statements of income for</w:t>
            </w:r>
          </w:p>
        </w:tc>
      </w:tr>
    </w:tbl>
    <w:p>
      <w:pPr>
        <w:ind w:left="2380"/>
        <w:spacing w:after="0" w:line="237" w:lineRule="auto"/>
        <w:rPr>
          <w:sz w:val="20"/>
          <w:szCs w:val="20"/>
          <w:color w:val="auto"/>
        </w:rPr>
      </w:pPr>
      <w:r>
        <w:rPr>
          <w:rFonts w:ascii="Courier New" w:cs="Courier New" w:eastAsia="Courier New" w:hAnsi="Courier New"/>
          <w:sz w:val="15"/>
          <w:szCs w:val="15"/>
          <w:color w:val="auto"/>
        </w:rPr>
        <w:t>each of the years in the three-year period ended</w:t>
      </w:r>
    </w:p>
    <w:p>
      <w:pPr>
        <w:ind w:left="2380"/>
        <w:spacing w:after="0" w:line="238" w:lineRule="auto"/>
        <w:rPr>
          <w:sz w:val="20"/>
          <w:szCs w:val="20"/>
          <w:color w:val="auto"/>
        </w:rPr>
      </w:pPr>
      <w:r>
        <w:rPr>
          <w:rFonts w:ascii="Courier New" w:cs="Courier New" w:eastAsia="Courier New" w:hAnsi="Courier New"/>
          <w:sz w:val="15"/>
          <w:szCs w:val="15"/>
          <w:color w:val="auto"/>
        </w:rPr>
        <w:t>December 31, 1999 and for the nine months ended</w:t>
      </w:r>
    </w:p>
    <w:p>
      <w:pPr>
        <w:ind w:left="2380"/>
        <w:spacing w:after="0" w:line="237" w:lineRule="auto"/>
        <w:rPr>
          <w:sz w:val="20"/>
          <w:szCs w:val="20"/>
          <w:color w:val="auto"/>
        </w:rPr>
      </w:pPr>
      <w:r>
        <w:rPr>
          <w:rFonts w:ascii="Courier New" w:cs="Courier New" w:eastAsia="Courier New" w:hAnsi="Courier New"/>
          <w:sz w:val="15"/>
          <w:szCs w:val="15"/>
          <w:color w:val="auto"/>
        </w:rPr>
        <w:t>September 30, 2000 and 1999, and the notes to</w:t>
      </w:r>
    </w:p>
    <w:p>
      <w:pPr>
        <w:ind w:left="2380"/>
        <w:spacing w:after="0" w:line="238" w:lineRule="auto"/>
        <w:rPr>
          <w:sz w:val="20"/>
          <w:szCs w:val="20"/>
          <w:color w:val="auto"/>
        </w:rPr>
      </w:pPr>
      <w:r>
        <w:rPr>
          <w:rFonts w:ascii="Courier New" w:cs="Courier New" w:eastAsia="Courier New" w:hAnsi="Courier New"/>
          <w:sz w:val="15"/>
          <w:szCs w:val="15"/>
          <w:color w:val="auto"/>
        </w:rPr>
        <w:t>unaudited pro forma combined financial statements</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(incorporated by reference to Chase's Current Report</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on Form 8-K dated November 28, 2000).</w:t>
      </w:r>
    </w:p>
    <w:p>
      <w:pPr>
        <w:sectPr>
          <w:pgSz w:w="11900" w:h="16838" w:orient="portrait"/>
          <w:cols w:equalWidth="0" w:num="1">
            <w:col w:w="10239"/>
          </w:cols>
          <w:pgMar w:left="220" w:top="281"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99.1</w:t>
      </w:r>
    </w:p>
    <w:p>
      <w:pPr>
        <w:sectPr>
          <w:pgSz w:w="11900" w:h="16838" w:orient="portrait"/>
          <w:cols w:equalWidth="0" w:num="1">
            <w:col w:w="10239"/>
          </w:cols>
          <w:pgMar w:left="220" w:top="135"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[JP MORGAN LOGO]</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[CHASE LOGO]</w:t>
      </w:r>
    </w:p>
    <w:p>
      <w:pPr>
        <w:spacing w:after="0" w:line="200" w:lineRule="exact"/>
        <w:rPr>
          <w:sz w:val="20"/>
          <w:szCs w:val="20"/>
          <w:color w:val="auto"/>
        </w:rPr>
      </w:pPr>
    </w:p>
    <w:p>
      <w:pPr>
        <w:sectPr>
          <w:pgSz w:w="11900" w:h="16838" w:orient="portrait"/>
          <w:cols w:equalWidth="0" w:num="2">
            <w:col w:w="3840" w:space="720"/>
            <w:col w:w="5679"/>
          </w:cols>
          <w:pgMar w:left="220" w:top="135" w:right="1440"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IMMEDIATE RELEASE</w:t>
      </w:r>
    </w:p>
    <w:p>
      <w:pPr>
        <w:sectPr>
          <w:pgSz w:w="11900" w:h="16838" w:orient="portrait"/>
          <w:cols w:equalWidth="0" w:num="1">
            <w:col w:w="10239"/>
          </w:cols>
          <w:pgMar w:left="220" w:top="135" w:right="1440" w:bottom="1440" w:gutter="0" w:footer="0" w:header="0"/>
          <w:type w:val="continuous"/>
        </w:sect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Investor Contact: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Borden, 212-270-7318</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Media Contacts:</w:t>
      </w:r>
    </w:p>
    <w:p>
      <w:pPr>
        <w:spacing w:after="0" w:line="237" w:lineRule="auto"/>
        <w:rPr>
          <w:sz w:val="20"/>
          <w:szCs w:val="20"/>
          <w:color w:val="auto"/>
        </w:rPr>
      </w:pPr>
      <w:r>
        <w:rPr>
          <w:rFonts w:ascii="Courier New" w:cs="Courier New" w:eastAsia="Courier New" w:hAnsi="Courier New"/>
          <w:sz w:val="15"/>
          <w:szCs w:val="15"/>
          <w:color w:val="auto"/>
        </w:rPr>
        <w:t>Jon Diat, 212-270-5089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Joe Evangelisti,212-648-9589</w:t>
      </w:r>
    </w:p>
    <w:p>
      <w:pPr>
        <w:spacing w:after="0" w:line="200" w:lineRule="exact"/>
        <w:rPr>
          <w:sz w:val="20"/>
          <w:szCs w:val="20"/>
          <w:color w:val="auto"/>
        </w:rPr>
      </w:pPr>
    </w:p>
    <w:p>
      <w:pPr>
        <w:sectPr>
          <w:pgSz w:w="11900" w:h="16838" w:orient="portrait"/>
          <w:cols w:equalWidth="0" w:num="2">
            <w:col w:w="3400" w:space="720"/>
            <w:col w:w="6119"/>
          </w:cols>
          <w:pgMar w:left="220" w:top="135" w:right="1440" w:bottom="1440" w:gutter="0" w:footer="0" w:header="0"/>
          <w:type w:val="continuous"/>
        </w:sectPr>
      </w:pPr>
    </w:p>
    <w:p>
      <w:pPr>
        <w:spacing w:after="0" w:line="308"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CHASE AND J.P. MORGAN MERGE</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CREATE PREEMINENT GLOBAL FINANCIAL SERVICES FIRM</w:t>
      </w:r>
    </w:p>
    <w:p>
      <w:pPr>
        <w:spacing w:after="0" w:line="341"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NEW YORK, JANUARY 2 - The Chase Manhattan Corporation and J.P. Morgan &amp; Co. Incorporated today said that they have completed the merger of their holding companies, effective December 31, 2000. The name of the new firm is J.P. Morgan Chase &amp; Co.</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J.P. Morgan Chase is a premier global competitor with operations in over 60 countries. The firm has stockholders' equity of more than $39 billion, assets in excess of $705 billion and a market capitalization of approximately $83 billion. Headquartered in New York, J.P. Morgan Chase serves 32 million consumer customers in the United States, over 5,000 corporate, institutional, and government clients worldwide, and has over 90,000 employees globally. The company's new web site address is www.jpmorganchase.com.</w:t>
      </w:r>
    </w:p>
    <w:p>
      <w:pPr>
        <w:spacing w:after="0" w:line="176"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As a result of the merger, 3.7 shares of J.P. Morgan Chase common stock are to be exchanged for each share of J.P. Morgan common stock. Chase, under its new name - J.P. Morgan Chase &amp; Co. - commences trading on the New York Stock Exchange today under the ticker symbol "JPM."</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 # #</w:t>
      </w:r>
    </w:p>
    <w:p>
      <w:pPr>
        <w:sectPr>
          <w:pgSz w:w="11900" w:h="16838" w:orient="portrait"/>
          <w:cols w:equalWidth="0" w:num="1">
            <w:col w:w="10239"/>
          </w:cols>
          <w:pgMar w:left="220" w:top="135" w:right="1440" w:bottom="1440" w:gutter="0" w:footer="0" w:header="0"/>
          <w:type w:val="continuous"/>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1</w:t>
      </w:r>
    </w:p>
    <w:p>
      <w:pPr>
        <w:spacing w:after="0" w:line="237" w:lineRule="auto"/>
        <w:rPr>
          <w:sz w:val="20"/>
          <w:szCs w:val="20"/>
          <w:color w:val="auto"/>
        </w:rPr>
      </w:pPr>
      <w:r>
        <w:rPr>
          <w:rFonts w:ascii="Courier New" w:cs="Courier New" w:eastAsia="Courier New" w:hAnsi="Courier New"/>
          <w:sz w:val="15"/>
          <w:szCs w:val="15"/>
          <w:color w:val="auto"/>
        </w:rPr>
        <w:t>EXHIBIT 99.2</w:t>
      </w:r>
    </w:p>
    <w:p>
      <w:pPr>
        <w:spacing w:after="0" w:line="238" w:lineRule="auto"/>
        <w:rPr>
          <w:sz w:val="20"/>
          <w:szCs w:val="20"/>
          <w:color w:val="auto"/>
        </w:rPr>
      </w:pPr>
      <w:r>
        <w:rPr>
          <w:rFonts w:ascii="Courier New" w:cs="Courier New" w:eastAsia="Courier New" w:hAnsi="Courier New"/>
          <w:sz w:val="15"/>
          <w:szCs w:val="15"/>
          <w:color w:val="auto"/>
        </w:rPr>
        <w:t>J.P. MORGAN CHASE &amp; CO.</w:t>
      </w:r>
    </w:p>
    <w:p>
      <w:pPr>
        <w:spacing w:after="0" w:line="237" w:lineRule="auto"/>
        <w:rPr>
          <w:sz w:val="20"/>
          <w:szCs w:val="20"/>
          <w:color w:val="auto"/>
        </w:rPr>
      </w:pPr>
      <w:r>
        <w:rPr>
          <w:rFonts w:ascii="Courier New" w:cs="Courier New" w:eastAsia="Courier New" w:hAnsi="Courier New"/>
          <w:sz w:val="15"/>
          <w:szCs w:val="15"/>
          <w:color w:val="auto"/>
        </w:rPr>
        <w:t>UNAUDITED PRO FORMA COMBINED STATEMENTS OF INCOME</w:t>
      </w:r>
    </w:p>
    <w:p>
      <w:pPr>
        <w:spacing w:after="0" w:line="238" w:lineRule="auto"/>
        <w:rPr>
          <w:sz w:val="20"/>
          <w:szCs w:val="20"/>
          <w:color w:val="auto"/>
        </w:rPr>
      </w:pPr>
      <w:r>
        <w:rPr>
          <w:rFonts w:ascii="Courier New" w:cs="Courier New" w:eastAsia="Courier New" w:hAnsi="Courier New"/>
          <w:sz w:val="15"/>
          <w:szCs w:val="15"/>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Third</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Second</w:t>
            </w:r>
          </w:p>
        </w:tc>
        <w:tc>
          <w:tcPr>
            <w:tcW w:w="22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First</w:t>
            </w:r>
          </w:p>
        </w:tc>
        <w:tc>
          <w:tcPr>
            <w:tcW w:w="11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Fourth</w:t>
            </w:r>
          </w:p>
        </w:tc>
        <w:tc>
          <w:tcPr>
            <w:tcW w:w="260" w:type="dxa"/>
            <w:vAlign w:val="bottom"/>
          </w:tcPr>
          <w:p>
            <w:pPr>
              <w:spacing w:after="0"/>
              <w:rPr>
                <w:sz w:val="14"/>
                <w:szCs w:val="14"/>
                <w:color w:val="auto"/>
              </w:rPr>
            </w:pPr>
          </w:p>
        </w:tc>
        <w:tc>
          <w:tcPr>
            <w:tcW w:w="860" w:type="dxa"/>
            <w:vAlign w:val="bottom"/>
          </w:tcPr>
          <w:p>
            <w:pPr>
              <w:jc w:val="right"/>
              <w:ind w:right="347"/>
              <w:spacing w:after="0"/>
              <w:rPr>
                <w:sz w:val="20"/>
                <w:szCs w:val="20"/>
                <w:color w:val="auto"/>
              </w:rPr>
            </w:pPr>
            <w:r>
              <w:rPr>
                <w:rFonts w:ascii="Courier New" w:cs="Courier New" w:eastAsia="Courier New" w:hAnsi="Courier New"/>
                <w:sz w:val="15"/>
                <w:szCs w:val="15"/>
                <w:color w:val="auto"/>
                <w:w w:val="93"/>
              </w:rPr>
              <w:t>Third</w:t>
            </w:r>
          </w:p>
        </w:tc>
        <w:tc>
          <w:tcPr>
            <w:tcW w:w="11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Second</w:t>
            </w:r>
          </w:p>
        </w:tc>
        <w:tc>
          <w:tcPr>
            <w:tcW w:w="40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5"/>
                <w:szCs w:val="15"/>
                <w:color w:val="auto"/>
              </w:rPr>
              <w:t>First</w:t>
            </w:r>
          </w:p>
        </w:tc>
      </w:tr>
      <w:tr>
        <w:trPr>
          <w:trHeight w:val="168"/>
        </w:trPr>
        <w:tc>
          <w:tcPr>
            <w:tcW w:w="4200" w:type="dxa"/>
            <w:vAlign w:val="bottom"/>
          </w:tcPr>
          <w:p>
            <w:pPr>
              <w:spacing w:after="0"/>
              <w:rPr>
                <w:sz w:val="14"/>
                <w:szCs w:val="14"/>
                <w:color w:val="auto"/>
              </w:rPr>
            </w:pPr>
          </w:p>
        </w:tc>
        <w:tc>
          <w:tcPr>
            <w:tcW w:w="1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Quarter</w:t>
            </w:r>
          </w:p>
        </w:tc>
        <w:tc>
          <w:tcPr>
            <w:tcW w:w="8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Quarter</w:t>
            </w:r>
          </w:p>
        </w:tc>
        <w:tc>
          <w:tcPr>
            <w:tcW w:w="10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Quarter</w:t>
            </w:r>
          </w:p>
        </w:tc>
        <w:tc>
          <w:tcPr>
            <w:tcW w:w="1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Quarter</w:t>
            </w:r>
          </w:p>
        </w:tc>
        <w:tc>
          <w:tcPr>
            <w:tcW w:w="112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Quarter</w:t>
            </w:r>
          </w:p>
        </w:tc>
        <w:tc>
          <w:tcPr>
            <w:tcW w:w="11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Quarter</w:t>
            </w:r>
          </w:p>
        </w:tc>
        <w:tc>
          <w:tcPr>
            <w:tcW w:w="100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Quarter</w:t>
            </w:r>
          </w:p>
        </w:tc>
      </w:tr>
      <w:tr>
        <w:trPr>
          <w:trHeight w:val="168"/>
        </w:trPr>
        <w:tc>
          <w:tcPr>
            <w:tcW w:w="4200" w:type="dxa"/>
            <w:vAlign w:val="bottom"/>
          </w:tcPr>
          <w:p>
            <w:pPr>
              <w:spacing w:after="0"/>
              <w:rPr>
                <w:sz w:val="14"/>
                <w:szCs w:val="14"/>
                <w:color w:val="auto"/>
              </w:rPr>
            </w:pPr>
          </w:p>
        </w:tc>
        <w:tc>
          <w:tcPr>
            <w:tcW w:w="1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2000</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2000</w:t>
            </w:r>
          </w:p>
        </w:tc>
        <w:tc>
          <w:tcPr>
            <w:tcW w:w="300" w:type="dxa"/>
            <w:vAlign w:val="bottom"/>
          </w:tcPr>
          <w:p>
            <w:pPr>
              <w:spacing w:after="0"/>
              <w:rPr>
                <w:sz w:val="14"/>
                <w:szCs w:val="14"/>
                <w:color w:val="auto"/>
              </w:rPr>
            </w:pPr>
          </w:p>
        </w:tc>
        <w:tc>
          <w:tcPr>
            <w:tcW w:w="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1999</w:t>
            </w:r>
          </w:p>
        </w:tc>
        <w:tc>
          <w:tcPr>
            <w:tcW w:w="260" w:type="dxa"/>
            <w:vAlign w:val="bottom"/>
          </w:tcPr>
          <w:p>
            <w:pPr>
              <w:spacing w:after="0"/>
              <w:rPr>
                <w:sz w:val="14"/>
                <w:szCs w:val="14"/>
                <w:color w:val="auto"/>
              </w:rPr>
            </w:pPr>
          </w:p>
        </w:tc>
        <w:tc>
          <w:tcPr>
            <w:tcW w:w="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1999</w:t>
            </w:r>
          </w:p>
        </w:tc>
        <w:tc>
          <w:tcPr>
            <w:tcW w:w="400" w:type="dxa"/>
            <w:vAlign w:val="bottom"/>
          </w:tcPr>
          <w:p>
            <w:pPr>
              <w:spacing w:after="0"/>
              <w:rPr>
                <w:sz w:val="14"/>
                <w:szCs w:val="14"/>
                <w:color w:val="auto"/>
              </w:rPr>
            </w:pP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200" w:type="dxa"/>
            <w:vAlign w:val="bottom"/>
          </w:tcPr>
          <w:p>
            <w:pPr>
              <w:spacing w:after="0"/>
              <w:rPr>
                <w:sz w:val="14"/>
                <w:szCs w:val="14"/>
                <w:color w:val="auto"/>
              </w:rPr>
            </w:pPr>
          </w:p>
        </w:tc>
        <w:tc>
          <w:tcPr>
            <w:tcW w:w="7340" w:type="dxa"/>
            <w:vAlign w:val="bottom"/>
            <w:gridSpan w:val="12"/>
          </w:tcPr>
          <w:p>
            <w:pPr>
              <w:ind w:left="2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$ 4,495</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$4,119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3,941</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3,872</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3,703</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3,569</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3"/>
              </w:rPr>
              <w:t>3,639</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1,093</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1,081</w:t>
            </w:r>
          </w:p>
        </w:tc>
        <w:tc>
          <w:tcPr>
            <w:tcW w:w="22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1,152</w:t>
            </w:r>
          </w:p>
        </w:tc>
        <w:tc>
          <w:tcPr>
            <w:tcW w:w="30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1,194</w:t>
            </w:r>
          </w:p>
        </w:tc>
        <w:tc>
          <w:tcPr>
            <w:tcW w:w="26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1,164</w:t>
            </w:r>
          </w:p>
        </w:tc>
        <w:tc>
          <w:tcPr>
            <w:tcW w:w="36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1,152</w:t>
            </w:r>
          </w:p>
        </w:tc>
        <w:tc>
          <w:tcPr>
            <w:tcW w:w="40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3"/>
              </w:rPr>
              <w:t>1,294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 Assets</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1,855</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1,753</w:t>
            </w:r>
          </w:p>
        </w:tc>
        <w:tc>
          <w:tcPr>
            <w:tcW w:w="22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1,517</w:t>
            </w:r>
          </w:p>
        </w:tc>
        <w:tc>
          <w:tcPr>
            <w:tcW w:w="30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1,441</w:t>
            </w:r>
          </w:p>
        </w:tc>
        <w:tc>
          <w:tcPr>
            <w:tcW w:w="26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1,369</w:t>
            </w:r>
          </w:p>
        </w:tc>
        <w:tc>
          <w:tcPr>
            <w:tcW w:w="36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1,343</w:t>
            </w:r>
          </w:p>
        </w:tc>
        <w:tc>
          <w:tcPr>
            <w:tcW w:w="40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3"/>
              </w:rPr>
              <w:t>1,279</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Sold and Securities Purchased</w:t>
            </w: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Under Resale Agreements</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1,070</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1,065</w:t>
            </w:r>
          </w:p>
        </w:tc>
        <w:tc>
          <w:tcPr>
            <w:tcW w:w="22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948</w:t>
            </w:r>
          </w:p>
        </w:tc>
        <w:tc>
          <w:tcPr>
            <w:tcW w:w="30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737</w:t>
            </w:r>
          </w:p>
        </w:tc>
        <w:tc>
          <w:tcPr>
            <w:tcW w:w="26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746</w:t>
            </w:r>
          </w:p>
        </w:tc>
        <w:tc>
          <w:tcPr>
            <w:tcW w:w="36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734</w:t>
            </w:r>
          </w:p>
        </w:tc>
        <w:tc>
          <w:tcPr>
            <w:tcW w:w="40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799</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Borrowed</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607</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528</w:t>
            </w:r>
          </w:p>
        </w:tc>
        <w:tc>
          <w:tcPr>
            <w:tcW w:w="22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528</w:t>
            </w:r>
          </w:p>
        </w:tc>
        <w:tc>
          <w:tcPr>
            <w:tcW w:w="30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472</w:t>
            </w:r>
          </w:p>
        </w:tc>
        <w:tc>
          <w:tcPr>
            <w:tcW w:w="26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469</w:t>
            </w:r>
          </w:p>
        </w:tc>
        <w:tc>
          <w:tcPr>
            <w:tcW w:w="36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480</w:t>
            </w:r>
          </w:p>
        </w:tc>
        <w:tc>
          <w:tcPr>
            <w:tcW w:w="40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456</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Deposits With Banks</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180</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176</w:t>
            </w:r>
          </w:p>
        </w:tc>
        <w:tc>
          <w:tcPr>
            <w:tcW w:w="22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212</w:t>
            </w:r>
          </w:p>
        </w:tc>
        <w:tc>
          <w:tcPr>
            <w:tcW w:w="30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245</w:t>
            </w:r>
          </w:p>
        </w:tc>
        <w:tc>
          <w:tcPr>
            <w:tcW w:w="26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256</w:t>
            </w:r>
          </w:p>
        </w:tc>
        <w:tc>
          <w:tcPr>
            <w:tcW w:w="36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240</w:t>
            </w:r>
          </w:p>
        </w:tc>
        <w:tc>
          <w:tcPr>
            <w:tcW w:w="40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265</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Sources</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123</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136</w:t>
            </w:r>
          </w:p>
        </w:tc>
        <w:tc>
          <w:tcPr>
            <w:tcW w:w="22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142</w:t>
            </w:r>
          </w:p>
        </w:tc>
        <w:tc>
          <w:tcPr>
            <w:tcW w:w="30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97</w:t>
            </w:r>
          </w:p>
        </w:tc>
        <w:tc>
          <w:tcPr>
            <w:tcW w:w="26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72</w:t>
            </w:r>
          </w:p>
        </w:tc>
        <w:tc>
          <w:tcPr>
            <w:tcW w:w="36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68</w:t>
            </w:r>
          </w:p>
        </w:tc>
        <w:tc>
          <w:tcPr>
            <w:tcW w:w="40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4200" w:type="dxa"/>
            <w:vAlign w:val="bottom"/>
          </w:tcPr>
          <w:p>
            <w:pPr>
              <w:spacing w:after="0"/>
              <w:rPr>
                <w:sz w:val="14"/>
                <w:szCs w:val="14"/>
                <w:color w:val="auto"/>
              </w:rPr>
            </w:pPr>
          </w:p>
        </w:tc>
        <w:tc>
          <w:tcPr>
            <w:tcW w:w="7340" w:type="dxa"/>
            <w:vAlign w:val="bottom"/>
            <w:gridSpan w:val="12"/>
          </w:tcPr>
          <w:p>
            <w:pPr>
              <w:ind w:left="2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2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Interest Income</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$ 9,423</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$8,858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8,440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8,058</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7,779</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7,586</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3"/>
              </w:rPr>
              <w:t>7,784</w:t>
            </w:r>
          </w:p>
        </w:tc>
      </w:tr>
      <w:tr>
        <w:trPr>
          <w:trHeight w:val="168"/>
        </w:trPr>
        <w:tc>
          <w:tcPr>
            <w:tcW w:w="4200" w:type="dxa"/>
            <w:vAlign w:val="bottom"/>
          </w:tcPr>
          <w:p>
            <w:pPr>
              <w:spacing w:after="0"/>
              <w:rPr>
                <w:sz w:val="14"/>
                <w:szCs w:val="14"/>
                <w:color w:val="auto"/>
              </w:rPr>
            </w:pPr>
          </w:p>
        </w:tc>
        <w:tc>
          <w:tcPr>
            <w:tcW w:w="7340" w:type="dxa"/>
            <w:vAlign w:val="bottom"/>
            <w:gridSpan w:val="12"/>
          </w:tcPr>
          <w:p>
            <w:pPr>
              <w:ind w:left="2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Deposits</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$ 2,765</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$2,644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2,507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2,316</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2,198</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2,117</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3"/>
              </w:rPr>
              <w:t>2,214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Short-Term and Other Liabilities</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3,458</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3,147</w:t>
            </w:r>
          </w:p>
        </w:tc>
        <w:tc>
          <w:tcPr>
            <w:tcW w:w="22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2,784</w:t>
            </w:r>
          </w:p>
        </w:tc>
        <w:tc>
          <w:tcPr>
            <w:tcW w:w="30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2,492</w:t>
            </w:r>
          </w:p>
        </w:tc>
        <w:tc>
          <w:tcPr>
            <w:tcW w:w="26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2,336</w:t>
            </w:r>
          </w:p>
        </w:tc>
        <w:tc>
          <w:tcPr>
            <w:tcW w:w="36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2,209</w:t>
            </w:r>
          </w:p>
        </w:tc>
        <w:tc>
          <w:tcPr>
            <w:tcW w:w="40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3"/>
              </w:rPr>
              <w:t>2,286</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857</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773</w:t>
            </w:r>
          </w:p>
        </w:tc>
        <w:tc>
          <w:tcPr>
            <w:tcW w:w="22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735</w:t>
            </w:r>
          </w:p>
        </w:tc>
        <w:tc>
          <w:tcPr>
            <w:tcW w:w="30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687</w:t>
            </w:r>
          </w:p>
        </w:tc>
        <w:tc>
          <w:tcPr>
            <w:tcW w:w="26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686</w:t>
            </w:r>
          </w:p>
        </w:tc>
        <w:tc>
          <w:tcPr>
            <w:tcW w:w="36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690</w:t>
            </w:r>
          </w:p>
        </w:tc>
        <w:tc>
          <w:tcPr>
            <w:tcW w:w="40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691</w:t>
            </w:r>
          </w:p>
        </w:tc>
      </w:tr>
      <w:tr>
        <w:trPr>
          <w:trHeight w:val="168"/>
        </w:trPr>
        <w:tc>
          <w:tcPr>
            <w:tcW w:w="4200" w:type="dxa"/>
            <w:vAlign w:val="bottom"/>
          </w:tcPr>
          <w:p>
            <w:pPr>
              <w:spacing w:after="0"/>
              <w:rPr>
                <w:sz w:val="14"/>
                <w:szCs w:val="14"/>
                <w:color w:val="auto"/>
              </w:rPr>
            </w:pPr>
          </w:p>
        </w:tc>
        <w:tc>
          <w:tcPr>
            <w:tcW w:w="7340" w:type="dxa"/>
            <w:vAlign w:val="bottom"/>
            <w:gridSpan w:val="12"/>
          </w:tcPr>
          <w:p>
            <w:pPr>
              <w:ind w:left="2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2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Interest Expense</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$ 7,080</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$6,564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6,026</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5,495</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5,220</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5,016</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3"/>
              </w:rPr>
              <w:t>5,191</w:t>
            </w:r>
          </w:p>
        </w:tc>
      </w:tr>
      <w:tr>
        <w:trPr>
          <w:trHeight w:val="168"/>
        </w:trPr>
        <w:tc>
          <w:tcPr>
            <w:tcW w:w="4200" w:type="dxa"/>
            <w:vAlign w:val="bottom"/>
          </w:tcPr>
          <w:p>
            <w:pPr>
              <w:spacing w:after="0"/>
              <w:rPr>
                <w:sz w:val="14"/>
                <w:szCs w:val="14"/>
                <w:color w:val="auto"/>
              </w:rPr>
            </w:pPr>
          </w:p>
        </w:tc>
        <w:tc>
          <w:tcPr>
            <w:tcW w:w="7340" w:type="dxa"/>
            <w:vAlign w:val="bottom"/>
            <w:gridSpan w:val="12"/>
          </w:tcPr>
          <w:p>
            <w:pPr>
              <w:ind w:left="2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INTEREST INCOME</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$ 2,343</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$2,294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2,414</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2,563</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2,559</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2,570</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3"/>
              </w:rPr>
              <w:t>2,593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Loan Losses</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298</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328</w:t>
            </w:r>
          </w:p>
        </w:tc>
        <w:tc>
          <w:tcPr>
            <w:tcW w:w="22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342</w:t>
            </w:r>
          </w:p>
        </w:tc>
        <w:tc>
          <w:tcPr>
            <w:tcW w:w="30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429</w:t>
            </w:r>
          </w:p>
        </w:tc>
        <w:tc>
          <w:tcPr>
            <w:tcW w:w="26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353</w:t>
            </w:r>
          </w:p>
        </w:tc>
        <w:tc>
          <w:tcPr>
            <w:tcW w:w="36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283</w:t>
            </w:r>
          </w:p>
        </w:tc>
        <w:tc>
          <w:tcPr>
            <w:tcW w:w="40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381</w:t>
            </w:r>
          </w:p>
        </w:tc>
      </w:tr>
      <w:tr>
        <w:trPr>
          <w:trHeight w:val="168"/>
        </w:trPr>
        <w:tc>
          <w:tcPr>
            <w:tcW w:w="4200" w:type="dxa"/>
            <w:vAlign w:val="bottom"/>
          </w:tcPr>
          <w:p>
            <w:pPr>
              <w:spacing w:after="0"/>
              <w:rPr>
                <w:sz w:val="14"/>
                <w:szCs w:val="14"/>
                <w:color w:val="auto"/>
              </w:rPr>
            </w:pPr>
          </w:p>
        </w:tc>
        <w:tc>
          <w:tcPr>
            <w:tcW w:w="7340" w:type="dxa"/>
            <w:vAlign w:val="bottom"/>
            <w:gridSpan w:val="12"/>
          </w:tcPr>
          <w:p>
            <w:pPr>
              <w:ind w:left="2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INTEREST INCOME AFTER PROVISION</w:t>
            </w: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FOR LOAN LOSSES</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$ 2,045</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$1,966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2,072</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2,134</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2,206</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2,287</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3"/>
              </w:rPr>
              <w:t>2,212</w:t>
            </w:r>
          </w:p>
        </w:tc>
      </w:tr>
      <w:tr>
        <w:trPr>
          <w:trHeight w:val="168"/>
        </w:trPr>
        <w:tc>
          <w:tcPr>
            <w:tcW w:w="4200" w:type="dxa"/>
            <w:vAlign w:val="bottom"/>
          </w:tcPr>
          <w:p>
            <w:pPr>
              <w:spacing w:after="0"/>
              <w:rPr>
                <w:sz w:val="14"/>
                <w:szCs w:val="14"/>
                <w:color w:val="auto"/>
              </w:rPr>
            </w:pPr>
          </w:p>
        </w:tc>
        <w:tc>
          <w:tcPr>
            <w:tcW w:w="7340" w:type="dxa"/>
            <w:vAlign w:val="bottom"/>
            <w:gridSpan w:val="12"/>
          </w:tcPr>
          <w:p>
            <w:pPr>
              <w:ind w:left="2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REVENUE</w:t>
            </w: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 Revenue</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$ 1,455</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$1,730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1,971</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1,285</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886</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1,329</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3"/>
              </w:rPr>
              <w:t>1,752</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Banking Fees</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1,013</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1,107</w:t>
            </w:r>
          </w:p>
        </w:tc>
        <w:tc>
          <w:tcPr>
            <w:tcW w:w="22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1,191</w:t>
            </w:r>
          </w:p>
        </w:tc>
        <w:tc>
          <w:tcPr>
            <w:tcW w:w="30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884</w:t>
            </w:r>
          </w:p>
        </w:tc>
        <w:tc>
          <w:tcPr>
            <w:tcW w:w="26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884</w:t>
            </w:r>
          </w:p>
        </w:tc>
        <w:tc>
          <w:tcPr>
            <w:tcW w:w="36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1,042</w:t>
            </w:r>
          </w:p>
        </w:tc>
        <w:tc>
          <w:tcPr>
            <w:tcW w:w="40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707</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Trust, Custody and Investment Management Fees</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963</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859</w:t>
            </w:r>
          </w:p>
        </w:tc>
        <w:tc>
          <w:tcPr>
            <w:tcW w:w="22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798</w:t>
            </w:r>
          </w:p>
        </w:tc>
        <w:tc>
          <w:tcPr>
            <w:tcW w:w="30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736</w:t>
            </w:r>
          </w:p>
        </w:tc>
        <w:tc>
          <w:tcPr>
            <w:tcW w:w="26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735</w:t>
            </w:r>
          </w:p>
        </w:tc>
        <w:tc>
          <w:tcPr>
            <w:tcW w:w="36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729</w:t>
            </w:r>
          </w:p>
        </w:tc>
        <w:tc>
          <w:tcPr>
            <w:tcW w:w="40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668</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Credit Card Revenue</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471</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443</w:t>
            </w:r>
          </w:p>
        </w:tc>
        <w:tc>
          <w:tcPr>
            <w:tcW w:w="22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397</w:t>
            </w:r>
          </w:p>
        </w:tc>
        <w:tc>
          <w:tcPr>
            <w:tcW w:w="30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440</w:t>
            </w:r>
          </w:p>
        </w:tc>
        <w:tc>
          <w:tcPr>
            <w:tcW w:w="26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441</w:t>
            </w:r>
          </w:p>
        </w:tc>
        <w:tc>
          <w:tcPr>
            <w:tcW w:w="36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438</w:t>
            </w:r>
          </w:p>
        </w:tc>
        <w:tc>
          <w:tcPr>
            <w:tcW w:w="40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379</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Fees and Commissions</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993</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916</w:t>
            </w:r>
          </w:p>
        </w:tc>
        <w:tc>
          <w:tcPr>
            <w:tcW w:w="22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1,002</w:t>
            </w:r>
          </w:p>
        </w:tc>
        <w:tc>
          <w:tcPr>
            <w:tcW w:w="30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946</w:t>
            </w:r>
          </w:p>
        </w:tc>
        <w:tc>
          <w:tcPr>
            <w:tcW w:w="26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835</w:t>
            </w:r>
          </w:p>
        </w:tc>
        <w:tc>
          <w:tcPr>
            <w:tcW w:w="36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770</w:t>
            </w:r>
          </w:p>
        </w:tc>
        <w:tc>
          <w:tcPr>
            <w:tcW w:w="40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759</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Private Equity Gains (Losses)</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459</w:t>
            </w:r>
          </w:p>
        </w:tc>
        <w:tc>
          <w:tcPr>
            <w:tcW w:w="22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674</w:t>
            </w:r>
          </w:p>
        </w:tc>
        <w:tc>
          <w:tcPr>
            <w:tcW w:w="30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1,614</w:t>
            </w:r>
          </w:p>
        </w:tc>
        <w:tc>
          <w:tcPr>
            <w:tcW w:w="26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698</w:t>
            </w:r>
          </w:p>
        </w:tc>
        <w:tc>
          <w:tcPr>
            <w:tcW w:w="36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525</w:t>
            </w:r>
          </w:p>
        </w:tc>
        <w:tc>
          <w:tcPr>
            <w:tcW w:w="40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310</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Gains (Losses)</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w:t>
            </w:r>
          </w:p>
        </w:tc>
        <w:tc>
          <w:tcPr>
            <w:tcW w:w="3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(235)</w:t>
            </w:r>
          </w:p>
        </w:tc>
        <w:tc>
          <w:tcPr>
            <w:tcW w:w="2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w:t>
            </w:r>
          </w:p>
        </w:tc>
        <w:tc>
          <w:tcPr>
            <w:tcW w:w="36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(36)</w:t>
            </w:r>
          </w:p>
        </w:tc>
        <w:tc>
          <w:tcPr>
            <w:tcW w:w="40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130</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Revenue</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415</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w:t>
            </w:r>
          </w:p>
        </w:tc>
        <w:tc>
          <w:tcPr>
            <w:tcW w:w="22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325</w:t>
            </w:r>
          </w:p>
        </w:tc>
        <w:tc>
          <w:tcPr>
            <w:tcW w:w="30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205</w:t>
            </w:r>
          </w:p>
        </w:tc>
        <w:tc>
          <w:tcPr>
            <w:tcW w:w="26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152</w:t>
            </w:r>
          </w:p>
        </w:tc>
        <w:tc>
          <w:tcPr>
            <w:tcW w:w="36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343</w:t>
            </w:r>
          </w:p>
        </w:tc>
        <w:tc>
          <w:tcPr>
            <w:tcW w:w="40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345</w:t>
            </w:r>
          </w:p>
        </w:tc>
      </w:tr>
      <w:tr>
        <w:trPr>
          <w:trHeight w:val="168"/>
        </w:trPr>
        <w:tc>
          <w:tcPr>
            <w:tcW w:w="4200" w:type="dxa"/>
            <w:vAlign w:val="bottom"/>
          </w:tcPr>
          <w:p>
            <w:pPr>
              <w:spacing w:after="0"/>
              <w:rPr>
                <w:sz w:val="14"/>
                <w:szCs w:val="14"/>
                <w:color w:val="auto"/>
              </w:rPr>
            </w:pPr>
          </w:p>
        </w:tc>
        <w:tc>
          <w:tcPr>
            <w:tcW w:w="7340" w:type="dxa"/>
            <w:vAlign w:val="bottom"/>
            <w:gridSpan w:val="12"/>
          </w:tcPr>
          <w:p>
            <w:pPr>
              <w:ind w:left="2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2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Noninterest Revenue</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$ 5,380</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$5,605</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6,355</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5,875</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4,580</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5,140</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3"/>
              </w:rPr>
              <w:t>5,050</w:t>
            </w:r>
          </w:p>
        </w:tc>
      </w:tr>
      <w:tr>
        <w:trPr>
          <w:trHeight w:val="168"/>
        </w:trPr>
        <w:tc>
          <w:tcPr>
            <w:tcW w:w="4200" w:type="dxa"/>
            <w:vAlign w:val="bottom"/>
          </w:tcPr>
          <w:p>
            <w:pPr>
              <w:spacing w:after="0"/>
              <w:rPr>
                <w:sz w:val="14"/>
                <w:szCs w:val="14"/>
                <w:color w:val="auto"/>
              </w:rPr>
            </w:pPr>
          </w:p>
        </w:tc>
        <w:tc>
          <w:tcPr>
            <w:tcW w:w="7340" w:type="dxa"/>
            <w:vAlign w:val="bottom"/>
            <w:gridSpan w:val="12"/>
          </w:tcPr>
          <w:p>
            <w:pPr>
              <w:ind w:left="2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EXPENSE</w:t>
            </w: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Salaries</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$ 2,740</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$2,543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2,910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2,257</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2,183</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2,255</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3"/>
              </w:rPr>
              <w:t>2,354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Benefits</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395</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420</w:t>
            </w:r>
          </w:p>
        </w:tc>
        <w:tc>
          <w:tcPr>
            <w:tcW w:w="22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430</w:t>
            </w:r>
          </w:p>
        </w:tc>
        <w:tc>
          <w:tcPr>
            <w:tcW w:w="30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374</w:t>
            </w:r>
          </w:p>
        </w:tc>
        <w:tc>
          <w:tcPr>
            <w:tcW w:w="26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361</w:t>
            </w:r>
          </w:p>
        </w:tc>
        <w:tc>
          <w:tcPr>
            <w:tcW w:w="36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369</w:t>
            </w:r>
          </w:p>
        </w:tc>
        <w:tc>
          <w:tcPr>
            <w:tcW w:w="40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381</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Occupancy</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338</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297</w:t>
            </w:r>
          </w:p>
        </w:tc>
        <w:tc>
          <w:tcPr>
            <w:tcW w:w="22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308</w:t>
            </w:r>
          </w:p>
        </w:tc>
        <w:tc>
          <w:tcPr>
            <w:tcW w:w="30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304</w:t>
            </w:r>
          </w:p>
        </w:tc>
        <w:tc>
          <w:tcPr>
            <w:tcW w:w="26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300</w:t>
            </w:r>
          </w:p>
        </w:tc>
        <w:tc>
          <w:tcPr>
            <w:tcW w:w="36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286</w:t>
            </w:r>
          </w:p>
        </w:tc>
        <w:tc>
          <w:tcPr>
            <w:tcW w:w="40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300</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Technology and Communications</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632</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574</w:t>
            </w:r>
          </w:p>
        </w:tc>
        <w:tc>
          <w:tcPr>
            <w:tcW w:w="22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580</w:t>
            </w:r>
          </w:p>
        </w:tc>
        <w:tc>
          <w:tcPr>
            <w:tcW w:w="30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579</w:t>
            </w:r>
          </w:p>
        </w:tc>
        <w:tc>
          <w:tcPr>
            <w:tcW w:w="26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538</w:t>
            </w:r>
          </w:p>
        </w:tc>
        <w:tc>
          <w:tcPr>
            <w:tcW w:w="36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529</w:t>
            </w:r>
          </w:p>
        </w:tc>
        <w:tc>
          <w:tcPr>
            <w:tcW w:w="40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Professional Services</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275</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281</w:t>
            </w:r>
          </w:p>
        </w:tc>
        <w:tc>
          <w:tcPr>
            <w:tcW w:w="22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282</w:t>
            </w:r>
          </w:p>
        </w:tc>
        <w:tc>
          <w:tcPr>
            <w:tcW w:w="30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291</w:t>
            </w:r>
          </w:p>
        </w:tc>
        <w:tc>
          <w:tcPr>
            <w:tcW w:w="26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245</w:t>
            </w:r>
          </w:p>
        </w:tc>
        <w:tc>
          <w:tcPr>
            <w:tcW w:w="36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238</w:t>
            </w:r>
          </w:p>
        </w:tc>
        <w:tc>
          <w:tcPr>
            <w:tcW w:w="40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238</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Intangibles</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157</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w:t>
            </w:r>
          </w:p>
        </w:tc>
        <w:tc>
          <w:tcPr>
            <w:tcW w:w="22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93</w:t>
            </w:r>
          </w:p>
        </w:tc>
        <w:tc>
          <w:tcPr>
            <w:tcW w:w="30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86</w:t>
            </w:r>
          </w:p>
        </w:tc>
        <w:tc>
          <w:tcPr>
            <w:tcW w:w="26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78</w:t>
            </w:r>
          </w:p>
        </w:tc>
        <w:tc>
          <w:tcPr>
            <w:tcW w:w="36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84</w:t>
            </w:r>
          </w:p>
        </w:tc>
        <w:tc>
          <w:tcPr>
            <w:tcW w:w="40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81</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Costs</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w:t>
            </w:r>
          </w:p>
        </w:tc>
        <w:tc>
          <w:tcPr>
            <w:tcW w:w="22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23</w:t>
            </w:r>
          </w:p>
        </w:tc>
        <w:tc>
          <w:tcPr>
            <w:tcW w:w="26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c>
          <w:tcPr>
            <w:tcW w:w="36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40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Expense</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736</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818</w:t>
            </w:r>
          </w:p>
        </w:tc>
        <w:tc>
          <w:tcPr>
            <w:tcW w:w="22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750</w:t>
            </w:r>
          </w:p>
        </w:tc>
        <w:tc>
          <w:tcPr>
            <w:tcW w:w="30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738</w:t>
            </w:r>
          </w:p>
        </w:tc>
        <w:tc>
          <w:tcPr>
            <w:tcW w:w="26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625</w:t>
            </w:r>
          </w:p>
        </w:tc>
        <w:tc>
          <w:tcPr>
            <w:tcW w:w="36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732</w:t>
            </w:r>
          </w:p>
        </w:tc>
        <w:tc>
          <w:tcPr>
            <w:tcW w:w="40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633</w:t>
            </w:r>
          </w:p>
        </w:tc>
      </w:tr>
      <w:tr>
        <w:trPr>
          <w:trHeight w:val="168"/>
        </w:trPr>
        <w:tc>
          <w:tcPr>
            <w:tcW w:w="4200" w:type="dxa"/>
            <w:vAlign w:val="bottom"/>
          </w:tcPr>
          <w:p>
            <w:pPr>
              <w:spacing w:after="0"/>
              <w:rPr>
                <w:sz w:val="14"/>
                <w:szCs w:val="14"/>
                <w:color w:val="auto"/>
              </w:rPr>
            </w:pPr>
          </w:p>
        </w:tc>
        <w:tc>
          <w:tcPr>
            <w:tcW w:w="7340" w:type="dxa"/>
            <w:vAlign w:val="bottom"/>
            <w:gridSpan w:val="12"/>
          </w:tcPr>
          <w:p>
            <w:pPr>
              <w:ind w:left="2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2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Noninterest Expense</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$ 5,352</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$5,075</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5,353</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4,652</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4,330</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4,493</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3"/>
              </w:rPr>
              <w:t>4,520</w:t>
            </w:r>
          </w:p>
        </w:tc>
      </w:tr>
      <w:tr>
        <w:trPr>
          <w:trHeight w:val="168"/>
        </w:trPr>
        <w:tc>
          <w:tcPr>
            <w:tcW w:w="4200" w:type="dxa"/>
            <w:vAlign w:val="bottom"/>
          </w:tcPr>
          <w:p>
            <w:pPr>
              <w:spacing w:after="0"/>
              <w:rPr>
                <w:sz w:val="14"/>
                <w:szCs w:val="14"/>
                <w:color w:val="auto"/>
              </w:rPr>
            </w:pPr>
          </w:p>
        </w:tc>
        <w:tc>
          <w:tcPr>
            <w:tcW w:w="7340" w:type="dxa"/>
            <w:vAlign w:val="bottom"/>
            <w:gridSpan w:val="12"/>
          </w:tcPr>
          <w:p>
            <w:pPr>
              <w:ind w:left="2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 EXPENSE</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$ 2,073</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$2,496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3,074</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3,357</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2,456</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2,934</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3"/>
              </w:rPr>
              <w:t>2,742</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Expense</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675</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863</w:t>
            </w:r>
          </w:p>
        </w:tc>
        <w:tc>
          <w:tcPr>
            <w:tcW w:w="22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1,086</w:t>
            </w:r>
          </w:p>
        </w:tc>
        <w:tc>
          <w:tcPr>
            <w:tcW w:w="30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1,155</w:t>
            </w:r>
          </w:p>
        </w:tc>
        <w:tc>
          <w:tcPr>
            <w:tcW w:w="26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827</w:t>
            </w:r>
          </w:p>
        </w:tc>
        <w:tc>
          <w:tcPr>
            <w:tcW w:w="36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1,037</w:t>
            </w:r>
          </w:p>
        </w:tc>
        <w:tc>
          <w:tcPr>
            <w:tcW w:w="40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969</w:t>
            </w:r>
          </w:p>
        </w:tc>
      </w:tr>
      <w:tr>
        <w:trPr>
          <w:trHeight w:val="168"/>
        </w:trPr>
        <w:tc>
          <w:tcPr>
            <w:tcW w:w="4200" w:type="dxa"/>
            <w:vAlign w:val="bottom"/>
          </w:tcPr>
          <w:p>
            <w:pPr>
              <w:spacing w:after="0"/>
              <w:rPr>
                <w:sz w:val="14"/>
                <w:szCs w:val="14"/>
                <w:color w:val="auto"/>
              </w:rPr>
            </w:pPr>
          </w:p>
        </w:tc>
        <w:tc>
          <w:tcPr>
            <w:tcW w:w="7340" w:type="dxa"/>
            <w:vAlign w:val="bottom"/>
            <w:gridSpan w:val="12"/>
          </w:tcPr>
          <w:p>
            <w:pPr>
              <w:ind w:left="2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$ 1,398</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$1,633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1,988</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2,202</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1,629</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1,897</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3"/>
              </w:rPr>
              <w:t>1,773</w:t>
            </w:r>
          </w:p>
        </w:tc>
      </w:tr>
      <w:tr>
        <w:trPr>
          <w:trHeight w:val="168"/>
        </w:trPr>
        <w:tc>
          <w:tcPr>
            <w:tcW w:w="4200" w:type="dxa"/>
            <w:vAlign w:val="bottom"/>
          </w:tcPr>
          <w:p>
            <w:pPr>
              <w:spacing w:after="0"/>
              <w:rPr>
                <w:sz w:val="14"/>
                <w:szCs w:val="14"/>
                <w:color w:val="auto"/>
              </w:rPr>
            </w:pPr>
          </w:p>
        </w:tc>
        <w:tc>
          <w:tcPr>
            <w:tcW w:w="7340" w:type="dxa"/>
            <w:vAlign w:val="bottom"/>
            <w:gridSpan w:val="12"/>
          </w:tcPr>
          <w:p>
            <w:pPr>
              <w:ind w:left="2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APPLICABLE TO COMMON STOCK</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$ 1,374</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$1,607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1,963</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2,177</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1,602</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1,870</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3"/>
              </w:rPr>
              <w:t>1,746</w:t>
            </w:r>
          </w:p>
        </w:tc>
      </w:tr>
      <w:tr>
        <w:trPr>
          <w:trHeight w:val="168"/>
        </w:trPr>
        <w:tc>
          <w:tcPr>
            <w:tcW w:w="4200" w:type="dxa"/>
            <w:vAlign w:val="bottom"/>
          </w:tcPr>
          <w:p>
            <w:pPr>
              <w:spacing w:after="0"/>
              <w:rPr>
                <w:sz w:val="14"/>
                <w:szCs w:val="14"/>
                <w:color w:val="auto"/>
              </w:rPr>
            </w:pPr>
          </w:p>
        </w:tc>
        <w:tc>
          <w:tcPr>
            <w:tcW w:w="7340" w:type="dxa"/>
            <w:vAlign w:val="bottom"/>
            <w:gridSpan w:val="12"/>
          </w:tcPr>
          <w:p>
            <w:pPr>
              <w:ind w:left="2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COMMON SHARE:</w:t>
            </w: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Basic</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0.73</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$ 0.87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1.06</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1.16</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0.84</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0.97</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0.90</w:t>
            </w:r>
          </w:p>
        </w:tc>
      </w:tr>
      <w:tr>
        <w:trPr>
          <w:trHeight w:val="168"/>
        </w:trPr>
        <w:tc>
          <w:tcPr>
            <w:tcW w:w="4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Diluted</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0.69</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0.83</w:t>
            </w:r>
          </w:p>
        </w:tc>
        <w:tc>
          <w:tcPr>
            <w:tcW w:w="22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1.01</w:t>
            </w:r>
          </w:p>
        </w:tc>
        <w:tc>
          <w:tcPr>
            <w:tcW w:w="30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1.10</w:t>
            </w:r>
          </w:p>
        </w:tc>
        <w:tc>
          <w:tcPr>
            <w:tcW w:w="26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0.80</w:t>
            </w:r>
          </w:p>
        </w:tc>
        <w:tc>
          <w:tcPr>
            <w:tcW w:w="36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0.93</w:t>
            </w:r>
          </w:p>
        </w:tc>
        <w:tc>
          <w:tcPr>
            <w:tcW w:w="40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0.86</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 Common Shares Outstanding</w:t>
            </w: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Basic</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1,893.3</w:t>
            </w:r>
          </w:p>
        </w:tc>
        <w:tc>
          <w:tcPr>
            <w:tcW w:w="8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1,853.1</w:t>
            </w:r>
          </w:p>
        </w:tc>
        <w:tc>
          <w:tcPr>
            <w:tcW w:w="10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1,853.0</w:t>
            </w:r>
          </w:p>
        </w:tc>
        <w:tc>
          <w:tcPr>
            <w:tcW w:w="11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1,880.1</w:t>
            </w:r>
          </w:p>
        </w:tc>
        <w:tc>
          <w:tcPr>
            <w:tcW w:w="11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1,903.9</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1,926.4</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1,941.4</w:t>
            </w:r>
          </w:p>
        </w:tc>
      </w:tr>
      <w:tr>
        <w:trPr>
          <w:trHeight w:val="168"/>
        </w:trPr>
        <w:tc>
          <w:tcPr>
            <w:tcW w:w="4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Diluted</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1,983.4</w:t>
            </w:r>
          </w:p>
        </w:tc>
        <w:tc>
          <w:tcPr>
            <w:tcW w:w="8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1,939.2</w:t>
            </w:r>
          </w:p>
        </w:tc>
        <w:tc>
          <w:tcPr>
            <w:tcW w:w="10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1,945.1</w:t>
            </w:r>
          </w:p>
        </w:tc>
        <w:tc>
          <w:tcPr>
            <w:tcW w:w="11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1,971.4</w:t>
            </w:r>
          </w:p>
        </w:tc>
        <w:tc>
          <w:tcPr>
            <w:tcW w:w="11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1,994.9</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2,019.1</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2,034.6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Full</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Full</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Full</w:t>
            </w:r>
          </w:p>
        </w:tc>
      </w:tr>
      <w:tr>
        <w:trPr>
          <w:trHeight w:val="168"/>
        </w:trPr>
        <w:tc>
          <w:tcPr>
            <w:tcW w:w="404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Year</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Year</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Year</w:t>
            </w:r>
          </w:p>
        </w:tc>
      </w:tr>
      <w:tr>
        <w:trPr>
          <w:trHeight w:val="168"/>
        </w:trPr>
        <w:tc>
          <w:tcPr>
            <w:tcW w:w="404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1999</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1998</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4040" w:type="dxa"/>
            <w:vAlign w:val="bottom"/>
          </w:tcPr>
          <w:p>
            <w:pPr>
              <w:spacing w:after="0"/>
              <w:rPr>
                <w:sz w:val="14"/>
                <w:szCs w:val="14"/>
                <w:color w:val="auto"/>
              </w:rPr>
            </w:pPr>
          </w:p>
        </w:tc>
        <w:tc>
          <w:tcPr>
            <w:tcW w:w="35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$ 14,783</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$15,498</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$14,950</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4,804</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5,072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4,585</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 Assets</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5,432</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6,775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7,045</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Sold and Securities Purchased</w:t>
            </w: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Under Resale Agreements</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3,016</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4,201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4,636</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Borrowed</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1,877</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2,129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1,814</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Deposits With Banks</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1,006</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724</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Sources</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289</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450</w:t>
            </w:r>
          </w:p>
        </w:tc>
      </w:tr>
      <w:tr>
        <w:trPr>
          <w:trHeight w:val="168"/>
        </w:trPr>
        <w:tc>
          <w:tcPr>
            <w:tcW w:w="4040" w:type="dxa"/>
            <w:vAlign w:val="bottom"/>
          </w:tcPr>
          <w:p>
            <w:pPr>
              <w:spacing w:after="0"/>
              <w:rPr>
                <w:sz w:val="14"/>
                <w:szCs w:val="14"/>
                <w:color w:val="auto"/>
              </w:rPr>
            </w:pPr>
          </w:p>
        </w:tc>
        <w:tc>
          <w:tcPr>
            <w:tcW w:w="35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Interest Income</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$ 31,207</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$34,930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$34,204</w:t>
            </w:r>
          </w:p>
        </w:tc>
      </w:tr>
      <w:tr>
        <w:trPr>
          <w:trHeight w:val="168"/>
        </w:trPr>
        <w:tc>
          <w:tcPr>
            <w:tcW w:w="4040" w:type="dxa"/>
            <w:vAlign w:val="bottom"/>
          </w:tcPr>
          <w:p>
            <w:pPr>
              <w:spacing w:after="0"/>
              <w:rPr>
                <w:sz w:val="14"/>
                <w:szCs w:val="14"/>
                <w:color w:val="auto"/>
              </w:rPr>
            </w:pPr>
          </w:p>
        </w:tc>
        <w:tc>
          <w:tcPr>
            <w:tcW w:w="35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540"/>
          </w:cols>
          <w:pgMar w:left="220" w:top="135" w:right="1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8,845</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9,663</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9,314</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Short-Term and Other Liabilities</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9,323</w:t>
            </w:r>
          </w:p>
        </w:tc>
        <w:tc>
          <w:tcPr>
            <w:tcW w:w="34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12,612</w:t>
            </w:r>
          </w:p>
        </w:tc>
        <w:tc>
          <w:tcPr>
            <w:tcW w:w="34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12,534</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2,754</w:t>
            </w:r>
          </w:p>
        </w:tc>
        <w:tc>
          <w:tcPr>
            <w:tcW w:w="34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2,808</w:t>
            </w:r>
          </w:p>
        </w:tc>
        <w:tc>
          <w:tcPr>
            <w:tcW w:w="34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2,231</w:t>
            </w:r>
          </w:p>
        </w:tc>
      </w:tr>
      <w:tr>
        <w:trPr>
          <w:trHeight w:val="168"/>
        </w:trPr>
        <w:tc>
          <w:tcPr>
            <w:tcW w:w="4120" w:type="dxa"/>
            <w:vAlign w:val="bottom"/>
          </w:tcPr>
          <w:p>
            <w:pPr>
              <w:spacing w:after="0"/>
              <w:rPr>
                <w:sz w:val="14"/>
                <w:szCs w:val="14"/>
                <w:color w:val="auto"/>
              </w:rPr>
            </w:pPr>
          </w:p>
        </w:tc>
        <w:tc>
          <w:tcPr>
            <w:tcW w:w="34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Interest Expense</w:t>
            </w: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$ 20,922</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25,083</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24,079</w:t>
            </w:r>
          </w:p>
        </w:tc>
      </w:tr>
      <w:tr>
        <w:trPr>
          <w:trHeight w:val="168"/>
        </w:trPr>
        <w:tc>
          <w:tcPr>
            <w:tcW w:w="4120" w:type="dxa"/>
            <w:vAlign w:val="bottom"/>
          </w:tcPr>
          <w:p>
            <w:pPr>
              <w:spacing w:after="0"/>
              <w:rPr>
                <w:sz w:val="14"/>
                <w:szCs w:val="14"/>
                <w:color w:val="auto"/>
              </w:rPr>
            </w:pPr>
          </w:p>
        </w:tc>
        <w:tc>
          <w:tcPr>
            <w:tcW w:w="34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INTEREST INCOME</w:t>
            </w: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$ 10,285</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9,847</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10,125</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Loan Losses</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1,446</w:t>
            </w:r>
          </w:p>
        </w:tc>
        <w:tc>
          <w:tcPr>
            <w:tcW w:w="34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1,453</w:t>
            </w:r>
          </w:p>
        </w:tc>
        <w:tc>
          <w:tcPr>
            <w:tcW w:w="34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804</w:t>
            </w:r>
          </w:p>
        </w:tc>
      </w:tr>
      <w:tr>
        <w:trPr>
          <w:trHeight w:val="168"/>
        </w:trPr>
        <w:tc>
          <w:tcPr>
            <w:tcW w:w="4120" w:type="dxa"/>
            <w:vAlign w:val="bottom"/>
          </w:tcPr>
          <w:p>
            <w:pPr>
              <w:spacing w:after="0"/>
              <w:rPr>
                <w:sz w:val="14"/>
                <w:szCs w:val="14"/>
                <w:color w:val="auto"/>
              </w:rPr>
            </w:pPr>
          </w:p>
        </w:tc>
        <w:tc>
          <w:tcPr>
            <w:tcW w:w="34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INTEREST INCOME AFTER PROVISION</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41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FOR LOAN LOSSES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8,839</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8,394</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9,321</w:t>
            </w:r>
          </w:p>
        </w:tc>
      </w:tr>
      <w:tr>
        <w:trPr>
          <w:trHeight w:val="168"/>
        </w:trPr>
        <w:tc>
          <w:tcPr>
            <w:tcW w:w="4120" w:type="dxa"/>
            <w:vAlign w:val="bottom"/>
          </w:tcPr>
          <w:p>
            <w:pPr>
              <w:spacing w:after="0"/>
              <w:rPr>
                <w:sz w:val="14"/>
                <w:szCs w:val="14"/>
                <w:color w:val="auto"/>
              </w:rPr>
            </w:pPr>
          </w:p>
        </w:tc>
        <w:tc>
          <w:tcPr>
            <w:tcW w:w="34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REVENUE</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 Revenue</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5,252</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3,600</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3,460</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Banking Fees</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3,517</w:t>
            </w:r>
          </w:p>
        </w:tc>
        <w:tc>
          <w:tcPr>
            <w:tcW w:w="34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2,903</w:t>
            </w:r>
          </w:p>
        </w:tc>
        <w:tc>
          <w:tcPr>
            <w:tcW w:w="34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2,259</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Trust, Custody and Investment Management Fees</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2,868</w:t>
            </w:r>
          </w:p>
        </w:tc>
        <w:tc>
          <w:tcPr>
            <w:tcW w:w="34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2,473</w:t>
            </w:r>
          </w:p>
        </w:tc>
        <w:tc>
          <w:tcPr>
            <w:tcW w:w="34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2,164</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Credit Card Revenue</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1,698</w:t>
            </w:r>
          </w:p>
        </w:tc>
        <w:tc>
          <w:tcPr>
            <w:tcW w:w="34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1,474</w:t>
            </w:r>
          </w:p>
        </w:tc>
        <w:tc>
          <w:tcPr>
            <w:tcW w:w="34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1,088</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Fees and Commissions</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3,310</w:t>
            </w:r>
          </w:p>
        </w:tc>
        <w:tc>
          <w:tcPr>
            <w:tcW w:w="34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2,792</w:t>
            </w:r>
          </w:p>
        </w:tc>
        <w:tc>
          <w:tcPr>
            <w:tcW w:w="34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2,565</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Private Equity Gains (Losses)</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3,147</w:t>
            </w:r>
          </w:p>
        </w:tc>
        <w:tc>
          <w:tcPr>
            <w:tcW w:w="34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1,312</w:t>
            </w:r>
          </w:p>
        </w:tc>
        <w:tc>
          <w:tcPr>
            <w:tcW w:w="34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1,238</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Gains (Losses)</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(192)</w:t>
            </w:r>
          </w:p>
        </w:tc>
        <w:tc>
          <w:tcPr>
            <w:tcW w:w="34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469</w:t>
            </w:r>
          </w:p>
        </w:tc>
        <w:tc>
          <w:tcPr>
            <w:tcW w:w="34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314</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Revenue</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1,045</w:t>
            </w:r>
          </w:p>
        </w:tc>
        <w:tc>
          <w:tcPr>
            <w:tcW w:w="34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883</w:t>
            </w:r>
          </w:p>
        </w:tc>
        <w:tc>
          <w:tcPr>
            <w:tcW w:w="34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815</w:t>
            </w:r>
          </w:p>
        </w:tc>
      </w:tr>
      <w:tr>
        <w:trPr>
          <w:trHeight w:val="168"/>
        </w:trPr>
        <w:tc>
          <w:tcPr>
            <w:tcW w:w="4120" w:type="dxa"/>
            <w:vAlign w:val="bottom"/>
          </w:tcPr>
          <w:p>
            <w:pPr>
              <w:spacing w:after="0"/>
              <w:rPr>
                <w:sz w:val="14"/>
                <w:szCs w:val="14"/>
                <w:color w:val="auto"/>
              </w:rPr>
            </w:pPr>
          </w:p>
        </w:tc>
        <w:tc>
          <w:tcPr>
            <w:tcW w:w="34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Noninterest Revenue</w:t>
            </w: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$ 20,645</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15,906</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13,903</w:t>
            </w:r>
          </w:p>
        </w:tc>
      </w:tr>
      <w:tr>
        <w:trPr>
          <w:trHeight w:val="168"/>
        </w:trPr>
        <w:tc>
          <w:tcPr>
            <w:tcW w:w="4120" w:type="dxa"/>
            <w:vAlign w:val="bottom"/>
          </w:tcPr>
          <w:p>
            <w:pPr>
              <w:spacing w:after="0"/>
              <w:rPr>
                <w:sz w:val="14"/>
                <w:szCs w:val="14"/>
                <w:color w:val="auto"/>
              </w:rPr>
            </w:pPr>
          </w:p>
        </w:tc>
        <w:tc>
          <w:tcPr>
            <w:tcW w:w="34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EXPENSE</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Salaries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9,049</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7,402</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7,028</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Benefits</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1,485</w:t>
            </w:r>
          </w:p>
        </w:tc>
        <w:tc>
          <w:tcPr>
            <w:tcW w:w="34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1,469</w:t>
            </w:r>
          </w:p>
        </w:tc>
        <w:tc>
          <w:tcPr>
            <w:tcW w:w="34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1,436</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Occupancy</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1,190</w:t>
            </w:r>
          </w:p>
        </w:tc>
        <w:tc>
          <w:tcPr>
            <w:tcW w:w="34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1,123</w:t>
            </w:r>
          </w:p>
        </w:tc>
        <w:tc>
          <w:tcPr>
            <w:tcW w:w="34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1,100</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Technology and Communications</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2,179</w:t>
            </w:r>
          </w:p>
        </w:tc>
        <w:tc>
          <w:tcPr>
            <w:tcW w:w="34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2,172</w:t>
            </w:r>
          </w:p>
        </w:tc>
        <w:tc>
          <w:tcPr>
            <w:tcW w:w="34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1,984</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Professional Services</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1,012</w:t>
            </w:r>
          </w:p>
        </w:tc>
        <w:tc>
          <w:tcPr>
            <w:tcW w:w="34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1,045</w:t>
            </w:r>
          </w:p>
        </w:tc>
        <w:tc>
          <w:tcPr>
            <w:tcW w:w="34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850</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Intangibles</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329</w:t>
            </w:r>
          </w:p>
        </w:tc>
        <w:tc>
          <w:tcPr>
            <w:tcW w:w="34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293</w:t>
            </w:r>
          </w:p>
        </w:tc>
        <w:tc>
          <w:tcPr>
            <w:tcW w:w="34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Costs</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w:t>
            </w:r>
          </w:p>
        </w:tc>
        <w:tc>
          <w:tcPr>
            <w:tcW w:w="34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887</w:t>
            </w:r>
          </w:p>
        </w:tc>
        <w:tc>
          <w:tcPr>
            <w:tcW w:w="34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192</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Expense</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2,728</w:t>
            </w:r>
          </w:p>
        </w:tc>
        <w:tc>
          <w:tcPr>
            <w:tcW w:w="34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2,562</w:t>
            </w:r>
          </w:p>
        </w:tc>
        <w:tc>
          <w:tcPr>
            <w:tcW w:w="34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2,398</w:t>
            </w:r>
          </w:p>
        </w:tc>
      </w:tr>
      <w:tr>
        <w:trPr>
          <w:trHeight w:val="168"/>
        </w:trPr>
        <w:tc>
          <w:tcPr>
            <w:tcW w:w="4120" w:type="dxa"/>
            <w:vAlign w:val="bottom"/>
          </w:tcPr>
          <w:p>
            <w:pPr>
              <w:spacing w:after="0"/>
              <w:rPr>
                <w:sz w:val="14"/>
                <w:szCs w:val="14"/>
                <w:color w:val="auto"/>
              </w:rPr>
            </w:pPr>
          </w:p>
        </w:tc>
        <w:tc>
          <w:tcPr>
            <w:tcW w:w="34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Noninterest Expense</w:t>
            </w: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$ 17,995</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16,953</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15,160</w:t>
            </w:r>
          </w:p>
        </w:tc>
      </w:tr>
      <w:tr>
        <w:trPr>
          <w:trHeight w:val="168"/>
        </w:trPr>
        <w:tc>
          <w:tcPr>
            <w:tcW w:w="4120" w:type="dxa"/>
            <w:vAlign w:val="bottom"/>
          </w:tcPr>
          <w:p>
            <w:pPr>
              <w:spacing w:after="0"/>
              <w:rPr>
                <w:sz w:val="14"/>
                <w:szCs w:val="14"/>
                <w:color w:val="auto"/>
              </w:rPr>
            </w:pPr>
          </w:p>
        </w:tc>
        <w:tc>
          <w:tcPr>
            <w:tcW w:w="34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 EXPENSE</w:t>
            </w: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$ 11,489</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7,347</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8,064</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Expense</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3,988</w:t>
            </w:r>
          </w:p>
        </w:tc>
        <w:tc>
          <w:tcPr>
            <w:tcW w:w="34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2,602</w:t>
            </w:r>
          </w:p>
        </w:tc>
        <w:tc>
          <w:tcPr>
            <w:tcW w:w="34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2,891</w:t>
            </w:r>
          </w:p>
        </w:tc>
      </w:tr>
      <w:tr>
        <w:trPr>
          <w:trHeight w:val="168"/>
        </w:trPr>
        <w:tc>
          <w:tcPr>
            <w:tcW w:w="4120" w:type="dxa"/>
            <w:vAlign w:val="bottom"/>
          </w:tcPr>
          <w:p>
            <w:pPr>
              <w:spacing w:after="0"/>
              <w:rPr>
                <w:sz w:val="14"/>
                <w:szCs w:val="14"/>
                <w:color w:val="auto"/>
              </w:rPr>
            </w:pPr>
          </w:p>
        </w:tc>
        <w:tc>
          <w:tcPr>
            <w:tcW w:w="34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7,501</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4,745</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5,173</w:t>
            </w:r>
          </w:p>
        </w:tc>
      </w:tr>
      <w:tr>
        <w:trPr>
          <w:trHeight w:val="168"/>
        </w:trPr>
        <w:tc>
          <w:tcPr>
            <w:tcW w:w="4120" w:type="dxa"/>
            <w:vAlign w:val="bottom"/>
          </w:tcPr>
          <w:p>
            <w:pPr>
              <w:spacing w:after="0"/>
              <w:rPr>
                <w:sz w:val="14"/>
                <w:szCs w:val="14"/>
                <w:color w:val="auto"/>
              </w:rPr>
            </w:pPr>
          </w:p>
        </w:tc>
        <w:tc>
          <w:tcPr>
            <w:tcW w:w="34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APPLICABLE TO COMMON STOCK</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7,395</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4,612</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4,955</w:t>
            </w:r>
          </w:p>
        </w:tc>
      </w:tr>
      <w:tr>
        <w:trPr>
          <w:trHeight w:val="168"/>
        </w:trPr>
        <w:tc>
          <w:tcPr>
            <w:tcW w:w="4120" w:type="dxa"/>
            <w:vAlign w:val="bottom"/>
          </w:tcPr>
          <w:p>
            <w:pPr>
              <w:spacing w:after="0"/>
              <w:rPr>
                <w:sz w:val="14"/>
                <w:szCs w:val="14"/>
                <w:color w:val="auto"/>
              </w:rPr>
            </w:pPr>
          </w:p>
        </w:tc>
        <w:tc>
          <w:tcPr>
            <w:tcW w:w="34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COMMON SHARE:</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41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Basic</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3.87</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2.37</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2.53</w:t>
            </w:r>
          </w:p>
        </w:tc>
      </w:tr>
      <w:tr>
        <w:trPr>
          <w:trHeight w:val="168"/>
        </w:trPr>
        <w:tc>
          <w:tcPr>
            <w:tcW w:w="41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Diluted</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3.69</w:t>
            </w:r>
          </w:p>
        </w:tc>
        <w:tc>
          <w:tcPr>
            <w:tcW w:w="34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2.27</w:t>
            </w:r>
          </w:p>
        </w:tc>
        <w:tc>
          <w:tcPr>
            <w:tcW w:w="34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 Common Shares Outstanding</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41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Basic</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1,912.9</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1,944.1</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1,959.0</w:t>
            </w:r>
          </w:p>
        </w:tc>
      </w:tr>
      <w:tr>
        <w:trPr>
          <w:trHeight w:val="168"/>
        </w:trPr>
        <w:tc>
          <w:tcPr>
            <w:tcW w:w="41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Diluted</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2,004.8</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2,033.5</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2,055.0</w:t>
            </w:r>
          </w:p>
        </w:tc>
      </w:tr>
    </w:tbl>
    <w:p>
      <w:pPr>
        <w:sectPr>
          <w:pgSz w:w="11900" w:h="16838" w:orient="portrait"/>
          <w:cols w:equalWidth="0" w:num="1">
            <w:col w:w="10239"/>
          </w:cols>
          <w:pgMar w:left="220" w:top="135"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w:t>
      </w:r>
    </w:p>
    <w:p>
      <w:pPr>
        <w:spacing w:after="0" w:line="237" w:lineRule="auto"/>
        <w:rPr>
          <w:sz w:val="20"/>
          <w:szCs w:val="20"/>
          <w:color w:val="auto"/>
        </w:rPr>
      </w:pPr>
      <w:r>
        <w:rPr>
          <w:rFonts w:ascii="Courier New" w:cs="Courier New" w:eastAsia="Courier New" w:hAnsi="Courier New"/>
          <w:sz w:val="15"/>
          <w:szCs w:val="15"/>
          <w:color w:val="auto"/>
        </w:rPr>
        <w:t>EXHIBIT 99.3</w:t>
      </w:r>
    </w:p>
    <w:p>
      <w:pPr>
        <w:spacing w:after="0" w:line="238" w:lineRule="auto"/>
        <w:rPr>
          <w:sz w:val="20"/>
          <w:szCs w:val="20"/>
          <w:color w:val="auto"/>
        </w:rPr>
      </w:pPr>
      <w:r>
        <w:rPr>
          <w:rFonts w:ascii="Courier New" w:cs="Courier New" w:eastAsia="Courier New" w:hAnsi="Courier New"/>
          <w:sz w:val="15"/>
          <w:szCs w:val="15"/>
          <w:color w:val="auto"/>
        </w:rPr>
        <w:t>J.P. MORGAN CHASE &amp; CO.</w:t>
      </w:r>
    </w:p>
    <w:p>
      <w:pPr>
        <w:spacing w:after="0" w:line="237" w:lineRule="auto"/>
        <w:rPr>
          <w:sz w:val="20"/>
          <w:szCs w:val="20"/>
          <w:color w:val="auto"/>
        </w:rPr>
      </w:pPr>
      <w:r>
        <w:rPr>
          <w:rFonts w:ascii="Courier New" w:cs="Courier New" w:eastAsia="Courier New" w:hAnsi="Courier New"/>
          <w:sz w:val="15"/>
          <w:szCs w:val="15"/>
          <w:color w:val="auto"/>
        </w:rPr>
        <w:t>UNAUDITED PRO FORMA COMBINED BALANCE SHEETS</w:t>
      </w:r>
    </w:p>
    <w:p>
      <w:pPr>
        <w:spacing w:after="0" w:line="238" w:lineRule="auto"/>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At</w:t>
            </w:r>
          </w:p>
        </w:tc>
        <w:tc>
          <w:tcPr>
            <w:tcW w:w="260" w:type="dxa"/>
            <w:vAlign w:val="bottom"/>
          </w:tcPr>
          <w:p>
            <w:pPr>
              <w:spacing w:after="0"/>
              <w:rPr>
                <w:sz w:val="14"/>
                <w:szCs w:val="14"/>
                <w:color w:val="auto"/>
              </w:rPr>
            </w:pPr>
          </w:p>
        </w:tc>
        <w:tc>
          <w:tcPr>
            <w:tcW w:w="8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At</w:t>
            </w:r>
          </w:p>
        </w:tc>
        <w:tc>
          <w:tcPr>
            <w:tcW w:w="180" w:type="dxa"/>
            <w:vAlign w:val="bottom"/>
          </w:tcPr>
          <w:p>
            <w:pPr>
              <w:spacing w:after="0"/>
              <w:rPr>
                <w:sz w:val="14"/>
                <w:szCs w:val="14"/>
                <w:color w:val="auto"/>
              </w:rPr>
            </w:pP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rPr>
              <w:t>At</w:t>
            </w:r>
          </w:p>
        </w:tc>
        <w:tc>
          <w:tcPr>
            <w:tcW w:w="18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At</w:t>
            </w:r>
          </w:p>
        </w:tc>
        <w:tc>
          <w:tcPr>
            <w:tcW w:w="220" w:type="dxa"/>
            <w:vAlign w:val="bottom"/>
          </w:tcPr>
          <w:p>
            <w:pPr>
              <w:spacing w:after="0"/>
              <w:rPr>
                <w:sz w:val="14"/>
                <w:szCs w:val="14"/>
                <w:color w:val="auto"/>
              </w:rPr>
            </w:pPr>
          </w:p>
        </w:tc>
        <w:tc>
          <w:tcPr>
            <w:tcW w:w="8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At</w:t>
            </w:r>
          </w:p>
        </w:tc>
        <w:tc>
          <w:tcPr>
            <w:tcW w:w="220" w:type="dxa"/>
            <w:vAlign w:val="bottom"/>
          </w:tcPr>
          <w:p>
            <w:pPr>
              <w:spacing w:after="0"/>
              <w:rPr>
                <w:sz w:val="14"/>
                <w:szCs w:val="14"/>
                <w:color w:val="auto"/>
              </w:rPr>
            </w:pPr>
          </w:p>
        </w:tc>
        <w:tc>
          <w:tcPr>
            <w:tcW w:w="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At</w:t>
            </w:r>
          </w:p>
        </w:tc>
        <w:tc>
          <w:tcPr>
            <w:tcW w:w="220" w:type="dxa"/>
            <w:vAlign w:val="bottom"/>
          </w:tcPr>
          <w:p>
            <w:pPr>
              <w:spacing w:after="0"/>
              <w:rPr>
                <w:sz w:val="14"/>
                <w:szCs w:val="14"/>
                <w:color w:val="auto"/>
              </w:rPr>
            </w:pPr>
          </w:p>
        </w:tc>
        <w:tc>
          <w:tcPr>
            <w:tcW w:w="8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At</w:t>
            </w:r>
          </w:p>
        </w:tc>
      </w:tr>
      <w:tr>
        <w:trPr>
          <w:trHeight w:val="168"/>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Sept. 30,</w:t>
            </w:r>
          </w:p>
        </w:tc>
        <w:tc>
          <w:tcPr>
            <w:tcW w:w="10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June 30,</w:t>
            </w:r>
          </w:p>
        </w:tc>
        <w:tc>
          <w:tcPr>
            <w:tcW w:w="10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March 31,</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Dec. 31,</w:t>
            </w:r>
          </w:p>
        </w:tc>
        <w:tc>
          <w:tcPr>
            <w:tcW w:w="10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Sept. 30,</w:t>
            </w:r>
          </w:p>
        </w:tc>
        <w:tc>
          <w:tcPr>
            <w:tcW w:w="10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June 30,</w:t>
            </w:r>
          </w:p>
        </w:tc>
        <w:tc>
          <w:tcPr>
            <w:tcW w:w="10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2000</w:t>
            </w:r>
          </w:p>
        </w:tc>
        <w:tc>
          <w:tcPr>
            <w:tcW w:w="180" w:type="dxa"/>
            <w:vAlign w:val="bottom"/>
          </w:tcPr>
          <w:p>
            <w:pPr>
              <w:spacing w:after="0"/>
              <w:rPr>
                <w:sz w:val="14"/>
                <w:szCs w:val="14"/>
                <w:color w:val="auto"/>
              </w:rPr>
            </w:pPr>
          </w:p>
        </w:tc>
        <w:tc>
          <w:tcPr>
            <w:tcW w:w="8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080" w:type="dxa"/>
            <w:vAlign w:val="bottom"/>
          </w:tcPr>
          <w:p>
            <w:pPr>
              <w:spacing w:after="0"/>
              <w:rPr>
                <w:sz w:val="14"/>
                <w:szCs w:val="14"/>
                <w:color w:val="auto"/>
              </w:rPr>
            </w:pPr>
          </w:p>
        </w:tc>
        <w:tc>
          <w:tcPr>
            <w:tcW w:w="7380" w:type="dxa"/>
            <w:vAlign w:val="bottom"/>
            <w:gridSpan w:val="14"/>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0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Due from Banks</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20,284</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20,859</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18,159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18,692</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18,099</w:t>
            </w:r>
          </w:p>
        </w:tc>
        <w:tc>
          <w:tcPr>
            <w:tcW w:w="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18,131</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19,756</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Deposits With Banks</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8,669</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8,768</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8,190</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30,421</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8,001</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7,909</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5,625</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Sold and Securities Purchased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Under Resale Agreements</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69,413</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69,421</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70,048</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58,981</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64,162</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60,426</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53,454</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Borrowed</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36,424</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34,681</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35,027</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35,528</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36,479</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41,134</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40,091</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 Assets: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Debt and Equity Instruments</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140,992</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115,730</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124,225</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104,125</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89,569</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100,306</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95,881</w:t>
            </w:r>
          </w:p>
        </w:tc>
      </w:tr>
      <w:tr>
        <w:trPr>
          <w:trHeight w:val="168"/>
        </w:trPr>
        <w:tc>
          <w:tcPr>
            <w:tcW w:w="40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Derivative Receivables</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67,028</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68,728</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78,258</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76,736</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74,133</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65,506</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79,906</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Available-For-Sale</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70,650</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70,331</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71,253</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74,911</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78,253</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74,800</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87,403</w:t>
            </w:r>
          </w:p>
        </w:tc>
      </w:tr>
      <w:tr>
        <w:trPr>
          <w:trHeight w:val="168"/>
        </w:trPr>
        <w:tc>
          <w:tcPr>
            <w:tcW w:w="40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Held-To-Maturity</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632</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719</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822</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888</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975</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1,092</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1,316</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 (Net of Allowance for Loan Losses)</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214,496</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203,611</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198,870</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199,270</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195,017</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200,240</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195,082</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Private Equity Investments</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11,502</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12,102</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11,742</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10,389</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8,432</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7,378</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6,225</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Interest and Accounts Receivable</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15,491</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18,122</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18,681</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20,554</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17,799</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16,100</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15,642</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Premises and Equipment</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6,863</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6,584</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6,460</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6,436</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6,301</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6,078</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6,017</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and Other Intangibles</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15,678</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10,012</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9,858</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9,632</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8,320</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7,241</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6,901</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29,375</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22,700</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24,453</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20,440</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20,323</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19,921</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17,029</w:t>
            </w:r>
          </w:p>
        </w:tc>
      </w:tr>
      <w:tr>
        <w:trPr>
          <w:trHeight w:val="168"/>
        </w:trPr>
        <w:tc>
          <w:tcPr>
            <w:tcW w:w="4080" w:type="dxa"/>
            <w:vAlign w:val="bottom"/>
          </w:tcPr>
          <w:p>
            <w:pPr>
              <w:spacing w:after="0"/>
              <w:rPr>
                <w:sz w:val="14"/>
                <w:szCs w:val="14"/>
                <w:color w:val="auto"/>
              </w:rPr>
            </w:pPr>
          </w:p>
        </w:tc>
        <w:tc>
          <w:tcPr>
            <w:tcW w:w="7380" w:type="dxa"/>
            <w:vAlign w:val="bottom"/>
            <w:gridSpan w:val="14"/>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0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ASSETS</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$ 707,497</w:t>
            </w: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$ 662,368</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676,046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667,003</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625,863</w:t>
            </w:r>
          </w:p>
        </w:tc>
        <w:tc>
          <w:tcPr>
            <w:tcW w:w="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626,262</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630,328</w:t>
            </w:r>
          </w:p>
        </w:tc>
      </w:tr>
      <w:tr>
        <w:trPr>
          <w:trHeight w:val="168"/>
        </w:trPr>
        <w:tc>
          <w:tcPr>
            <w:tcW w:w="4080" w:type="dxa"/>
            <w:vAlign w:val="bottom"/>
          </w:tcPr>
          <w:p>
            <w:pPr>
              <w:spacing w:after="0"/>
              <w:rPr>
                <w:sz w:val="14"/>
                <w:szCs w:val="14"/>
                <w:color w:val="auto"/>
              </w:rPr>
            </w:pPr>
          </w:p>
        </w:tc>
        <w:tc>
          <w:tcPr>
            <w:tcW w:w="7380" w:type="dxa"/>
            <w:vAlign w:val="bottom"/>
            <w:gridSpan w:val="14"/>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Domestic:</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Noninterest-Bearing</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48,059</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50,582</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49,914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50,366</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50,572</w:t>
            </w:r>
          </w:p>
        </w:tc>
        <w:tc>
          <w:tcPr>
            <w:tcW w:w="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51,096</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48,221</w:t>
            </w:r>
          </w:p>
        </w:tc>
      </w:tr>
      <w:tr>
        <w:trPr>
          <w:trHeight w:val="168"/>
        </w:trPr>
        <w:tc>
          <w:tcPr>
            <w:tcW w:w="40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Interest-Bearing</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83,674</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81,709</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81,911</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84,341</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82,842</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87,695</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88,912</w:t>
            </w:r>
          </w:p>
        </w:tc>
      </w:tr>
      <w:tr>
        <w:trPr>
          <w:trHeight w:val="168"/>
        </w:trPr>
        <w:tc>
          <w:tcPr>
            <w:tcW w:w="40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Foreign:</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Noninterest-Bearing</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6,844</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7,322</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5,640</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6,559</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7,546</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5,423</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4,778</w:t>
            </w:r>
          </w:p>
        </w:tc>
      </w:tr>
      <w:tr>
        <w:trPr>
          <w:trHeight w:val="168"/>
        </w:trPr>
        <w:tc>
          <w:tcPr>
            <w:tcW w:w="40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Interest-Bearing</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131,208</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131,303</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121,530</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145,798</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127,486</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120,623</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122,534</w:t>
            </w:r>
          </w:p>
        </w:tc>
      </w:tr>
      <w:tr>
        <w:trPr>
          <w:trHeight w:val="168"/>
        </w:trPr>
        <w:tc>
          <w:tcPr>
            <w:tcW w:w="4080" w:type="dxa"/>
            <w:vAlign w:val="bottom"/>
          </w:tcPr>
          <w:p>
            <w:pPr>
              <w:spacing w:after="0"/>
              <w:rPr>
                <w:sz w:val="14"/>
                <w:szCs w:val="14"/>
                <w:color w:val="auto"/>
              </w:rPr>
            </w:pPr>
          </w:p>
        </w:tc>
        <w:tc>
          <w:tcPr>
            <w:tcW w:w="7380" w:type="dxa"/>
            <w:vAlign w:val="bottom"/>
            <w:gridSpan w:val="14"/>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0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Total Deposits</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$ 269,785</w:t>
            </w: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$ 270,916</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258,995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287,064</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268,446</w:t>
            </w:r>
          </w:p>
        </w:tc>
        <w:tc>
          <w:tcPr>
            <w:tcW w:w="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264,837</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264,445</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Purchased and Securities Sold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Under Repurchase Agreements</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145,210</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125,237</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139,520</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109,841</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105,658</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105,453</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113,026</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Paper</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19,462</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13,354</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15,031</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20,363</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16,323</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18,161</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14,498</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Borrowed Funds</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20,065</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15,124</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16,271</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15,403</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16,493</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17,587</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18,395</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 Liabilities: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Debt and Equity Instruments</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58,972</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52,506</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54,633</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46,268</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41,284</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45,064</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41,713</w:t>
            </w:r>
          </w:p>
        </w:tc>
      </w:tr>
      <w:tr>
        <w:trPr>
          <w:trHeight w:val="168"/>
        </w:trPr>
        <w:tc>
          <w:tcPr>
            <w:tcW w:w="40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Derivative Payables</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65,253</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65,531</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72,117</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72,722</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67,843</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61,900</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70,489</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 Accrued Expenses and Other</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Liabilities, Including the Allowance</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for Credit Losses</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37,225</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34,298</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33,820</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34,196</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29,183</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29,350</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24,480</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45,634</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44,528</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45,825</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41,852</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42,046</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45,161</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44,496</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Guaranteed Preferred Beneficial Interests in</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Corporation's Junior Subordinated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Deferrable Interest Debentures</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3,939</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3,689</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3,688</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3,688</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3,688</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3,688</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3,338</w:t>
            </w:r>
          </w:p>
        </w:tc>
      </w:tr>
      <w:tr>
        <w:trPr>
          <w:trHeight w:val="168"/>
        </w:trPr>
        <w:tc>
          <w:tcPr>
            <w:tcW w:w="4080" w:type="dxa"/>
            <w:vAlign w:val="bottom"/>
          </w:tcPr>
          <w:p>
            <w:pPr>
              <w:spacing w:after="0"/>
              <w:rPr>
                <w:sz w:val="14"/>
                <w:szCs w:val="14"/>
                <w:color w:val="auto"/>
              </w:rPr>
            </w:pPr>
          </w:p>
        </w:tc>
        <w:tc>
          <w:tcPr>
            <w:tcW w:w="7380" w:type="dxa"/>
            <w:vAlign w:val="bottom"/>
            <w:gridSpan w:val="14"/>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0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$ 665,545</w:t>
            </w: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$ 625,183</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639,900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631,397</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590,964</w:t>
            </w:r>
          </w:p>
        </w:tc>
        <w:tc>
          <w:tcPr>
            <w:tcW w:w="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591,201</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594,880</w:t>
            </w:r>
          </w:p>
        </w:tc>
      </w:tr>
      <w:tr>
        <w:trPr>
          <w:trHeight w:val="168"/>
        </w:trPr>
        <w:tc>
          <w:tcPr>
            <w:tcW w:w="4080" w:type="dxa"/>
            <w:vAlign w:val="bottom"/>
          </w:tcPr>
          <w:p>
            <w:pPr>
              <w:spacing w:after="0"/>
              <w:rPr>
                <w:sz w:val="14"/>
                <w:szCs w:val="14"/>
                <w:color w:val="auto"/>
              </w:rPr>
            </w:pPr>
          </w:p>
        </w:tc>
        <w:tc>
          <w:tcPr>
            <w:tcW w:w="7380" w:type="dxa"/>
            <w:vAlign w:val="bottom"/>
            <w:gridSpan w:val="14"/>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 OF SUBSIDIARY</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550</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550</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550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550</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550</w:t>
            </w:r>
          </w:p>
        </w:tc>
        <w:tc>
          <w:tcPr>
            <w:tcW w:w="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550</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550</w:t>
            </w:r>
          </w:p>
        </w:tc>
      </w:tr>
      <w:tr>
        <w:trPr>
          <w:trHeight w:val="168"/>
        </w:trPr>
        <w:tc>
          <w:tcPr>
            <w:tcW w:w="4080" w:type="dxa"/>
            <w:vAlign w:val="bottom"/>
          </w:tcPr>
          <w:p>
            <w:pPr>
              <w:spacing w:after="0"/>
              <w:rPr>
                <w:sz w:val="14"/>
                <w:szCs w:val="14"/>
                <w:color w:val="auto"/>
              </w:rPr>
            </w:pPr>
          </w:p>
        </w:tc>
        <w:tc>
          <w:tcPr>
            <w:tcW w:w="7380" w:type="dxa"/>
            <w:vAlign w:val="bottom"/>
            <w:gridSpan w:val="14"/>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1,522</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1,522</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1,622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1,622</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1,622</w:t>
            </w:r>
          </w:p>
        </w:tc>
        <w:tc>
          <w:tcPr>
            <w:tcW w:w="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1,722</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1,722</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2,066</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2,066</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1,625</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1,625</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1,625</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1,625</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1,625</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Surplus</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12,427</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12,205</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12,280</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12,724</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12,348</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12,172</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11,989</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Retained Earnings</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31,678</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30,887</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29,848</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28,455</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26,796</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25,715</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24,373</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Other Comprehensive (Loss) Income</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(995)</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(1,281)</w:t>
            </w:r>
          </w:p>
        </w:tc>
        <w:tc>
          <w:tcPr>
            <w:tcW w:w="1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(1,266)</w:t>
            </w:r>
          </w:p>
        </w:tc>
        <w:tc>
          <w:tcPr>
            <w:tcW w:w="1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(1,428)</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(1,192)</w:t>
            </w:r>
          </w:p>
        </w:tc>
        <w:tc>
          <w:tcPr>
            <w:tcW w:w="2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(820)</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Treasury Stock, At Cost</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(5,296)</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(8,764)</w:t>
            </w:r>
          </w:p>
        </w:tc>
        <w:tc>
          <w:tcPr>
            <w:tcW w:w="1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(8,513)</w:t>
            </w:r>
          </w:p>
        </w:tc>
        <w:tc>
          <w:tcPr>
            <w:tcW w:w="1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(7,942)</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(6,850)</w:t>
            </w:r>
          </w:p>
        </w:tc>
        <w:tc>
          <w:tcPr>
            <w:tcW w:w="2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(5,903)</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(4,675)</w:t>
            </w:r>
          </w:p>
        </w:tc>
      </w:tr>
      <w:tr>
        <w:trPr>
          <w:trHeight w:val="168"/>
        </w:trPr>
        <w:tc>
          <w:tcPr>
            <w:tcW w:w="4080" w:type="dxa"/>
            <w:vAlign w:val="bottom"/>
          </w:tcPr>
          <w:p>
            <w:pPr>
              <w:spacing w:after="0"/>
              <w:rPr>
                <w:sz w:val="14"/>
                <w:szCs w:val="14"/>
                <w:color w:val="auto"/>
              </w:rPr>
            </w:pPr>
          </w:p>
        </w:tc>
        <w:tc>
          <w:tcPr>
            <w:tcW w:w="7380" w:type="dxa"/>
            <w:vAlign w:val="bottom"/>
            <w:gridSpan w:val="14"/>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0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41,402</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36,635</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35,596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35,056</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34,349</w:t>
            </w:r>
          </w:p>
        </w:tc>
        <w:tc>
          <w:tcPr>
            <w:tcW w:w="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34,511</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34,898</w:t>
            </w:r>
          </w:p>
        </w:tc>
      </w:tr>
      <w:tr>
        <w:trPr>
          <w:trHeight w:val="168"/>
        </w:trPr>
        <w:tc>
          <w:tcPr>
            <w:tcW w:w="4080" w:type="dxa"/>
            <w:vAlign w:val="bottom"/>
          </w:tcPr>
          <w:p>
            <w:pPr>
              <w:spacing w:after="0"/>
              <w:rPr>
                <w:sz w:val="14"/>
                <w:szCs w:val="14"/>
                <w:color w:val="auto"/>
              </w:rPr>
            </w:pPr>
          </w:p>
        </w:tc>
        <w:tc>
          <w:tcPr>
            <w:tcW w:w="7380" w:type="dxa"/>
            <w:vAlign w:val="bottom"/>
            <w:gridSpan w:val="14"/>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0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LIABILITIES, PREFERRED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STOCK OF SUBSIDIARY AND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$ 707,497</w:t>
            </w: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$ 662,368</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676,046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667,003</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625,863</w:t>
            </w:r>
          </w:p>
        </w:tc>
        <w:tc>
          <w:tcPr>
            <w:tcW w:w="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626,262</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630,328</w:t>
            </w:r>
          </w:p>
        </w:tc>
      </w:tr>
      <w:tr>
        <w:trPr>
          <w:trHeight w:val="168"/>
        </w:trPr>
        <w:tc>
          <w:tcPr>
            <w:tcW w:w="4080" w:type="dxa"/>
            <w:vAlign w:val="bottom"/>
          </w:tcPr>
          <w:p>
            <w:pPr>
              <w:spacing w:after="0"/>
              <w:rPr>
                <w:sz w:val="14"/>
                <w:szCs w:val="14"/>
                <w:color w:val="auto"/>
              </w:rPr>
            </w:pPr>
          </w:p>
        </w:tc>
        <w:tc>
          <w:tcPr>
            <w:tcW w:w="7380" w:type="dxa"/>
            <w:vAlign w:val="bottom"/>
            <w:gridSpan w:val="14"/>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009"/>
        </w:trPr>
        <w:tc>
          <w:tcPr>
            <w:tcW w:w="4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88"/>
              </w:rPr>
              <w:t>At</w:t>
            </w:r>
          </w:p>
        </w:tc>
        <w:tc>
          <w:tcPr>
            <w:tcW w:w="260" w:type="dxa"/>
            <w:vAlign w:val="bottom"/>
          </w:tcPr>
          <w:p>
            <w:pPr>
              <w:spacing w:after="0"/>
              <w:rPr>
                <w:sz w:val="24"/>
                <w:szCs w:val="24"/>
                <w:color w:val="auto"/>
              </w:rPr>
            </w:pPr>
          </w:p>
        </w:tc>
        <w:tc>
          <w:tcPr>
            <w:tcW w:w="82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At</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080" w:type="dxa"/>
            <w:vAlign w:val="bottom"/>
          </w:tcPr>
          <w:p>
            <w:pPr>
              <w:spacing w:after="0"/>
              <w:rPr>
                <w:sz w:val="14"/>
                <w:szCs w:val="14"/>
                <w:color w:val="auto"/>
              </w:rPr>
            </w:pPr>
          </w:p>
        </w:tc>
        <w:tc>
          <w:tcPr>
            <w:tcW w:w="1100" w:type="dxa"/>
            <w:vAlign w:val="bottom"/>
            <w:gridSpan w:val="2"/>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Dec. 31,</w:t>
            </w:r>
          </w:p>
        </w:tc>
        <w:tc>
          <w:tcPr>
            <w:tcW w:w="10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Dec. 31,</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1998</w:t>
            </w:r>
          </w:p>
        </w:tc>
        <w:tc>
          <w:tcPr>
            <w:tcW w:w="260" w:type="dxa"/>
            <w:vAlign w:val="bottom"/>
          </w:tcPr>
          <w:p>
            <w:pPr>
              <w:spacing w:after="0"/>
              <w:rPr>
                <w:sz w:val="14"/>
                <w:szCs w:val="14"/>
                <w:color w:val="auto"/>
              </w:rPr>
            </w:pPr>
          </w:p>
        </w:tc>
        <w:tc>
          <w:tcPr>
            <w:tcW w:w="82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4"/>
              </w:rPr>
              <w:t>1997</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80" w:type="dxa"/>
            <w:vAlign w:val="bottom"/>
          </w:tcPr>
          <w:p>
            <w:pPr>
              <w:spacing w:after="0"/>
              <w:rPr>
                <w:sz w:val="14"/>
                <w:szCs w:val="14"/>
                <w:color w:val="auto"/>
              </w:rPr>
            </w:pPr>
          </w:p>
        </w:tc>
        <w:tc>
          <w:tcPr>
            <w:tcW w:w="218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40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Due from Banks</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18,271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17,462</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Deposits With Banks</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9,583</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5,018</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Sold and Securities Purchased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Under Resale Agreements</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49,498</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69,257</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Borrowed</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31,510</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39,048</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 Assets: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Debt and Equity Instruments</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90,616</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105,220</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Derivative Receivables</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80,972</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79,027</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ectPr>
          <w:pgSz w:w="11900" w:h="16838" w:orient="portrait"/>
          <w:cols w:equalWidth="0" w:num="1">
            <w:col w:w="11460"/>
          </w:cols>
          <w:pgMar w:left="220" w:top="135" w:right="21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ind w:left="540"/>
              <w:spacing w:after="0"/>
              <w:rPr>
                <w:sz w:val="20"/>
                <w:szCs w:val="20"/>
                <w:color w:val="auto"/>
              </w:rPr>
            </w:pPr>
            <w:r>
              <w:rPr>
                <w:rFonts w:ascii="Courier New" w:cs="Courier New" w:eastAsia="Courier New" w:hAnsi="Courier New"/>
                <w:sz w:val="15"/>
                <w:szCs w:val="15"/>
                <w:color w:val="auto"/>
              </w:rPr>
              <w:t>Available-For-Sale</w:t>
            </w:r>
          </w:p>
        </w:tc>
        <w:tc>
          <w:tcPr>
            <w:tcW w:w="26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99,035</w:t>
            </w:r>
          </w:p>
        </w:tc>
        <w:tc>
          <w:tcPr>
            <w:tcW w:w="26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72,523</w:t>
            </w:r>
          </w:p>
        </w:tc>
      </w:tr>
      <w:tr>
        <w:trPr>
          <w:trHeight w:val="168"/>
        </w:trPr>
        <w:tc>
          <w:tcPr>
            <w:tcW w:w="40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Held-To-Maturity</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1,687</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2,983</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 (Net of Allowance for Loan Losses)</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194,227</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195,862</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Private Equity Investments</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6,156</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1,085</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Interest and Accounts Receivable</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16,275</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14,297</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Premises and Equipment</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5,936</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5,618</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and Other Intangibles</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6,601</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4,269</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16,575</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16,011</w:t>
            </w:r>
          </w:p>
        </w:tc>
      </w:tr>
      <w:tr>
        <w:trPr>
          <w:trHeight w:val="168"/>
        </w:trPr>
        <w:tc>
          <w:tcPr>
            <w:tcW w:w="4080" w:type="dxa"/>
            <w:vAlign w:val="bottom"/>
          </w:tcPr>
          <w:p>
            <w:pPr>
              <w:spacing w:after="0"/>
              <w:rPr>
                <w:sz w:val="14"/>
                <w:szCs w:val="14"/>
                <w:color w:val="auto"/>
              </w:rPr>
            </w:pPr>
          </w:p>
        </w:tc>
        <w:tc>
          <w:tcPr>
            <w:tcW w:w="214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0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ASSETS</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$ 626,942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627,680</w:t>
            </w:r>
          </w:p>
        </w:tc>
      </w:tr>
      <w:tr>
        <w:trPr>
          <w:trHeight w:val="168"/>
        </w:trPr>
        <w:tc>
          <w:tcPr>
            <w:tcW w:w="4080" w:type="dxa"/>
            <w:vAlign w:val="bottom"/>
          </w:tcPr>
          <w:p>
            <w:pPr>
              <w:spacing w:after="0"/>
              <w:rPr>
                <w:sz w:val="14"/>
                <w:szCs w:val="14"/>
                <w:color w:val="auto"/>
              </w:rPr>
            </w:pPr>
          </w:p>
        </w:tc>
        <w:tc>
          <w:tcPr>
            <w:tcW w:w="214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0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Domestic:</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0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Noninterest-Bearing</w:t>
            </w:r>
          </w:p>
        </w:tc>
        <w:tc>
          <w:tcPr>
            <w:tcW w:w="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48,783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48,085</w:t>
            </w:r>
          </w:p>
        </w:tc>
      </w:tr>
      <w:tr>
        <w:trPr>
          <w:trHeight w:val="168"/>
        </w:trPr>
        <w:tc>
          <w:tcPr>
            <w:tcW w:w="40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Interest-Bearing</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93,610</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80,808</w:t>
            </w:r>
          </w:p>
        </w:tc>
      </w:tr>
      <w:tr>
        <w:trPr>
          <w:trHeight w:val="168"/>
        </w:trPr>
        <w:tc>
          <w:tcPr>
            <w:tcW w:w="40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Foreign:</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0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Noninterest-Bearing</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4,645</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3,949</w:t>
            </w:r>
          </w:p>
        </w:tc>
      </w:tr>
      <w:tr>
        <w:trPr>
          <w:trHeight w:val="168"/>
        </w:trPr>
        <w:tc>
          <w:tcPr>
            <w:tcW w:w="40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Interest-Bearing</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120,427</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119,725</w:t>
            </w:r>
          </w:p>
        </w:tc>
      </w:tr>
      <w:tr>
        <w:trPr>
          <w:trHeight w:val="168"/>
        </w:trPr>
        <w:tc>
          <w:tcPr>
            <w:tcW w:w="4080" w:type="dxa"/>
            <w:vAlign w:val="bottom"/>
          </w:tcPr>
          <w:p>
            <w:pPr>
              <w:spacing w:after="0"/>
              <w:rPr>
                <w:sz w:val="14"/>
                <w:szCs w:val="14"/>
                <w:color w:val="auto"/>
              </w:rPr>
            </w:pPr>
          </w:p>
        </w:tc>
        <w:tc>
          <w:tcPr>
            <w:tcW w:w="214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0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Total Deposits</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$ 267,465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252,567</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Purchased and Securities Sold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0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Under Repurchase Agreements</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105,000</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113,930</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Paper</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14,425</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11,366</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Borrowed Funds</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19,754</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24,037</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 Liabilities: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0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Debt and Equity Instruments</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31,782</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44,521</w:t>
            </w:r>
          </w:p>
        </w:tc>
      </w:tr>
      <w:tr>
        <w:trPr>
          <w:trHeight w:val="168"/>
        </w:trPr>
        <w:tc>
          <w:tcPr>
            <w:tcW w:w="40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Derivative Payables</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77,363</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79,058</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 Accrued Expenses and Other</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0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Liabilities, Including the Allowance</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0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for Credit Losses</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28,372</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29,239</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43,794</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36,376</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Guaranteed Preferred Beneficial Interests in</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0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Corporation's Junior Subordinated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0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Deferrable Interest Debentures</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3,338</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2,890</w:t>
            </w:r>
          </w:p>
        </w:tc>
      </w:tr>
      <w:tr>
        <w:trPr>
          <w:trHeight w:val="168"/>
        </w:trPr>
        <w:tc>
          <w:tcPr>
            <w:tcW w:w="4080" w:type="dxa"/>
            <w:vAlign w:val="bottom"/>
          </w:tcPr>
          <w:p>
            <w:pPr>
              <w:spacing w:after="0"/>
              <w:rPr>
                <w:sz w:val="14"/>
                <w:szCs w:val="14"/>
                <w:color w:val="auto"/>
              </w:rPr>
            </w:pPr>
          </w:p>
        </w:tc>
        <w:tc>
          <w:tcPr>
            <w:tcW w:w="214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0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$ 591,293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593,984</w:t>
            </w:r>
          </w:p>
        </w:tc>
      </w:tr>
      <w:tr>
        <w:trPr>
          <w:trHeight w:val="168"/>
        </w:trPr>
        <w:tc>
          <w:tcPr>
            <w:tcW w:w="4080" w:type="dxa"/>
            <w:vAlign w:val="bottom"/>
          </w:tcPr>
          <w:p>
            <w:pPr>
              <w:spacing w:after="0"/>
              <w:rPr>
                <w:sz w:val="14"/>
                <w:szCs w:val="14"/>
                <w:color w:val="auto"/>
              </w:rPr>
            </w:pPr>
          </w:p>
        </w:tc>
        <w:tc>
          <w:tcPr>
            <w:tcW w:w="214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 OF SUBSIDIARY</w:t>
            </w:r>
          </w:p>
        </w:tc>
        <w:tc>
          <w:tcPr>
            <w:tcW w:w="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550</w:t>
            </w:r>
          </w:p>
        </w:tc>
      </w:tr>
      <w:tr>
        <w:trPr>
          <w:trHeight w:val="168"/>
        </w:trPr>
        <w:tc>
          <w:tcPr>
            <w:tcW w:w="4080" w:type="dxa"/>
            <w:vAlign w:val="bottom"/>
          </w:tcPr>
          <w:p>
            <w:pPr>
              <w:spacing w:after="0"/>
              <w:rPr>
                <w:sz w:val="14"/>
                <w:szCs w:val="14"/>
                <w:color w:val="auto"/>
              </w:rPr>
            </w:pPr>
          </w:p>
        </w:tc>
        <w:tc>
          <w:tcPr>
            <w:tcW w:w="214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w:t>
            </w:r>
          </w:p>
        </w:tc>
        <w:tc>
          <w:tcPr>
            <w:tcW w:w="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1,722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2,434</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1,625</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1,184</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Surplus</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12,307</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12,642</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Retained Earnings</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23,158</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20,501</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Other Comprehensive (Loss) Income</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493</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527</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Treasury Stock, At Cost</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(4,206)</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(4,142)</w:t>
            </w:r>
          </w:p>
        </w:tc>
      </w:tr>
      <w:tr>
        <w:trPr>
          <w:trHeight w:val="168"/>
        </w:trPr>
        <w:tc>
          <w:tcPr>
            <w:tcW w:w="4080" w:type="dxa"/>
            <w:vAlign w:val="bottom"/>
          </w:tcPr>
          <w:p>
            <w:pPr>
              <w:spacing w:after="0"/>
              <w:rPr>
                <w:sz w:val="14"/>
                <w:szCs w:val="14"/>
                <w:color w:val="auto"/>
              </w:rPr>
            </w:pPr>
          </w:p>
        </w:tc>
        <w:tc>
          <w:tcPr>
            <w:tcW w:w="214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0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35,099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33,146</w:t>
            </w:r>
          </w:p>
        </w:tc>
      </w:tr>
      <w:tr>
        <w:trPr>
          <w:trHeight w:val="168"/>
        </w:trPr>
        <w:tc>
          <w:tcPr>
            <w:tcW w:w="4080" w:type="dxa"/>
            <w:vAlign w:val="bottom"/>
          </w:tcPr>
          <w:p>
            <w:pPr>
              <w:spacing w:after="0"/>
              <w:rPr>
                <w:sz w:val="14"/>
                <w:szCs w:val="14"/>
                <w:color w:val="auto"/>
              </w:rPr>
            </w:pPr>
          </w:p>
        </w:tc>
        <w:tc>
          <w:tcPr>
            <w:tcW w:w="214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0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LIABILITIES, PREFERRED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0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STOCK OF SUBSIDIARY AND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0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$ 626,942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627,680</w:t>
            </w:r>
          </w:p>
        </w:tc>
      </w:tr>
      <w:tr>
        <w:trPr>
          <w:trHeight w:val="168"/>
        </w:trPr>
        <w:tc>
          <w:tcPr>
            <w:tcW w:w="4080" w:type="dxa"/>
            <w:vAlign w:val="bottom"/>
          </w:tcPr>
          <w:p>
            <w:pPr>
              <w:spacing w:after="0"/>
              <w:rPr>
                <w:sz w:val="14"/>
                <w:szCs w:val="14"/>
                <w:color w:val="auto"/>
              </w:rPr>
            </w:pPr>
          </w:p>
        </w:tc>
        <w:tc>
          <w:tcPr>
            <w:tcW w:w="214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1" w:lineRule="exact"/>
        <w:rPr>
          <w:sz w:val="20"/>
          <w:szCs w:val="20"/>
          <w:color w:val="auto"/>
        </w:rPr>
      </w:pPr>
    </w:p>
    <w:sectPr>
      <w:pgSz w:w="11900" w:h="16838" w:orient="portrait"/>
      <w:cols w:equalWidth="0" w:num="1">
        <w:col w:w="10239"/>
      </w:cols>
      <w:pgMar w:left="22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lvl w:ilvl="1">
      <w:lvlJc w:val="left"/>
      <w:lvlText w:val="(%2)"/>
      <w:numFmt w:val="decimal"/>
      <w:start w:val="1"/>
    </w:lvl>
  </w:abstractNum>
  <w:abstractNum w:abstractNumId="1">
    <w:nsid w:val="66334873"/>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2019-12-12T22:35:56Z</dcterms:created>
  <dcterms:modified xsi:type="dcterms:W3CDTF">2019-12-12T22:35:56Z</dcterms:modified>
</cp:coreProperties>
</file>