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0" w:lineRule="exact"/>
        <w:rPr>
          <w:sz w:val="24"/>
          <w:szCs w:val="24"/>
          <w:color w:val="auto"/>
        </w:rPr>
      </w:pPr>
    </w:p>
    <w:p>
      <w:pPr>
        <w:spacing w:after="0"/>
        <w:rPr>
          <w:sz w:val="20"/>
          <w:szCs w:val="20"/>
          <w:color w:val="auto"/>
        </w:rPr>
      </w:pPr>
      <w:r>
        <w:rPr>
          <w:rFonts w:ascii="Verdana" w:cs="Verdana" w:eastAsia="Verdana" w:hAnsi="Verdana"/>
          <w:sz w:val="26"/>
          <w:szCs w:val="26"/>
          <w:b w:val="1"/>
          <w:bCs w:val="1"/>
          <w:color w:val="BB0826"/>
        </w:rPr>
        <w:t>JPMorgan Chase Financial Company LLC</w:t>
      </w:r>
    </w:p>
    <w:p>
      <w:pPr>
        <w:spacing w:after="0" w:line="20" w:lineRule="exact"/>
        <w:rPr>
          <w:sz w:val="24"/>
          <w:szCs w:val="24"/>
          <w:color w:val="auto"/>
        </w:rPr>
      </w:pPr>
      <w:r>
        <w:rPr>
          <w:sz w:val="24"/>
          <w:szCs w:val="24"/>
          <w:color w:val="auto"/>
        </w:rPr>
        <w:br w:type="column"/>
      </w:r>
    </w:p>
    <w:p>
      <w:pPr>
        <w:jc w:val="right"/>
        <w:spacing w:after="0" w:line="233" w:lineRule="auto"/>
        <w:rPr>
          <w:sz w:val="20"/>
          <w:szCs w:val="20"/>
          <w:color w:val="auto"/>
        </w:rPr>
      </w:pPr>
      <w:r>
        <w:rPr>
          <w:rFonts w:ascii="Verdana" w:cs="Verdana" w:eastAsia="Verdana" w:hAnsi="Verdana"/>
          <w:sz w:val="13"/>
          <w:szCs w:val="13"/>
          <w:color w:val="auto"/>
        </w:rPr>
        <w:t>Filed Pursuant to Rule 433 Registration Statement Nos. 333-293684 and 333-293684-01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94615</wp:posOffset>
            </wp:positionH>
            <wp:positionV relativeFrom="paragraph">
              <wp:posOffset>-5715</wp:posOffset>
            </wp:positionV>
            <wp:extent cx="156845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8450" cy="411480"/>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7900" w:space="720"/>
            <w:col w:w="2620"/>
          </w:cols>
          <w:pgMar w:left="320" w:top="242" w:right="339" w:bottom="1440" w:gutter="0" w:footer="0" w:header="0"/>
        </w:sectPr>
      </w:pPr>
    </w:p>
    <w:p>
      <w:pPr>
        <w:spacing w:after="0"/>
        <w:rPr>
          <w:sz w:val="20"/>
          <w:szCs w:val="20"/>
          <w:color w:val="auto"/>
        </w:rPr>
      </w:pPr>
      <w:r>
        <w:rPr>
          <w:rFonts w:ascii="Verdana" w:cs="Verdana" w:eastAsia="Verdana" w:hAnsi="Verdana"/>
          <w:sz w:val="16"/>
          <w:szCs w:val="16"/>
          <w:b w:val="1"/>
          <w:bCs w:val="1"/>
          <w:i w:val="1"/>
          <w:iCs w:val="1"/>
          <w:color w:val="BB0826"/>
        </w:rPr>
        <w:t>Fully and Unconditionally Guaranteed by JPMorgan Chase &amp; Co.</w:t>
      </w:r>
    </w:p>
    <w:p>
      <w:pPr>
        <w:spacing w:after="0" w:line="66" w:lineRule="exact"/>
        <w:rPr>
          <w:sz w:val="24"/>
          <w:szCs w:val="24"/>
          <w:color w:val="auto"/>
        </w:rPr>
      </w:pPr>
    </w:p>
    <w:p>
      <w:pPr>
        <w:spacing w:after="0"/>
        <w:rPr>
          <w:sz w:val="20"/>
          <w:szCs w:val="20"/>
          <w:color w:val="auto"/>
        </w:rPr>
      </w:pPr>
      <w:r>
        <w:rPr>
          <w:rFonts w:ascii="Verdana" w:cs="Verdana" w:eastAsia="Verdana" w:hAnsi="Verdana"/>
          <w:sz w:val="20"/>
          <w:szCs w:val="20"/>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19" w:lineRule="exact"/>
        <w:rPr>
          <w:sz w:val="24"/>
          <w:szCs w:val="24"/>
          <w:color w:val="auto"/>
        </w:rPr>
      </w:pPr>
    </w:p>
    <w:p>
      <w:pPr>
        <w:ind w:left="100" w:right="3480"/>
        <w:spacing w:after="0" w:line="260" w:lineRule="auto"/>
        <w:rPr>
          <w:sz w:val="20"/>
          <w:szCs w:val="20"/>
          <w:color w:val="auto"/>
        </w:rPr>
      </w:pPr>
      <w:r>
        <w:rPr>
          <w:rFonts w:ascii="Verdana" w:cs="Verdana" w:eastAsia="Verdana" w:hAnsi="Verdana"/>
          <w:sz w:val="16"/>
          <w:szCs w:val="16"/>
          <w:color w:val="FFFFFF"/>
        </w:rPr>
        <w:t>Market Linked Securities — Leveraged Upside Participation to a Cap and Contingent Downside Principal at Risk Securities Linked to the Russell 2000</w:t>
      </w:r>
      <w:r>
        <w:rPr>
          <w:rFonts w:ascii="Verdana" w:cs="Verdana" w:eastAsia="Verdana" w:hAnsi="Verdana"/>
          <w:sz w:val="26"/>
          <w:szCs w:val="26"/>
          <w:color w:val="FFFFFF"/>
          <w:vertAlign w:val="superscript"/>
        </w:rPr>
        <w:t>®</w:t>
      </w:r>
      <w:r>
        <w:rPr>
          <w:rFonts w:ascii="Verdana" w:cs="Verdana" w:eastAsia="Verdana" w:hAnsi="Verdana"/>
          <w:sz w:val="16"/>
          <w:szCs w:val="16"/>
          <w:color w:val="FFFFFF"/>
        </w:rPr>
        <w:t xml:space="preserve"> Index due November 17, 2031</w:t>
      </w:r>
    </w:p>
    <w:p>
      <w:pPr>
        <w:spacing w:after="0" w:line="1" w:lineRule="exact"/>
        <w:rPr>
          <w:sz w:val="24"/>
          <w:szCs w:val="24"/>
          <w:color w:val="auto"/>
        </w:rPr>
      </w:pPr>
    </w:p>
    <w:p>
      <w:pPr>
        <w:ind w:left="100"/>
        <w:spacing w:after="0"/>
        <w:rPr>
          <w:sz w:val="20"/>
          <w:szCs w:val="20"/>
          <w:color w:val="auto"/>
        </w:rPr>
      </w:pPr>
      <w:r>
        <w:rPr>
          <w:rFonts w:ascii="Verdana" w:cs="Verdana" w:eastAsia="Verdana" w:hAnsi="Verdana"/>
          <w:sz w:val="16"/>
          <w:szCs w:val="16"/>
          <w:color w:val="FFFFFF"/>
        </w:rPr>
        <w:t>Fact Sheet dated November 5, 2026 to Preliminary Pricing Supplement dated November 5, 2026</w:t>
      </w:r>
    </w:p>
    <w:p>
      <w:pPr>
        <w:sectPr>
          <w:pgSz w:w="11900" w:h="16838" w:orient="portrait"/>
          <w:cols w:equalWidth="0" w:num="1">
            <w:col w:w="11240"/>
          </w:cols>
          <w:pgMar w:left="320" w:top="242" w:right="339" w:bottom="1440" w:gutter="0" w:footer="0" w:header="0"/>
          <w:type w:val="continuous"/>
        </w:sectPr>
      </w:pPr>
    </w:p>
    <w:p>
      <w:pPr>
        <w:spacing w:after="0" w:line="117" w:lineRule="exact"/>
        <w:rPr>
          <w:sz w:val="24"/>
          <w:szCs w:val="24"/>
          <w:color w:val="auto"/>
        </w:rPr>
      </w:pPr>
    </w:p>
    <w:p>
      <w:pPr>
        <w:ind w:left="100"/>
        <w:spacing w:after="0"/>
        <w:rPr>
          <w:sz w:val="20"/>
          <w:szCs w:val="20"/>
          <w:color w:val="auto"/>
        </w:rPr>
      </w:pPr>
      <w:r>
        <w:rPr>
          <w:rFonts w:ascii="Verdana" w:cs="Verdana" w:eastAsia="Verdana" w:hAnsi="Verdana"/>
          <w:sz w:val="20"/>
          <w:szCs w:val="20"/>
          <w:color w:val="8F8F8F"/>
        </w:rPr>
        <w:t>Summary of Terms</w:t>
      </w:r>
    </w:p>
    <w:tbl>
      <w:tblPr>
        <w:tblLayout w:type="fixed"/>
        <w:tblInd w:w="10" w:type="dxa"/>
        <w:tblCellMar>
          <w:top w:w="0" w:type="dxa"/>
          <w:left w:w="0" w:type="dxa"/>
          <w:bottom w:w="0" w:type="dxa"/>
          <w:right w:w="0" w:type="dxa"/>
        </w:tblCellMar>
      </w:tblPr>
      <w:tr>
        <w:trPr>
          <w:trHeight w:val="156"/>
        </w:trPr>
        <w:tc>
          <w:tcPr>
            <w:tcW w:w="1900" w:type="dxa"/>
            <w:vAlign w:val="bottom"/>
            <w:tcBorders>
              <w:top w:val="single" w:sz="8" w:color="auto"/>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Issuer:</w:t>
            </w:r>
          </w:p>
        </w:tc>
        <w:tc>
          <w:tcPr>
            <w:tcW w:w="3600" w:type="dxa"/>
            <w:vAlign w:val="bottom"/>
            <w:tcBorders>
              <w:top w:val="single" w:sz="8" w:color="auto"/>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JPMorgan Chase Financial Company LLC</w:t>
            </w: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Guarantor:</w:t>
            </w:r>
          </w:p>
        </w:tc>
        <w:tc>
          <w:tcPr>
            <w:tcW w:w="3600" w:type="dxa"/>
            <w:vAlign w:val="bottom"/>
            <w:tcBorders>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JPMorgan Chase &amp; Co.</w:t>
            </w:r>
          </w:p>
        </w:tc>
        <w:tc>
          <w:tcPr>
            <w:tcW w:w="0" w:type="dxa"/>
            <w:vAlign w:val="bottom"/>
          </w:tcPr>
          <w:p>
            <w:pPr>
              <w:spacing w:after="0"/>
              <w:rPr>
                <w:sz w:val="1"/>
                <w:szCs w:val="1"/>
                <w:color w:val="auto"/>
              </w:rPr>
            </w:pPr>
          </w:p>
        </w:tc>
      </w:tr>
      <w:tr>
        <w:trPr>
          <w:trHeight w:val="183"/>
        </w:trPr>
        <w:tc>
          <w:tcPr>
            <w:tcW w:w="190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Index:</w:t>
            </w:r>
          </w:p>
        </w:tc>
        <w:tc>
          <w:tcPr>
            <w:tcW w:w="3600" w:type="dxa"/>
            <w:vAlign w:val="bottom"/>
            <w:tcBorders>
              <w:bottom w:val="single" w:sz="8" w:color="auto"/>
              <w:right w:val="single" w:sz="8" w:color="auto"/>
            </w:tcBorders>
            <w:gridSpan w:val="5"/>
          </w:tcPr>
          <w:p>
            <w:pPr>
              <w:ind w:left="100"/>
              <w:spacing w:after="0" w:line="182" w:lineRule="exact"/>
              <w:rPr>
                <w:sz w:val="20"/>
                <w:szCs w:val="20"/>
                <w:color w:val="auto"/>
              </w:rPr>
            </w:pPr>
            <w:r>
              <w:rPr>
                <w:rFonts w:ascii="Georgia" w:cs="Georgia" w:eastAsia="Georgia" w:hAnsi="Georgia"/>
                <w:sz w:val="13"/>
                <w:szCs w:val="13"/>
                <w:color w:val="auto"/>
              </w:rPr>
              <w:t>Russell 2000</w:t>
            </w:r>
            <w:r>
              <w:rPr>
                <w:rFonts w:ascii="Georgia" w:cs="Georgia" w:eastAsia="Georgia" w:hAnsi="Georgia"/>
                <w:sz w:val="21"/>
                <w:szCs w:val="21"/>
                <w:color w:val="auto"/>
                <w:vertAlign w:val="superscript"/>
              </w:rPr>
              <w:t>®</w:t>
            </w:r>
            <w:r>
              <w:rPr>
                <w:rFonts w:ascii="Georgia" w:cs="Georgia" w:eastAsia="Georgia" w:hAnsi="Georgia"/>
                <w:sz w:val="13"/>
                <w:szCs w:val="13"/>
                <w:color w:val="auto"/>
              </w:rPr>
              <w:t xml:space="preserve"> Index (Bloomberg ticker: RTY)</w:t>
            </w:r>
          </w:p>
        </w:tc>
        <w:tc>
          <w:tcPr>
            <w:tcW w:w="0" w:type="dxa"/>
            <w:vAlign w:val="bottom"/>
          </w:tcPr>
          <w:p>
            <w:pPr>
              <w:spacing w:after="0"/>
              <w:rPr>
                <w:sz w:val="1"/>
                <w:szCs w:val="1"/>
                <w:color w:val="auto"/>
              </w:rPr>
            </w:pP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November 12, 2026</w:t>
            </w:r>
          </w:p>
        </w:tc>
        <w:tc>
          <w:tcPr>
            <w:tcW w:w="0" w:type="dxa"/>
            <w:vAlign w:val="bottom"/>
          </w:tcPr>
          <w:p>
            <w:pPr>
              <w:spacing w:after="0"/>
              <w:rPr>
                <w:sz w:val="1"/>
                <w:szCs w:val="1"/>
                <w:color w:val="auto"/>
              </w:rPr>
            </w:pP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November 17, 2026</w:t>
            </w:r>
          </w:p>
        </w:tc>
        <w:tc>
          <w:tcPr>
            <w:tcW w:w="0" w:type="dxa"/>
            <w:vAlign w:val="bottom"/>
          </w:tcPr>
          <w:p>
            <w:pPr>
              <w:spacing w:after="0"/>
              <w:rPr>
                <w:sz w:val="1"/>
                <w:szCs w:val="1"/>
                <w:color w:val="auto"/>
              </w:rPr>
            </w:pP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Calculation Day</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November 12, 2031</w:t>
            </w:r>
          </w:p>
        </w:tc>
        <w:tc>
          <w:tcPr>
            <w:tcW w:w="0" w:type="dxa"/>
            <w:vAlign w:val="bottom"/>
          </w:tcPr>
          <w:p>
            <w:pPr>
              <w:spacing w:after="0"/>
              <w:rPr>
                <w:sz w:val="1"/>
                <w:szCs w:val="1"/>
                <w:color w:val="auto"/>
              </w:rPr>
            </w:pPr>
          </w:p>
        </w:tc>
      </w:tr>
      <w:tr>
        <w:trPr>
          <w:trHeight w:val="183"/>
        </w:trPr>
        <w:tc>
          <w:tcPr>
            <w:tcW w:w="190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November 17, 2031</w:t>
            </w:r>
          </w:p>
        </w:tc>
        <w:tc>
          <w:tcPr>
            <w:tcW w:w="0" w:type="dxa"/>
            <w:vAlign w:val="bottom"/>
          </w:tcPr>
          <w:p>
            <w:pPr>
              <w:spacing w:after="0"/>
              <w:rPr>
                <w:sz w:val="1"/>
                <w:szCs w:val="1"/>
                <w:color w:val="auto"/>
              </w:rPr>
            </w:pPr>
          </w:p>
        </w:tc>
      </w:tr>
      <w:tr>
        <w:trPr>
          <w:trHeight w:val="156"/>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Principal Amount:</w:t>
            </w:r>
          </w:p>
        </w:tc>
        <w:tc>
          <w:tcPr>
            <w:tcW w:w="3600" w:type="dxa"/>
            <w:vAlign w:val="bottom"/>
            <w:tcBorders>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$1,000 per security (100% of par)</w:t>
            </w:r>
          </w:p>
        </w:tc>
        <w:tc>
          <w:tcPr>
            <w:tcW w:w="0" w:type="dxa"/>
            <w:vAlign w:val="bottom"/>
          </w:tcPr>
          <w:p>
            <w:pPr>
              <w:spacing w:after="0"/>
              <w:rPr>
                <w:sz w:val="1"/>
                <w:szCs w:val="1"/>
                <w:color w:val="auto"/>
              </w:rPr>
            </w:pPr>
          </w:p>
        </w:tc>
      </w:tr>
      <w:tr>
        <w:trPr>
          <w:trHeight w:val="159"/>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Maturity Payment</w:t>
            </w:r>
          </w:p>
        </w:tc>
        <w:tc>
          <w:tcPr>
            <w:tcW w:w="3600" w:type="dxa"/>
            <w:vAlign w:val="bottom"/>
            <w:tcBorders>
              <w:right w:val="single" w:sz="8" w:color="auto"/>
            </w:tcBorders>
            <w:gridSpan w:val="5"/>
          </w:tcPr>
          <w:p>
            <w:pPr>
              <w:ind w:left="160"/>
              <w:spacing w:after="0" w:line="158" w:lineRule="exact"/>
              <w:rPr>
                <w:sz w:val="20"/>
                <w:szCs w:val="20"/>
                <w:color w:val="auto"/>
              </w:rPr>
            </w:pPr>
            <w:r>
              <w:rPr>
                <w:rFonts w:ascii="Arial" w:cs="Arial" w:eastAsia="Arial" w:hAnsi="Arial"/>
                <w:sz w:val="16"/>
                <w:szCs w:val="16"/>
                <w:b w:val="1"/>
                <w:bCs w:val="1"/>
                <w:color w:val="auto"/>
              </w:rPr>
              <w:t xml:space="preserve">· </w:t>
            </w:r>
            <w:r>
              <w:rPr>
                <w:rFonts w:ascii="Georgia" w:cs="Georgia" w:eastAsia="Georgia" w:hAnsi="Georgia"/>
                <w:sz w:val="14"/>
                <w:szCs w:val="14"/>
                <w:color w:val="auto"/>
              </w:rPr>
              <w:t>if the ending level is greater than the starting</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Amount (per Security):</w:t>
            </w:r>
          </w:p>
        </w:tc>
        <w:tc>
          <w:tcPr>
            <w:tcW w:w="200" w:type="dxa"/>
            <w:vAlign w:val="bottom"/>
          </w:tcPr>
          <w:p>
            <w:pPr>
              <w:spacing w:after="0"/>
              <w:rPr>
                <w:sz w:val="14"/>
                <w:szCs w:val="14"/>
                <w:color w:val="auto"/>
              </w:rPr>
            </w:pPr>
          </w:p>
        </w:tc>
        <w:tc>
          <w:tcPr>
            <w:tcW w:w="3400" w:type="dxa"/>
            <w:vAlign w:val="bottom"/>
            <w:tcBorders>
              <w:right w:val="single" w:sz="8" w:color="auto"/>
            </w:tcBorders>
            <w:gridSpan w:val="4"/>
            <w:vMerge w:val="restart"/>
          </w:tcPr>
          <w:p>
            <w:pPr>
              <w:ind w:left="120"/>
              <w:spacing w:after="0"/>
              <w:rPr>
                <w:sz w:val="20"/>
                <w:szCs w:val="20"/>
                <w:color w:val="auto"/>
              </w:rPr>
            </w:pPr>
            <w:r>
              <w:rPr>
                <w:rFonts w:ascii="Georgia" w:cs="Georgia" w:eastAsia="Georgia" w:hAnsi="Georgia"/>
                <w:sz w:val="14"/>
                <w:szCs w:val="14"/>
                <w:color w:val="auto"/>
              </w:rPr>
              <w:t xml:space="preserve">level: $1,000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the lesser of:</w:t>
            </w:r>
          </w:p>
        </w:tc>
        <w:tc>
          <w:tcPr>
            <w:tcW w:w="0" w:type="dxa"/>
            <w:vAlign w:val="bottom"/>
          </w:tcPr>
          <w:p>
            <w:pPr>
              <w:spacing w:after="0"/>
              <w:rPr>
                <w:sz w:val="1"/>
                <w:szCs w:val="1"/>
                <w:color w:val="auto"/>
              </w:rPr>
            </w:pPr>
          </w:p>
        </w:tc>
      </w:tr>
      <w:tr>
        <w:trPr>
          <w:trHeight w:val="41"/>
        </w:trPr>
        <w:tc>
          <w:tcPr>
            <w:tcW w:w="1900" w:type="dxa"/>
            <w:vAlign w:val="bottom"/>
            <w:tcBorders>
              <w:left w:val="single" w:sz="8" w:color="auto"/>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400" w:type="dxa"/>
            <w:vAlign w:val="bottom"/>
            <w:tcBorders>
              <w:right w:val="single" w:sz="8" w:color="auto"/>
            </w:tcBorders>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0" w:type="dxa"/>
            <w:vAlign w:val="bottom"/>
            <w:tcBorders>
              <w:right w:val="single" w:sz="8" w:color="auto"/>
            </w:tcBorders>
            <w:gridSpan w:val="4"/>
          </w:tcPr>
          <w:p>
            <w:pPr>
              <w:ind w:left="120"/>
              <w:spacing w:after="0"/>
              <w:rPr>
                <w:sz w:val="20"/>
                <w:szCs w:val="20"/>
                <w:color w:val="auto"/>
              </w:rPr>
            </w:pPr>
            <w:r>
              <w:rPr>
                <w:rFonts w:ascii="Georgia" w:cs="Georgia" w:eastAsia="Georgia" w:hAnsi="Georgia"/>
                <w:sz w:val="14"/>
                <w:szCs w:val="14"/>
                <w:color w:val="auto"/>
              </w:rPr>
              <w:t>(i)  $1,000 × index return × upside</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Borders>
              <w:right w:val="single" w:sz="8" w:color="auto"/>
            </w:tcBorders>
            <w:gridSpan w:val="3"/>
          </w:tcPr>
          <w:p>
            <w:pPr>
              <w:ind w:left="120"/>
              <w:spacing w:after="0"/>
              <w:rPr>
                <w:sz w:val="20"/>
                <w:szCs w:val="20"/>
                <w:color w:val="auto"/>
              </w:rPr>
            </w:pPr>
            <w:r>
              <w:rPr>
                <w:rFonts w:ascii="Georgia" w:cs="Georgia" w:eastAsia="Georgia" w:hAnsi="Georgia"/>
                <w:sz w:val="14"/>
                <w:szCs w:val="14"/>
                <w:color w:val="auto"/>
              </w:rPr>
              <w:t>participation rate; and</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0" w:type="dxa"/>
            <w:vAlign w:val="bottom"/>
            <w:tcBorders>
              <w:right w:val="single" w:sz="8" w:color="auto"/>
            </w:tcBorders>
            <w:gridSpan w:val="4"/>
          </w:tcPr>
          <w:p>
            <w:pPr>
              <w:ind w:left="120"/>
              <w:spacing w:after="0"/>
              <w:rPr>
                <w:sz w:val="20"/>
                <w:szCs w:val="20"/>
                <w:color w:val="auto"/>
              </w:rPr>
            </w:pPr>
            <w:r>
              <w:rPr>
                <w:rFonts w:ascii="Georgia" w:cs="Georgia" w:eastAsia="Georgia" w:hAnsi="Georgia"/>
                <w:sz w:val="14"/>
                <w:szCs w:val="14"/>
                <w:color w:val="auto"/>
              </w:rPr>
              <w:t>(ii)  the maximum return;</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spacing w:after="0"/>
              <w:rPr>
                <w:sz w:val="15"/>
                <w:szCs w:val="15"/>
                <w:color w:val="auto"/>
              </w:rPr>
            </w:pPr>
          </w:p>
        </w:tc>
        <w:tc>
          <w:tcPr>
            <w:tcW w:w="3600" w:type="dxa"/>
            <w:vAlign w:val="bottom"/>
            <w:tcBorders>
              <w:right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 xml:space="preserve">·   </w:t>
            </w:r>
            <w:r>
              <w:rPr>
                <w:rFonts w:ascii="Georgia" w:cs="Georgia" w:eastAsia="Georgia" w:hAnsi="Georgia"/>
                <w:sz w:val="14"/>
                <w:szCs w:val="14"/>
                <w:color w:val="auto"/>
              </w:rPr>
              <w:t>if the ending level is less than or equal to the</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Borders>
              <w:right w:val="single" w:sz="8" w:color="auto"/>
            </w:tcBorders>
            <w:gridSpan w:val="3"/>
          </w:tcPr>
          <w:p>
            <w:pPr>
              <w:spacing w:after="0"/>
              <w:rPr>
                <w:sz w:val="20"/>
                <w:szCs w:val="20"/>
                <w:color w:val="auto"/>
              </w:rPr>
            </w:pPr>
            <w:r>
              <w:rPr>
                <w:rFonts w:ascii="Georgia" w:cs="Georgia" w:eastAsia="Georgia" w:hAnsi="Georgia"/>
                <w:sz w:val="14"/>
                <w:szCs w:val="14"/>
                <w:color w:val="auto"/>
              </w:rPr>
              <w:t>starting level, but greater than or equal to the</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Borders>
              <w:right w:val="single" w:sz="8" w:color="auto"/>
            </w:tcBorders>
            <w:gridSpan w:val="3"/>
          </w:tcPr>
          <w:p>
            <w:pPr>
              <w:spacing w:after="0"/>
              <w:rPr>
                <w:sz w:val="20"/>
                <w:szCs w:val="20"/>
                <w:color w:val="auto"/>
              </w:rPr>
            </w:pPr>
            <w:r>
              <w:rPr>
                <w:rFonts w:ascii="Georgia" w:cs="Georgia" w:eastAsia="Georgia" w:hAnsi="Georgia"/>
                <w:sz w:val="14"/>
                <w:szCs w:val="14"/>
                <w:color w:val="auto"/>
              </w:rPr>
              <w:t>threshold level: $1,000; or</w:t>
            </w:r>
          </w:p>
        </w:tc>
        <w:tc>
          <w:tcPr>
            <w:tcW w:w="0" w:type="dxa"/>
            <w:vAlign w:val="bottom"/>
          </w:tcPr>
          <w:p>
            <w:pPr>
              <w:spacing w:after="0"/>
              <w:rPr>
                <w:sz w:val="1"/>
                <w:szCs w:val="1"/>
                <w:color w:val="auto"/>
              </w:rPr>
            </w:pPr>
          </w:p>
        </w:tc>
      </w:tr>
      <w:tr>
        <w:trPr>
          <w:trHeight w:val="176"/>
        </w:trPr>
        <w:tc>
          <w:tcPr>
            <w:tcW w:w="1900" w:type="dxa"/>
            <w:vAlign w:val="bottom"/>
            <w:tcBorders>
              <w:left w:val="single" w:sz="8" w:color="auto"/>
              <w:right w:val="single" w:sz="8" w:color="auto"/>
            </w:tcBorders>
          </w:tcPr>
          <w:p>
            <w:pPr>
              <w:spacing w:after="0"/>
              <w:rPr>
                <w:sz w:val="15"/>
                <w:szCs w:val="15"/>
                <w:color w:val="auto"/>
              </w:rPr>
            </w:pPr>
          </w:p>
        </w:tc>
        <w:tc>
          <w:tcPr>
            <w:tcW w:w="3600" w:type="dxa"/>
            <w:vAlign w:val="bottom"/>
            <w:tcBorders>
              <w:right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 xml:space="preserve">·   </w:t>
            </w:r>
            <w:r>
              <w:rPr>
                <w:rFonts w:ascii="Georgia" w:cs="Georgia" w:eastAsia="Georgia" w:hAnsi="Georgia"/>
                <w:sz w:val="14"/>
                <w:szCs w:val="14"/>
                <w:color w:val="auto"/>
              </w:rPr>
              <w:t>if the ending level is less than the threshold</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tcBorders>
              <w:right w:val="single" w:sz="8" w:color="auto"/>
            </w:tcBorders>
            <w:gridSpan w:val="3"/>
          </w:tcPr>
          <w:p>
            <w:pPr>
              <w:spacing w:after="0"/>
              <w:rPr>
                <w:sz w:val="20"/>
                <w:szCs w:val="20"/>
                <w:color w:val="auto"/>
              </w:rPr>
            </w:pPr>
            <w:r>
              <w:rPr>
                <w:rFonts w:ascii="Georgia" w:cs="Georgia" w:eastAsia="Georgia" w:hAnsi="Georgia"/>
                <w:sz w:val="14"/>
                <w:szCs w:val="14"/>
                <w:color w:val="auto"/>
              </w:rPr>
              <w:t>level:</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$1,000 + ($1,000 × index return)</w:t>
            </w:r>
          </w:p>
        </w:tc>
        <w:tc>
          <w:tcPr>
            <w:tcW w:w="0" w:type="dxa"/>
            <w:vAlign w:val="bottom"/>
          </w:tcPr>
          <w:p>
            <w:pPr>
              <w:spacing w:after="0"/>
              <w:rPr>
                <w:sz w:val="1"/>
                <w:szCs w:val="1"/>
                <w:color w:val="auto"/>
              </w:rPr>
            </w:pPr>
          </w:p>
        </w:tc>
      </w:tr>
      <w:tr>
        <w:trPr>
          <w:trHeight w:val="105"/>
        </w:trPr>
        <w:tc>
          <w:tcPr>
            <w:tcW w:w="190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Starting Level:</w:t>
            </w:r>
          </w:p>
        </w:tc>
        <w:tc>
          <w:tcPr>
            <w:tcW w:w="3600" w:type="dxa"/>
            <w:vAlign w:val="bottom"/>
            <w:tcBorders>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The closing level of the Index on the pricing date</w:t>
            </w:r>
          </w:p>
        </w:tc>
        <w:tc>
          <w:tcPr>
            <w:tcW w:w="0" w:type="dxa"/>
            <w:vAlign w:val="bottom"/>
          </w:tcPr>
          <w:p>
            <w:pPr>
              <w:spacing w:after="0"/>
              <w:rPr>
                <w:sz w:val="1"/>
                <w:szCs w:val="1"/>
                <w:color w:val="auto"/>
              </w:rPr>
            </w:pPr>
          </w:p>
        </w:tc>
      </w:tr>
      <w:tr>
        <w:trPr>
          <w:trHeight w:val="156"/>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Ending Level:</w:t>
            </w:r>
          </w:p>
        </w:tc>
        <w:tc>
          <w:tcPr>
            <w:tcW w:w="3600" w:type="dxa"/>
            <w:vAlign w:val="bottom"/>
            <w:tcBorders>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The closing level of the Index on the calculation day</w:t>
            </w:r>
          </w:p>
        </w:tc>
        <w:tc>
          <w:tcPr>
            <w:tcW w:w="0" w:type="dxa"/>
            <w:vAlign w:val="bottom"/>
          </w:tcPr>
          <w:p>
            <w:pPr>
              <w:spacing w:after="0"/>
              <w:rPr>
                <w:sz w:val="1"/>
                <w:szCs w:val="1"/>
                <w:color w:val="auto"/>
              </w:rPr>
            </w:pPr>
          </w:p>
        </w:tc>
      </w:tr>
      <w:tr>
        <w:trPr>
          <w:trHeight w:val="158"/>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Maximum Return:</w:t>
            </w:r>
          </w:p>
        </w:tc>
        <w:tc>
          <w:tcPr>
            <w:tcW w:w="36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At least 70.25% of the principal amount (at least</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$702.50 per security) (to be provided in the pricing</w:t>
            </w:r>
          </w:p>
        </w:tc>
        <w:tc>
          <w:tcPr>
            <w:tcW w:w="0" w:type="dxa"/>
            <w:vAlign w:val="bottom"/>
          </w:tcPr>
          <w:p>
            <w:pPr>
              <w:spacing w:after="0"/>
              <w:rPr>
                <w:sz w:val="1"/>
                <w:szCs w:val="1"/>
                <w:color w:val="auto"/>
              </w:rPr>
            </w:pP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supplement)</w:t>
            </w:r>
          </w:p>
        </w:tc>
        <w:tc>
          <w:tcPr>
            <w:tcW w:w="0" w:type="dxa"/>
            <w:vAlign w:val="bottom"/>
          </w:tcPr>
          <w:p>
            <w:pPr>
              <w:spacing w:after="0"/>
              <w:rPr>
                <w:sz w:val="1"/>
                <w:szCs w:val="1"/>
                <w:color w:val="auto"/>
              </w:rPr>
            </w:pPr>
          </w:p>
        </w:tc>
      </w:tr>
      <w:tr>
        <w:trPr>
          <w:trHeight w:val="159"/>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Upside Participation</w:t>
            </w:r>
          </w:p>
        </w:tc>
        <w:tc>
          <w:tcPr>
            <w:tcW w:w="520" w:type="dxa"/>
            <w:vAlign w:val="bottom"/>
            <w:gridSpan w:val="2"/>
          </w:tcPr>
          <w:p>
            <w:pPr>
              <w:ind w:left="100"/>
              <w:spacing w:after="0"/>
              <w:rPr>
                <w:sz w:val="20"/>
                <w:szCs w:val="20"/>
                <w:color w:val="auto"/>
              </w:rPr>
            </w:pPr>
            <w:r>
              <w:rPr>
                <w:rFonts w:ascii="Georgia" w:cs="Georgia" w:eastAsia="Georgia" w:hAnsi="Georgia"/>
                <w:sz w:val="14"/>
                <w:szCs w:val="14"/>
                <w:color w:val="auto"/>
              </w:rPr>
              <w:t>175%</w:t>
            </w: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0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Rate:</w:t>
            </w: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Threshold Level:</w:t>
            </w:r>
          </w:p>
        </w:tc>
        <w:tc>
          <w:tcPr>
            <w:tcW w:w="3600" w:type="dxa"/>
            <w:vAlign w:val="bottom"/>
            <w:tcBorders>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75% of the starting level</w:t>
            </w: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Index Return:</w:t>
            </w:r>
          </w:p>
        </w:tc>
        <w:tc>
          <w:tcPr>
            <w:tcW w:w="3600" w:type="dxa"/>
            <w:vAlign w:val="bottom"/>
            <w:tcBorders>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(ending level – starting level) / starting level</w:t>
            </w:r>
          </w:p>
        </w:tc>
        <w:tc>
          <w:tcPr>
            <w:tcW w:w="0" w:type="dxa"/>
            <w:vAlign w:val="bottom"/>
          </w:tcPr>
          <w:p>
            <w:pPr>
              <w:spacing w:after="0"/>
              <w:rPr>
                <w:sz w:val="1"/>
                <w:szCs w:val="1"/>
                <w:color w:val="auto"/>
              </w:rPr>
            </w:pPr>
          </w:p>
        </w:tc>
      </w:tr>
      <w:tr>
        <w:trPr>
          <w:trHeight w:val="149"/>
        </w:trPr>
        <w:tc>
          <w:tcPr>
            <w:tcW w:w="19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Calculation Agent:</w:t>
            </w:r>
          </w:p>
        </w:tc>
        <w:tc>
          <w:tcPr>
            <w:tcW w:w="3600" w:type="dxa"/>
            <w:vAlign w:val="bottom"/>
            <w:tcBorders>
              <w:bottom w:val="single" w:sz="8" w:color="auto"/>
              <w:right w:val="single" w:sz="8" w:color="auto"/>
            </w:tcBorders>
            <w:gridSpan w:val="5"/>
          </w:tcPr>
          <w:p>
            <w:pPr>
              <w:ind w:left="100"/>
              <w:spacing w:after="0" w:line="142" w:lineRule="exact"/>
              <w:rPr>
                <w:sz w:val="20"/>
                <w:szCs w:val="20"/>
                <w:color w:val="auto"/>
              </w:rPr>
            </w:pPr>
            <w:r>
              <w:rPr>
                <w:rFonts w:ascii="Georgia" w:cs="Georgia" w:eastAsia="Georgia" w:hAnsi="Georgia"/>
                <w:sz w:val="14"/>
                <w:szCs w:val="14"/>
                <w:color w:val="auto"/>
              </w:rPr>
              <w:t>J.P. Morgan Securities LLC (“JPMS”)</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Denominations:</w:t>
            </w:r>
          </w:p>
        </w:tc>
        <w:tc>
          <w:tcPr>
            <w:tcW w:w="360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$1,000 and any integral multiple of $1,000</w:t>
            </w: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CUSIP:</w:t>
            </w:r>
          </w:p>
        </w:tc>
        <w:tc>
          <w:tcPr>
            <w:tcW w:w="3600" w:type="dxa"/>
            <w:vAlign w:val="bottom"/>
            <w:tcBorders>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46661Q3Q6</w:t>
            </w:r>
          </w:p>
        </w:tc>
        <w:tc>
          <w:tcPr>
            <w:tcW w:w="0" w:type="dxa"/>
            <w:vAlign w:val="bottom"/>
          </w:tcPr>
          <w:p>
            <w:pPr>
              <w:spacing w:after="0"/>
              <w:rPr>
                <w:sz w:val="1"/>
                <w:szCs w:val="1"/>
                <w:color w:val="auto"/>
              </w:rPr>
            </w:pPr>
          </w:p>
        </w:tc>
      </w:tr>
      <w:tr>
        <w:trPr>
          <w:trHeight w:val="159"/>
        </w:trPr>
        <w:tc>
          <w:tcPr>
            <w:tcW w:w="190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Fees and Commissions:</w:t>
            </w:r>
          </w:p>
        </w:tc>
        <w:tc>
          <w:tcPr>
            <w:tcW w:w="36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Up to 3.87% for Wells Fargo Securities, LLC</w:t>
            </w:r>
          </w:p>
        </w:tc>
        <w:tc>
          <w:tcPr>
            <w:tcW w:w="0" w:type="dxa"/>
            <w:vAlign w:val="bottom"/>
          </w:tcPr>
          <w:p>
            <w:pPr>
              <w:spacing w:after="0"/>
              <w:rPr>
                <w:sz w:val="1"/>
                <w:szCs w:val="1"/>
                <w:color w:val="auto"/>
              </w:rPr>
            </w:pPr>
          </w:p>
        </w:tc>
      </w:tr>
      <w:tr>
        <w:trPr>
          <w:trHeight w:val="145"/>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5"/>
          </w:tcPr>
          <w:p>
            <w:pPr>
              <w:ind w:left="100"/>
              <w:spacing w:after="0" w:line="146" w:lineRule="exact"/>
              <w:rPr>
                <w:sz w:val="20"/>
                <w:szCs w:val="20"/>
                <w:color w:val="auto"/>
              </w:rPr>
            </w:pPr>
            <w:r>
              <w:rPr>
                <w:rFonts w:ascii="Georgia" w:cs="Georgia" w:eastAsia="Georgia" w:hAnsi="Georgia"/>
                <w:sz w:val="14"/>
                <w:szCs w:val="14"/>
                <w:color w:val="auto"/>
              </w:rPr>
              <w:t>(“WFS”); WFS has advised us that dealers, including</w:t>
            </w:r>
          </w:p>
        </w:tc>
        <w:tc>
          <w:tcPr>
            <w:tcW w:w="0" w:type="dxa"/>
            <w:vAlign w:val="bottom"/>
          </w:tcPr>
          <w:p>
            <w:pPr>
              <w:spacing w:after="0"/>
              <w:rPr>
                <w:sz w:val="1"/>
                <w:szCs w:val="1"/>
                <w:color w:val="auto"/>
              </w:rPr>
            </w:pP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gridSpan w:val="5"/>
          </w:tcPr>
          <w:p>
            <w:pPr>
              <w:ind w:left="100"/>
              <w:spacing w:after="0" w:line="142" w:lineRule="exact"/>
              <w:rPr>
                <w:sz w:val="20"/>
                <w:szCs w:val="20"/>
                <w:color w:val="auto"/>
              </w:rPr>
            </w:pPr>
            <w:r>
              <w:rPr>
                <w:rFonts w:ascii="Georgia" w:cs="Georgia" w:eastAsia="Georgia" w:hAnsi="Georgia"/>
                <w:sz w:val="14"/>
                <w:szCs w:val="14"/>
                <w:color w:val="auto"/>
              </w:rPr>
              <w:t>Wells Fargo Advisors (“WFA”), may receive a selling</w:t>
            </w:r>
          </w:p>
        </w:tc>
        <w:tc>
          <w:tcPr>
            <w:tcW w:w="0" w:type="dxa"/>
            <w:vAlign w:val="bottom"/>
          </w:tcPr>
          <w:p>
            <w:pPr>
              <w:spacing w:after="0"/>
              <w:rPr>
                <w:sz w:val="1"/>
                <w:szCs w:val="1"/>
                <w:color w:val="auto"/>
              </w:rPr>
            </w:pP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900" w:type="dxa"/>
            <w:vAlign w:val="bottom"/>
            <w:tcBorders>
              <w:left w:val="single" w:sz="8" w:color="auto"/>
              <w:right w:val="single" w:sz="8" w:color="auto"/>
            </w:tcBorders>
          </w:tcPr>
          <w:p>
            <w:pPr>
              <w:spacing w:after="0"/>
              <w:rPr>
                <w:sz w:val="13"/>
                <w:szCs w:val="13"/>
                <w:color w:val="auto"/>
              </w:rPr>
            </w:pPr>
          </w:p>
        </w:tc>
        <w:tc>
          <w:tcPr>
            <w:tcW w:w="36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concession of 3.00%, and WFA may also receive a</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distribution expense fee of 0.12%. In addition, with</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respect of certain securities sold in this offering,</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JPMS may pay a fee of up to 0.30% to selected</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dealers in consideration for marketing and other</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360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services in connection with the distribution of the</w:t>
            </w:r>
          </w:p>
        </w:tc>
        <w:tc>
          <w:tcPr>
            <w:tcW w:w="0" w:type="dxa"/>
            <w:vAlign w:val="bottom"/>
          </w:tcPr>
          <w:p>
            <w:pPr>
              <w:spacing w:after="0"/>
              <w:rPr>
                <w:sz w:val="1"/>
                <w:szCs w:val="1"/>
                <w:color w:val="auto"/>
              </w:rPr>
            </w:pPr>
          </w:p>
        </w:tc>
      </w:tr>
      <w:tr>
        <w:trPr>
          <w:trHeight w:val="159"/>
        </w:trPr>
        <w:tc>
          <w:tcPr>
            <w:tcW w:w="190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securities to other dealers.</w:t>
            </w: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Tax Considerations:</w:t>
            </w:r>
          </w:p>
        </w:tc>
        <w:tc>
          <w:tcPr>
            <w:tcW w:w="3600" w:type="dxa"/>
            <w:vAlign w:val="bottom"/>
            <w:tcBorders>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See the preliminary pricing supplement.</w:t>
            </w:r>
          </w:p>
        </w:tc>
        <w:tc>
          <w:tcPr>
            <w:tcW w:w="0" w:type="dxa"/>
            <w:vAlign w:val="bottom"/>
          </w:tcPr>
          <w:p>
            <w:pPr>
              <w:spacing w:after="0"/>
              <w:rPr>
                <w:sz w:val="1"/>
                <w:szCs w:val="1"/>
                <w:color w:val="auto"/>
              </w:rPr>
            </w:pPr>
          </w:p>
        </w:tc>
      </w:tr>
      <w:tr>
        <w:trPr>
          <w:trHeight w:val="201"/>
        </w:trPr>
        <w:tc>
          <w:tcPr>
            <w:tcW w:w="1900" w:type="dxa"/>
            <w:vAlign w:val="bottom"/>
            <w:tcBorders>
              <w:left w:val="single" w:sz="8" w:color="auto"/>
            </w:tcBorders>
          </w:tcPr>
          <w:p>
            <w:pPr>
              <w:ind w:left="120"/>
              <w:spacing w:after="0" w:line="200" w:lineRule="exact"/>
              <w:rPr>
                <w:sz w:val="20"/>
                <w:szCs w:val="20"/>
                <w:color w:val="auto"/>
              </w:rPr>
            </w:pPr>
            <w:r>
              <w:rPr>
                <w:rFonts w:ascii="Georgia" w:cs="Georgia" w:eastAsia="Georgia" w:hAnsi="Georgia"/>
                <w:sz w:val="22"/>
                <w:szCs w:val="22"/>
                <w:color w:val="auto"/>
                <w:vertAlign w:val="superscript"/>
              </w:rPr>
              <w:t>1</w:t>
            </w:r>
            <w:r>
              <w:rPr>
                <w:rFonts w:ascii="Georgia" w:cs="Georgia" w:eastAsia="Georgia" w:hAnsi="Georgia"/>
                <w:sz w:val="13"/>
                <w:szCs w:val="13"/>
                <w:color w:val="auto"/>
              </w:rPr>
              <w:t xml:space="preserve"> Subject to change</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00" w:type="dxa"/>
            <w:vAlign w:val="bottom"/>
            <w:tcBorders>
              <w:left w:val="single" w:sz="8" w:color="auto"/>
              <w:bottom w:val="single" w:sz="8" w:color="auto"/>
            </w:tcBorders>
          </w:tcPr>
          <w:p>
            <w:pPr>
              <w:ind w:left="12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80"/>
        <w:spacing w:after="0"/>
        <w:rPr>
          <w:sz w:val="20"/>
          <w:szCs w:val="20"/>
          <w:color w:val="auto"/>
        </w:rPr>
      </w:pPr>
      <w:r>
        <w:rPr>
          <w:rFonts w:ascii="Verdana" w:cs="Verdana" w:eastAsia="Verdana" w:hAnsi="Verdana"/>
          <w:sz w:val="20"/>
          <w:szCs w:val="20"/>
          <w:color w:val="8F8F8F"/>
        </w:rPr>
        <w:t>Hypothetical Payout Profile*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2991485" cy="189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91485" cy="1894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Georgia" w:cs="Georgia" w:eastAsia="Georgia" w:hAnsi="Georgia"/>
          <w:sz w:val="14"/>
          <w:szCs w:val="14"/>
          <w:color w:val="auto"/>
        </w:rPr>
        <w:t>*Assumes a maximum return equal to the lowest maximum return</w:t>
      </w:r>
    </w:p>
    <w:p>
      <w:pPr>
        <w:spacing w:after="0" w:line="273" w:lineRule="exact"/>
        <w:rPr>
          <w:sz w:val="24"/>
          <w:szCs w:val="24"/>
          <w:color w:val="auto"/>
        </w:rPr>
      </w:pPr>
    </w:p>
    <w:p>
      <w:pPr>
        <w:ind w:right="480"/>
        <w:spacing w:after="0" w:line="245" w:lineRule="auto"/>
        <w:rPr>
          <w:sz w:val="20"/>
          <w:szCs w:val="20"/>
          <w:color w:val="auto"/>
        </w:rPr>
      </w:pPr>
      <w:r>
        <w:rPr>
          <w:rFonts w:ascii="Georgia" w:cs="Georgia" w:eastAsia="Georgia" w:hAnsi="Georgia"/>
          <w:sz w:val="14"/>
          <w:szCs w:val="14"/>
          <w:b w:val="1"/>
          <w:bCs w:val="1"/>
          <w:color w:val="auto"/>
        </w:rPr>
        <w:t>If the ending level is less than the threshold level, you will have full downside exposure to the decrease in the level of the Index from the starting level and will lose more than 25%, and possibly all, of the principal amount of your securities at maturity.</w:t>
      </w:r>
    </w:p>
    <w:p>
      <w:pPr>
        <w:spacing w:after="0" w:line="52" w:lineRule="exact"/>
        <w:rPr>
          <w:sz w:val="24"/>
          <w:szCs w:val="24"/>
          <w:color w:val="auto"/>
        </w:rPr>
      </w:pPr>
    </w:p>
    <w:p>
      <w:pPr>
        <w:ind w:right="240"/>
        <w:spacing w:after="0" w:line="245" w:lineRule="auto"/>
        <w:rPr>
          <w:sz w:val="20"/>
          <w:szCs w:val="20"/>
          <w:color w:val="auto"/>
        </w:rPr>
      </w:pPr>
      <w:r>
        <w:rPr>
          <w:rFonts w:ascii="Georgia" w:cs="Georgia" w:eastAsia="Georgia" w:hAnsi="Georgia"/>
          <w:sz w:val="14"/>
          <w:szCs w:val="14"/>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4"/>
          <w:szCs w:val="14"/>
          <w:b w:val="1"/>
          <w:bCs w:val="1"/>
          <w:color w:val="auto"/>
        </w:rPr>
        <w:t>Any</w:t>
      </w:r>
      <w:r>
        <w:rPr>
          <w:rFonts w:ascii="Georgia" w:cs="Georgia" w:eastAsia="Georgia" w:hAnsi="Georgia"/>
          <w:sz w:val="14"/>
          <w:szCs w:val="14"/>
          <w:color w:val="auto"/>
        </w:rPr>
        <w:t xml:space="preserve"> </w:t>
      </w:r>
      <w:r>
        <w:rPr>
          <w:rFonts w:ascii="Georgia" w:cs="Georgia" w:eastAsia="Georgia" w:hAnsi="Georgia"/>
          <w:sz w:val="14"/>
          <w:szCs w:val="14"/>
          <w:b w:val="1"/>
          <w:bCs w:val="1"/>
          <w:color w:val="auto"/>
        </w:rPr>
        <w:t>payment on the securities is subject to the credit risk of JPMorgan Financial, as issuer of the securities, and the credit risk of JPMorgan Chase &amp; Co., as guarantor of the securities.</w:t>
      </w:r>
    </w:p>
    <w:p>
      <w:pPr>
        <w:spacing w:after="0" w:line="268" w:lineRule="exact"/>
        <w:rPr>
          <w:sz w:val="24"/>
          <w:szCs w:val="24"/>
          <w:color w:val="auto"/>
        </w:rPr>
      </w:pPr>
    </w:p>
    <w:p>
      <w:pPr>
        <w:ind w:right="40"/>
        <w:spacing w:after="0" w:line="245" w:lineRule="auto"/>
        <w:rPr>
          <w:sz w:val="20"/>
          <w:szCs w:val="20"/>
          <w:color w:val="auto"/>
        </w:rPr>
      </w:pPr>
      <w:r>
        <w:rPr>
          <w:rFonts w:ascii="Georgia" w:cs="Georgia" w:eastAsia="Georgia" w:hAnsi="Georgia"/>
          <w:sz w:val="14"/>
          <w:szCs w:val="14"/>
          <w:color w:val="auto"/>
        </w:rPr>
        <w:t>If the securities priced on the date of the accompanying preliminary pricing supplement, the estimated value of the securities would be approximately $941.20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spacing w:after="0" w:line="268" w:lineRule="exact"/>
        <w:rPr>
          <w:sz w:val="24"/>
          <w:szCs w:val="24"/>
          <w:color w:val="auto"/>
        </w:rPr>
      </w:pPr>
    </w:p>
    <w:p>
      <w:pPr>
        <w:ind w:right="660"/>
        <w:spacing w:after="0" w:line="248" w:lineRule="auto"/>
        <w:rPr>
          <w:rFonts w:ascii="Georgia" w:cs="Georgia" w:eastAsia="Georgia" w:hAnsi="Georgia"/>
          <w:sz w:val="14"/>
          <w:szCs w:val="14"/>
          <w:u w:val="single" w:color="auto"/>
          <w:color w:val="0000EE"/>
        </w:rPr>
      </w:pPr>
      <w:hyperlink r:id="rId11">
        <w:r>
          <w:rPr>
            <w:rFonts w:ascii="Georgia" w:cs="Georgia" w:eastAsia="Georgia" w:hAnsi="Georgia"/>
            <w:sz w:val="14"/>
            <w:szCs w:val="14"/>
            <w:color w:val="auto"/>
          </w:rPr>
          <w:t xml:space="preserve">Preliminary Pricing Supplement: </w:t>
        </w:r>
        <w:r>
          <w:rPr>
            <w:rFonts w:ascii="Georgia" w:cs="Georgia" w:eastAsia="Georgia" w:hAnsi="Georgia"/>
            <w:sz w:val="14"/>
            <w:szCs w:val="14"/>
            <w:u w:val="single" w:color="auto"/>
            <w:color w:val="0000EE"/>
          </w:rPr>
          <w:t>http://www.sec.gov/Archives/edgar/data/</w:t>
        </w:r>
      </w:hyperlink>
      <w:r>
        <w:rPr>
          <w:rFonts w:ascii="Georgia" w:cs="Georgia" w:eastAsia="Georgia" w:hAnsi="Georgia"/>
          <w:sz w:val="14"/>
          <w:szCs w:val="14"/>
          <w:color w:val="auto"/>
        </w:rPr>
        <w:t xml:space="preserve"> </w:t>
      </w:r>
      <w:hyperlink r:id="rId11">
        <w:r>
          <w:rPr>
            <w:rFonts w:ascii="Georgia" w:cs="Georgia" w:eastAsia="Georgia" w:hAnsi="Georgia"/>
            <w:sz w:val="14"/>
            <w:szCs w:val="14"/>
            <w:u w:val="single" w:color="auto"/>
            <w:color w:val="0000EE"/>
          </w:rPr>
          <w:t>19617/000121390026116310/ea0311119-01_424b2.htm</w:t>
        </w:r>
      </w:hyperlink>
    </w:p>
    <w:p>
      <w:pPr>
        <w:spacing w:after="0" w:line="1015" w:lineRule="exact"/>
        <w:rPr>
          <w:sz w:val="20"/>
          <w:szCs w:val="20"/>
          <w:color w:val="auto"/>
        </w:rPr>
      </w:pPr>
    </w:p>
    <w:p>
      <w:pPr>
        <w:sectPr>
          <w:pgSz w:w="11900" w:h="16838" w:orient="portrait"/>
          <w:cols w:equalWidth="0" w:num="2">
            <w:col w:w="5500" w:space="240"/>
            <w:col w:w="5500"/>
          </w:cols>
          <w:pgMar w:left="320" w:top="242" w:right="33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ind w:right="2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spacing w:after="0" w:line="51" w:lineRule="exact"/>
        <w:rPr>
          <w:sz w:val="20"/>
          <w:szCs w:val="20"/>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0"/>
          <w:szCs w:val="20"/>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product supplement and underlying supplement.</w:t>
      </w:r>
    </w:p>
    <w:p>
      <w:pPr>
        <w:sectPr>
          <w:pgSz w:w="11900" w:h="16838" w:orient="portrait"/>
          <w:cols w:equalWidth="0" w:num="1">
            <w:col w:w="11240"/>
          </w:cols>
          <w:pgMar w:left="320" w:top="242"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200"/>
        <w:spacing w:after="0" w:line="250"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p>
      <w:pPr>
        <w:sectPr>
          <w:pgSz w:w="11900" w:h="16838" w:orient="portrait"/>
          <w:cols w:equalWidth="0" w:num="1">
            <w:col w:w="11220"/>
          </w:cols>
          <w:pgMar w:left="320" w:top="705" w:right="359" w:bottom="1440" w:gutter="0" w:footer="0" w:header="0"/>
        </w:sectPr>
      </w:pPr>
    </w:p>
    <w:p>
      <w:pPr>
        <w:spacing w:after="0" w:line="121" w:lineRule="exact"/>
        <w:rPr>
          <w:sz w:val="20"/>
          <w:szCs w:val="20"/>
          <w:color w:val="auto"/>
        </w:rPr>
      </w:pPr>
    </w:p>
    <w:p>
      <w:pPr>
        <w:ind w:left="440" w:right="140" w:hanging="335"/>
        <w:spacing w:after="0" w:line="247"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If the Ending Level Is Less Than the Threshold Level, You Will Lose More Than 25%, and Possibly All, of the Principal Amount of Your Securities at Maturity.</w:t>
      </w:r>
    </w:p>
    <w:p>
      <w:pPr>
        <w:spacing w:after="0" w:line="42" w:lineRule="exact"/>
        <w:rPr>
          <w:rFonts w:ascii="Arial" w:cs="Arial" w:eastAsia="Arial" w:hAnsi="Arial"/>
          <w:sz w:val="16"/>
          <w:szCs w:val="16"/>
          <w:b w:val="1"/>
          <w:bCs w:val="1"/>
          <w:color w:val="auto"/>
        </w:rPr>
      </w:pPr>
    </w:p>
    <w:p>
      <w:pPr>
        <w:ind w:left="440" w:hanging="335"/>
        <w:spacing w:after="0" w:line="247"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Your Return Will Be Limited to the Maximum Return and May Be Lower Than the Return on a Direct Investment in the Securities Composing the Index.</w:t>
      </w:r>
    </w:p>
    <w:p>
      <w:pPr>
        <w:spacing w:after="0" w:line="15" w:lineRule="exact"/>
        <w:rPr>
          <w:rFonts w:ascii="Arial" w:cs="Arial" w:eastAsia="Arial" w:hAnsi="Arial"/>
          <w:sz w:val="16"/>
          <w:szCs w:val="16"/>
          <w:b w:val="1"/>
          <w:bCs w:val="1"/>
          <w:color w:val="auto"/>
        </w:rPr>
      </w:pPr>
    </w:p>
    <w:p>
      <w:pPr>
        <w:ind w:left="440" w:right="180" w:hanging="335"/>
        <w:spacing w:after="0" w:line="246"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55" w:lineRule="exact"/>
        <w:rPr>
          <w:rFonts w:ascii="Arial" w:cs="Arial" w:eastAsia="Arial" w:hAnsi="Arial"/>
          <w:sz w:val="16"/>
          <w:szCs w:val="16"/>
          <w:b w:val="1"/>
          <w:bCs w:val="1"/>
          <w:color w:val="auto"/>
        </w:rPr>
      </w:pPr>
    </w:p>
    <w:p>
      <w:pPr>
        <w:ind w:left="440" w:right="640" w:hanging="335"/>
        <w:spacing w:after="0" w:line="246"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As a Finance Subsidiary, JPMorgan Financial Has No Independent Activities and Has Limited Assets.</w:t>
      </w:r>
    </w:p>
    <w:p>
      <w:pPr>
        <w:spacing w:after="0" w:line="55" w:lineRule="exact"/>
        <w:rPr>
          <w:rFonts w:ascii="Arial" w:cs="Arial" w:eastAsia="Arial" w:hAnsi="Arial"/>
          <w:sz w:val="16"/>
          <w:szCs w:val="16"/>
          <w:b w:val="1"/>
          <w:bCs w:val="1"/>
          <w:color w:val="auto"/>
        </w:rPr>
      </w:pPr>
    </w:p>
    <w:p>
      <w:pPr>
        <w:ind w:left="440" w:right="60" w:hanging="335"/>
        <w:spacing w:after="0" w:line="246"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Benefit Provided by the Threshold Level May Terminate on the Calculation Day.</w:t>
      </w:r>
    </w:p>
    <w:p>
      <w:pPr>
        <w:spacing w:after="0" w:line="39" w:lineRule="exact"/>
        <w:rPr>
          <w:rFonts w:ascii="Arial" w:cs="Arial" w:eastAsia="Arial" w:hAnsi="Arial"/>
          <w:sz w:val="16"/>
          <w:szCs w:val="16"/>
          <w:b w:val="1"/>
          <w:bCs w:val="1"/>
          <w:color w:val="auto"/>
        </w:rPr>
      </w:pPr>
    </w:p>
    <w:p>
      <w:pPr>
        <w:ind w:left="440" w:hanging="335"/>
        <w:spacing w:after="0"/>
        <w:tabs>
          <w:tab w:leader="none" w:pos="44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No Interest or Dividend Payments or Voting Rights</w:t>
      </w:r>
    </w:p>
    <w:p>
      <w:pPr>
        <w:spacing w:after="0" w:line="57" w:lineRule="exact"/>
        <w:rPr>
          <w:rFonts w:ascii="Arial" w:cs="Arial" w:eastAsia="Arial" w:hAnsi="Arial"/>
          <w:sz w:val="16"/>
          <w:szCs w:val="16"/>
          <w:b w:val="1"/>
          <w:bCs w:val="1"/>
          <w:color w:val="auto"/>
        </w:rPr>
      </w:pPr>
    </w:p>
    <w:p>
      <w:pPr>
        <w:ind w:left="440" w:hanging="335"/>
        <w:spacing w:after="0"/>
        <w:tabs>
          <w:tab w:leader="none" w:pos="44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Lack of Liquidity</w:t>
      </w:r>
    </w:p>
    <w:p>
      <w:pPr>
        <w:spacing w:after="0" w:line="60" w:lineRule="exact"/>
        <w:rPr>
          <w:rFonts w:ascii="Arial" w:cs="Arial" w:eastAsia="Arial" w:hAnsi="Arial"/>
          <w:sz w:val="16"/>
          <w:szCs w:val="16"/>
          <w:b w:val="1"/>
          <w:bCs w:val="1"/>
          <w:color w:val="auto"/>
        </w:rPr>
      </w:pPr>
    </w:p>
    <w:p>
      <w:pPr>
        <w:ind w:left="440" w:right="200" w:hanging="335"/>
        <w:spacing w:after="0" w:line="246"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42" w:lineRule="exact"/>
        <w:rPr>
          <w:rFonts w:ascii="Arial" w:cs="Arial" w:eastAsia="Arial" w:hAnsi="Arial"/>
          <w:sz w:val="16"/>
          <w:szCs w:val="16"/>
          <w:b w:val="1"/>
          <w:bCs w:val="1"/>
          <w:color w:val="auto"/>
        </w:rPr>
      </w:pPr>
    </w:p>
    <w:p>
      <w:pPr>
        <w:ind w:left="440" w:right="20" w:hanging="335"/>
        <w:spacing w:after="0" w:line="246"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53" w:lineRule="exact"/>
        <w:rPr>
          <w:rFonts w:ascii="Arial" w:cs="Arial" w:eastAsia="Arial" w:hAnsi="Arial"/>
          <w:sz w:val="16"/>
          <w:szCs w:val="16"/>
          <w:b w:val="1"/>
          <w:bCs w:val="1"/>
          <w:color w:val="auto"/>
        </w:rPr>
      </w:pPr>
    </w:p>
    <w:p>
      <w:pPr>
        <w:ind w:left="440" w:hanging="335"/>
        <w:spacing w:after="0"/>
        <w:tabs>
          <w:tab w:leader="none" w:pos="440"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Potential Conflicts</w:t>
      </w:r>
    </w:p>
    <w:p>
      <w:pPr>
        <w:spacing w:after="0" w:line="60" w:lineRule="exact"/>
        <w:rPr>
          <w:rFonts w:ascii="Arial" w:cs="Arial" w:eastAsia="Arial" w:hAnsi="Arial"/>
          <w:sz w:val="16"/>
          <w:szCs w:val="16"/>
          <w:b w:val="1"/>
          <w:bCs w:val="1"/>
          <w:color w:val="auto"/>
        </w:rPr>
      </w:pPr>
    </w:p>
    <w:p>
      <w:pPr>
        <w:jc w:val="both"/>
        <w:ind w:left="440" w:right="240" w:hanging="335"/>
        <w:spacing w:after="0" w:line="246"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42" w:lineRule="exact"/>
        <w:rPr>
          <w:rFonts w:ascii="Arial" w:cs="Arial" w:eastAsia="Arial" w:hAnsi="Arial"/>
          <w:sz w:val="16"/>
          <w:szCs w:val="16"/>
          <w:b w:val="1"/>
          <w:bCs w:val="1"/>
          <w:color w:val="auto"/>
        </w:rPr>
      </w:pPr>
    </w:p>
    <w:p>
      <w:pPr>
        <w:ind w:left="440" w:right="100" w:hanging="335"/>
        <w:spacing w:after="0" w:line="247"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56" w:lineRule="exact"/>
        <w:rPr>
          <w:rFonts w:ascii="Arial" w:cs="Arial" w:eastAsia="Arial" w:hAnsi="Arial"/>
          <w:sz w:val="16"/>
          <w:szCs w:val="16"/>
          <w:b w:val="1"/>
          <w:bCs w:val="1"/>
          <w:color w:val="auto"/>
        </w:rPr>
      </w:pPr>
    </w:p>
    <w:p>
      <w:pPr>
        <w:ind w:left="440" w:right="800" w:hanging="335"/>
        <w:spacing w:after="0" w:line="246"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42" w:lineRule="exact"/>
        <w:rPr>
          <w:rFonts w:ascii="Arial" w:cs="Arial" w:eastAsia="Arial" w:hAnsi="Arial"/>
          <w:sz w:val="16"/>
          <w:szCs w:val="16"/>
          <w:b w:val="1"/>
          <w:bCs w:val="1"/>
          <w:color w:val="auto"/>
        </w:rPr>
      </w:pPr>
    </w:p>
    <w:p>
      <w:pPr>
        <w:ind w:left="440" w:right="140" w:hanging="335"/>
        <w:spacing w:after="0" w:line="248" w:lineRule="auto"/>
        <w:tabs>
          <w:tab w:leader="none" w:pos="448" w:val="left"/>
        </w:tabs>
        <w:numPr>
          <w:ilvl w:val="0"/>
          <w:numId w:val="1"/>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339" w:right="480" w:hanging="339"/>
        <w:spacing w:after="0" w:line="246" w:lineRule="auto"/>
        <w:tabs>
          <w:tab w:leader="none" w:pos="347"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42" w:lineRule="exact"/>
        <w:rPr>
          <w:rFonts w:ascii="Arial" w:cs="Arial" w:eastAsia="Arial" w:hAnsi="Arial"/>
          <w:sz w:val="16"/>
          <w:szCs w:val="16"/>
          <w:b w:val="1"/>
          <w:bCs w:val="1"/>
          <w:color w:val="auto"/>
        </w:rPr>
      </w:pPr>
    </w:p>
    <w:p>
      <w:pPr>
        <w:ind w:left="339" w:right="80" w:hanging="339"/>
        <w:spacing w:after="0" w:line="246" w:lineRule="auto"/>
        <w:tabs>
          <w:tab w:leader="none" w:pos="347"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Many Economic and Market Factors Will Impact the Value of the Securities.</w:t>
      </w:r>
    </w:p>
    <w:p>
      <w:pPr>
        <w:spacing w:after="0" w:line="55" w:lineRule="exact"/>
        <w:rPr>
          <w:rFonts w:ascii="Arial" w:cs="Arial" w:eastAsia="Arial" w:hAnsi="Arial"/>
          <w:sz w:val="16"/>
          <w:szCs w:val="16"/>
          <w:b w:val="1"/>
          <w:bCs w:val="1"/>
          <w:color w:val="auto"/>
        </w:rPr>
      </w:pPr>
    </w:p>
    <w:p>
      <w:pPr>
        <w:ind w:left="339" w:right="980" w:hanging="339"/>
        <w:spacing w:after="0" w:line="246" w:lineRule="auto"/>
        <w:tabs>
          <w:tab w:leader="none" w:pos="347"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An Investment in the Securities Is Subject to Risks Associated with Small Capitalization Stocks.</w:t>
      </w:r>
    </w:p>
    <w:p>
      <w:pPr>
        <w:spacing w:after="0" w:line="55" w:lineRule="exact"/>
        <w:rPr>
          <w:rFonts w:ascii="Arial" w:cs="Arial" w:eastAsia="Arial" w:hAnsi="Arial"/>
          <w:sz w:val="16"/>
          <w:szCs w:val="16"/>
          <w:b w:val="1"/>
          <w:bCs w:val="1"/>
          <w:color w:val="auto"/>
        </w:rPr>
      </w:pPr>
    </w:p>
    <w:p>
      <w:pPr>
        <w:ind w:left="339" w:right="280" w:hanging="339"/>
        <w:spacing w:after="0" w:line="248" w:lineRule="auto"/>
        <w:tabs>
          <w:tab w:leader="none" w:pos="347" w:val="left"/>
        </w:tabs>
        <w:numPr>
          <w:ilvl w:val="0"/>
          <w:numId w:val="2"/>
        </w:numPr>
        <w:rPr>
          <w:rFonts w:ascii="Arial" w:cs="Arial" w:eastAsia="Arial" w:hAnsi="Arial"/>
          <w:sz w:val="16"/>
          <w:szCs w:val="16"/>
          <w:b w:val="1"/>
          <w:bCs w:val="1"/>
          <w:color w:val="auto"/>
        </w:rPr>
      </w:pPr>
      <w:r>
        <w:rPr>
          <w:rFonts w:ascii="Georgia" w:cs="Georgia" w:eastAsia="Georgia" w:hAnsi="Georgia"/>
          <w:sz w:val="16"/>
          <w:szCs w:val="16"/>
          <w:b w:val="1"/>
          <w:bCs w:val="1"/>
          <w:color w:val="auto"/>
        </w:rPr>
        <w:t>The Maturity Payment Amount Will Depend upon the Performance of the Index and Therefore the Securities Are Subject to the Risks Associated with the Index, Each as Discussed in the Accompanying Preliminary Pricing Supplement and Product Supplement.</w:t>
      </w:r>
    </w:p>
    <w:p>
      <w:pPr>
        <w:spacing w:after="0" w:line="4237" w:lineRule="exact"/>
        <w:rPr>
          <w:sz w:val="20"/>
          <w:szCs w:val="20"/>
          <w:color w:val="auto"/>
        </w:rPr>
      </w:pPr>
    </w:p>
    <w:p>
      <w:pPr>
        <w:sectPr>
          <w:pgSz w:w="11900" w:h="16838" w:orient="portrait"/>
          <w:cols w:equalWidth="0" w:num="2">
            <w:col w:w="5500" w:space="221"/>
            <w:col w:w="5499"/>
          </w:cols>
          <w:pgMar w:left="320" w:top="70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have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Chase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70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s://www.sec.gov/Archives/edgar/data/19617/000121390026116310/ea0311119-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2026-11-06T05:12:07Z</dcterms:created>
  <dcterms:modified xsi:type="dcterms:W3CDTF">2026-11-06T05:12:07Z</dcterms:modified>
</cp:coreProperties>
</file>