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JPMORGAN CHASE &amp; CO.</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001-05805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13-2624428</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270 Park Avenue, New York, New York</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10017</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31, 2016, JPMorgan Chase &amp; Co. issued a press release announcing that it has commenced a cash tender offer (the “Offer”) for any and all of the trust preferred securities listed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20"/>
                <w:szCs w:val="20"/>
                <w:color w:val="auto"/>
              </w:rPr>
            </w:pPr>
            <w:r>
              <w:rPr>
                <w:rFonts w:ascii="Arial" w:cs="Arial" w:eastAsia="Arial" w:hAnsi="Arial"/>
                <w:sz w:val="14"/>
                <w:szCs w:val="14"/>
                <w:b w:val="1"/>
                <w:bCs w:val="1"/>
                <w:color w:val="auto"/>
              </w:rPr>
              <w:t>CUSIP Number</w:t>
            </w:r>
          </w:p>
        </w:tc>
        <w:tc>
          <w:tcPr>
            <w:tcW w:w="4140" w:type="dxa"/>
            <w:vAlign w:val="bottom"/>
          </w:tcPr>
          <w:p>
            <w:pPr>
              <w:ind w:left="660"/>
              <w:spacing w:after="0"/>
              <w:rPr>
                <w:sz w:val="20"/>
                <w:szCs w:val="20"/>
                <w:color w:val="auto"/>
              </w:rPr>
            </w:pPr>
            <w:r>
              <w:rPr>
                <w:rFonts w:ascii="Arial" w:cs="Arial" w:eastAsia="Arial" w:hAnsi="Arial"/>
                <w:sz w:val="14"/>
                <w:szCs w:val="14"/>
                <w:b w:val="1"/>
                <w:bCs w:val="1"/>
                <w:color w:val="auto"/>
              </w:rPr>
              <w:t>Issuer</w:t>
            </w:r>
          </w:p>
        </w:tc>
        <w:tc>
          <w:tcPr>
            <w:tcW w:w="4720" w:type="dxa"/>
            <w:vAlign w:val="bottom"/>
          </w:tcPr>
          <w:p>
            <w:pPr>
              <w:ind w:left="1200"/>
              <w:spacing w:after="0"/>
              <w:rPr>
                <w:sz w:val="20"/>
                <w:szCs w:val="20"/>
                <w:color w:val="auto"/>
              </w:rPr>
            </w:pPr>
            <w:r>
              <w:rPr>
                <w:rFonts w:ascii="Arial" w:cs="Arial" w:eastAsia="Arial" w:hAnsi="Arial"/>
                <w:sz w:val="14"/>
                <w:szCs w:val="14"/>
                <w:b w:val="1"/>
                <w:bCs w:val="1"/>
                <w:color w:val="auto"/>
              </w:rPr>
              <w:t>Title of Security</w:t>
            </w:r>
          </w:p>
        </w:tc>
      </w:tr>
      <w:tr>
        <w:trPr>
          <w:trHeight w:val="309"/>
        </w:trPr>
        <w:tc>
          <w:tcPr>
            <w:tcW w:w="1640" w:type="dxa"/>
            <w:vAlign w:val="bottom"/>
          </w:tcPr>
          <w:p>
            <w:pPr>
              <w:spacing w:after="0"/>
              <w:rPr>
                <w:sz w:val="20"/>
                <w:szCs w:val="20"/>
                <w:color w:val="auto"/>
              </w:rPr>
            </w:pPr>
            <w:r>
              <w:rPr>
                <w:rFonts w:ascii="Arial" w:cs="Arial" w:eastAsia="Arial" w:hAnsi="Arial"/>
                <w:sz w:val="18"/>
                <w:szCs w:val="18"/>
                <w:color w:val="auto"/>
              </w:rPr>
              <w:t>161480AA6</w:t>
            </w:r>
          </w:p>
        </w:tc>
        <w:tc>
          <w:tcPr>
            <w:tcW w:w="4140" w:type="dxa"/>
            <w:vAlign w:val="bottom"/>
          </w:tcPr>
          <w:p>
            <w:pPr>
              <w:ind w:left="660"/>
              <w:spacing w:after="0"/>
              <w:rPr>
                <w:sz w:val="20"/>
                <w:szCs w:val="20"/>
                <w:color w:val="auto"/>
              </w:rPr>
            </w:pPr>
            <w:r>
              <w:rPr>
                <w:rFonts w:ascii="Arial" w:cs="Arial" w:eastAsia="Arial" w:hAnsi="Arial"/>
                <w:sz w:val="18"/>
                <w:szCs w:val="18"/>
                <w:color w:val="auto"/>
              </w:rPr>
              <w:t>Chase Capital II</w:t>
            </w:r>
          </w:p>
        </w:tc>
        <w:tc>
          <w:tcPr>
            <w:tcW w:w="4720" w:type="dxa"/>
            <w:vAlign w:val="bottom"/>
          </w:tcPr>
          <w:p>
            <w:pPr>
              <w:ind w:left="1200"/>
              <w:spacing w:after="0"/>
              <w:rPr>
                <w:sz w:val="20"/>
                <w:szCs w:val="20"/>
                <w:color w:val="auto"/>
              </w:rPr>
            </w:pPr>
            <w:r>
              <w:rPr>
                <w:rFonts w:ascii="Arial" w:cs="Arial" w:eastAsia="Arial" w:hAnsi="Arial"/>
                <w:sz w:val="18"/>
                <w:szCs w:val="18"/>
                <w:color w:val="auto"/>
                <w:w w:val="90"/>
              </w:rPr>
              <w:t>Global Floating Rate Capital Securities, Series B</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31945HAA3</w:t>
            </w:r>
          </w:p>
        </w:tc>
        <w:tc>
          <w:tcPr>
            <w:tcW w:w="4140" w:type="dxa"/>
            <w:vAlign w:val="bottom"/>
          </w:tcPr>
          <w:p>
            <w:pPr>
              <w:ind w:left="660"/>
              <w:spacing w:after="0"/>
              <w:rPr>
                <w:sz w:val="20"/>
                <w:szCs w:val="20"/>
                <w:color w:val="auto"/>
              </w:rPr>
            </w:pPr>
            <w:r>
              <w:rPr>
                <w:rFonts w:ascii="Arial" w:cs="Arial" w:eastAsia="Arial" w:hAnsi="Arial"/>
                <w:sz w:val="18"/>
                <w:szCs w:val="18"/>
                <w:color w:val="auto"/>
              </w:rPr>
              <w:t>First Chicago NBD Capital I</w:t>
            </w:r>
          </w:p>
        </w:tc>
        <w:tc>
          <w:tcPr>
            <w:tcW w:w="4720" w:type="dxa"/>
            <w:vAlign w:val="bottom"/>
          </w:tcPr>
          <w:p>
            <w:pPr>
              <w:ind w:left="1200"/>
              <w:spacing w:after="0"/>
              <w:rPr>
                <w:sz w:val="20"/>
                <w:szCs w:val="20"/>
                <w:color w:val="auto"/>
              </w:rPr>
            </w:pPr>
            <w:r>
              <w:rPr>
                <w:rFonts w:ascii="Arial" w:cs="Arial" w:eastAsia="Arial" w:hAnsi="Arial"/>
                <w:sz w:val="18"/>
                <w:szCs w:val="18"/>
                <w:color w:val="auto"/>
              </w:rPr>
              <w:t>Floating Rate Preferred Securities</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161478AA0</w:t>
            </w:r>
          </w:p>
        </w:tc>
        <w:tc>
          <w:tcPr>
            <w:tcW w:w="4140" w:type="dxa"/>
            <w:vAlign w:val="bottom"/>
          </w:tcPr>
          <w:p>
            <w:pPr>
              <w:ind w:left="660"/>
              <w:spacing w:after="0"/>
              <w:rPr>
                <w:sz w:val="20"/>
                <w:szCs w:val="20"/>
                <w:color w:val="auto"/>
              </w:rPr>
            </w:pPr>
            <w:r>
              <w:rPr>
                <w:rFonts w:ascii="Arial" w:cs="Arial" w:eastAsia="Arial" w:hAnsi="Arial"/>
                <w:sz w:val="18"/>
                <w:szCs w:val="18"/>
                <w:color w:val="auto"/>
              </w:rPr>
              <w:t>Chase Capital III</w:t>
            </w:r>
          </w:p>
        </w:tc>
        <w:tc>
          <w:tcPr>
            <w:tcW w:w="4720" w:type="dxa"/>
            <w:vAlign w:val="bottom"/>
          </w:tcPr>
          <w:p>
            <w:pPr>
              <w:ind w:left="1200"/>
              <w:spacing w:after="0"/>
              <w:rPr>
                <w:sz w:val="20"/>
                <w:szCs w:val="20"/>
                <w:color w:val="auto"/>
              </w:rPr>
            </w:pPr>
            <w:r>
              <w:rPr>
                <w:rFonts w:ascii="Arial" w:cs="Arial" w:eastAsia="Arial" w:hAnsi="Arial"/>
                <w:sz w:val="18"/>
                <w:szCs w:val="18"/>
                <w:color w:val="auto"/>
              </w:rPr>
              <w:t>Floating Rate Capital Securities, Series C</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16162LAA1</w:t>
            </w:r>
          </w:p>
        </w:tc>
        <w:tc>
          <w:tcPr>
            <w:tcW w:w="4140" w:type="dxa"/>
            <w:vAlign w:val="bottom"/>
          </w:tcPr>
          <w:p>
            <w:pPr>
              <w:ind w:left="660"/>
              <w:spacing w:after="0"/>
              <w:rPr>
                <w:sz w:val="20"/>
                <w:szCs w:val="20"/>
                <w:color w:val="auto"/>
              </w:rPr>
            </w:pPr>
            <w:r>
              <w:rPr>
                <w:rFonts w:ascii="Arial" w:cs="Arial" w:eastAsia="Arial" w:hAnsi="Arial"/>
                <w:sz w:val="18"/>
                <w:szCs w:val="18"/>
                <w:color w:val="auto"/>
              </w:rPr>
              <w:t>Chase Capital VI</w:t>
            </w:r>
          </w:p>
        </w:tc>
        <w:tc>
          <w:tcPr>
            <w:tcW w:w="4720" w:type="dxa"/>
            <w:vAlign w:val="bottom"/>
          </w:tcPr>
          <w:p>
            <w:pPr>
              <w:ind w:left="1200"/>
              <w:spacing w:after="0"/>
              <w:rPr>
                <w:sz w:val="20"/>
                <w:szCs w:val="20"/>
                <w:color w:val="auto"/>
              </w:rPr>
            </w:pPr>
            <w:r>
              <w:rPr>
                <w:rFonts w:ascii="Arial" w:cs="Arial" w:eastAsia="Arial" w:hAnsi="Arial"/>
                <w:sz w:val="18"/>
                <w:szCs w:val="18"/>
                <w:color w:val="auto"/>
              </w:rPr>
              <w:t>Floating Rate Capital Securities, Series F</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46626YAA0</w:t>
            </w:r>
          </w:p>
        </w:tc>
        <w:tc>
          <w:tcPr>
            <w:tcW w:w="4140" w:type="dxa"/>
            <w:vAlign w:val="bottom"/>
          </w:tcPr>
          <w:p>
            <w:pPr>
              <w:ind w:left="660"/>
              <w:spacing w:after="0"/>
              <w:rPr>
                <w:sz w:val="20"/>
                <w:szCs w:val="20"/>
                <w:color w:val="auto"/>
              </w:rPr>
            </w:pPr>
            <w:r>
              <w:rPr>
                <w:rFonts w:ascii="Arial" w:cs="Arial" w:eastAsia="Arial" w:hAnsi="Arial"/>
                <w:sz w:val="18"/>
                <w:szCs w:val="18"/>
                <w:color w:val="auto"/>
              </w:rPr>
              <w:t>J.P. Morgan Chase Capital XIII</w:t>
            </w:r>
          </w:p>
        </w:tc>
        <w:tc>
          <w:tcPr>
            <w:tcW w:w="4720" w:type="dxa"/>
            <w:vAlign w:val="bottom"/>
          </w:tcPr>
          <w:p>
            <w:pPr>
              <w:ind w:left="1200"/>
              <w:spacing w:after="0"/>
              <w:rPr>
                <w:sz w:val="20"/>
                <w:szCs w:val="20"/>
                <w:color w:val="auto"/>
              </w:rPr>
            </w:pPr>
            <w:r>
              <w:rPr>
                <w:rFonts w:ascii="Arial" w:cs="Arial" w:eastAsia="Arial" w:hAnsi="Arial"/>
                <w:sz w:val="18"/>
                <w:szCs w:val="18"/>
                <w:color w:val="auto"/>
              </w:rPr>
              <w:t>Floating Rate Capital Securities, Series M</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48123KAA4</w:t>
            </w:r>
          </w:p>
        </w:tc>
        <w:tc>
          <w:tcPr>
            <w:tcW w:w="4140" w:type="dxa"/>
            <w:vAlign w:val="bottom"/>
          </w:tcPr>
          <w:p>
            <w:pPr>
              <w:ind w:left="660"/>
              <w:spacing w:after="0"/>
              <w:rPr>
                <w:sz w:val="20"/>
                <w:szCs w:val="20"/>
                <w:color w:val="auto"/>
              </w:rPr>
            </w:pPr>
            <w:r>
              <w:rPr>
                <w:rFonts w:ascii="Arial" w:cs="Arial" w:eastAsia="Arial" w:hAnsi="Arial"/>
                <w:sz w:val="18"/>
                <w:szCs w:val="18"/>
                <w:color w:val="auto"/>
              </w:rPr>
              <w:t>JPMorgan Chase Capital XXI</w:t>
            </w:r>
          </w:p>
        </w:tc>
        <w:tc>
          <w:tcPr>
            <w:tcW w:w="4720" w:type="dxa"/>
            <w:vAlign w:val="bottom"/>
          </w:tcPr>
          <w:p>
            <w:pPr>
              <w:ind w:left="1200"/>
              <w:spacing w:after="0"/>
              <w:rPr>
                <w:sz w:val="20"/>
                <w:szCs w:val="20"/>
                <w:color w:val="auto"/>
              </w:rPr>
            </w:pPr>
            <w:r>
              <w:rPr>
                <w:rFonts w:ascii="Arial" w:cs="Arial" w:eastAsia="Arial" w:hAnsi="Arial"/>
                <w:sz w:val="18"/>
                <w:szCs w:val="18"/>
                <w:color w:val="auto"/>
              </w:rPr>
              <w:t>Floating Rate Capital Securities, Series U</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48123UAA2</w:t>
            </w:r>
          </w:p>
        </w:tc>
        <w:tc>
          <w:tcPr>
            <w:tcW w:w="4140" w:type="dxa"/>
            <w:vAlign w:val="bottom"/>
          </w:tcPr>
          <w:p>
            <w:pPr>
              <w:ind w:left="660"/>
              <w:spacing w:after="0"/>
              <w:rPr>
                <w:sz w:val="20"/>
                <w:szCs w:val="20"/>
                <w:color w:val="auto"/>
              </w:rPr>
            </w:pPr>
            <w:r>
              <w:rPr>
                <w:rFonts w:ascii="Arial" w:cs="Arial" w:eastAsia="Arial" w:hAnsi="Arial"/>
                <w:sz w:val="18"/>
                <w:szCs w:val="18"/>
                <w:color w:val="auto"/>
              </w:rPr>
              <w:t>JPMorgan Chase Capital XXIII</w:t>
            </w:r>
          </w:p>
        </w:tc>
        <w:tc>
          <w:tcPr>
            <w:tcW w:w="4720" w:type="dxa"/>
            <w:vAlign w:val="bottom"/>
          </w:tcPr>
          <w:p>
            <w:pPr>
              <w:ind w:left="1200"/>
              <w:spacing w:after="0"/>
              <w:rPr>
                <w:sz w:val="20"/>
                <w:szCs w:val="20"/>
                <w:color w:val="auto"/>
              </w:rPr>
            </w:pPr>
            <w:r>
              <w:rPr>
                <w:rFonts w:ascii="Arial" w:cs="Arial" w:eastAsia="Arial" w:hAnsi="Arial"/>
                <w:sz w:val="18"/>
                <w:szCs w:val="18"/>
                <w:color w:val="auto"/>
              </w:rPr>
              <w:t>Floating Rate Capital Securities, Series W</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hereto and is incorporated herein by reference.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Current Report on Form 8-K is neither an offer to sell nor a solicitation of offers to buy any securities. The Offer is being made only pursuant to the Offer to Purchase and the related Notice of Guaranteed Delivery. The Offer is not being made to holders of securities in any jurisdiction in which the making or acceptance thereof would not be in compliance with the securities, blue sky or other laws of such jurisdiction.</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JPMorgan Chase press release dated October 31, 2016 announcing the commencement of the Offer.</w:t>
      </w:r>
    </w:p>
    <w:p>
      <w:pPr>
        <w:sectPr>
          <w:pgSz w:w="11900" w:h="16838" w:orient="portrait"/>
          <w:cols w:equalWidth="0" w:num="1">
            <w:col w:w="11340"/>
          </w:cols>
          <w:pgMar w:left="240" w:top="270"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Neila B. Radin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Neila B. Radin</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2016</w:t>
      </w:r>
    </w:p>
    <w:p>
      <w:pPr>
        <w:sectPr>
          <w:pgSz w:w="11900" w:h="16838" w:orient="portrait"/>
          <w:cols w:equalWidth="0" w:num="1">
            <w:col w:w="11280"/>
          </w:cols>
          <w:pgMar w:left="240" w:top="274" w:right="379" w:bottom="1440" w:gutter="0" w:footer="0" w:header="0"/>
        </w:sectPr>
      </w:pPr>
    </w:p>
    <w:bookmarkStart w:id="3" w:name="page4"/>
    <w:bookmarkEnd w:id="3"/>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JPMorgan Chase press release dated October 31, 2016 announcing the commencement of the Offer.</w:t>
      </w:r>
    </w:p>
    <w:p>
      <w:pPr>
        <w:sectPr>
          <w:pgSz w:w="11900" w:h="16838" w:orient="portrait"/>
          <w:cols w:equalWidth="0" w:num="1">
            <w:col w:w="10219"/>
          </w:cols>
          <w:pgMar w:left="240" w:top="274" w:right="1440"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99.1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Announces Any and All Cash Tender Offer for Certain Trust Preferred Securities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New York, October 31, 2016 - JPMorgan Chase &amp; Co. (“JPMorgan Chase”) announced today that it has commenced a cash tender offer (the “Offer”) to purchase any and all of the trust preferred securities listed below at the purchase prices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of</w:t>
            </w:r>
          </w:p>
        </w:tc>
        <w:tc>
          <w:tcPr>
            <w:tcW w:w="20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Variable</w:t>
            </w: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8"/>
              </w:rPr>
              <w:t>CUSIP Number</w:t>
            </w:r>
          </w:p>
        </w:tc>
        <w:tc>
          <w:tcPr>
            <w:tcW w:w="1540" w:type="dxa"/>
            <w:vAlign w:val="bottom"/>
          </w:tcPr>
          <w:p>
            <w:pPr>
              <w:spacing w:after="0"/>
              <w:rPr>
                <w:sz w:val="12"/>
                <w:szCs w:val="12"/>
                <w:color w:val="auto"/>
              </w:rPr>
            </w:pPr>
          </w:p>
        </w:tc>
        <w:tc>
          <w:tcPr>
            <w:tcW w:w="2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Issuer</w:t>
            </w: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Title of Security</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Debt</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Amount</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154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9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Rate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5"/>
                <w:szCs w:val="15"/>
                <w:color w:val="auto"/>
              </w:rPr>
            </w:pPr>
          </w:p>
        </w:tc>
        <w:tc>
          <w:tcPr>
            <w:tcW w:w="13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Securities (1)</w:t>
            </w:r>
          </w:p>
        </w:tc>
        <w:tc>
          <w:tcPr>
            <w:tcW w:w="0" w:type="dxa"/>
            <w:vAlign w:val="bottom"/>
          </w:tcPr>
          <w:p>
            <w:pPr>
              <w:spacing w:after="0"/>
              <w:rPr>
                <w:sz w:val="1"/>
                <w:szCs w:val="1"/>
                <w:color w:val="auto"/>
              </w:rPr>
            </w:pPr>
          </w:p>
        </w:tc>
      </w:tr>
      <w:tr>
        <w:trPr>
          <w:trHeight w:val="189"/>
        </w:trPr>
        <w:tc>
          <w:tcPr>
            <w:tcW w:w="10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161480AA6</w:t>
            </w:r>
          </w:p>
        </w:tc>
        <w:tc>
          <w:tcPr>
            <w:tcW w:w="154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Chase Capital II</w:t>
            </w:r>
          </w:p>
        </w:tc>
        <w:tc>
          <w:tcPr>
            <w:tcW w:w="2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Global Floating Rate</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 month</w:t>
            </w: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February 1,</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Capital Securities, Series B</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0.500%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$485,150,000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31945HAA3</w:t>
            </w:r>
          </w:p>
        </w:tc>
        <w:tc>
          <w:tcPr>
            <w:tcW w:w="1540" w:type="dxa"/>
            <w:vAlign w:val="bottom"/>
          </w:tcPr>
          <w:p>
            <w:pPr>
              <w:spacing w:after="0"/>
              <w:rPr>
                <w:sz w:val="17"/>
                <w:szCs w:val="17"/>
                <w:color w:val="auto"/>
              </w:rPr>
            </w:pPr>
          </w:p>
        </w:tc>
        <w:tc>
          <w:tcPr>
            <w:tcW w:w="21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2"/>
              </w:rPr>
              <w:t>First Chicago</w:t>
            </w:r>
          </w:p>
        </w:tc>
        <w:tc>
          <w:tcPr>
            <w:tcW w:w="22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Floating Rate Preferred</w:t>
            </w:r>
          </w:p>
        </w:tc>
        <w:tc>
          <w:tcPr>
            <w:tcW w:w="9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3 month</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NBD Capital I</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0.550%</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$249,940,000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161478AA0</w:t>
            </w:r>
          </w:p>
        </w:tc>
        <w:tc>
          <w:tcPr>
            <w:tcW w:w="15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1"/>
              </w:rPr>
              <w:t>Chase Capital III</w:t>
            </w:r>
          </w:p>
        </w:tc>
        <w:tc>
          <w:tcPr>
            <w:tcW w:w="22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Floating Rate Capital</w:t>
            </w:r>
          </w:p>
        </w:tc>
        <w:tc>
          <w:tcPr>
            <w:tcW w:w="94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3 month</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March 1, 2027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Securities, Series C</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0.550%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$297,960,000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16162LAA1</w:t>
            </w:r>
          </w:p>
        </w:tc>
        <w:tc>
          <w:tcPr>
            <w:tcW w:w="1540" w:type="dxa"/>
            <w:vAlign w:val="bottom"/>
          </w:tcPr>
          <w:p>
            <w:pPr>
              <w:spacing w:after="0"/>
              <w:rPr>
                <w:sz w:val="17"/>
                <w:szCs w:val="17"/>
                <w:color w:val="auto"/>
              </w:rPr>
            </w:pPr>
          </w:p>
        </w:tc>
        <w:tc>
          <w:tcPr>
            <w:tcW w:w="21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Chase Capital VI</w:t>
            </w:r>
          </w:p>
        </w:tc>
        <w:tc>
          <w:tcPr>
            <w:tcW w:w="22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Floating Rate Capital</w:t>
            </w:r>
          </w:p>
        </w:tc>
        <w:tc>
          <w:tcPr>
            <w:tcW w:w="9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3 month</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August 1,</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 Series F</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0.625%</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$242,400,000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46626YAA0</w:t>
            </w:r>
          </w:p>
        </w:tc>
        <w:tc>
          <w:tcPr>
            <w:tcW w:w="15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8"/>
              </w:rPr>
              <w:t>J.P. Morgan Chase Capital</w:t>
            </w:r>
          </w:p>
        </w:tc>
        <w:tc>
          <w:tcPr>
            <w:tcW w:w="22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Floating Rate Capital</w:t>
            </w:r>
          </w:p>
        </w:tc>
        <w:tc>
          <w:tcPr>
            <w:tcW w:w="94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3 month</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September 30,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XIII</w:t>
            </w:r>
          </w:p>
        </w:tc>
        <w:tc>
          <w:tcPr>
            <w:tcW w:w="22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Securities, Series M</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0.950%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$467,650,000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48123KAA4</w:t>
            </w:r>
          </w:p>
        </w:tc>
        <w:tc>
          <w:tcPr>
            <w:tcW w:w="1540" w:type="dxa"/>
            <w:vAlign w:val="bottom"/>
          </w:tcPr>
          <w:p>
            <w:pPr>
              <w:spacing w:after="0"/>
              <w:rPr>
                <w:sz w:val="17"/>
                <w:szCs w:val="17"/>
                <w:color w:val="auto"/>
              </w:rPr>
            </w:pPr>
          </w:p>
        </w:tc>
        <w:tc>
          <w:tcPr>
            <w:tcW w:w="21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JPMorgan Chase Capital</w:t>
            </w:r>
          </w:p>
        </w:tc>
        <w:tc>
          <w:tcPr>
            <w:tcW w:w="22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Floating Rate Capital</w:t>
            </w:r>
          </w:p>
        </w:tc>
        <w:tc>
          <w:tcPr>
            <w:tcW w:w="9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3 month</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February 2,</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rPr>
              <w:t>XXI</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Securities, Series U</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2037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0.950%</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$840,720,000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48123UAA2</w:t>
            </w:r>
          </w:p>
        </w:tc>
        <w:tc>
          <w:tcPr>
            <w:tcW w:w="15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8"/>
              </w:rPr>
              <w:t>JPMorgan Chase Capital</w:t>
            </w:r>
          </w:p>
        </w:tc>
        <w:tc>
          <w:tcPr>
            <w:tcW w:w="22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Floating Rate Capital</w:t>
            </w:r>
          </w:p>
        </w:tc>
        <w:tc>
          <w:tcPr>
            <w:tcW w:w="94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3 month</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May 15, 2047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XXIII</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Securities, Series W</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LIBOR +</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$646,469,000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and unpaid distributions from the last payment date to, but not including, the initial settlement date (the “Initial Settlement Date”) for the applicable series of securities purchased pursuant to the Offer.</w:t>
      </w:r>
    </w:p>
    <w:p>
      <w:pPr>
        <w:spacing w:after="0" w:line="17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Offer is being made pursuant to an Offer to Purchase dated today, which contains detailed information concerning the terms of the Offer. The Offer is scheduled to expire at 5:00 p.m., New York City time, on November 4, 2016 unless extended or earlier terminated (the “Expiration Date”). Upon the terms and subject to the conditions of the Offer, the Initial Settlement Date is expected to be November 7, 2016.</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Tenders of Securities pursuant to the Offer may be validly withdrawn at any time before the earlier of (i) the Expiration Date, and (ii) if the Offer is extended, the 10</w:t>
      </w:r>
      <w:r>
        <w:rPr>
          <w:rFonts w:ascii="Arial" w:cs="Arial" w:eastAsia="Arial" w:hAnsi="Arial"/>
          <w:sz w:val="15"/>
          <w:szCs w:val="15"/>
          <w:color w:val="auto"/>
        </w:rPr>
        <w:t>th</w:t>
      </w:r>
      <w:r>
        <w:rPr>
          <w:rFonts w:ascii="Arial" w:cs="Arial" w:eastAsia="Arial" w:hAnsi="Arial"/>
          <w:sz w:val="18"/>
          <w:szCs w:val="18"/>
          <w:color w:val="auto"/>
        </w:rPr>
        <w:t xml:space="preserve"> business day after commencement of the Offer. Trust preferred securities tendered pursuant to the Offer may also be validly withdrawn at any time after the 60</w:t>
      </w:r>
      <w:r>
        <w:rPr>
          <w:rFonts w:ascii="Arial" w:cs="Arial" w:eastAsia="Arial" w:hAnsi="Arial"/>
          <w:sz w:val="15"/>
          <w:szCs w:val="15"/>
          <w:color w:val="auto"/>
        </w:rPr>
        <w:t>th</w:t>
      </w:r>
      <w:r>
        <w:rPr>
          <w:rFonts w:ascii="Arial" w:cs="Arial" w:eastAsia="Arial" w:hAnsi="Arial"/>
          <w:sz w:val="18"/>
          <w:szCs w:val="18"/>
          <w:color w:val="auto"/>
        </w:rPr>
        <w:t xml:space="preserve"> business day after commencement of the Offer if for any reason the Offer has not been consummated within 60 business days after commencement.</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JPMorgan Chase is making the offer in order to provide liquidity to any holders of the trust preferred securities that wish to dispose of any or all of such securities.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tender offer is conditioned upon the satisfaction of certain customary conditions described in the Offer to Purchase. The tender offer is not conditioned upon the tender of any minimum liquidation amount of securities. Subject to applicable law, JPMorgan Chase may, at its sole discretion, waive any condition applicable to the tender offer and may extend the Offer.</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certain conditions and as more fully described in the Offer to Purchase, JPMorgan Chase may terminate the tender offer before the Expiration Date.</w:t>
      </w:r>
    </w:p>
    <w:p>
      <w:pPr>
        <w:spacing w:after="0" w:line="24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JPMorgan Chase has appointed J.P. Morgan Securities LLC to act as dealer manager for the Offer, and has retained D.F. King &amp; Co., Inc. to serve as the tender agent and information agent. Requests for documents may be directed to D.F. King &amp; Co., Inc. by telephone at +1-212-269-5550 (banks and brokers) or +1 800-669-5550. Questions regarding the Offer may be directed to J.P. Morgan Securities LLC at +1 866-834-4666 or collect at +1 212-834-3424.</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Copies of the Offer to Purchase and related Notice of Guaranteed Delivery are available at the following web address: http://www.dfking.com/jpm.</w:t>
      </w:r>
    </w:p>
    <w:p>
      <w:pPr>
        <w:spacing w:after="0" w:line="23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This press release is for informational purposes only and does not constitute an offer to purchase nor the solicitation of an offer to sell any securities. The Offer is being made only pursuant to the Offer to Purchase and related Notice of Guaranteed Delivery. The Offer is not being made to holders of trust preferred securities in any jurisdiction in which the making or acceptance thereof would not be in compliance with the securities, blue sky or other laws of such jurisdiction. None of JPMorgan Chase, the Dealer Manager, the Tender Agent, the Information Agent or the trustees for the trust preferred securities makes any recommendation in connection with the Offer. Please refer to the Offer to Purchase for a description of terms, conditions, disclaimers and other information applicable to the Offer.</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JPMorgan Chase &amp; Co. (NYSE: JPM) is a leading global financial services firm with assets of $2.5 trillion and operations worldwide. The Firm is a leader in investment banking, financial services for consumers and small businesses, commercial banking, financial transaction processing, and asset management. A component of the Dow Jones Industrial Average, JPMorgan Chase &amp; Co. serves millions of consumers in the United States and many of the world’s most prominent corporate, institutional and government clients under its J.P. Morgan and Chase brands. Information about JPMorgan Chase &amp; Co. is available at </w:t>
      </w:r>
      <w:r>
        <w:rPr>
          <w:rFonts w:ascii="Arial" w:cs="Arial" w:eastAsia="Arial" w:hAnsi="Arial"/>
          <w:sz w:val="18"/>
          <w:szCs w:val="18"/>
          <w:u w:val="single" w:color="auto"/>
          <w:color w:val="auto"/>
        </w:rPr>
        <w:t>www.jpmorganchase.com</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2019-12-05T04:13:34Z</dcterms:created>
  <dcterms:modified xsi:type="dcterms:W3CDTF">2019-12-05T04:13:34Z</dcterms:modified>
</cp:coreProperties>
</file>