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Pursuant to Section 13 or 15(d) of the</w:t>
      </w:r>
    </w:p>
    <w:p>
      <w:pPr>
        <w:spacing w:after="0" w:line="8"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Exchange Act of 1934</w:t>
      </w:r>
    </w:p>
    <w:p>
      <w:pPr>
        <w:spacing w:after="0" w:line="156"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March 6,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JPMORGAN CHASE &amp; CO.</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001-05805</w:t>
            </w:r>
          </w:p>
        </w:tc>
        <w:tc>
          <w:tcPr>
            <w:tcW w:w="3800" w:type="dxa"/>
            <w:vAlign w:val="bottom"/>
          </w:tcPr>
          <w:p>
            <w:pPr>
              <w:jc w:val="right"/>
              <w:ind w:right="482"/>
              <w:spacing w:after="0"/>
              <w:rPr>
                <w:sz w:val="20"/>
                <w:szCs w:val="20"/>
                <w:color w:val="auto"/>
              </w:rPr>
            </w:pPr>
            <w:r>
              <w:rPr>
                <w:rFonts w:ascii="Arial" w:cs="Arial" w:eastAsia="Arial" w:hAnsi="Arial"/>
                <w:sz w:val="18"/>
                <w:szCs w:val="18"/>
                <w:b w:val="1"/>
                <w:bCs w:val="1"/>
                <w:color w:val="auto"/>
              </w:rPr>
              <w:t>13-2624428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270 Park Avenue,</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2"/>
              </w:rPr>
              <w:t>New York, NY</w:t>
            </w:r>
          </w:p>
        </w:tc>
        <w:tc>
          <w:tcPr>
            <w:tcW w:w="3800" w:type="dxa"/>
            <w:vAlign w:val="bottom"/>
          </w:tcPr>
          <w:p>
            <w:pPr>
              <w:jc w:val="right"/>
              <w:ind w:right="682"/>
              <w:spacing w:after="0"/>
              <w:rPr>
                <w:sz w:val="20"/>
                <w:szCs w:val="20"/>
                <w:color w:val="auto"/>
              </w:rPr>
            </w:pPr>
            <w:r>
              <w:rPr>
                <w:rFonts w:ascii="Arial" w:cs="Arial" w:eastAsia="Arial" w:hAnsi="Arial"/>
                <w:sz w:val="18"/>
                <w:szCs w:val="18"/>
                <w:b w:val="1"/>
                <w:bCs w:val="1"/>
                <w:color w:val="auto"/>
              </w:rPr>
              <w:t>10017</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(212) 270-6000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 Regulation FD Disclosure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On March 6, 2007, JPMorgan Chase &amp; Co. (“JPMorgan Chase” or the “Firm”) provided a presentation as part of the Firm’s Investor Day.</w:t>
      </w:r>
    </w:p>
    <w:p>
      <w:pPr>
        <w:spacing w:after="0" w:line="17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Exhibit 99.1 is a copy of slides furnished at, and posted on the Firm’s website in connection with, the presentation. The slides are being furnished pursuant to Item 7.01, and the information contained therein shall not be deemed “filed” for purposes of Section 18 of the Securities Exchange Act of 1934, or otherwise subject to the liabilities under that Section. Furthermore, the information contained in Exhibit 99.1 shall not be deemed to be incorporated by reference into the filings of the Firm under the Securities Act of 1933.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9.01 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10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JPMorgan Chase &amp; Co. Presentation Slides</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i w:val="1"/>
          <w:iCs w:val="1"/>
          <w:color w:val="auto"/>
        </w:rPr>
        <w:t>This Current Report on Form 8-K (including the Exhibit hereto) contains forward-looking statements within the meaning of the Private Securities Litigation Reform Act of 1995. Such statements are based upon the current beliefs and expectations of JPMorgan Chase’s management and are subject to significant risks and uncertainties. Actual results may differ from those set forth in the forward-looking statements. Factors that could cause JPMorgan Chase’s results to differ materially from those described in the forward-looking statements can be found in the Firm’s Annual Report on Form 10-K for the year ended December 31, 2006, as filed with the Securities and Exchange Commission and available at the Securities and Exchange Commission’s Internet site (</w:t>
      </w:r>
      <w:r>
        <w:rPr>
          <w:rFonts w:ascii="Arial" w:cs="Arial" w:eastAsia="Arial" w:hAnsi="Arial"/>
          <w:sz w:val="15"/>
          <w:szCs w:val="15"/>
          <w:i w:val="1"/>
          <w:iCs w:val="1"/>
          <w:u w:val="single" w:color="auto"/>
          <w:color w:val="auto"/>
        </w:rPr>
        <w:t>http://www.sec.gov</w:t>
      </w:r>
      <w:r>
        <w:rPr>
          <w:rFonts w:ascii="Arial" w:cs="Arial" w:eastAsia="Arial" w:hAnsi="Arial"/>
          <w:sz w:val="15"/>
          <w:szCs w:val="15"/>
          <w:i w:val="1"/>
          <w:iCs w:val="1"/>
          <w:color w:val="auto"/>
        </w:rPr>
        <w:t>).</w:t>
      </w:r>
    </w:p>
    <w:p>
      <w:pPr>
        <w:sectPr>
          <w:pgSz w:w="11900" w:h="16838" w:orient="portrait"/>
          <w:cols w:equalWidth="0" w:num="1">
            <w:col w:w="11420"/>
          </w:cols>
          <w:pgMar w:left="240" w:top="280"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JPMORGAN CHASE &amp; CO.</w:t>
      </w:r>
    </w:p>
    <w:p>
      <w:pPr>
        <w:spacing w:after="0" w:line="1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Anthony J. Horan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Anthony J. Horan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Corporate Secretary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Dated: March 7, 2007</w:t>
      </w:r>
    </w:p>
    <w:p>
      <w:pPr>
        <w:sectPr>
          <w:pgSz w:w="11900" w:h="16838" w:orient="portrait"/>
          <w:cols w:equalWidth="0" w:num="1">
            <w:col w:w="11000"/>
          </w:cols>
          <w:pgMar w:left="240" w:top="280" w:right="659" w:bottom="1440" w:gutter="0" w:footer="0" w:header="0"/>
        </w:sectPr>
      </w:pPr>
    </w:p>
    <w:bookmarkStart w:id="3" w:name="page4"/>
    <w:bookmarkEnd w:id="3"/>
    <w:p>
      <w:pPr>
        <w:ind w:left="9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132715</wp:posOffset>
            </wp:positionV>
            <wp:extent cx="5831840" cy="4373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31840" cy="437388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Disclaimer</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These presentations contain forward-looking statements within the meaning of the Private Securities Litigation Reform Act of 1995. Such statements are based upon the current beliefs and expectations of JPMorgan Chase’s management and are subject to significant risks and uncertainties. Actual results may differ from those set forth in the forward-looking statements. Factors that could cause JPMorgan Chase’s results to differ materially from those described in the forward-looking statements can be found in the 2006 Annual Report on Form 10-K for the year ended December 31, 2006 (2006 Annual Report) of JPMorgan Chase filed with the Securities and Exchange Commission and available at the Securities and Exchange Commission’s Internet site (http://www.sec.gov).</w:t>
      </w:r>
    </w:p>
    <w:p>
      <w:pPr>
        <w:spacing w:after="0" w:line="1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2003 and 2004 financial information provided in this presentation is presented on a proforma combined basis, which includes purchase accounting adjustments made in connection with the merger of JPMorgan Chase and Bank One. The 2003 and 2004 proforma combined historical results represent how the financial information of JPMorgan Chase and Bank One may have appeared on a combined basis had the two companies been merged as of January 1, 2003. Additional information, including a reconciliation from proforma results to GAAP, can be found on the Form 8-K/As furnished to the Securities and Exchange Commission on April 20, 2005 and July 20, 2005.</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selected financial information provided in this presentation for periods prior to 2003 is presented on a combined basis and represents only the summation of historical results reported by JPMorgan Chase and Bank One, without any purchase accounting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74942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3860" w:type="dxa"/>
            <w:vAlign w:val="bottom"/>
          </w:tcPr>
          <w:p>
            <w:pPr>
              <w:spacing w:after="0"/>
              <w:rPr>
                <w:sz w:val="19"/>
                <w:szCs w:val="19"/>
                <w:color w:val="auto"/>
              </w:rPr>
            </w:pPr>
          </w:p>
        </w:tc>
        <w:tc>
          <w:tcPr>
            <w:tcW w:w="6640" w:type="dxa"/>
            <w:vAlign w:val="bottom"/>
          </w:tcPr>
          <w:p>
            <w:pPr>
              <w:jc w:val="right"/>
              <w:ind w:right="4212"/>
              <w:spacing w:after="0"/>
              <w:rPr>
                <w:sz w:val="20"/>
                <w:szCs w:val="20"/>
                <w:color w:val="auto"/>
              </w:rPr>
            </w:pPr>
            <w:r>
              <w:rPr>
                <w:rFonts w:ascii="Arial" w:cs="Arial" w:eastAsia="Arial" w:hAnsi="Arial"/>
                <w:sz w:val="18"/>
                <w:szCs w:val="18"/>
                <w:color w:val="auto"/>
              </w:rPr>
              <w:t>2007 Investor Day Agenda</w:t>
            </w:r>
          </w:p>
        </w:tc>
      </w:tr>
      <w:tr>
        <w:trPr>
          <w:trHeight w:val="412"/>
        </w:trPr>
        <w:tc>
          <w:tcPr>
            <w:tcW w:w="3860" w:type="dxa"/>
            <w:vAlign w:val="bottom"/>
          </w:tcPr>
          <w:p>
            <w:pPr>
              <w:spacing w:after="0"/>
              <w:rPr>
                <w:sz w:val="20"/>
                <w:szCs w:val="20"/>
                <w:color w:val="auto"/>
              </w:rPr>
            </w:pPr>
            <w:r>
              <w:rPr>
                <w:rFonts w:ascii="Arial" w:cs="Arial" w:eastAsia="Arial" w:hAnsi="Arial"/>
                <w:sz w:val="18"/>
                <w:szCs w:val="18"/>
                <w:color w:val="auto"/>
              </w:rPr>
              <w:t>Opening Remarks</w:t>
            </w:r>
          </w:p>
        </w:tc>
        <w:tc>
          <w:tcPr>
            <w:tcW w:w="6640" w:type="dxa"/>
            <w:vAlign w:val="bottom"/>
          </w:tcPr>
          <w:p>
            <w:pPr>
              <w:jc w:val="right"/>
              <w:spacing w:after="0"/>
              <w:rPr>
                <w:sz w:val="20"/>
                <w:szCs w:val="20"/>
                <w:color w:val="auto"/>
              </w:rPr>
            </w:pPr>
            <w:r>
              <w:rPr>
                <w:rFonts w:ascii="Arial" w:cs="Arial" w:eastAsia="Arial" w:hAnsi="Arial"/>
                <w:sz w:val="18"/>
                <w:szCs w:val="18"/>
                <w:color w:val="auto"/>
              </w:rPr>
              <w:t>9:00 a.m.</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 xml:space="preserve">Investment Bank – </w:t>
            </w:r>
            <w:r>
              <w:rPr>
                <w:rFonts w:ascii="Arial" w:cs="Arial" w:eastAsia="Arial" w:hAnsi="Arial"/>
                <w:sz w:val="18"/>
                <w:szCs w:val="18"/>
                <w:i w:val="1"/>
                <w:iCs w:val="1"/>
                <w:color w:val="auto"/>
              </w:rPr>
              <w:t>Steve Black &amp; Bill Winters</w:t>
            </w:r>
          </w:p>
        </w:tc>
        <w:tc>
          <w:tcPr>
            <w:tcW w:w="6640" w:type="dxa"/>
            <w:vAlign w:val="bottom"/>
          </w:tcPr>
          <w:p>
            <w:pPr>
              <w:jc w:val="right"/>
              <w:spacing w:after="0"/>
              <w:rPr>
                <w:sz w:val="20"/>
                <w:szCs w:val="20"/>
                <w:color w:val="auto"/>
              </w:rPr>
            </w:pPr>
            <w:r>
              <w:rPr>
                <w:rFonts w:ascii="Arial" w:cs="Arial" w:eastAsia="Arial" w:hAnsi="Arial"/>
                <w:sz w:val="18"/>
                <w:szCs w:val="18"/>
                <w:color w:val="auto"/>
              </w:rPr>
              <w:t>9:15 a.m.</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 xml:space="preserve">Asset Management – </w:t>
            </w:r>
            <w:r>
              <w:rPr>
                <w:rFonts w:ascii="Arial" w:cs="Arial" w:eastAsia="Arial" w:hAnsi="Arial"/>
                <w:sz w:val="18"/>
                <w:szCs w:val="18"/>
                <w:i w:val="1"/>
                <w:iCs w:val="1"/>
                <w:color w:val="auto"/>
              </w:rPr>
              <w:t>Jes Staley</w:t>
            </w:r>
          </w:p>
        </w:tc>
        <w:tc>
          <w:tcPr>
            <w:tcW w:w="6640" w:type="dxa"/>
            <w:vAlign w:val="bottom"/>
          </w:tcPr>
          <w:p>
            <w:pPr>
              <w:jc w:val="right"/>
              <w:spacing w:after="0"/>
              <w:rPr>
                <w:sz w:val="20"/>
                <w:szCs w:val="20"/>
                <w:color w:val="auto"/>
              </w:rPr>
            </w:pPr>
            <w:r>
              <w:rPr>
                <w:rFonts w:ascii="Arial" w:cs="Arial" w:eastAsia="Arial" w:hAnsi="Arial"/>
                <w:sz w:val="18"/>
                <w:szCs w:val="18"/>
                <w:color w:val="auto"/>
              </w:rPr>
              <w:t>10:00 a.m.</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Break</w:t>
            </w:r>
          </w:p>
        </w:tc>
        <w:tc>
          <w:tcPr>
            <w:tcW w:w="6640" w:type="dxa"/>
            <w:vAlign w:val="bottom"/>
          </w:tcPr>
          <w:p>
            <w:pPr>
              <w:jc w:val="right"/>
              <w:spacing w:after="0"/>
              <w:rPr>
                <w:sz w:val="20"/>
                <w:szCs w:val="20"/>
                <w:color w:val="auto"/>
              </w:rPr>
            </w:pPr>
            <w:r>
              <w:rPr>
                <w:rFonts w:ascii="Arial" w:cs="Arial" w:eastAsia="Arial" w:hAnsi="Arial"/>
                <w:sz w:val="18"/>
                <w:szCs w:val="18"/>
                <w:color w:val="auto"/>
              </w:rPr>
              <w:t>10:30 a.m.</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 xml:space="preserve">Card Services – </w:t>
            </w:r>
            <w:r>
              <w:rPr>
                <w:rFonts w:ascii="Arial" w:cs="Arial" w:eastAsia="Arial" w:hAnsi="Arial"/>
                <w:sz w:val="18"/>
                <w:szCs w:val="18"/>
                <w:i w:val="1"/>
                <w:iCs w:val="1"/>
                <w:color w:val="auto"/>
              </w:rPr>
              <w:t>Rich Srednicki</w:t>
            </w:r>
          </w:p>
        </w:tc>
        <w:tc>
          <w:tcPr>
            <w:tcW w:w="6640" w:type="dxa"/>
            <w:vAlign w:val="bottom"/>
          </w:tcPr>
          <w:p>
            <w:pPr>
              <w:jc w:val="right"/>
              <w:spacing w:after="0"/>
              <w:rPr>
                <w:sz w:val="20"/>
                <w:szCs w:val="20"/>
                <w:color w:val="auto"/>
              </w:rPr>
            </w:pPr>
            <w:r>
              <w:rPr>
                <w:rFonts w:ascii="Arial" w:cs="Arial" w:eastAsia="Arial" w:hAnsi="Arial"/>
                <w:sz w:val="18"/>
                <w:szCs w:val="18"/>
                <w:color w:val="auto"/>
              </w:rPr>
              <w:t>10:45 a.m.</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Lunch</w:t>
            </w:r>
          </w:p>
        </w:tc>
        <w:tc>
          <w:tcPr>
            <w:tcW w:w="6640" w:type="dxa"/>
            <w:vAlign w:val="bottom"/>
          </w:tcPr>
          <w:p>
            <w:pPr>
              <w:jc w:val="right"/>
              <w:spacing w:after="0"/>
              <w:rPr>
                <w:sz w:val="20"/>
                <w:szCs w:val="20"/>
                <w:color w:val="auto"/>
              </w:rPr>
            </w:pPr>
            <w:r>
              <w:rPr>
                <w:rFonts w:ascii="Arial" w:cs="Arial" w:eastAsia="Arial" w:hAnsi="Arial"/>
                <w:sz w:val="18"/>
                <w:szCs w:val="18"/>
                <w:color w:val="auto"/>
              </w:rPr>
              <w:t>12:00 p.m.</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 xml:space="preserve">Treasury &amp; Securities Services – </w:t>
            </w:r>
            <w:r>
              <w:rPr>
                <w:rFonts w:ascii="Arial" w:cs="Arial" w:eastAsia="Arial" w:hAnsi="Arial"/>
                <w:sz w:val="18"/>
                <w:szCs w:val="18"/>
                <w:i w:val="1"/>
                <w:iCs w:val="1"/>
                <w:color w:val="auto"/>
              </w:rPr>
              <w:t>Heidi Miller</w:t>
            </w:r>
          </w:p>
        </w:tc>
        <w:tc>
          <w:tcPr>
            <w:tcW w:w="6640" w:type="dxa"/>
            <w:vAlign w:val="bottom"/>
          </w:tcPr>
          <w:p>
            <w:pPr>
              <w:jc w:val="right"/>
              <w:spacing w:after="0"/>
              <w:rPr>
                <w:sz w:val="20"/>
                <w:szCs w:val="20"/>
                <w:color w:val="auto"/>
              </w:rPr>
            </w:pPr>
            <w:r>
              <w:rPr>
                <w:rFonts w:ascii="Arial" w:cs="Arial" w:eastAsia="Arial" w:hAnsi="Arial"/>
                <w:sz w:val="18"/>
                <w:szCs w:val="18"/>
                <w:color w:val="auto"/>
              </w:rPr>
              <w:t>1:00 p.m.</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 xml:space="preserve">Commercial Banking – </w:t>
            </w:r>
            <w:r>
              <w:rPr>
                <w:rFonts w:ascii="Arial" w:cs="Arial" w:eastAsia="Arial" w:hAnsi="Arial"/>
                <w:sz w:val="18"/>
                <w:szCs w:val="18"/>
                <w:i w:val="1"/>
                <w:iCs w:val="1"/>
                <w:color w:val="auto"/>
              </w:rPr>
              <w:t>Todd Maclin</w:t>
            </w:r>
          </w:p>
        </w:tc>
        <w:tc>
          <w:tcPr>
            <w:tcW w:w="6640" w:type="dxa"/>
            <w:vAlign w:val="bottom"/>
          </w:tcPr>
          <w:p>
            <w:pPr>
              <w:jc w:val="right"/>
              <w:spacing w:after="0"/>
              <w:rPr>
                <w:sz w:val="20"/>
                <w:szCs w:val="20"/>
                <w:color w:val="auto"/>
              </w:rPr>
            </w:pPr>
            <w:r>
              <w:rPr>
                <w:rFonts w:ascii="Arial" w:cs="Arial" w:eastAsia="Arial" w:hAnsi="Arial"/>
                <w:sz w:val="18"/>
                <w:szCs w:val="18"/>
                <w:color w:val="auto"/>
              </w:rPr>
              <w:t>1:30 p.m.</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Break</w:t>
            </w:r>
          </w:p>
        </w:tc>
        <w:tc>
          <w:tcPr>
            <w:tcW w:w="6640" w:type="dxa"/>
            <w:vAlign w:val="bottom"/>
          </w:tcPr>
          <w:p>
            <w:pPr>
              <w:jc w:val="right"/>
              <w:spacing w:after="0"/>
              <w:rPr>
                <w:sz w:val="20"/>
                <w:szCs w:val="20"/>
                <w:color w:val="auto"/>
              </w:rPr>
            </w:pPr>
            <w:r>
              <w:rPr>
                <w:rFonts w:ascii="Arial" w:cs="Arial" w:eastAsia="Arial" w:hAnsi="Arial"/>
                <w:sz w:val="18"/>
                <w:szCs w:val="18"/>
                <w:color w:val="auto"/>
              </w:rPr>
              <w:t>2:00 p.m.</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 xml:space="preserve">Retail Financial Services – </w:t>
            </w:r>
            <w:r>
              <w:rPr>
                <w:rFonts w:ascii="Arial" w:cs="Arial" w:eastAsia="Arial" w:hAnsi="Arial"/>
                <w:sz w:val="18"/>
                <w:szCs w:val="18"/>
                <w:i w:val="1"/>
                <w:iCs w:val="1"/>
                <w:color w:val="auto"/>
              </w:rPr>
              <w:t>Charlie Scharf</w:t>
            </w:r>
          </w:p>
        </w:tc>
        <w:tc>
          <w:tcPr>
            <w:tcW w:w="6640" w:type="dxa"/>
            <w:vAlign w:val="bottom"/>
          </w:tcPr>
          <w:p>
            <w:pPr>
              <w:jc w:val="right"/>
              <w:spacing w:after="0"/>
              <w:rPr>
                <w:sz w:val="20"/>
                <w:szCs w:val="20"/>
                <w:color w:val="auto"/>
              </w:rPr>
            </w:pPr>
            <w:r>
              <w:rPr>
                <w:rFonts w:ascii="Arial" w:cs="Arial" w:eastAsia="Arial" w:hAnsi="Arial"/>
                <w:sz w:val="18"/>
                <w:szCs w:val="18"/>
                <w:color w:val="auto"/>
              </w:rPr>
              <w:t>2:15 p.m.</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 xml:space="preserve">Corporate – </w:t>
            </w:r>
            <w:r>
              <w:rPr>
                <w:rFonts w:ascii="Arial" w:cs="Arial" w:eastAsia="Arial" w:hAnsi="Arial"/>
                <w:sz w:val="18"/>
                <w:szCs w:val="18"/>
                <w:i w:val="1"/>
                <w:iCs w:val="1"/>
                <w:color w:val="auto"/>
              </w:rPr>
              <w:t>Mike Cavanagh &amp; Frank Bisignano</w:t>
            </w:r>
          </w:p>
        </w:tc>
        <w:tc>
          <w:tcPr>
            <w:tcW w:w="6640" w:type="dxa"/>
            <w:vAlign w:val="bottom"/>
          </w:tcPr>
          <w:p>
            <w:pPr>
              <w:jc w:val="right"/>
              <w:spacing w:after="0"/>
              <w:rPr>
                <w:sz w:val="20"/>
                <w:szCs w:val="20"/>
                <w:color w:val="auto"/>
              </w:rPr>
            </w:pPr>
            <w:r>
              <w:rPr>
                <w:rFonts w:ascii="Arial" w:cs="Arial" w:eastAsia="Arial" w:hAnsi="Arial"/>
                <w:sz w:val="18"/>
                <w:szCs w:val="18"/>
                <w:color w:val="auto"/>
              </w:rPr>
              <w:t>3:00 p.m.</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 xml:space="preserve">Closing Remarks and Q&amp;A – </w:t>
            </w:r>
            <w:r>
              <w:rPr>
                <w:rFonts w:ascii="Arial" w:cs="Arial" w:eastAsia="Arial" w:hAnsi="Arial"/>
                <w:sz w:val="18"/>
                <w:szCs w:val="18"/>
                <w:i w:val="1"/>
                <w:iCs w:val="1"/>
                <w:color w:val="auto"/>
              </w:rPr>
              <w:t>Jamie Dimon</w:t>
            </w:r>
          </w:p>
        </w:tc>
        <w:tc>
          <w:tcPr>
            <w:tcW w:w="6640" w:type="dxa"/>
            <w:vAlign w:val="bottom"/>
          </w:tcPr>
          <w:p>
            <w:pPr>
              <w:jc w:val="right"/>
              <w:spacing w:after="0"/>
              <w:rPr>
                <w:sz w:val="20"/>
                <w:szCs w:val="20"/>
                <w:color w:val="auto"/>
              </w:rPr>
            </w:pPr>
            <w:r>
              <w:rPr>
                <w:rFonts w:ascii="Arial" w:cs="Arial" w:eastAsia="Arial" w:hAnsi="Arial"/>
                <w:sz w:val="18"/>
                <w:szCs w:val="18"/>
                <w:color w:val="auto"/>
              </w:rPr>
              <w:t>3:30 p.m.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95885</wp:posOffset>
            </wp:positionV>
            <wp:extent cx="174942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MARCH 6,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Steve Black and Bill Winters, co-CEOs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2821305"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21305" cy="28321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Agenda</w:t>
      </w:r>
    </w:p>
    <w:p>
      <w:pPr>
        <w:spacing w:after="0" w:line="90"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Review of 2006 performance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Performance target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Areas of focus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Accelerate revenue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Build and retain talent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Enhance management discipline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Key takeaways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($mm)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O/(U)</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18,277</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14,613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420"/>
              <w:spacing w:after="0"/>
              <w:rPr>
                <w:sz w:val="20"/>
                <w:szCs w:val="20"/>
                <w:color w:val="auto"/>
              </w:rPr>
            </w:pPr>
            <w:r>
              <w:rPr>
                <w:rFonts w:ascii="Arial" w:cs="Arial" w:eastAsia="Arial" w:hAnsi="Arial"/>
                <w:sz w:val="18"/>
                <w:szCs w:val="18"/>
                <w:color w:val="auto"/>
              </w:rPr>
              <w:t>Investment Banking Fees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5,537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4,096</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Fixed Income Markets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7,277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420"/>
              <w:spacing w:after="0"/>
              <w:rPr>
                <w:sz w:val="20"/>
                <w:szCs w:val="20"/>
                <w:color w:val="auto"/>
              </w:rPr>
            </w:pPr>
            <w:r>
              <w:rPr>
                <w:rFonts w:ascii="Arial" w:cs="Arial" w:eastAsia="Arial" w:hAnsi="Arial"/>
                <w:sz w:val="18"/>
                <w:szCs w:val="18"/>
                <w:color w:val="auto"/>
              </w:rPr>
              <w:t>Equity Markets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3,264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1,799</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Credit Portfolio</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1,441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Credit Costs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(838)</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9,749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420"/>
              <w:spacing w:after="0"/>
              <w:rPr>
                <w:sz w:val="20"/>
                <w:szCs w:val="20"/>
                <w:color w:val="auto"/>
              </w:rPr>
            </w:pPr>
            <w:r>
              <w:rPr>
                <w:rFonts w:ascii="Arial" w:cs="Arial" w:eastAsia="Arial" w:hAnsi="Arial"/>
                <w:sz w:val="18"/>
                <w:szCs w:val="18"/>
                <w:color w:val="auto"/>
              </w:rPr>
              <w:t>Compensation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8,190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5,792</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Noncomp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700" w:type="dxa"/>
            <w:vAlign w:val="bottom"/>
            <w:gridSpan w:val="4"/>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00" w:type="dxa"/>
            <w:vAlign w:val="bottom"/>
            <w:gridSpan w:val="4"/>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3,764</w:t>
            </w:r>
          </w:p>
        </w:tc>
        <w:tc>
          <w:tcPr>
            <w:tcW w:w="3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3,763</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Key Statistics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ROE</w:t>
            </w:r>
          </w:p>
        </w:tc>
        <w:tc>
          <w:tcPr>
            <w:tcW w:w="7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18%</w:t>
            </w: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Overhead Ratio</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line="217" w:lineRule="exact"/>
              <w:rPr>
                <w:sz w:val="20"/>
                <w:szCs w:val="20"/>
                <w:color w:val="auto"/>
              </w:rPr>
            </w:pPr>
            <w:r>
              <w:rPr>
                <w:rFonts w:ascii="Arial" w:cs="Arial" w:eastAsia="Arial" w:hAnsi="Arial"/>
                <w:sz w:val="18"/>
                <w:szCs w:val="18"/>
                <w:color w:val="auto"/>
              </w:rPr>
              <w:t>Comp/Revenue Ratio</w:t>
            </w:r>
            <w:r>
              <w:rPr>
                <w:rFonts w:ascii="Arial" w:cs="Arial" w:eastAsia="Arial" w:hAnsi="Arial"/>
                <w:sz w:val="22"/>
                <w:szCs w:val="22"/>
                <w:color w:val="auto"/>
                <w:vertAlign w:val="superscript"/>
              </w:rPr>
              <w:t>1</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VAR</w:t>
            </w:r>
            <w:r>
              <w:rPr>
                <w:rFonts w:ascii="Arial" w:cs="Arial" w:eastAsia="Arial" w:hAnsi="Arial"/>
                <w:sz w:val="22"/>
                <w:szCs w:val="22"/>
                <w:color w:val="auto"/>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ectPr>
          <w:pgSz w:w="11900" w:h="16838" w:orient="portrait"/>
          <w:cols w:equalWidth="0" w:num="1">
            <w:col w:w="11420"/>
          </w:cols>
          <w:pgMar w:left="240" w:top="280"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Ratios exclude effect of SFAS 123R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IB Trading and Credit Portfolio VAR</w:t>
      </w:r>
    </w:p>
    <w:p>
      <w:pPr>
        <w:spacing w:after="0" w:line="200" w:lineRule="exact"/>
        <w:rPr>
          <w:sz w:val="20"/>
          <w:szCs w:val="20"/>
          <w:color w:val="auto"/>
        </w:rPr>
      </w:pPr>
    </w:p>
    <w:p>
      <w:pPr>
        <w:sectPr>
          <w:pgSz w:w="11900" w:h="16838" w:orient="portrait"/>
          <w:cols w:equalWidth="0" w:num="2">
            <w:col w:w="60" w:space="400"/>
            <w:col w:w="10960"/>
          </w:cols>
          <w:pgMar w:left="240" w:top="280"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Highlights</w:t>
      </w:r>
    </w:p>
    <w:p>
      <w:pPr>
        <w:spacing w:after="0" w:line="218"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revenue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IB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Record debt and equity underwriting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Highest advisory fees since 2000</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Fixed Income and Equity Markets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Credit cost versus prior year benefit; continued stable credit quality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 expense management, with noncompensation expense relatively flat to 2005</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flat despite $1 billion increase in credit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was a break-out year in revenue growth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Total revenue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3507740" cy="4124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07740"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IB fees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662045"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62045" cy="417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Note: 2002 data presented on a combined basis for JPM and Bank One; 2003 - 2004 data presented on a pro forma basis</w:t>
      </w:r>
    </w:p>
    <w:p>
      <w:pPr>
        <w:spacing w:after="0" w:line="6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1"/>
          <w:szCs w:val="11"/>
          <w:color w:val="auto"/>
        </w:rPr>
      </w:pPr>
      <w:r>
        <w:rPr>
          <w:rFonts w:ascii="Arial" w:cs="Arial" w:eastAsia="Arial" w:hAnsi="Arial"/>
          <w:sz w:val="18"/>
          <w:szCs w:val="18"/>
          <w:color w:val="auto"/>
        </w:rPr>
        <w:t>Includes Fixed Income and Equity Markets revenue</w:t>
      </w:r>
    </w:p>
    <w:p>
      <w:pPr>
        <w:spacing w:after="0" w:line="14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31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 globally in our targeted transactions</w:t>
      </w:r>
    </w:p>
    <w:p>
      <w:pPr>
        <w:spacing w:after="0" w:line="90" w:lineRule="exact"/>
        <w:rPr>
          <w:sz w:val="20"/>
          <w:szCs w:val="20"/>
          <w:color w:val="auto"/>
        </w:rPr>
      </w:pPr>
    </w:p>
    <w:p>
      <w:pPr>
        <w:ind w:left="440" w:hanging="324"/>
        <w:spacing w:after="0"/>
        <w:tabs>
          <w:tab w:leader="none" w:pos="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in “Target deals” including and excluding loans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in M&amp;A “Target deals”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#1 in Loan “Target deals”</w:t>
      </w:r>
    </w:p>
    <w:p>
      <w:pPr>
        <w:spacing w:after="0" w:line="246" w:lineRule="exact"/>
        <w:rPr>
          <w:rFonts w:ascii="Arial" w:cs="Arial" w:eastAsia="Arial" w:hAnsi="Arial"/>
          <w:sz w:val="18"/>
          <w:szCs w:val="18"/>
          <w:color w:val="auto"/>
        </w:rPr>
      </w:pPr>
    </w:p>
    <w:p>
      <w:pPr>
        <w:ind w:left="140" w:hanging="132"/>
        <w:spacing w:after="0"/>
        <w:tabs>
          <w:tab w:leader="none" w:pos="1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deals-2006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“Target deals” defined as:</w:t>
      </w:r>
    </w:p>
    <w:p>
      <w:pPr>
        <w:spacing w:after="0" w:line="90" w:lineRule="exact"/>
        <w:rPr>
          <w:sz w:val="20"/>
          <w:szCs w:val="20"/>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M&amp;A transactions ³ $250mm</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Equity transactions ³ $100mm</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Grade Corporate Bonds ³ $500mm</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Yield Corporate Bonds ³ $250mm</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Syndication Loans: Leveraged ³ $250mm and Investment Grade ³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2504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31840"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Source: Dealogic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maintain focus on growing our Fixed Income and Equity Markets franchises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2006 Fixed Income Markets revenue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662045" cy="4356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62045" cy="435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2006 Equity Markets revenue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524885" cy="4347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24885" cy="434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229"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Agenda</w:t>
      </w:r>
    </w:p>
    <w:p>
      <w:pPr>
        <w:spacing w:after="0" w:line="90" w:lineRule="exact"/>
        <w:rPr>
          <w:sz w:val="20"/>
          <w:szCs w:val="20"/>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2006 performance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target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Areas of focus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Accelerate revenue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Build and retain talent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Enhance management discipline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Key takeaways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target and 2007 outlook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Performance target</w:t>
      </w:r>
    </w:p>
    <w:p>
      <w:pPr>
        <w:spacing w:after="0" w:line="90" w:lineRule="exact"/>
        <w:rPr>
          <w:sz w:val="20"/>
          <w:szCs w:val="20"/>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 ROE through the cycle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Strive to achieve by end of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2007 Outlook</w:t>
      </w:r>
    </w:p>
    <w:p>
      <w:pPr>
        <w:spacing w:after="0" w:line="90" w:lineRule="exact"/>
        <w:rPr>
          <w:sz w:val="20"/>
          <w:szCs w:val="20"/>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Strong IB fee pipeline entering 2007</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 costs trend to more normal levels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Modest increase in expense (ex. incentive compensation) reflecting continued investments in growth areas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Agenda</w:t>
      </w:r>
    </w:p>
    <w:p>
      <w:pPr>
        <w:spacing w:after="0" w:line="90" w:lineRule="exact"/>
        <w:rPr>
          <w:sz w:val="20"/>
          <w:szCs w:val="20"/>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of 2006 performance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target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Areas of focus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Accelerate revenue growth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Maintain momentum in IB fees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Capture synergies of universal bank model</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Fill product gaps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Invest in growth initiatives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Build and retain talent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Enhance management discipline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Risk productivity and ROI</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Capital re-allocation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Business efficiency and expense management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Key takeaways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Keys to our success: transformational deals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4"/>
                <w:szCs w:val="14"/>
                <w:color w:val="auto"/>
              </w:rPr>
            </w:pPr>
          </w:p>
        </w:tc>
      </w:tr>
      <w:tr>
        <w:trPr>
          <w:trHeight w:val="21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1"/>
              </w:rPr>
              <w:t>JPM participation in top 25</w:t>
            </w: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M&amp;A Announced deals</w:t>
            </w:r>
          </w:p>
        </w:tc>
        <w:tc>
          <w:tcPr>
            <w:tcW w:w="3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w w:val="91"/>
              </w:rPr>
              <w:t>JPM participation in top 25</w:t>
            </w:r>
          </w:p>
        </w:tc>
        <w:tc>
          <w:tcPr>
            <w:tcW w:w="5140" w:type="dxa"/>
            <w:vAlign w:val="bottom"/>
          </w:tcPr>
          <w:p>
            <w:pPr>
              <w:ind w:left="20"/>
              <w:spacing w:after="0"/>
              <w:rPr>
                <w:sz w:val="20"/>
                <w:szCs w:val="20"/>
                <w:color w:val="auto"/>
              </w:rPr>
            </w:pPr>
            <w:r>
              <w:rPr>
                <w:rFonts w:ascii="Arial" w:cs="Arial" w:eastAsia="Arial" w:hAnsi="Arial"/>
                <w:sz w:val="18"/>
                <w:szCs w:val="18"/>
                <w:color w:val="auto"/>
              </w:rPr>
              <w:t>LBOs</w:t>
            </w:r>
          </w:p>
        </w:tc>
        <w:tc>
          <w:tcPr>
            <w:tcW w:w="3640" w:type="dxa"/>
            <w:vAlign w:val="bottom"/>
            <w:gridSpan w:val="3"/>
          </w:tcPr>
          <w:p>
            <w:pPr>
              <w:jc w:val="right"/>
              <w:ind w:right="280"/>
              <w:spacing w:after="0"/>
              <w:rPr>
                <w:sz w:val="20"/>
                <w:szCs w:val="20"/>
                <w:color w:val="auto"/>
              </w:rPr>
            </w:pPr>
            <w:r>
              <w:rPr>
                <w:rFonts w:ascii="Arial" w:cs="Arial" w:eastAsia="Arial" w:hAnsi="Arial"/>
                <w:sz w:val="18"/>
                <w:szCs w:val="18"/>
                <w:color w:val="auto"/>
              </w:rPr>
              <w:t>48%</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 participation in top 25 fee events</w:t>
            </w:r>
          </w:p>
        </w:tc>
        <w:tc>
          <w:tcPr>
            <w:tcW w:w="3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7100" w:type="dxa"/>
            <w:vAlign w:val="bottom"/>
            <w:gridSpan w:val="2"/>
          </w:tcPr>
          <w:p>
            <w:pPr>
              <w:spacing w:after="0"/>
              <w:rPr>
                <w:sz w:val="20"/>
                <w:szCs w:val="20"/>
                <w:color w:val="auto"/>
              </w:rPr>
            </w:pPr>
            <w:r>
              <w:rPr>
                <w:rFonts w:ascii="Arial" w:cs="Arial" w:eastAsia="Arial" w:hAnsi="Arial"/>
                <w:sz w:val="18"/>
                <w:szCs w:val="18"/>
                <w:color w:val="auto"/>
              </w:rPr>
              <w:t>JPM wallet share in top 25 fee events</w:t>
            </w:r>
          </w:p>
        </w:tc>
        <w:tc>
          <w:tcPr>
            <w:tcW w:w="3640" w:type="dxa"/>
            <w:vAlign w:val="bottom"/>
            <w:gridSpan w:val="3"/>
          </w:tcPr>
          <w:p>
            <w:pPr>
              <w:jc w:val="right"/>
              <w:ind w:right="280"/>
              <w:spacing w:after="0"/>
              <w:rPr>
                <w:sz w:val="20"/>
                <w:szCs w:val="20"/>
                <w:color w:val="auto"/>
              </w:rPr>
            </w:pPr>
            <w:r>
              <w:rPr>
                <w:rFonts w:ascii="Arial" w:cs="Arial" w:eastAsia="Arial" w:hAnsi="Arial"/>
                <w:sz w:val="18"/>
                <w:szCs w:val="18"/>
                <w:color w:val="auto"/>
              </w:rPr>
              <w:t>9.0%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7.4%</w:t>
            </w:r>
          </w:p>
        </w:tc>
      </w:tr>
    </w:tbl>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Source: Dealogic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114300</wp:posOffset>
            </wp:positionV>
            <wp:extent cx="5831840" cy="3689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3184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No. of deals generating $25mm+ in IB fees (“elephant” deals)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Aggregate IB fees from “elephant” deals ($mm)</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6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 $400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IB fees</w:t>
            </w:r>
          </w:p>
        </w:tc>
        <w:tc>
          <w:tcPr>
            <w:tcW w:w="3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Powerful client franchise with significant upside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Source: Dealogic, 3/1/07; Data for FY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Continuing to capture synergies of the universal bank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978910" cy="4227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78910" cy="422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Examples of 2006 progress</w:t>
      </w:r>
    </w:p>
    <w:p>
      <w:pPr>
        <w:spacing w:after="0" w:line="90" w:lineRule="exact"/>
        <w:rPr>
          <w:sz w:val="20"/>
          <w:szCs w:val="20"/>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T&amp;SS</w:t>
      </w:r>
      <w:r>
        <w:rPr>
          <w:rFonts w:ascii="Arial" w:cs="Arial" w:eastAsia="Arial" w:hAnsi="Arial"/>
          <w:sz w:val="18"/>
          <w:szCs w:val="18"/>
          <w:color w:val="auto"/>
        </w:rPr>
        <w:t>: FX revenue from TSS cross-sell up 17% from 2005</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CB</w:t>
      </w:r>
      <w:r>
        <w:rPr>
          <w:rFonts w:ascii="Arial" w:cs="Arial" w:eastAsia="Arial" w:hAnsi="Arial"/>
          <w:sz w:val="18"/>
          <w:szCs w:val="18"/>
          <w:color w:val="auto"/>
        </w:rPr>
        <w:t>: Gross IB revenue from CB clients up 30% from 2005</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AM</w:t>
      </w:r>
      <w:r>
        <w:rPr>
          <w:rFonts w:ascii="Arial" w:cs="Arial" w:eastAsia="Arial" w:hAnsi="Arial"/>
          <w:sz w:val="18"/>
          <w:szCs w:val="18"/>
          <w:color w:val="auto"/>
        </w:rPr>
        <w:t>: Fivefold increase in AUM from IB/Mid-Corp referrals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Key growth initiatives</w:t>
      </w:r>
    </w:p>
    <w:p>
      <w:pPr>
        <w:spacing w:after="0" w:line="369"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Progress</w:t>
      </w:r>
    </w:p>
    <w:p>
      <w:pPr>
        <w:spacing w:after="0" w:line="13" w:lineRule="exact"/>
        <w:rPr>
          <w:sz w:val="20"/>
          <w:szCs w:val="20"/>
          <w:color w:val="auto"/>
        </w:rPr>
      </w:pPr>
    </w:p>
    <w:p>
      <w:pPr>
        <w:spacing w:after="0"/>
        <w:tabs>
          <w:tab w:leader="none" w:pos="1100" w:val="left"/>
          <w:tab w:leader="none" w:pos="1420" w:val="left"/>
        </w:tabs>
        <w:rPr>
          <w:sz w:val="20"/>
          <w:szCs w:val="20"/>
          <w:color w:val="auto"/>
        </w:rPr>
      </w:pPr>
      <w:r>
        <w:rPr>
          <w:rFonts w:ascii="Arial" w:cs="Arial" w:eastAsia="Arial" w:hAnsi="Arial"/>
          <w:sz w:val="18"/>
          <w:szCs w:val="18"/>
          <w:b w:val="1"/>
          <w:bCs w:val="1"/>
          <w:color w:val="auto"/>
        </w:rPr>
        <w:t>Energy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America build-out largely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-130175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6" w:lineRule="exact"/>
        <w:rPr>
          <w:sz w:val="20"/>
          <w:szCs w:val="20"/>
          <w:color w:val="auto"/>
        </w:rPr>
      </w:pPr>
    </w:p>
    <w:p>
      <w:pPr>
        <w:ind w:left="1460" w:hanging="331"/>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2006 client revenues 80% above 2005 level</w:t>
      </w:r>
    </w:p>
    <w:p>
      <w:pPr>
        <w:spacing w:after="0" w:line="90" w:lineRule="exact"/>
        <w:rPr>
          <w:rFonts w:ascii="Arial" w:cs="Arial" w:eastAsia="Arial" w:hAnsi="Arial"/>
          <w:sz w:val="18"/>
          <w:szCs w:val="18"/>
          <w:color w:val="auto"/>
        </w:rPr>
      </w:pPr>
    </w:p>
    <w:p>
      <w:pPr>
        <w:ind w:left="1460" w:hanging="331"/>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Expanded our product capabilities</w:t>
      </w:r>
    </w:p>
    <w:p>
      <w:pPr>
        <w:spacing w:after="0" w:line="90" w:lineRule="exact"/>
        <w:rPr>
          <w:rFonts w:ascii="Arial" w:cs="Arial" w:eastAsia="Arial" w:hAnsi="Arial"/>
          <w:sz w:val="18"/>
          <w:szCs w:val="18"/>
          <w:color w:val="auto"/>
        </w:rPr>
      </w:pPr>
    </w:p>
    <w:p>
      <w:pPr>
        <w:jc w:val="both"/>
        <w:ind w:left="1880" w:hanging="319"/>
        <w:spacing w:after="0" w:line="306" w:lineRule="auto"/>
        <w:tabs>
          <w:tab w:leader="none" w:pos="1878" w:val="left"/>
        </w:tabs>
        <w:numPr>
          <w:ilvl w:val="1"/>
          <w:numId w:val="12"/>
        </w:numPr>
        <w:rPr>
          <w:rFonts w:ascii="Arial" w:cs="Arial" w:eastAsia="Arial" w:hAnsi="Arial"/>
          <w:sz w:val="16"/>
          <w:szCs w:val="16"/>
          <w:color w:val="auto"/>
        </w:rPr>
      </w:pPr>
      <w:r>
        <w:rPr>
          <w:rFonts w:ascii="Arial" w:cs="Arial" w:eastAsia="Arial" w:hAnsi="Arial"/>
          <w:sz w:val="16"/>
          <w:szCs w:val="16"/>
          <w:color w:val="auto"/>
        </w:rPr>
        <w:t>Trading in Physical Gas &amp; Storage, Financial &amp; Physical Power, Coal, Financial Oil, Emissions Credits, Dry Freight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Incremental</w:t>
            </w:r>
          </w:p>
        </w:tc>
      </w:tr>
      <w:tr>
        <w:trPr>
          <w:trHeight w:val="193"/>
        </w:trPr>
        <w:tc>
          <w:tcPr>
            <w:tcW w:w="4440" w:type="dxa"/>
            <w:vAlign w:val="bottom"/>
          </w:tcPr>
          <w:p>
            <w:pPr>
              <w:spacing w:after="0"/>
              <w:rPr>
                <w:sz w:val="20"/>
                <w:szCs w:val="20"/>
                <w:color w:val="auto"/>
              </w:rPr>
            </w:pPr>
            <w:r>
              <w:rPr>
                <w:rFonts w:ascii="Arial" w:cs="Arial" w:eastAsia="Arial" w:hAnsi="Arial"/>
                <w:sz w:val="14"/>
                <w:szCs w:val="14"/>
                <w:b w:val="1"/>
                <w:bCs w:val="1"/>
                <w:color w:val="auto"/>
              </w:rPr>
              <w:t>Next steps</w:t>
            </w:r>
          </w:p>
        </w:tc>
        <w:tc>
          <w:tcPr>
            <w:tcW w:w="1280" w:type="dxa"/>
            <w:vAlign w:val="bottom"/>
            <w:gridSpan w:val="2"/>
          </w:tcPr>
          <w:p>
            <w:pPr>
              <w:ind w:left="100"/>
              <w:spacing w:after="0" w:line="193" w:lineRule="exact"/>
              <w:rPr>
                <w:sz w:val="20"/>
                <w:szCs w:val="20"/>
                <w:color w:val="auto"/>
              </w:rPr>
            </w:pPr>
            <w:r>
              <w:rPr>
                <w:rFonts w:ascii="Arial" w:cs="Arial" w:eastAsia="Arial" w:hAnsi="Arial"/>
                <w:sz w:val="14"/>
                <w:szCs w:val="14"/>
                <w:b w:val="1"/>
                <w:bCs w:val="1"/>
                <w:color w:val="auto"/>
              </w:rPr>
              <w:t>earnings impact</w:t>
            </w:r>
            <w:r>
              <w:rPr>
                <w:rFonts w:ascii="Arial" w:cs="Arial" w:eastAsia="Arial" w:hAnsi="Arial"/>
                <w:sz w:val="22"/>
                <w:szCs w:val="22"/>
                <w:b w:val="1"/>
                <w:bCs w:val="1"/>
                <w:color w:val="auto"/>
                <w:vertAlign w:val="superscript"/>
              </w:rPr>
              <w:t>1</w:t>
            </w:r>
          </w:p>
        </w:tc>
      </w:tr>
      <w:tr>
        <w:trPr>
          <w:trHeight w:val="216"/>
        </w:trPr>
        <w:tc>
          <w:tcPr>
            <w:tcW w:w="4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   Complete European build-out; focus on Asia</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$100-$160mm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-715010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6" w:lineRule="exact"/>
        <w:rPr>
          <w:sz w:val="20"/>
          <w:szCs w:val="20"/>
          <w:color w:val="auto"/>
        </w:rPr>
      </w:pPr>
    </w:p>
    <w:p>
      <w:pPr>
        <w:ind w:left="420" w:right="1700" w:hanging="318"/>
        <w:spacing w:after="0" w:line="268" w:lineRule="auto"/>
        <w:tabs>
          <w:tab w:leader="none" w:pos="4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Estimated wallet of $11B by 2010 – targeting a 8% market share</w:t>
      </w:r>
    </w:p>
    <w:p>
      <w:pPr>
        <w:spacing w:after="0" w:line="895" w:lineRule="exact"/>
        <w:rPr>
          <w:sz w:val="20"/>
          <w:szCs w:val="20"/>
          <w:color w:val="auto"/>
        </w:rPr>
      </w:pPr>
    </w:p>
    <w:p>
      <w:pPr>
        <w:sectPr>
          <w:pgSz w:w="11900" w:h="16838" w:orient="portrait"/>
          <w:cols w:equalWidth="0" w:num="2">
            <w:col w:w="5260" w:space="440"/>
            <w:col w:w="5720"/>
          </w:cols>
          <w:pgMar w:left="240" w:top="280"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b w:val="1"/>
                <w:bCs w:val="1"/>
                <w:color w:val="auto"/>
                <w:w w:val="99"/>
              </w:rPr>
              <w:t>Securitized</w:t>
            </w:r>
          </w:p>
        </w:tc>
        <w:tc>
          <w:tcPr>
            <w:tcW w:w="4620" w:type="dxa"/>
            <w:vAlign w:val="bottom"/>
          </w:tcPr>
          <w:p>
            <w:pPr>
              <w:ind w:left="140"/>
              <w:spacing w:after="0"/>
              <w:rPr>
                <w:sz w:val="20"/>
                <w:szCs w:val="20"/>
                <w:color w:val="auto"/>
              </w:rPr>
            </w:pPr>
            <w:r>
              <w:rPr>
                <w:rFonts w:ascii="Arial" w:cs="Arial" w:eastAsia="Arial" w:hAnsi="Arial"/>
                <w:sz w:val="18"/>
                <w:szCs w:val="18"/>
                <w:color w:val="auto"/>
              </w:rPr>
              <w:t>•   Strong performance with increased market share:</w:t>
            </w:r>
          </w:p>
        </w:tc>
        <w:tc>
          <w:tcPr>
            <w:tcW w:w="5680" w:type="dxa"/>
            <w:vAlign w:val="bottom"/>
          </w:tcPr>
          <w:p>
            <w:pPr>
              <w:ind w:left="200"/>
              <w:spacing w:after="0"/>
              <w:rPr>
                <w:sz w:val="20"/>
                <w:szCs w:val="20"/>
                <w:color w:val="auto"/>
              </w:rPr>
            </w:pPr>
            <w:r>
              <w:rPr>
                <w:rFonts w:ascii="Arial" w:cs="Arial" w:eastAsia="Arial" w:hAnsi="Arial"/>
                <w:sz w:val="18"/>
                <w:szCs w:val="18"/>
                <w:color w:val="auto"/>
                <w:w w:val="91"/>
              </w:rPr>
              <w:t>•   Continue to expand our securitization capabilities across  $100-$160mm</w:t>
            </w:r>
          </w:p>
        </w:tc>
      </w:tr>
      <w:tr>
        <w:trPr>
          <w:trHeight w:val="303"/>
        </w:trPr>
        <w:tc>
          <w:tcPr>
            <w:tcW w:w="980" w:type="dxa"/>
            <w:vAlign w:val="bottom"/>
          </w:tcPr>
          <w:p>
            <w:pPr>
              <w:spacing w:after="0"/>
              <w:rPr>
                <w:sz w:val="20"/>
                <w:szCs w:val="20"/>
                <w:color w:val="auto"/>
              </w:rPr>
            </w:pPr>
            <w:r>
              <w:rPr>
                <w:rFonts w:ascii="Arial" w:cs="Arial" w:eastAsia="Arial" w:hAnsi="Arial"/>
                <w:sz w:val="18"/>
                <w:szCs w:val="18"/>
                <w:b w:val="1"/>
                <w:bCs w:val="1"/>
                <w:color w:val="auto"/>
              </w:rPr>
              <w:t>Products</w:t>
            </w:r>
          </w:p>
        </w:tc>
        <w:tc>
          <w:tcPr>
            <w:tcW w:w="4620" w:type="dxa"/>
            <w:vAlign w:val="bottom"/>
          </w:tcPr>
          <w:p>
            <w:pPr>
              <w:ind w:left="480"/>
              <w:spacing w:after="0"/>
              <w:rPr>
                <w:sz w:val="20"/>
                <w:szCs w:val="20"/>
                <w:color w:val="auto"/>
              </w:rPr>
            </w:pPr>
            <w:r>
              <w:rPr>
                <w:rFonts w:ascii="Arial" w:cs="Arial" w:eastAsia="Arial" w:hAnsi="Arial"/>
                <w:sz w:val="18"/>
                <w:szCs w:val="18"/>
                <w:color w:val="auto"/>
              </w:rPr>
              <w:t>-Global ABS</w:t>
            </w:r>
            <w:r>
              <w:rPr>
                <w:rFonts w:ascii="Arial" w:cs="Arial" w:eastAsia="Arial" w:hAnsi="Arial"/>
                <w:sz w:val="22"/>
                <w:szCs w:val="22"/>
                <w:color w:val="auto"/>
                <w:vertAlign w:val="superscript"/>
              </w:rPr>
              <w:t>2</w:t>
            </w:r>
            <w:r>
              <w:rPr>
                <w:rFonts w:ascii="Arial" w:cs="Arial" w:eastAsia="Arial" w:hAnsi="Arial"/>
                <w:sz w:val="18"/>
                <w:szCs w:val="18"/>
                <w:color w:val="auto"/>
              </w:rPr>
              <w:t>: #10 to #6</w:t>
            </w:r>
          </w:p>
        </w:tc>
        <w:tc>
          <w:tcPr>
            <w:tcW w:w="5680" w:type="dxa"/>
            <w:vAlign w:val="bottom"/>
          </w:tcPr>
          <w:p>
            <w:pPr>
              <w:ind w:left="520"/>
              <w:spacing w:after="0"/>
              <w:rPr>
                <w:sz w:val="20"/>
                <w:szCs w:val="20"/>
                <w:color w:val="auto"/>
              </w:rPr>
            </w:pPr>
            <w:r>
              <w:rPr>
                <w:rFonts w:ascii="Arial" w:cs="Arial" w:eastAsia="Arial" w:hAnsi="Arial"/>
                <w:sz w:val="18"/>
                <w:szCs w:val="18"/>
                <w:color w:val="auto"/>
              </w:rPr>
              <w:t>the globe, including in principal finance</w:t>
            </w:r>
          </w:p>
        </w:tc>
      </w:tr>
      <w:tr>
        <w:trPr>
          <w:trHeight w:val="216"/>
        </w:trPr>
        <w:tc>
          <w:tcPr>
            <w:tcW w:w="980" w:type="dxa"/>
            <w:vAlign w:val="bottom"/>
          </w:tcPr>
          <w:p>
            <w:pPr>
              <w:spacing w:after="0"/>
              <w:rPr>
                <w:sz w:val="18"/>
                <w:szCs w:val="18"/>
                <w:color w:val="auto"/>
              </w:rPr>
            </w:pPr>
          </w:p>
        </w:tc>
        <w:tc>
          <w:tcPr>
            <w:tcW w:w="4620" w:type="dxa"/>
            <w:vAlign w:val="bottom"/>
          </w:tcPr>
          <w:p>
            <w:pPr>
              <w:ind w:left="480"/>
              <w:spacing w:after="0" w:line="217" w:lineRule="exact"/>
              <w:rPr>
                <w:sz w:val="20"/>
                <w:szCs w:val="20"/>
                <w:color w:val="auto"/>
              </w:rPr>
            </w:pPr>
            <w:r>
              <w:rPr>
                <w:rFonts w:ascii="Arial" w:cs="Arial" w:eastAsia="Arial" w:hAnsi="Arial"/>
                <w:sz w:val="18"/>
                <w:szCs w:val="18"/>
                <w:color w:val="auto"/>
              </w:rPr>
              <w:t>-Global ABS conduits</w:t>
            </w:r>
            <w:r>
              <w:rPr>
                <w:rFonts w:ascii="Arial" w:cs="Arial" w:eastAsia="Arial" w:hAnsi="Arial"/>
                <w:sz w:val="22"/>
                <w:szCs w:val="22"/>
                <w:color w:val="auto"/>
                <w:vertAlign w:val="superscript"/>
              </w:rPr>
              <w:t>3</w:t>
            </w:r>
            <w:r>
              <w:rPr>
                <w:rFonts w:ascii="Arial" w:cs="Arial" w:eastAsia="Arial" w:hAnsi="Arial"/>
                <w:sz w:val="18"/>
                <w:szCs w:val="18"/>
                <w:color w:val="auto"/>
              </w:rPr>
              <w:t>: #2</w:t>
            </w:r>
          </w:p>
        </w:tc>
        <w:tc>
          <w:tcPr>
            <w:tcW w:w="56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620" w:type="dxa"/>
            <w:vAlign w:val="bottom"/>
          </w:tcPr>
          <w:p>
            <w:pPr>
              <w:ind w:left="480"/>
              <w:spacing w:after="0" w:line="217" w:lineRule="exact"/>
              <w:rPr>
                <w:sz w:val="20"/>
                <w:szCs w:val="20"/>
                <w:color w:val="auto"/>
              </w:rPr>
            </w:pPr>
            <w:r>
              <w:rPr>
                <w:rFonts w:ascii="Arial" w:cs="Arial" w:eastAsia="Arial" w:hAnsi="Arial"/>
                <w:sz w:val="18"/>
                <w:szCs w:val="18"/>
                <w:color w:val="auto"/>
              </w:rPr>
              <w:t>-Fannie Mae CMO</w:t>
            </w:r>
            <w:r>
              <w:rPr>
                <w:rFonts w:ascii="Arial" w:cs="Arial" w:eastAsia="Arial" w:hAnsi="Arial"/>
                <w:sz w:val="22"/>
                <w:szCs w:val="22"/>
                <w:color w:val="auto"/>
                <w:vertAlign w:val="superscript"/>
              </w:rPr>
              <w:t>4</w:t>
            </w:r>
            <w:r>
              <w:rPr>
                <w:rFonts w:ascii="Arial" w:cs="Arial" w:eastAsia="Arial" w:hAnsi="Arial"/>
                <w:sz w:val="18"/>
                <w:szCs w:val="18"/>
                <w:color w:val="auto"/>
              </w:rPr>
              <w:t>: #1</w:t>
            </w:r>
          </w:p>
        </w:tc>
        <w:tc>
          <w:tcPr>
            <w:tcW w:w="5680" w:type="dxa"/>
            <w:vAlign w:val="bottom"/>
          </w:tcPr>
          <w:p>
            <w:pPr>
              <w:spacing w:after="0"/>
              <w:rPr>
                <w:sz w:val="18"/>
                <w:szCs w:val="18"/>
                <w:color w:val="auto"/>
              </w:rPr>
            </w:pPr>
          </w:p>
        </w:tc>
      </w:tr>
      <w:tr>
        <w:trPr>
          <w:trHeight w:val="299"/>
        </w:trPr>
        <w:tc>
          <w:tcPr>
            <w:tcW w:w="980" w:type="dxa"/>
            <w:vAlign w:val="bottom"/>
          </w:tcPr>
          <w:p>
            <w:pPr>
              <w:spacing w:after="0"/>
              <w:rPr>
                <w:sz w:val="24"/>
                <w:szCs w:val="24"/>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-CMBS</w:t>
            </w:r>
            <w:r>
              <w:rPr>
                <w:rFonts w:ascii="Arial" w:cs="Arial" w:eastAsia="Arial" w:hAnsi="Arial"/>
                <w:sz w:val="22"/>
                <w:szCs w:val="22"/>
                <w:color w:val="auto"/>
                <w:vertAlign w:val="superscript"/>
              </w:rPr>
              <w:t>5</w:t>
            </w:r>
            <w:r>
              <w:rPr>
                <w:rFonts w:ascii="Arial" w:cs="Arial" w:eastAsia="Arial" w:hAnsi="Arial"/>
                <w:sz w:val="18"/>
                <w:szCs w:val="18"/>
                <w:color w:val="auto"/>
              </w:rPr>
              <w:t>: #2 U.S., #4 Global</w:t>
            </w:r>
          </w:p>
        </w:tc>
        <w:tc>
          <w:tcPr>
            <w:tcW w:w="568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w w:val="97"/>
              </w:rPr>
              <w:t>•   Securitization of Chase Home Lending non-conforming</w:t>
            </w:r>
          </w:p>
        </w:tc>
        <w:tc>
          <w:tcPr>
            <w:tcW w:w="5680" w:type="dxa"/>
            <w:vAlign w:val="bottom"/>
          </w:tcPr>
          <w:p>
            <w:pPr>
              <w:spacing w:after="0"/>
              <w:rPr>
                <w:sz w:val="19"/>
                <w:szCs w:val="19"/>
                <w:color w:val="auto"/>
              </w:rPr>
            </w:pPr>
          </w:p>
        </w:tc>
      </w:tr>
      <w:tr>
        <w:trPr>
          <w:trHeight w:val="222"/>
        </w:trPr>
        <w:tc>
          <w:tcPr>
            <w:tcW w:w="980" w:type="dxa"/>
            <w:vAlign w:val="bottom"/>
          </w:tcPr>
          <w:p>
            <w:pPr>
              <w:spacing w:after="0"/>
              <w:rPr>
                <w:sz w:val="19"/>
                <w:szCs w:val="19"/>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production for sale at 95% (up from 80% in 2005)</w:t>
            </w:r>
          </w:p>
        </w:tc>
        <w:tc>
          <w:tcPr>
            <w:tcW w:w="56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1320"/>
        <w:spacing w:after="0" w:line="211" w:lineRule="auto"/>
        <w:rPr>
          <w:sz w:val="20"/>
          <w:szCs w:val="20"/>
          <w:color w:val="auto"/>
        </w:rPr>
      </w:pPr>
      <w:r>
        <w:rPr>
          <w:rFonts w:ascii="Arial" w:cs="Arial" w:eastAsia="Arial" w:hAnsi="Arial"/>
          <w:sz w:val="18"/>
          <w:szCs w:val="18"/>
          <w:color w:val="auto"/>
        </w:rPr>
        <w:t>Potential incremental impact to 2006 earnings post build-out, which may be beyond 2007; results will be dependent on market conditions Source: Thomson Financial</w:t>
      </w:r>
    </w:p>
    <w:p>
      <w:pPr>
        <w:spacing w:after="0" w:line="1" w:lineRule="exact"/>
        <w:rPr>
          <w:sz w:val="20"/>
          <w:szCs w:val="20"/>
          <w:color w:val="auto"/>
        </w:rPr>
      </w:pPr>
    </w:p>
    <w:p>
      <w:pPr>
        <w:ind w:right="4500"/>
        <w:spacing w:after="0" w:line="203" w:lineRule="auto"/>
        <w:rPr>
          <w:sz w:val="20"/>
          <w:szCs w:val="20"/>
          <w:color w:val="auto"/>
        </w:rPr>
      </w:pPr>
      <w:r>
        <w:rPr>
          <w:rFonts w:ascii="Arial" w:cs="Arial" w:eastAsia="Arial" w:hAnsi="Arial"/>
          <w:sz w:val="18"/>
          <w:szCs w:val="18"/>
          <w:color w:val="auto"/>
        </w:rPr>
        <w:t>Moody’s Asset-Backed Commercial Paper program index, Six-months ended June 30, 2006 Source: FNMA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Source: Commercial Mortgage Alert</w:t>
      </w:r>
    </w:p>
    <w:p>
      <w:pPr>
        <w:spacing w:after="0" w:line="130" w:lineRule="exact"/>
        <w:rPr>
          <w:sz w:val="20"/>
          <w:szCs w:val="20"/>
          <w:color w:val="auto"/>
        </w:rPr>
      </w:pPr>
    </w:p>
    <w:p>
      <w:pPr>
        <w:sectPr>
          <w:pgSz w:w="11900" w:h="16838" w:orient="portrait"/>
          <w:cols w:equalWidth="0" w:num="2">
            <w:col w:w="60" w:space="400"/>
            <w:col w:w="1096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Key growth initiatives</w:t>
      </w:r>
    </w:p>
    <w:p>
      <w:pPr>
        <w:sectPr>
          <w:pgSz w:w="11900" w:h="16838" w:orient="portrait"/>
          <w:cols w:equalWidth="0" w:num="1">
            <w:col w:w="11420"/>
          </w:cols>
          <w:pgMar w:left="240" w:top="280" w:right="239" w:bottom="1440" w:gutter="0" w:footer="0" w:header="0"/>
        </w:sect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Asia</w:t>
            </w:r>
          </w:p>
        </w:tc>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Progress</w:t>
            </w:r>
          </w:p>
        </w:tc>
        <w:tc>
          <w:tcPr>
            <w:tcW w:w="0" w:type="dxa"/>
            <w:vAlign w:val="bottom"/>
          </w:tcPr>
          <w:p>
            <w:pPr>
              <w:spacing w:after="0"/>
              <w:rPr>
                <w:sz w:val="1"/>
                <w:szCs w:val="1"/>
                <w:color w:val="auto"/>
              </w:rPr>
            </w:pPr>
          </w:p>
        </w:tc>
      </w:tr>
      <w:tr>
        <w:trPr>
          <w:trHeight w:val="201"/>
        </w:trPr>
        <w:tc>
          <w:tcPr>
            <w:tcW w:w="1020" w:type="dxa"/>
            <w:vAlign w:val="bottom"/>
            <w:vMerge w:val="continue"/>
          </w:tcPr>
          <w:p>
            <w:pPr>
              <w:spacing w:after="0"/>
              <w:rPr>
                <w:sz w:val="17"/>
                <w:szCs w:val="17"/>
                <w:color w:val="auto"/>
              </w:rPr>
            </w:pPr>
          </w:p>
        </w:tc>
        <w:tc>
          <w:tcPr>
            <w:tcW w:w="4440" w:type="dxa"/>
            <w:vAlign w:val="bottom"/>
          </w:tcPr>
          <w:p>
            <w:pPr>
              <w:ind w:left="100"/>
              <w:spacing w:after="0" w:line="201" w:lineRule="exact"/>
              <w:rPr>
                <w:sz w:val="20"/>
                <w:szCs w:val="20"/>
                <w:color w:val="auto"/>
              </w:rPr>
            </w:pPr>
            <w:r>
              <w:rPr>
                <w:rFonts w:ascii="Arial" w:cs="Arial" w:eastAsia="Arial" w:hAnsi="Arial"/>
                <w:sz w:val="18"/>
                <w:szCs w:val="18"/>
                <w:color w:val="auto"/>
                <w:w w:val="93"/>
              </w:rPr>
              <w:t>•   Asia ex. Japan JPM IB fees CAGR of 30%+ from 2004-</w:t>
            </w: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4440" w:type="dxa"/>
            <w:vAlign w:val="bottom"/>
          </w:tcPr>
          <w:p>
            <w:pPr>
              <w:jc w:val="right"/>
              <w:ind w:right="3576"/>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4"/>
                <w:szCs w:val="24"/>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w w:val="96"/>
              </w:rPr>
              <w:t>•   Threefold increase in China revenue with strong</w:t>
            </w: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4440" w:type="dxa"/>
            <w:vAlign w:val="bottom"/>
          </w:tcPr>
          <w:p>
            <w:pPr>
              <w:ind w:left="860"/>
              <w:spacing w:after="0"/>
              <w:rPr>
                <w:sz w:val="20"/>
                <w:szCs w:val="20"/>
                <w:color w:val="auto"/>
              </w:rPr>
            </w:pPr>
            <w:r>
              <w:rPr>
                <w:rFonts w:ascii="Arial" w:cs="Arial" w:eastAsia="Arial" w:hAnsi="Arial"/>
                <w:sz w:val="18"/>
                <w:szCs w:val="18"/>
                <w:color w:val="auto"/>
              </w:rPr>
              <w:t>traction in ECM since 2004</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4"/>
                <w:szCs w:val="24"/>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   50%+ revenue growth in India since 2004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rPr>
              <w:t>Incremental</w:t>
            </w:r>
          </w:p>
        </w:tc>
      </w:tr>
      <w:tr>
        <w:trPr>
          <w:trHeight w:val="193"/>
        </w:trPr>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Next steps</w:t>
            </w:r>
          </w:p>
        </w:tc>
        <w:tc>
          <w:tcPr>
            <w:tcW w:w="220" w:type="dxa"/>
            <w:vAlign w:val="bottom"/>
          </w:tcPr>
          <w:p>
            <w:pPr>
              <w:spacing w:after="0"/>
              <w:rPr>
                <w:sz w:val="16"/>
                <w:szCs w:val="16"/>
                <w:color w:val="auto"/>
              </w:rPr>
            </w:pPr>
          </w:p>
        </w:tc>
        <w:tc>
          <w:tcPr>
            <w:tcW w:w="1080" w:type="dxa"/>
            <w:vAlign w:val="bottom"/>
            <w:tcBorders>
              <w:bottom w:val="single" w:sz="8" w:color="auto"/>
            </w:tcBorders>
          </w:tcPr>
          <w:p>
            <w:pPr>
              <w:spacing w:after="0" w:line="193" w:lineRule="exact"/>
              <w:rPr>
                <w:sz w:val="20"/>
                <w:szCs w:val="20"/>
                <w:color w:val="auto"/>
              </w:rPr>
            </w:pPr>
            <w:r>
              <w:rPr>
                <w:rFonts w:ascii="Arial" w:cs="Arial" w:eastAsia="Arial" w:hAnsi="Arial"/>
                <w:sz w:val="14"/>
                <w:szCs w:val="14"/>
                <w:b w:val="1"/>
                <w:bCs w:val="1"/>
                <w:color w:val="auto"/>
                <w:w w:val="91"/>
              </w:rPr>
              <w:t>earnings impact</w:t>
            </w:r>
            <w:r>
              <w:rPr>
                <w:rFonts w:ascii="Arial" w:cs="Arial" w:eastAsia="Arial" w:hAnsi="Arial"/>
                <w:sz w:val="22"/>
                <w:szCs w:val="22"/>
                <w:b w:val="1"/>
                <w:bCs w:val="1"/>
                <w:color w:val="auto"/>
                <w:w w:val="91"/>
                <w:vertAlign w:val="superscript"/>
              </w:rPr>
              <w:t>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Next steps for Emerging Markets below, plus:</w:t>
            </w:r>
          </w:p>
        </w:tc>
        <w:tc>
          <w:tcPr>
            <w:tcW w:w="2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9"/>
              </w:rPr>
              <w:t>$50-$250mm</w:t>
            </w:r>
          </w:p>
        </w:tc>
      </w:tr>
    </w:tbl>
    <w:p>
      <w:pPr>
        <w:spacing w:after="0" w:line="66" w:lineRule="exact"/>
        <w:rPr>
          <w:sz w:val="20"/>
          <w:szCs w:val="20"/>
          <w:color w:val="auto"/>
        </w:rPr>
      </w:pPr>
    </w:p>
    <w:p>
      <w:pPr>
        <w:ind w:left="860" w:right="1620" w:hanging="320"/>
        <w:spacing w:after="0" w:line="268" w:lineRule="auto"/>
        <w:tabs>
          <w:tab w:leader="none" w:pos="8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address expected growth in China ECM wallet</w:t>
      </w:r>
    </w:p>
    <w:p>
      <w:pPr>
        <w:spacing w:after="0" w:line="50" w:lineRule="exact"/>
        <w:rPr>
          <w:rFonts w:ascii="Arial" w:cs="Arial" w:eastAsia="Arial" w:hAnsi="Arial"/>
          <w:sz w:val="18"/>
          <w:szCs w:val="18"/>
          <w:color w:val="auto"/>
        </w:rPr>
      </w:pPr>
    </w:p>
    <w:p>
      <w:pPr>
        <w:ind w:left="860" w:right="1600" w:hanging="320"/>
        <w:spacing w:after="0" w:line="268" w:lineRule="auto"/>
        <w:tabs>
          <w:tab w:leader="none" w:pos="8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Client opportunity in Korea from expected de-regulation</w:t>
      </w:r>
    </w:p>
    <w:p>
      <w:pPr>
        <w:spacing w:after="0" w:line="50" w:lineRule="exact"/>
        <w:rPr>
          <w:rFonts w:ascii="Arial" w:cs="Arial" w:eastAsia="Arial" w:hAnsi="Arial"/>
          <w:sz w:val="18"/>
          <w:szCs w:val="18"/>
          <w:color w:val="auto"/>
        </w:rPr>
      </w:pPr>
    </w:p>
    <w:p>
      <w:pPr>
        <w:ind w:left="860" w:hanging="320"/>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Middle market opportunity in India</w:t>
      </w:r>
    </w:p>
    <w:p>
      <w:pPr>
        <w:spacing w:after="0" w:line="90" w:lineRule="exact"/>
        <w:rPr>
          <w:sz w:val="20"/>
          <w:szCs w:val="20"/>
          <w:color w:val="auto"/>
        </w:rPr>
      </w:pPr>
    </w:p>
    <w:p>
      <w:pPr>
        <w:sectPr>
          <w:pgSz w:w="11900" w:h="16838" w:orient="portrait"/>
          <w:cols w:equalWidth="0" w:num="2">
            <w:col w:w="5460" w:space="220"/>
            <w:col w:w="5740"/>
          </w:cols>
          <w:pgMar w:left="240" w:top="280" w:right="239" w:bottom="1440" w:gutter="0" w:footer="0" w:header="0"/>
          <w:type w:val="continuous"/>
        </w:sectPr>
      </w:pPr>
    </w:p>
    <w:p>
      <w:pPr>
        <w:ind w:left="6220"/>
        <w:spacing w:after="0"/>
        <w:tabs>
          <w:tab w:leader="none" w:pos="6520" w:val="left"/>
        </w:tabs>
        <w:rPr>
          <w:sz w:val="20"/>
          <w:szCs w:val="20"/>
          <w:color w:val="auto"/>
        </w:rPr>
      </w:pPr>
      <w:r>
        <w:rPr>
          <w:rFonts w:ascii="Arial" w:cs="Arial" w:eastAsia="Arial" w:hAnsi="Arial"/>
          <w:sz w:val="18"/>
          <w:szCs w:val="18"/>
          <w:color w:val="auto"/>
        </w:rPr>
        <w:t>•</w:t>
        <w:tab/>
        <w:t>Market share growth opportunity in Japan</w:t>
      </w:r>
    </w:p>
    <w:p>
      <w:pPr>
        <w:spacing w:after="0" w:line="125" w:lineRule="exact"/>
        <w:rPr>
          <w:sz w:val="20"/>
          <w:szCs w:val="20"/>
          <w:color w:val="auto"/>
        </w:rPr>
      </w:pPr>
    </w:p>
    <w:p>
      <w:pPr>
        <w:spacing w:after="0"/>
        <w:tabs>
          <w:tab w:leader="none" w:pos="1100" w:val="left"/>
          <w:tab w:leader="none" w:pos="1440" w:val="left"/>
          <w:tab w:leader="none" w:pos="6200" w:val="left"/>
          <w:tab w:leader="none" w:pos="6520" w:val="left"/>
          <w:tab w:leader="none" w:pos="10320" w:val="left"/>
        </w:tabs>
        <w:rPr>
          <w:sz w:val="20"/>
          <w:szCs w:val="20"/>
          <w:color w:val="auto"/>
        </w:rPr>
      </w:pPr>
      <w:r>
        <w:rPr>
          <w:rFonts w:ascii="Arial" w:cs="Arial" w:eastAsia="Arial" w:hAnsi="Arial"/>
          <w:sz w:val="18"/>
          <w:szCs w:val="18"/>
          <w:b w:val="1"/>
          <w:bCs w:val="1"/>
          <w:color w:val="auto"/>
        </w:rPr>
        <w:t>Emerging</w:t>
      </w:r>
      <w:r>
        <w:rPr>
          <w:sz w:val="20"/>
          <w:szCs w:val="20"/>
          <w:color w:val="auto"/>
        </w:rPr>
        <w:tab/>
      </w:r>
      <w:r>
        <w:rPr>
          <w:rFonts w:ascii="Arial" w:cs="Arial" w:eastAsia="Arial" w:hAnsi="Arial"/>
          <w:sz w:val="18"/>
          <w:szCs w:val="18"/>
          <w:color w:val="auto"/>
        </w:rPr>
        <w:t>•</w:t>
        <w:tab/>
        <w:t>Strong 2006 local markets performance in EMEA (72%</w:t>
      </w:r>
      <w:r>
        <w:rPr>
          <w:sz w:val="20"/>
          <w:szCs w:val="20"/>
          <w:color w:val="auto"/>
        </w:rPr>
        <w:tab/>
      </w:r>
      <w:r>
        <w:rPr>
          <w:rFonts w:ascii="Arial" w:cs="Arial" w:eastAsia="Arial" w:hAnsi="Arial"/>
          <w:sz w:val="18"/>
          <w:szCs w:val="18"/>
          <w:color w:val="auto"/>
        </w:rPr>
        <w:t>•</w:t>
        <w:tab/>
        <w:t>Develop strong local securities capabilities to</w:t>
      </w:r>
      <w:r>
        <w:rPr>
          <w:sz w:val="20"/>
          <w:szCs w:val="20"/>
          <w:color w:val="auto"/>
        </w:rPr>
        <w:tab/>
      </w:r>
      <w:r>
        <w:rPr>
          <w:rFonts w:ascii="Arial" w:cs="Arial" w:eastAsia="Arial" w:hAnsi="Arial"/>
          <w:sz w:val="16"/>
          <w:szCs w:val="16"/>
          <w:color w:val="auto"/>
        </w:rPr>
        <w:t>$50mm+</w:t>
      </w:r>
    </w:p>
    <w:p>
      <w:pPr>
        <w:spacing w:after="0" w:line="21" w:lineRule="exact"/>
        <w:rPr>
          <w:sz w:val="20"/>
          <w:szCs w:val="20"/>
          <w:color w:val="auto"/>
        </w:rPr>
      </w:pPr>
    </w:p>
    <w:p>
      <w:pPr>
        <w:spacing w:after="0"/>
        <w:tabs>
          <w:tab w:leader="none" w:pos="1440" w:val="left"/>
          <w:tab w:leader="none" w:pos="6520" w:val="left"/>
        </w:tabs>
        <w:rPr>
          <w:sz w:val="20"/>
          <w:szCs w:val="20"/>
          <w:color w:val="auto"/>
        </w:rPr>
      </w:pPr>
      <w:r>
        <w:rPr>
          <w:rFonts w:ascii="Arial" w:cs="Arial" w:eastAsia="Arial" w:hAnsi="Arial"/>
          <w:sz w:val="18"/>
          <w:szCs w:val="18"/>
          <w:b w:val="1"/>
          <w:bCs w:val="1"/>
          <w:color w:val="auto"/>
        </w:rPr>
        <w:t>Markets</w:t>
      </w:r>
      <w:r>
        <w:rPr>
          <w:sz w:val="20"/>
          <w:szCs w:val="20"/>
          <w:color w:val="auto"/>
        </w:rPr>
        <w:tab/>
      </w:r>
      <w:r>
        <w:rPr>
          <w:rFonts w:ascii="Arial" w:cs="Arial" w:eastAsia="Arial" w:hAnsi="Arial"/>
          <w:sz w:val="18"/>
          <w:szCs w:val="18"/>
          <w:color w:val="auto"/>
        </w:rPr>
        <w:t>YoY growth) and Latin America (86% YoY growth)</w:t>
      </w:r>
      <w:r>
        <w:rPr>
          <w:sz w:val="20"/>
          <w:szCs w:val="20"/>
          <w:color w:val="auto"/>
        </w:rPr>
        <w:tab/>
      </w:r>
      <w:r>
        <w:rPr>
          <w:rFonts w:ascii="Arial" w:cs="Arial" w:eastAsia="Arial" w:hAnsi="Arial"/>
          <w:sz w:val="15"/>
          <w:szCs w:val="15"/>
          <w:color w:val="auto"/>
        </w:rPr>
        <w:t>complement existing strong cross-border franchise</w:t>
      </w:r>
    </w:p>
    <w:p>
      <w:pPr>
        <w:spacing w:after="0" w:line="84" w:lineRule="exact"/>
        <w:rPr>
          <w:sz w:val="20"/>
          <w:szCs w:val="20"/>
          <w:color w:val="auto"/>
        </w:rPr>
      </w:pPr>
    </w:p>
    <w:p>
      <w:pPr>
        <w:ind w:left="1120"/>
        <w:spacing w:after="0"/>
        <w:tabs>
          <w:tab w:leader="none" w:pos="1440" w:val="left"/>
          <w:tab w:leader="none" w:pos="6200" w:val="left"/>
          <w:tab w:leader="none" w:pos="6520" w:val="left"/>
        </w:tabs>
        <w:rPr>
          <w:sz w:val="20"/>
          <w:szCs w:val="20"/>
          <w:color w:val="auto"/>
        </w:rPr>
      </w:pPr>
      <w:r>
        <w:rPr>
          <w:rFonts w:ascii="Arial" w:cs="Arial" w:eastAsia="Arial" w:hAnsi="Arial"/>
          <w:sz w:val="18"/>
          <w:szCs w:val="18"/>
          <w:color w:val="auto"/>
        </w:rPr>
        <w:t>•</w:t>
        <w:tab/>
        <w:t>Emerging Markets underwriting fees grew ~50% YoY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Grow organically or through</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partnership/acquisition if opportunities exist</w:t>
      </w:r>
    </w:p>
    <w:p>
      <w:pPr>
        <w:spacing w:after="0" w:line="84" w:lineRule="exact"/>
        <w:rPr>
          <w:sz w:val="20"/>
          <w:szCs w:val="20"/>
          <w:color w:val="auto"/>
        </w:rPr>
      </w:pPr>
    </w:p>
    <w:p>
      <w:pPr>
        <w:ind w:left="6220"/>
        <w:spacing w:after="0"/>
        <w:tabs>
          <w:tab w:leader="none" w:pos="6520" w:val="left"/>
        </w:tabs>
        <w:rPr>
          <w:sz w:val="20"/>
          <w:szCs w:val="20"/>
          <w:color w:val="auto"/>
        </w:rPr>
      </w:pPr>
      <w:r>
        <w:rPr>
          <w:rFonts w:ascii="Arial" w:cs="Arial" w:eastAsia="Arial" w:hAnsi="Arial"/>
          <w:sz w:val="18"/>
          <w:szCs w:val="18"/>
          <w:color w:val="auto"/>
        </w:rPr>
        <w:t>•</w:t>
        <w:tab/>
        <w:t>Leverage existing leadership positions in high</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growth markets (Eastern Europe, Russia, Brazil,</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Middle 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600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1"/>
          <w:szCs w:val="11"/>
          <w:color w:val="auto"/>
        </w:rPr>
      </w:pPr>
      <w:r>
        <w:rPr>
          <w:rFonts w:ascii="Arial" w:cs="Arial" w:eastAsia="Arial" w:hAnsi="Arial"/>
          <w:sz w:val="18"/>
          <w:szCs w:val="18"/>
          <w:color w:val="auto"/>
        </w:rPr>
        <w:t>Potential incremental impact to 2006 earnings post build-out, which may be beyond 2007; results will be dependent on market conditions</w:t>
      </w:r>
    </w:p>
    <w:p>
      <w:pPr>
        <w:spacing w:after="0" w:line="14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Key growth initiatives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b w:val="1"/>
                <w:bCs w:val="1"/>
                <w:color w:val="auto"/>
              </w:rPr>
              <w:t>Incremental</w:t>
            </w:r>
          </w:p>
        </w:tc>
        <w:tc>
          <w:tcPr>
            <w:tcW w:w="0" w:type="dxa"/>
            <w:vAlign w:val="bottom"/>
          </w:tcPr>
          <w:p>
            <w:pPr>
              <w:spacing w:after="0"/>
              <w:rPr>
                <w:sz w:val="1"/>
                <w:szCs w:val="1"/>
                <w:color w:val="auto"/>
              </w:rPr>
            </w:pPr>
          </w:p>
        </w:tc>
      </w:tr>
      <w:tr>
        <w:trPr>
          <w:trHeight w:val="193"/>
        </w:trPr>
        <w:tc>
          <w:tcPr>
            <w:tcW w:w="1060" w:type="dxa"/>
            <w:vAlign w:val="bottom"/>
          </w:tcPr>
          <w:p>
            <w:pPr>
              <w:spacing w:after="0"/>
              <w:rPr>
                <w:sz w:val="16"/>
                <w:szCs w:val="16"/>
                <w:color w:val="auto"/>
              </w:rPr>
            </w:pPr>
          </w:p>
        </w:tc>
        <w:tc>
          <w:tcPr>
            <w:tcW w:w="4640" w:type="dxa"/>
            <w:vAlign w:val="bottom"/>
            <w:gridSpan w:val="2"/>
          </w:tcPr>
          <w:p>
            <w:pPr>
              <w:ind w:left="80"/>
              <w:spacing w:after="0"/>
              <w:rPr>
                <w:sz w:val="20"/>
                <w:szCs w:val="20"/>
                <w:color w:val="auto"/>
              </w:rPr>
            </w:pPr>
            <w:r>
              <w:rPr>
                <w:rFonts w:ascii="Arial" w:cs="Arial" w:eastAsia="Arial" w:hAnsi="Arial"/>
                <w:sz w:val="14"/>
                <w:szCs w:val="14"/>
                <w:b w:val="1"/>
                <w:bCs w:val="1"/>
                <w:color w:val="auto"/>
              </w:rPr>
              <w:t>Progress</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w w:val="96"/>
              </w:rPr>
              <w:t>Next Steps</w:t>
            </w: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line="193" w:lineRule="exact"/>
              <w:rPr>
                <w:sz w:val="20"/>
                <w:szCs w:val="20"/>
                <w:color w:val="auto"/>
              </w:rPr>
            </w:pPr>
            <w:r>
              <w:rPr>
                <w:rFonts w:ascii="Arial" w:cs="Arial" w:eastAsia="Arial" w:hAnsi="Arial"/>
                <w:sz w:val="14"/>
                <w:szCs w:val="14"/>
                <w:b w:val="1"/>
                <w:bCs w:val="1"/>
                <w:color w:val="auto"/>
                <w:w w:val="89"/>
              </w:rPr>
              <w:t>earnings impact</w:t>
            </w:r>
            <w:r>
              <w:rPr>
                <w:rFonts w:ascii="Arial" w:cs="Arial" w:eastAsia="Arial" w:hAnsi="Arial"/>
                <w:sz w:val="22"/>
                <w:szCs w:val="22"/>
                <w:b w:val="1"/>
                <w:bCs w:val="1"/>
                <w:color w:val="auto"/>
                <w:w w:val="89"/>
                <w:vertAlign w:val="superscript"/>
              </w:rPr>
              <w:t>1</w:t>
            </w: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8"/>
                <w:szCs w:val="18"/>
                <w:color w:val="auto"/>
              </w:rPr>
              <w:t>Pension</w:t>
            </w:r>
          </w:p>
        </w:tc>
        <w:tc>
          <w:tcPr>
            <w:tcW w:w="80" w:type="dxa"/>
            <w:vAlign w:val="bottom"/>
          </w:tcPr>
          <w:p>
            <w:pPr>
              <w:spacing w:after="0"/>
              <w:rPr>
                <w:sz w:val="24"/>
                <w:szCs w:val="24"/>
                <w:color w:val="auto"/>
              </w:rPr>
            </w:pPr>
          </w:p>
        </w:tc>
        <w:tc>
          <w:tcPr>
            <w:tcW w:w="45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3"/>
              </w:rPr>
              <w:t>•   Completed principal investment in UK pension insurance</w:t>
            </w:r>
          </w:p>
        </w:tc>
        <w:tc>
          <w:tcPr>
            <w:tcW w:w="120" w:type="dxa"/>
            <w:vAlign w:val="bottom"/>
          </w:tcPr>
          <w:p>
            <w:pPr>
              <w:spacing w:after="0"/>
              <w:rPr>
                <w:sz w:val="24"/>
                <w:szCs w:val="24"/>
                <w:color w:val="auto"/>
              </w:rPr>
            </w:pPr>
          </w:p>
        </w:tc>
        <w:tc>
          <w:tcPr>
            <w:tcW w:w="44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   Complete initial transactions in UK</w:t>
            </w: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$50-$100mm</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9"/>
              </w:rPr>
              <w:t>Advisory and</w:t>
            </w:r>
          </w:p>
        </w:tc>
        <w:tc>
          <w:tcPr>
            <w:tcW w:w="8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company to transfer pension plans from corporates</w:t>
            </w:r>
          </w:p>
        </w:tc>
        <w:tc>
          <w:tcPr>
            <w:tcW w:w="120" w:type="dxa"/>
            <w:vAlign w:val="bottom"/>
          </w:tcPr>
          <w:p>
            <w:pPr>
              <w:spacing w:after="0"/>
              <w:rPr>
                <w:sz w:val="18"/>
                <w:szCs w:val="18"/>
                <w:color w:val="auto"/>
              </w:rPr>
            </w:pPr>
          </w:p>
        </w:tc>
        <w:tc>
          <w:tcPr>
            <w:tcW w:w="4440" w:type="dxa"/>
            <w:vAlign w:val="bottom"/>
            <w:gridSpan w:val="2"/>
            <w:vMerge w:val="restart"/>
          </w:tcPr>
          <w:p>
            <w:pPr>
              <w:ind w:left="100"/>
              <w:spacing w:after="0"/>
              <w:rPr>
                <w:sz w:val="20"/>
                <w:szCs w:val="20"/>
                <w:color w:val="auto"/>
              </w:rPr>
            </w:pPr>
            <w:r>
              <w:rPr>
                <w:rFonts w:ascii="Arial" w:cs="Arial" w:eastAsia="Arial" w:hAnsi="Arial"/>
                <w:sz w:val="18"/>
                <w:szCs w:val="18"/>
                <w:color w:val="auto"/>
              </w:rPr>
              <w:t>•   Implement pension risk management framework</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060" w:type="dxa"/>
            <w:vAlign w:val="bottom"/>
            <w:vMerge w:val="restart"/>
          </w:tcPr>
          <w:p>
            <w:pPr>
              <w:spacing w:after="0"/>
              <w:rPr>
                <w:sz w:val="20"/>
                <w:szCs w:val="20"/>
                <w:color w:val="auto"/>
              </w:rPr>
            </w:pPr>
            <w:r>
              <w:rPr>
                <w:rFonts w:ascii="Arial" w:cs="Arial" w:eastAsia="Arial" w:hAnsi="Arial"/>
                <w:sz w:val="18"/>
                <w:szCs w:val="18"/>
                <w:color w:val="auto"/>
              </w:rPr>
              <w:t>Risk</w:t>
            </w:r>
          </w:p>
        </w:tc>
        <w:tc>
          <w:tcPr>
            <w:tcW w:w="80" w:type="dxa"/>
            <w:vAlign w:val="bottom"/>
          </w:tcPr>
          <w:p>
            <w:pPr>
              <w:spacing w:after="0"/>
              <w:rPr>
                <w:sz w:val="7"/>
                <w:szCs w:val="7"/>
                <w:color w:val="auto"/>
              </w:rPr>
            </w:pPr>
          </w:p>
        </w:tc>
        <w:tc>
          <w:tcPr>
            <w:tcW w:w="4560" w:type="dxa"/>
            <w:vAlign w:val="bottom"/>
            <w:vMerge w:val="restart"/>
          </w:tcPr>
          <w:p>
            <w:pPr>
              <w:ind w:left="120"/>
              <w:spacing w:after="0"/>
              <w:rPr>
                <w:sz w:val="20"/>
                <w:szCs w:val="20"/>
                <w:color w:val="auto"/>
              </w:rPr>
            </w:pPr>
            <w:r>
              <w:rPr>
                <w:rFonts w:ascii="Arial" w:cs="Arial" w:eastAsia="Arial" w:hAnsi="Arial"/>
                <w:sz w:val="18"/>
                <w:szCs w:val="18"/>
                <w:color w:val="auto"/>
              </w:rPr>
              <w:t>•   Obtained Advisory Opinion supporting our risk</w:t>
            </w:r>
          </w:p>
        </w:tc>
        <w:tc>
          <w:tcPr>
            <w:tcW w:w="120" w:type="dxa"/>
            <w:vAlign w:val="bottom"/>
          </w:tcPr>
          <w:p>
            <w:pPr>
              <w:spacing w:after="0"/>
              <w:rPr>
                <w:sz w:val="7"/>
                <w:szCs w:val="7"/>
                <w:color w:val="auto"/>
              </w:rPr>
            </w:pPr>
          </w:p>
        </w:tc>
        <w:tc>
          <w:tcPr>
            <w:tcW w:w="4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40" w:type="dxa"/>
            <w:vAlign w:val="bottom"/>
            <w:gridSpan w:val="2"/>
            <w:vMerge w:val="restart"/>
          </w:tcPr>
          <w:p>
            <w:pPr>
              <w:ind w:left="100"/>
              <w:spacing w:after="0"/>
              <w:rPr>
                <w:sz w:val="20"/>
                <w:szCs w:val="20"/>
                <w:color w:val="auto"/>
              </w:rPr>
            </w:pPr>
            <w:r>
              <w:rPr>
                <w:rFonts w:ascii="Arial" w:cs="Arial" w:eastAsia="Arial" w:hAnsi="Arial"/>
                <w:sz w:val="18"/>
                <w:szCs w:val="18"/>
                <w:color w:val="auto"/>
                <w:w w:val="94"/>
              </w:rPr>
              <w:t>•   Build-out of proprietary risk management analytics and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060" w:type="dxa"/>
            <w:vAlign w:val="bottom"/>
            <w:vMerge w:val="restart"/>
          </w:tcPr>
          <w:p>
            <w:pPr>
              <w:spacing w:after="0" w:line="170" w:lineRule="exact"/>
              <w:rPr>
                <w:sz w:val="20"/>
                <w:szCs w:val="20"/>
                <w:color w:val="auto"/>
              </w:rPr>
            </w:pPr>
            <w:r>
              <w:rPr>
                <w:rFonts w:ascii="Arial" w:cs="Arial" w:eastAsia="Arial" w:hAnsi="Arial"/>
                <w:sz w:val="18"/>
                <w:szCs w:val="18"/>
                <w:color w:val="auto"/>
                <w:w w:val="98"/>
              </w:rPr>
              <w:t>Management</w:t>
            </w:r>
          </w:p>
        </w:tc>
        <w:tc>
          <w:tcPr>
            <w:tcW w:w="80" w:type="dxa"/>
            <w:vAlign w:val="bottom"/>
          </w:tcPr>
          <w:p>
            <w:pPr>
              <w:spacing w:after="0"/>
              <w:rPr>
                <w:sz w:val="7"/>
                <w:szCs w:val="7"/>
                <w:color w:val="auto"/>
              </w:rPr>
            </w:pPr>
          </w:p>
        </w:tc>
        <w:tc>
          <w:tcPr>
            <w:tcW w:w="4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0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management model</w:t>
            </w:r>
          </w:p>
        </w:tc>
        <w:tc>
          <w:tcPr>
            <w:tcW w:w="120" w:type="dxa"/>
            <w:vAlign w:val="bottom"/>
          </w:tcPr>
          <w:p>
            <w:pPr>
              <w:spacing w:after="0"/>
              <w:rPr>
                <w:sz w:val="7"/>
                <w:szCs w:val="7"/>
                <w:color w:val="auto"/>
              </w:rPr>
            </w:pPr>
          </w:p>
        </w:tc>
        <w:tc>
          <w:tcPr>
            <w:tcW w:w="4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40" w:type="dxa"/>
            <w:vAlign w:val="bottom"/>
            <w:gridSpan w:val="2"/>
            <w:vMerge w:val="restart"/>
          </w:tcPr>
          <w:p>
            <w:pPr>
              <w:ind w:left="420"/>
              <w:spacing w:after="0"/>
              <w:rPr>
                <w:sz w:val="20"/>
                <w:szCs w:val="20"/>
                <w:color w:val="auto"/>
              </w:rPr>
            </w:pPr>
            <w:r>
              <w:rPr>
                <w:rFonts w:ascii="Arial" w:cs="Arial" w:eastAsia="Arial" w:hAnsi="Arial"/>
                <w:sz w:val="18"/>
                <w:szCs w:val="18"/>
                <w:color w:val="auto"/>
              </w:rPr>
              <w:t>securitized &amp; traded pensions liability market</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4560" w:type="dxa"/>
            <w:vAlign w:val="bottom"/>
            <w:vMerge w:val="restart"/>
          </w:tcPr>
          <w:p>
            <w:pPr>
              <w:ind w:left="120"/>
              <w:spacing w:after="0"/>
              <w:rPr>
                <w:sz w:val="20"/>
                <w:szCs w:val="20"/>
                <w:color w:val="auto"/>
              </w:rPr>
            </w:pPr>
            <w:r>
              <w:rPr>
                <w:rFonts w:ascii="Arial" w:cs="Arial" w:eastAsia="Arial" w:hAnsi="Arial"/>
                <w:sz w:val="18"/>
                <w:szCs w:val="18"/>
                <w:color w:val="auto"/>
              </w:rPr>
              <w:t>•   Initiated work on tools to more effectively manage</w:t>
            </w:r>
          </w:p>
        </w:tc>
        <w:tc>
          <w:tcPr>
            <w:tcW w:w="120" w:type="dxa"/>
            <w:vAlign w:val="bottom"/>
          </w:tcPr>
          <w:p>
            <w:pPr>
              <w:spacing w:after="0"/>
              <w:rPr>
                <w:sz w:val="7"/>
                <w:szCs w:val="7"/>
                <w:color w:val="auto"/>
              </w:rPr>
            </w:pPr>
          </w:p>
        </w:tc>
        <w:tc>
          <w:tcPr>
            <w:tcW w:w="4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gridSpan w:val="2"/>
            <w:vMerge w:val="restart"/>
          </w:tcPr>
          <w:p>
            <w:pPr>
              <w:ind w:left="100"/>
              <w:spacing w:after="0"/>
              <w:rPr>
                <w:sz w:val="20"/>
                <w:szCs w:val="20"/>
                <w:color w:val="auto"/>
              </w:rPr>
            </w:pPr>
            <w:r>
              <w:rPr>
                <w:rFonts w:ascii="Arial" w:cs="Arial" w:eastAsia="Arial" w:hAnsi="Arial"/>
                <w:sz w:val="18"/>
                <w:szCs w:val="18"/>
                <w:color w:val="auto"/>
              </w:rPr>
              <w:t>•   Continue development of mortality indices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longevity risks</w:t>
            </w:r>
          </w:p>
        </w:tc>
        <w:tc>
          <w:tcPr>
            <w:tcW w:w="120" w:type="dxa"/>
            <w:vAlign w:val="bottom"/>
          </w:tcPr>
          <w:p>
            <w:pPr>
              <w:spacing w:after="0"/>
              <w:rPr>
                <w:sz w:val="7"/>
                <w:szCs w:val="7"/>
                <w:color w:val="auto"/>
              </w:rPr>
            </w:pPr>
          </w:p>
        </w:tc>
        <w:tc>
          <w:tcPr>
            <w:tcW w:w="4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440" w:type="dxa"/>
            <w:vAlign w:val="bottom"/>
            <w:gridSpan w:val="2"/>
            <w:vMerge w:val="restart"/>
          </w:tcPr>
          <w:p>
            <w:pPr>
              <w:ind w:left="420"/>
              <w:spacing w:after="0"/>
              <w:rPr>
                <w:sz w:val="20"/>
                <w:szCs w:val="20"/>
                <w:color w:val="auto"/>
              </w:rPr>
            </w:pPr>
            <w:r>
              <w:rPr>
                <w:rFonts w:ascii="Arial" w:cs="Arial" w:eastAsia="Arial" w:hAnsi="Arial"/>
                <w:sz w:val="18"/>
                <w:szCs w:val="18"/>
                <w:color w:val="auto"/>
              </w:rPr>
              <w:t>longevity risks products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4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1060" w:type="dxa"/>
            <w:vAlign w:val="bottom"/>
          </w:tcPr>
          <w:p>
            <w:pPr>
              <w:spacing w:after="0"/>
              <w:rPr>
                <w:sz w:val="20"/>
                <w:szCs w:val="20"/>
                <w:color w:val="auto"/>
              </w:rPr>
            </w:pPr>
            <w:r>
              <w:rPr>
                <w:rFonts w:ascii="Arial" w:cs="Arial" w:eastAsia="Arial" w:hAnsi="Arial"/>
                <w:sz w:val="18"/>
                <w:szCs w:val="18"/>
                <w:color w:val="auto"/>
              </w:rPr>
              <w:t>Retail</w:t>
            </w:r>
          </w:p>
        </w:tc>
        <w:tc>
          <w:tcPr>
            <w:tcW w:w="80" w:type="dxa"/>
            <w:vAlign w:val="bottom"/>
          </w:tcPr>
          <w:p>
            <w:pPr>
              <w:spacing w:after="0"/>
              <w:rPr>
                <w:sz w:val="24"/>
                <w:szCs w:val="24"/>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   Achieved 30%+ revenue growth in 2006</w:t>
            </w:r>
          </w:p>
        </w:tc>
        <w:tc>
          <w:tcPr>
            <w:tcW w:w="120" w:type="dxa"/>
            <w:vAlign w:val="bottom"/>
          </w:tcPr>
          <w:p>
            <w:pPr>
              <w:spacing w:after="0"/>
              <w:rPr>
                <w:sz w:val="24"/>
                <w:szCs w:val="24"/>
                <w:color w:val="auto"/>
              </w:rPr>
            </w:pPr>
          </w:p>
        </w:tc>
        <w:tc>
          <w:tcPr>
            <w:tcW w:w="4440" w:type="dxa"/>
            <w:vAlign w:val="bottom"/>
            <w:gridSpan w:val="2"/>
          </w:tcPr>
          <w:p>
            <w:pPr>
              <w:ind w:left="100"/>
              <w:spacing w:after="0"/>
              <w:rPr>
                <w:sz w:val="20"/>
                <w:szCs w:val="20"/>
                <w:color w:val="auto"/>
              </w:rPr>
            </w:pPr>
            <w:r>
              <w:rPr>
                <w:rFonts w:ascii="Arial" w:cs="Arial" w:eastAsia="Arial" w:hAnsi="Arial"/>
                <w:sz w:val="18"/>
                <w:szCs w:val="18"/>
                <w:color w:val="auto"/>
              </w:rPr>
              <w:t>•   2007 investments in:</w:t>
            </w:r>
          </w:p>
        </w:tc>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8"/>
              </w:rPr>
              <w:t>$50-$100mm</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Structured</w:t>
            </w:r>
          </w:p>
        </w:tc>
        <w:tc>
          <w:tcPr>
            <w:tcW w:w="80" w:type="dxa"/>
            <w:vAlign w:val="bottom"/>
          </w:tcPr>
          <w:p>
            <w:pPr>
              <w:spacing w:after="0"/>
              <w:rPr>
                <w:sz w:val="18"/>
                <w:szCs w:val="18"/>
                <w:color w:val="auto"/>
              </w:rPr>
            </w:pPr>
          </w:p>
        </w:tc>
        <w:tc>
          <w:tcPr>
            <w:tcW w:w="4560" w:type="dxa"/>
            <w:vAlign w:val="bottom"/>
            <w:vMerge w:val="restart"/>
          </w:tcPr>
          <w:p>
            <w:pPr>
              <w:ind w:left="120"/>
              <w:spacing w:after="0"/>
              <w:rPr>
                <w:sz w:val="20"/>
                <w:szCs w:val="20"/>
                <w:color w:val="auto"/>
              </w:rPr>
            </w:pPr>
            <w:r>
              <w:rPr>
                <w:rFonts w:ascii="Arial" w:cs="Arial" w:eastAsia="Arial" w:hAnsi="Arial"/>
                <w:sz w:val="18"/>
                <w:szCs w:val="18"/>
                <w:color w:val="auto"/>
              </w:rPr>
              <w:t>•   Aggressive build-up of the team – added over 20</w:t>
            </w:r>
          </w:p>
        </w:tc>
        <w:tc>
          <w:tcPr>
            <w:tcW w:w="120" w:type="dxa"/>
            <w:vAlign w:val="bottom"/>
          </w:tcPr>
          <w:p>
            <w:pPr>
              <w:spacing w:after="0"/>
              <w:rPr>
                <w:sz w:val="18"/>
                <w:szCs w:val="18"/>
                <w:color w:val="auto"/>
              </w:rPr>
            </w:pPr>
          </w:p>
        </w:tc>
        <w:tc>
          <w:tcPr>
            <w:tcW w:w="72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3720" w:type="dxa"/>
            <w:vAlign w:val="bottom"/>
            <w:vMerge w:val="restart"/>
          </w:tcPr>
          <w:p>
            <w:pPr>
              <w:ind w:left="140"/>
              <w:spacing w:after="0"/>
              <w:rPr>
                <w:sz w:val="20"/>
                <w:szCs w:val="20"/>
                <w:color w:val="auto"/>
              </w:rPr>
            </w:pPr>
            <w:r>
              <w:rPr>
                <w:rFonts w:ascii="Arial" w:cs="Arial" w:eastAsia="Arial" w:hAnsi="Arial"/>
                <w:sz w:val="18"/>
                <w:szCs w:val="18"/>
                <w:color w:val="auto"/>
              </w:rPr>
              <w:t>Additional marketing hires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060" w:type="dxa"/>
            <w:vAlign w:val="bottom"/>
            <w:vMerge w:val="restart"/>
          </w:tcPr>
          <w:p>
            <w:pPr>
              <w:spacing w:after="0"/>
              <w:rPr>
                <w:sz w:val="20"/>
                <w:szCs w:val="20"/>
                <w:color w:val="auto"/>
              </w:rPr>
            </w:pPr>
            <w:r>
              <w:rPr>
                <w:rFonts w:ascii="Arial" w:cs="Arial" w:eastAsia="Arial" w:hAnsi="Arial"/>
                <w:sz w:val="18"/>
                <w:szCs w:val="18"/>
                <w:color w:val="auto"/>
              </w:rPr>
              <w:t>Products</w:t>
            </w:r>
          </w:p>
        </w:tc>
        <w:tc>
          <w:tcPr>
            <w:tcW w:w="80" w:type="dxa"/>
            <w:vAlign w:val="bottom"/>
          </w:tcPr>
          <w:p>
            <w:pPr>
              <w:spacing w:after="0"/>
              <w:rPr>
                <w:sz w:val="7"/>
                <w:szCs w:val="7"/>
                <w:color w:val="auto"/>
              </w:rPr>
            </w:pPr>
          </w:p>
        </w:tc>
        <w:tc>
          <w:tcPr>
            <w:tcW w:w="4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3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marketers in 2006</w:t>
            </w:r>
          </w:p>
        </w:tc>
        <w:tc>
          <w:tcPr>
            <w:tcW w:w="120" w:type="dxa"/>
            <w:vAlign w:val="bottom"/>
          </w:tcPr>
          <w:p>
            <w:pPr>
              <w:spacing w:after="0"/>
              <w:rPr>
                <w:sz w:val="12"/>
                <w:szCs w:val="12"/>
                <w:color w:val="auto"/>
              </w:rPr>
            </w:pPr>
          </w:p>
        </w:tc>
        <w:tc>
          <w:tcPr>
            <w:tcW w:w="4440" w:type="dxa"/>
            <w:vAlign w:val="bottom"/>
            <w:gridSpan w:val="2"/>
            <w:vMerge w:val="restart"/>
          </w:tcPr>
          <w:p>
            <w:pPr>
              <w:ind w:left="540"/>
              <w:spacing w:after="0"/>
              <w:rPr>
                <w:sz w:val="20"/>
                <w:szCs w:val="20"/>
                <w:color w:val="auto"/>
              </w:rPr>
            </w:pPr>
            <w:r>
              <w:rPr>
                <w:rFonts w:ascii="Arial" w:cs="Arial" w:eastAsia="Arial" w:hAnsi="Arial"/>
                <w:sz w:val="18"/>
                <w:szCs w:val="18"/>
                <w:color w:val="auto"/>
              </w:rPr>
              <w:t>•   Tech &amp; Ops to build client services and cross-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4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6"/>
              </w:rPr>
              <w:t>•   Strategic alliance with Fidelity Brokerage Co to provide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product STP infrastructure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JPmorgan Equity &amp; Fixed Income products</w:t>
            </w:r>
          </w:p>
        </w:tc>
        <w:tc>
          <w:tcPr>
            <w:tcW w:w="120" w:type="dxa"/>
            <w:vAlign w:val="bottom"/>
          </w:tcPr>
          <w:p>
            <w:pPr>
              <w:spacing w:after="0"/>
              <w:rPr>
                <w:sz w:val="19"/>
                <w:szCs w:val="19"/>
                <w:color w:val="auto"/>
              </w:rPr>
            </w:pPr>
          </w:p>
        </w:tc>
        <w:tc>
          <w:tcPr>
            <w:tcW w:w="4440" w:type="dxa"/>
            <w:vAlign w:val="bottom"/>
            <w:gridSpan w:val="2"/>
            <w:vMerge w:val="restart"/>
          </w:tcPr>
          <w:p>
            <w:pPr>
              <w:ind w:left="540"/>
              <w:spacing w:after="0"/>
              <w:rPr>
                <w:sz w:val="20"/>
                <w:szCs w:val="20"/>
                <w:color w:val="auto"/>
              </w:rPr>
            </w:pPr>
            <w:r>
              <w:rPr>
                <w:rFonts w:ascii="Arial" w:cs="Arial" w:eastAsia="Arial" w:hAnsi="Arial"/>
                <w:sz w:val="18"/>
                <w:szCs w:val="18"/>
                <w:color w:val="auto"/>
              </w:rPr>
              <w:t>•   Expanding issuance vehicles capabilities</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4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Marketing &amp; branding</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000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1"/>
          <w:szCs w:val="11"/>
          <w:color w:val="auto"/>
        </w:rPr>
      </w:pPr>
      <w:r>
        <w:rPr>
          <w:rFonts w:ascii="Arial" w:cs="Arial" w:eastAsia="Arial" w:hAnsi="Arial"/>
          <w:sz w:val="18"/>
          <w:szCs w:val="18"/>
          <w:color w:val="auto"/>
        </w:rPr>
        <w:t>Potential incremental impact to 2006 earnings post build-out, which may be beyond 2007; results will be dependent on market conditions</w:t>
      </w:r>
    </w:p>
    <w:p>
      <w:pPr>
        <w:spacing w:after="0" w:line="14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Key growth initiatives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Progress</w:t>
            </w:r>
          </w:p>
        </w:tc>
      </w:tr>
      <w:tr>
        <w:trPr>
          <w:trHeight w:val="202"/>
        </w:trPr>
        <w:tc>
          <w:tcPr>
            <w:tcW w:w="1060" w:type="dxa"/>
            <w:vAlign w:val="bottom"/>
          </w:tcPr>
          <w:p>
            <w:pPr>
              <w:spacing w:after="0" w:line="201" w:lineRule="exact"/>
              <w:rPr>
                <w:sz w:val="20"/>
                <w:szCs w:val="20"/>
                <w:color w:val="auto"/>
              </w:rPr>
            </w:pPr>
            <w:r>
              <w:rPr>
                <w:rFonts w:ascii="Arial" w:cs="Arial" w:eastAsia="Arial" w:hAnsi="Arial"/>
                <w:sz w:val="18"/>
                <w:szCs w:val="18"/>
                <w:color w:val="auto"/>
              </w:rPr>
              <w:t>IB Coverage</w:t>
            </w:r>
          </w:p>
        </w:tc>
        <w:tc>
          <w:tcPr>
            <w:tcW w:w="180" w:type="dxa"/>
            <w:vAlign w:val="bottom"/>
          </w:tcPr>
          <w:p>
            <w:pPr>
              <w:spacing w:after="0"/>
              <w:rPr>
                <w:sz w:val="17"/>
                <w:szCs w:val="17"/>
                <w:color w:val="auto"/>
              </w:rPr>
            </w:pPr>
          </w:p>
        </w:tc>
        <w:tc>
          <w:tcPr>
            <w:tcW w:w="16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4260" w:type="dxa"/>
            <w:vAlign w:val="bottom"/>
          </w:tcPr>
          <w:p>
            <w:pPr>
              <w:ind w:left="120"/>
              <w:spacing w:after="0" w:line="201" w:lineRule="exact"/>
              <w:rPr>
                <w:sz w:val="20"/>
                <w:szCs w:val="20"/>
                <w:color w:val="auto"/>
              </w:rPr>
            </w:pPr>
            <w:r>
              <w:rPr>
                <w:rFonts w:ascii="Arial" w:cs="Arial" w:eastAsia="Arial" w:hAnsi="Arial"/>
                <w:sz w:val="18"/>
                <w:szCs w:val="18"/>
                <w:color w:val="auto"/>
                <w:w w:val="98"/>
              </w:rPr>
              <w:t>Conducted Strategic analysis of client segmentation,</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Expansion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w w:val="92"/>
              </w:rPr>
              <w:t>clients per banker, existing client growth and new client</w:t>
            </w:r>
          </w:p>
        </w:tc>
      </w:tr>
      <w:tr>
        <w:trPr>
          <w:trHeight w:val="222"/>
        </w:trPr>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opportunities</w:t>
            </w:r>
          </w:p>
        </w:tc>
      </w:tr>
      <w:tr>
        <w:trPr>
          <w:trHeight w:val="297"/>
        </w:trPr>
        <w:tc>
          <w:tcPr>
            <w:tcW w:w="1060" w:type="dxa"/>
            <w:vAlign w:val="bottom"/>
          </w:tcPr>
          <w:p>
            <w:pPr>
              <w:spacing w:after="0"/>
              <w:rPr>
                <w:sz w:val="24"/>
                <w:szCs w:val="24"/>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Detailed account planning complete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000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Incremental</w:t>
            </w:r>
          </w:p>
        </w:tc>
      </w:tr>
      <w:tr>
        <w:trPr>
          <w:trHeight w:val="193"/>
        </w:trPr>
        <w:tc>
          <w:tcPr>
            <w:tcW w:w="432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Next Steps</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b w:val="1"/>
                <w:bCs w:val="1"/>
                <w:color w:val="auto"/>
                <w:w w:val="85"/>
              </w:rPr>
              <w:t>earinings impact</w:t>
            </w:r>
            <w:r>
              <w:rPr>
                <w:rFonts w:ascii="Arial" w:cs="Arial" w:eastAsia="Arial" w:hAnsi="Arial"/>
                <w:sz w:val="22"/>
                <w:szCs w:val="22"/>
                <w:b w:val="1"/>
                <w:bCs w:val="1"/>
                <w:color w:val="auto"/>
                <w:w w:val="85"/>
                <w:vertAlign w:val="superscript"/>
              </w:rPr>
              <w:t>1</w:t>
            </w:r>
          </w:p>
        </w:tc>
      </w:tr>
      <w:tr>
        <w:trPr>
          <w:trHeight w:val="216"/>
        </w:trPr>
        <w:tc>
          <w:tcPr>
            <w:tcW w:w="4320" w:type="dxa"/>
            <w:vAlign w:val="bottom"/>
          </w:tcPr>
          <w:p>
            <w:pPr>
              <w:ind w:left="340"/>
              <w:spacing w:after="0"/>
              <w:rPr>
                <w:sz w:val="20"/>
                <w:szCs w:val="20"/>
                <w:color w:val="auto"/>
              </w:rPr>
            </w:pPr>
            <w:r>
              <w:rPr>
                <w:rFonts w:ascii="Arial" w:cs="Arial" w:eastAsia="Arial" w:hAnsi="Arial"/>
                <w:sz w:val="18"/>
                <w:szCs w:val="18"/>
                <w:color w:val="auto"/>
              </w:rPr>
              <w:t>•   Complete investment hires</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$25-$50mm</w:t>
            </w:r>
          </w:p>
        </w:tc>
      </w:tr>
    </w:tbl>
    <w:p>
      <w:pPr>
        <w:spacing w:after="0" w:line="66" w:lineRule="exact"/>
        <w:rPr>
          <w:sz w:val="20"/>
          <w:szCs w:val="20"/>
          <w:color w:val="auto"/>
        </w:rPr>
      </w:pPr>
    </w:p>
    <w:p>
      <w:pPr>
        <w:ind w:left="660" w:right="1500" w:hanging="327"/>
        <w:spacing w:after="0" w:line="370" w:lineRule="auto"/>
        <w:tabs>
          <w:tab w:leader="none" w:pos="614" w:val="left"/>
        </w:tabs>
        <w:numPr>
          <w:ilvl w:val="0"/>
          <w:numId w:val="17"/>
        </w:numPr>
        <w:rPr>
          <w:rFonts w:ascii="Arial" w:cs="Arial" w:eastAsia="Arial" w:hAnsi="Arial"/>
          <w:sz w:val="15"/>
          <w:szCs w:val="15"/>
          <w:color w:val="auto"/>
        </w:rPr>
      </w:pPr>
      <w:r>
        <w:rPr>
          <w:rFonts w:ascii="Arial" w:cs="Arial" w:eastAsia="Arial" w:hAnsi="Arial"/>
          <w:sz w:val="15"/>
          <w:szCs w:val="15"/>
          <w:color w:val="auto"/>
        </w:rPr>
        <w:t>Track calling activity to continually ensure that resources are aligned with revenue opportunities</w:t>
      </w:r>
    </w:p>
    <w:p>
      <w:pPr>
        <w:spacing w:after="0" w:line="322" w:lineRule="exact"/>
        <w:rPr>
          <w:sz w:val="20"/>
          <w:szCs w:val="20"/>
          <w:color w:val="auto"/>
        </w:rPr>
      </w:pPr>
    </w:p>
    <w:p>
      <w:pPr>
        <w:sectPr>
          <w:pgSz w:w="11900" w:h="16838" w:orient="portrait"/>
          <w:cols w:equalWidth="0" w:num="2">
            <w:col w:w="5660" w:space="200"/>
            <w:col w:w="5560"/>
          </w:cols>
          <w:pgMar w:left="240" w:top="280" w:right="239" w:bottom="1440" w:gutter="0" w:footer="0" w:header="0"/>
        </w:sectPr>
      </w:pPr>
    </w:p>
    <w:p>
      <w:pPr>
        <w:spacing w:after="0" w:line="1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1"/>
          <w:szCs w:val="11"/>
          <w:color w:val="auto"/>
        </w:rPr>
      </w:pPr>
      <w:r>
        <w:rPr>
          <w:rFonts w:ascii="Arial" w:cs="Arial" w:eastAsia="Arial" w:hAnsi="Arial"/>
          <w:sz w:val="18"/>
          <w:szCs w:val="18"/>
          <w:color w:val="auto"/>
        </w:rPr>
        <w:t>Potential incremental impact to 2006 earnings post build-out, which may be beyond 2007; results will be dependent on market conditions</w:t>
      </w:r>
    </w:p>
    <w:p>
      <w:pPr>
        <w:spacing w:after="0" w:line="14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Great progress on people agenda</w:t>
      </w:r>
    </w:p>
    <w:p>
      <w:pPr>
        <w:spacing w:after="0" w:line="90"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Critical hires in growth areas</w:t>
      </w:r>
    </w:p>
    <w:p>
      <w:pPr>
        <w:spacing w:after="0" w:line="90" w:lineRule="exact"/>
        <w:rPr>
          <w:rFonts w:ascii="Arial" w:cs="Arial" w:eastAsia="Arial" w:hAnsi="Arial"/>
          <w:sz w:val="18"/>
          <w:szCs w:val="18"/>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Top talent management</w:t>
      </w:r>
    </w:p>
    <w:p>
      <w:pPr>
        <w:spacing w:after="0" w:line="90" w:lineRule="exact"/>
        <w:rPr>
          <w:rFonts w:ascii="Arial" w:cs="Arial" w:eastAsia="Arial" w:hAnsi="Arial"/>
          <w:sz w:val="18"/>
          <w:szCs w:val="18"/>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Retention</w:t>
      </w:r>
    </w:p>
    <w:p>
      <w:pPr>
        <w:spacing w:after="0" w:line="90" w:lineRule="exact"/>
        <w:rPr>
          <w:rFonts w:ascii="Arial" w:cs="Arial" w:eastAsia="Arial" w:hAnsi="Arial"/>
          <w:sz w:val="18"/>
          <w:szCs w:val="18"/>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Entry-level talent pipeline</w:t>
      </w:r>
    </w:p>
    <w:p>
      <w:pPr>
        <w:spacing w:after="0" w:line="90" w:lineRule="exact"/>
        <w:rPr>
          <w:rFonts w:ascii="Arial" w:cs="Arial" w:eastAsia="Arial" w:hAnsi="Arial"/>
          <w:sz w:val="18"/>
          <w:szCs w:val="18"/>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Manager training &amp; accountability</w:t>
      </w:r>
    </w:p>
    <w:p>
      <w:pPr>
        <w:spacing w:after="0" w:line="90" w:lineRule="exact"/>
        <w:rPr>
          <w:rFonts w:ascii="Arial" w:cs="Arial" w:eastAsia="Arial" w:hAnsi="Arial"/>
          <w:sz w:val="18"/>
          <w:szCs w:val="18"/>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-1068705</wp:posOffset>
            </wp:positionV>
            <wp:extent cx="2907030" cy="49314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07030" cy="493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more diverse revenue stream across regions and asset classes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Total IB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18440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3184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Markets revenue</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1808480</wp:posOffset>
            </wp:positionV>
            <wp:extent cx="6000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5831840" cy="1509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31840" cy="150939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2003 results presented on a pro forma basis</w:t>
      </w:r>
    </w:p>
    <w:p>
      <w:pPr>
        <w:spacing w:after="0" w:line="203" w:lineRule="auto"/>
        <w:rPr>
          <w:sz w:val="20"/>
          <w:szCs w:val="20"/>
          <w:color w:val="auto"/>
        </w:rPr>
      </w:pPr>
      <w:r>
        <w:rPr>
          <w:rFonts w:ascii="Arial" w:cs="Arial" w:eastAsia="Arial" w:hAnsi="Arial"/>
          <w:sz w:val="18"/>
          <w:szCs w:val="18"/>
          <w:color w:val="auto"/>
        </w:rPr>
        <w:t>Fixed Income and Equity Markets revenue</w:t>
      </w:r>
    </w:p>
    <w:p>
      <w:pPr>
        <w:spacing w:after="0"/>
        <w:rPr>
          <w:sz w:val="20"/>
          <w:szCs w:val="20"/>
          <w:color w:val="auto"/>
        </w:rPr>
      </w:pPr>
      <w:r>
        <w:rPr>
          <w:rFonts w:ascii="Arial" w:cs="Arial" w:eastAsia="Arial" w:hAnsi="Arial"/>
          <w:sz w:val="16"/>
          <w:szCs w:val="16"/>
          <w:color w:val="auto"/>
        </w:rPr>
        <w:t>Fixed Income growth initiatives include Energy, Securitized Products and Emerging Markets</w:t>
      </w:r>
    </w:p>
    <w:p>
      <w:pPr>
        <w:spacing w:after="0" w:line="153" w:lineRule="exact"/>
        <w:rPr>
          <w:sz w:val="20"/>
          <w:szCs w:val="20"/>
          <w:color w:val="auto"/>
        </w:rPr>
      </w:pPr>
    </w:p>
    <w:p>
      <w:pPr>
        <w:sectPr>
          <w:pgSz w:w="11900" w:h="16838" w:orient="portrait"/>
          <w:cols w:equalWidth="0" w:num="2">
            <w:col w:w="60" w:space="400"/>
            <w:col w:w="1096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Reduced trading volatility and enhanced returns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Principal transactions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3353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31840" cy="33534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Average daily revenue of principal transactions</w:t>
      </w:r>
    </w:p>
    <w:p>
      <w:pPr>
        <w:spacing w:after="0" w:line="236" w:lineRule="auto"/>
        <w:rPr>
          <w:sz w:val="20"/>
          <w:szCs w:val="20"/>
          <w:color w:val="auto"/>
        </w:rPr>
      </w:pPr>
      <w:r>
        <w:rPr>
          <w:rFonts w:ascii="Arial" w:cs="Arial" w:eastAsia="Arial" w:hAnsi="Arial"/>
          <w:sz w:val="16"/>
          <w:szCs w:val="16"/>
          <w:color w:val="auto"/>
        </w:rPr>
        <w:t>Daily revenue volatility indexed to 100 for 2003</w:t>
      </w:r>
    </w:p>
    <w:p>
      <w:pPr>
        <w:spacing w:after="0"/>
        <w:rPr>
          <w:sz w:val="20"/>
          <w:szCs w:val="20"/>
          <w:color w:val="auto"/>
        </w:rPr>
      </w:pPr>
      <w:r>
        <w:rPr>
          <w:rFonts w:ascii="Arial" w:cs="Arial" w:eastAsia="Arial" w:hAnsi="Arial"/>
          <w:sz w:val="18"/>
          <w:szCs w:val="18"/>
          <w:color w:val="auto"/>
        </w:rPr>
        <w:t>2003 data reflects JPMorgan Chase only</w:t>
      </w:r>
    </w:p>
    <w:p>
      <w:pPr>
        <w:spacing w:after="0" w:line="130" w:lineRule="exact"/>
        <w:rPr>
          <w:sz w:val="20"/>
          <w:szCs w:val="20"/>
          <w:color w:val="auto"/>
        </w:rPr>
      </w:pPr>
    </w:p>
    <w:p>
      <w:pPr>
        <w:sectPr>
          <w:pgSz w:w="11900" w:h="16838" w:orient="portrait"/>
          <w:cols w:equalWidth="0" w:num="2">
            <w:col w:w="60" w:space="400"/>
            <w:col w:w="1096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Loans down 28% since 2000 with growing fee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IB fee market share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21183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31840"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00" w:hanging="325"/>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Strong credit quality of IB loan book — 71% investment grade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Prudence in a credit bull market resulted in lower NII</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Recent loan growth driven by capital markets activity and securitization business build-out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Largest industry concentration (Banks &amp; Finance companies) was 10% in 2006, down from 17% in 2003</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20" w:right="120" w:hanging="216"/>
        <w:spacing w:after="0"/>
        <w:rPr>
          <w:rFonts w:ascii="Arial" w:cs="Arial" w:eastAsia="Arial" w:hAnsi="Arial"/>
          <w:sz w:val="18"/>
          <w:szCs w:val="18"/>
          <w:color w:val="auto"/>
        </w:rPr>
      </w:pPr>
      <w:r>
        <w:rPr>
          <w:rFonts w:ascii="Arial" w:cs="Arial" w:eastAsia="Arial" w:hAnsi="Arial"/>
          <w:sz w:val="11"/>
          <w:szCs w:val="11"/>
          <w:color w:val="auto"/>
        </w:rPr>
        <w:t xml:space="preserve">1 </w:t>
      </w:r>
      <w:r>
        <w:rPr>
          <w:rFonts w:ascii="Arial" w:cs="Arial" w:eastAsia="Arial" w:hAnsi="Arial"/>
          <w:sz w:val="17"/>
          <w:szCs w:val="17"/>
          <w:color w:val="auto"/>
        </w:rPr>
        <w:t>Loan balances for 2000-2002 are presented on a combined basis for JPM IB loans and Bank One Corporate Banking loans ex. Commercial Real Estate loans;</w:t>
      </w:r>
      <w:r>
        <w:rPr>
          <w:rFonts w:ascii="Arial" w:cs="Arial" w:eastAsia="Arial" w:hAnsi="Arial"/>
          <w:sz w:val="11"/>
          <w:szCs w:val="11"/>
          <w:color w:val="auto"/>
        </w:rPr>
        <w:t xml:space="preserve"> </w:t>
      </w:r>
      <w:r>
        <w:rPr>
          <w:rFonts w:ascii="Arial" w:cs="Arial" w:eastAsia="Arial" w:hAnsi="Arial"/>
          <w:sz w:val="17"/>
          <w:szCs w:val="17"/>
          <w:color w:val="auto"/>
        </w:rPr>
        <w:t>loan balances for 2003-2004 are presented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6000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ind w:left="220" w:hanging="212"/>
        <w:spacing w:after="0"/>
        <w:tabs>
          <w:tab w:leader="none" w:pos="220" w:val="left"/>
        </w:tabs>
        <w:numPr>
          <w:ilvl w:val="0"/>
          <w:numId w:val="21"/>
        </w:numPr>
        <w:rPr>
          <w:rFonts w:ascii="Arial" w:cs="Arial" w:eastAsia="Arial" w:hAnsi="Arial"/>
          <w:sz w:val="11"/>
          <w:szCs w:val="11"/>
          <w:color w:val="auto"/>
        </w:rPr>
      </w:pPr>
      <w:r>
        <w:rPr>
          <w:rFonts w:ascii="Arial" w:cs="Arial" w:eastAsia="Arial" w:hAnsi="Arial"/>
          <w:sz w:val="16"/>
          <w:szCs w:val="16"/>
          <w:color w:val="auto"/>
        </w:rPr>
        <w:t>Market share calculated based on total IB fees reported by the following peers : C, GS, MS, DB, UBS, CS, LEH, MER, and BAC; C and UBS fees are firm-</w:t>
      </w:r>
    </w:p>
    <w:p>
      <w:pPr>
        <w:ind w:left="220"/>
        <w:spacing w:after="0" w:line="225" w:lineRule="auto"/>
        <w:rPr>
          <w:sz w:val="20"/>
          <w:szCs w:val="20"/>
          <w:color w:val="auto"/>
        </w:rPr>
      </w:pPr>
      <w:r>
        <w:rPr>
          <w:rFonts w:ascii="Arial" w:cs="Arial" w:eastAsia="Arial" w:hAnsi="Arial"/>
          <w:sz w:val="18"/>
          <w:szCs w:val="18"/>
          <w:color w:val="auto"/>
        </w:rPr>
        <w:t>wide</w:t>
      </w:r>
    </w:p>
    <w:p>
      <w:pPr>
        <w:ind w:left="220" w:hanging="212"/>
        <w:spacing w:after="0"/>
        <w:tabs>
          <w:tab w:leader="none" w:pos="220" w:val="left"/>
        </w:tabs>
        <w:numPr>
          <w:ilvl w:val="0"/>
          <w:numId w:val="22"/>
        </w:numPr>
        <w:rPr>
          <w:rFonts w:ascii="Arial" w:cs="Arial" w:eastAsia="Arial" w:hAnsi="Arial"/>
          <w:sz w:val="11"/>
          <w:szCs w:val="11"/>
          <w:color w:val="auto"/>
        </w:rPr>
      </w:pPr>
      <w:r>
        <w:rPr>
          <w:rFonts w:ascii="Arial" w:cs="Arial" w:eastAsia="Arial" w:hAnsi="Arial"/>
          <w:sz w:val="18"/>
          <w:szCs w:val="18"/>
          <w:color w:val="auto"/>
        </w:rPr>
        <w:t>IB NII excluding trading-related NII</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Efficiency/expense management initiatives</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675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340" w:hanging="332"/>
        <w:spacing w:after="0" w:line="268" w:lineRule="auto"/>
        <w:tabs>
          <w:tab w:leader="none" w:pos="3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Funding investments with continued productivity savings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680720</wp:posOffset>
            </wp:positionV>
            <wp:extent cx="6000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Incremental</w:t>
            </w:r>
          </w:p>
        </w:tc>
      </w:tr>
      <w:tr>
        <w:trPr>
          <w:trHeight w:val="193"/>
        </w:trPr>
        <w:tc>
          <w:tcPr>
            <w:tcW w:w="200" w:type="dxa"/>
            <w:vAlign w:val="bottom"/>
            <w:tcBorders>
              <w:bottom w:val="single" w:sz="8" w:color="auto"/>
            </w:tcBorders>
          </w:tcPr>
          <w:p>
            <w:pPr>
              <w:spacing w:after="0"/>
              <w:rPr>
                <w:sz w:val="16"/>
                <w:szCs w:val="16"/>
                <w:color w:val="auto"/>
              </w:rPr>
            </w:pPr>
          </w:p>
        </w:tc>
        <w:tc>
          <w:tcPr>
            <w:tcW w:w="562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Next steps</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b w:val="1"/>
                <w:bCs w:val="1"/>
                <w:color w:val="auto"/>
                <w:w w:val="84"/>
              </w:rPr>
              <w:t>earnings impact</w:t>
            </w:r>
            <w:r>
              <w:rPr>
                <w:rFonts w:ascii="Arial" w:cs="Arial" w:eastAsia="Arial" w:hAnsi="Arial"/>
                <w:sz w:val="22"/>
                <w:szCs w:val="22"/>
                <w:b w:val="1"/>
                <w:bCs w:val="1"/>
                <w:color w:val="auto"/>
                <w:w w:val="84"/>
                <w:vertAlign w:val="superscript"/>
              </w:rPr>
              <w:t>1</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620" w:type="dxa"/>
            <w:vAlign w:val="bottom"/>
          </w:tcPr>
          <w:p>
            <w:pPr>
              <w:ind w:left="140"/>
              <w:spacing w:after="0"/>
              <w:rPr>
                <w:sz w:val="20"/>
                <w:szCs w:val="20"/>
                <w:color w:val="auto"/>
              </w:rPr>
            </w:pPr>
            <w:r>
              <w:rPr>
                <w:rFonts w:ascii="Arial" w:cs="Arial" w:eastAsia="Arial" w:hAnsi="Arial"/>
                <w:sz w:val="18"/>
                <w:szCs w:val="18"/>
                <w:color w:val="auto"/>
              </w:rPr>
              <w:t>Reduce support to front office ratios</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$160-$270mm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-715010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6" w:lineRule="exact"/>
        <w:rPr>
          <w:sz w:val="20"/>
          <w:szCs w:val="20"/>
          <w:color w:val="auto"/>
        </w:rPr>
      </w:pPr>
    </w:p>
    <w:p>
      <w:pPr>
        <w:ind w:left="340" w:hanging="330"/>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Migrate support functions to lower cost locations</w:t>
      </w:r>
    </w:p>
    <w:p>
      <w:pPr>
        <w:spacing w:after="0" w:line="90" w:lineRule="exact"/>
        <w:rPr>
          <w:rFonts w:ascii="Arial" w:cs="Arial" w:eastAsia="Arial" w:hAnsi="Arial"/>
          <w:sz w:val="18"/>
          <w:szCs w:val="18"/>
          <w:color w:val="auto"/>
        </w:rPr>
      </w:pPr>
    </w:p>
    <w:p>
      <w:pPr>
        <w:ind w:left="320" w:hanging="310"/>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Automate and streamline business processes</w:t>
      </w:r>
    </w:p>
    <w:p>
      <w:pPr>
        <w:spacing w:after="0" w:line="90" w:lineRule="exact"/>
        <w:rPr>
          <w:rFonts w:ascii="Arial" w:cs="Arial" w:eastAsia="Arial" w:hAnsi="Arial"/>
          <w:sz w:val="18"/>
          <w:szCs w:val="18"/>
          <w:color w:val="auto"/>
        </w:rPr>
      </w:pPr>
    </w:p>
    <w:p>
      <w:pPr>
        <w:ind w:left="340" w:hanging="330"/>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Consolidate servers and applications</w:t>
      </w:r>
    </w:p>
    <w:p>
      <w:pPr>
        <w:spacing w:after="0" w:line="90" w:lineRule="exact"/>
        <w:rPr>
          <w:rFonts w:ascii="Arial" w:cs="Arial" w:eastAsia="Arial" w:hAnsi="Arial"/>
          <w:sz w:val="18"/>
          <w:szCs w:val="18"/>
          <w:color w:val="auto"/>
        </w:rPr>
      </w:pPr>
    </w:p>
    <w:p>
      <w:pPr>
        <w:ind w:left="340" w:hanging="330"/>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Optimize usage of market data services and travel &amp; entertainment</w:t>
      </w:r>
    </w:p>
    <w:p>
      <w:pPr>
        <w:spacing w:after="0" w:line="200" w:lineRule="exact"/>
        <w:rPr>
          <w:sz w:val="20"/>
          <w:szCs w:val="20"/>
          <w:color w:val="auto"/>
        </w:rPr>
      </w:pPr>
    </w:p>
    <w:p>
      <w:pPr>
        <w:sectPr>
          <w:pgSz w:w="11900" w:h="16838" w:orient="portrait"/>
          <w:cols w:equalWidth="0" w:num="2">
            <w:col w:w="3800" w:space="520"/>
            <w:col w:w="7100"/>
          </w:cols>
          <w:pgMar w:left="240" w:top="280" w:right="239" w:bottom="1440" w:gutter="0" w:footer="0" w:header="0"/>
        </w:sectPr>
      </w:pPr>
    </w:p>
    <w:p>
      <w:pPr>
        <w:spacing w:after="0" w:line="25"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1"/>
          <w:szCs w:val="11"/>
          <w:color w:val="auto"/>
        </w:rPr>
      </w:pPr>
      <w:r>
        <w:rPr>
          <w:rFonts w:ascii="Arial" w:cs="Arial" w:eastAsia="Arial" w:hAnsi="Arial"/>
          <w:sz w:val="18"/>
          <w:szCs w:val="18"/>
          <w:color w:val="auto"/>
        </w:rPr>
        <w:t>Potential incremental impact to 2006 earnings; results may be achieved beyond 2007</w:t>
      </w:r>
    </w:p>
    <w:p>
      <w:pPr>
        <w:spacing w:after="0" w:line="14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Agenda</w:t>
      </w:r>
    </w:p>
    <w:p>
      <w:pPr>
        <w:spacing w:after="0" w:line="21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of 2006 performance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Performance target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Areas of focus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Accelerate revenue growth</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Build and retain talent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Enhance management discipline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Key takeaways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Key takeaways</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Upside from growth initiatives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Strong organic revenue growth across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 control while investing for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Disciplined approach to credit and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 and retain world-class talent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MARCH 6,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Jes Staley,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2821305" cy="283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21305" cy="28321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($mm)</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jc w:val="right"/>
              <w:ind w:right="1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2005</w:t>
            </w:r>
          </w:p>
        </w:tc>
        <w:tc>
          <w:tcPr>
            <w:tcW w:w="58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O/(U)</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$6,787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5,664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960" w:type="dxa"/>
            <w:vAlign w:val="bottom"/>
            <w:gridSpan w:val="2"/>
          </w:tcPr>
          <w:p>
            <w:pPr>
              <w:ind w:left="440"/>
              <w:spacing w:after="0"/>
              <w:rPr>
                <w:sz w:val="20"/>
                <w:szCs w:val="20"/>
                <w:color w:val="auto"/>
              </w:rPr>
            </w:pPr>
            <w:r>
              <w:rPr>
                <w:rFonts w:ascii="Arial" w:cs="Arial" w:eastAsia="Arial" w:hAnsi="Arial"/>
                <w:sz w:val="18"/>
                <w:szCs w:val="18"/>
                <w:color w:val="auto"/>
              </w:rPr>
              <w:t>PB</w:t>
            </w:r>
          </w:p>
        </w:tc>
        <w:tc>
          <w:tcPr>
            <w:tcW w:w="500" w:type="dxa"/>
            <w:vAlign w:val="bottom"/>
          </w:tcPr>
          <w:p>
            <w:pPr>
              <w:jc w:val="right"/>
              <w:spacing w:after="0"/>
              <w:rPr>
                <w:sz w:val="20"/>
                <w:szCs w:val="20"/>
                <w:color w:val="auto"/>
              </w:rPr>
            </w:pPr>
            <w:r>
              <w:rPr>
                <w:rFonts w:ascii="Arial" w:cs="Arial" w:eastAsia="Arial" w:hAnsi="Arial"/>
                <w:sz w:val="18"/>
                <w:szCs w:val="18"/>
                <w:color w:val="auto"/>
              </w:rPr>
              <w:t>1,907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1,689</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PCS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1,036</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960" w:type="dxa"/>
            <w:vAlign w:val="bottom"/>
            <w:gridSpan w:val="2"/>
          </w:tcPr>
          <w:p>
            <w:pPr>
              <w:ind w:left="440"/>
              <w:spacing w:after="0"/>
              <w:rPr>
                <w:sz w:val="20"/>
                <w:szCs w:val="20"/>
                <w:color w:val="auto"/>
              </w:rPr>
            </w:pPr>
            <w:r>
              <w:rPr>
                <w:rFonts w:ascii="Arial" w:cs="Arial" w:eastAsia="Arial" w:hAnsi="Arial"/>
                <w:sz w:val="18"/>
                <w:szCs w:val="18"/>
                <w:color w:val="auto"/>
              </w:rPr>
              <w:t>Institutional</w:t>
            </w:r>
          </w:p>
        </w:tc>
        <w:tc>
          <w:tcPr>
            <w:tcW w:w="500" w:type="dxa"/>
            <w:vAlign w:val="bottom"/>
          </w:tcPr>
          <w:p>
            <w:pPr>
              <w:jc w:val="right"/>
              <w:spacing w:after="0"/>
              <w:rPr>
                <w:sz w:val="20"/>
                <w:szCs w:val="20"/>
                <w:color w:val="auto"/>
              </w:rPr>
            </w:pPr>
            <w:r>
              <w:rPr>
                <w:rFonts w:ascii="Arial" w:cs="Arial" w:eastAsia="Arial" w:hAnsi="Arial"/>
                <w:sz w:val="18"/>
                <w:szCs w:val="18"/>
                <w:color w:val="auto"/>
              </w:rPr>
              <w:t>1,972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1,395</w:t>
            </w: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1,544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Credit Costs</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(56)</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3,860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60" w:type="dxa"/>
            <w:vAlign w:val="bottom"/>
            <w:gridSpan w:val="2"/>
            <w:vMerge w:val="continue"/>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1,409</w:t>
            </w:r>
          </w:p>
        </w:tc>
        <w:tc>
          <w:tcPr>
            <w:tcW w:w="5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1,216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6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 xml:space="preserve">Key Statistics </w:t>
            </w:r>
            <w:r>
              <w:rPr>
                <w:rFonts w:ascii="Arial" w:cs="Arial" w:eastAsia="Arial" w:hAnsi="Arial"/>
                <w:sz w:val="18"/>
                <w:szCs w:val="18"/>
                <w:u w:val="single" w:color="auto"/>
                <w:color w:val="auto"/>
              </w:rPr>
              <w:t>($</w:t>
            </w:r>
            <w:r>
              <w:rPr>
                <w:rFonts w:ascii="Arial" w:cs="Arial" w:eastAsia="Arial" w:hAnsi="Arial"/>
                <w:sz w:val="18"/>
                <w:szCs w:val="18"/>
                <w:color w:val="auto"/>
              </w:rPr>
              <w:t>B)</w:t>
            </w: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Pretax Margin</w:t>
            </w:r>
          </w:p>
        </w:tc>
        <w:tc>
          <w:tcPr>
            <w:tcW w:w="56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420"/>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2"/>
          </w:tcPr>
          <w:p>
            <w:pPr>
              <w:jc w:val="right"/>
              <w:ind w:right="420"/>
              <w:spacing w:after="0"/>
              <w:rPr>
                <w:sz w:val="20"/>
                <w:szCs w:val="20"/>
                <w:color w:val="auto"/>
              </w:rPr>
            </w:pPr>
            <w:r>
              <w:rPr>
                <w:rFonts w:ascii="Arial" w:cs="Arial" w:eastAsia="Arial" w:hAnsi="Arial"/>
                <w:sz w:val="18"/>
                <w:szCs w:val="18"/>
                <w:color w:val="auto"/>
              </w:rPr>
              <w:t>33%</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under Management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2006 Highlights</w:t>
      </w:r>
    </w:p>
    <w:p>
      <w:pPr>
        <w:spacing w:after="0" w:line="90"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Record performance with 20% revenue growth and 20% pre-tax earnings growth</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Continued strong investment performance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Assets under management reached $1 trillion with a total of $1.3 trillion in assets under supervision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Record level of net assets under management inflows of $89 billion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Grew alternative assets under management, including hedge funds, real estate, private equity and currency, by 35% to $100 billion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 growth and product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3061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31840"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Update on progress in 2006</w:t>
      </w:r>
    </w:p>
    <w:p>
      <w:pPr>
        <w:spacing w:after="0" w:line="9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performance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83% of mutual fund AUM ranked in 1st or 2nd quartile over 1 year, 79% over 5 years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Portfolio manager turnover under 10% through 2006</w:t>
      </w:r>
    </w:p>
    <w:p>
      <w:pPr>
        <w:spacing w:after="0" w:line="292"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AUM flows of $89B; strong flows into alternatives and retail mutual funds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Launched over 60 new funds globally, including SmartRetirement, Highbridge Statistical Market Neutral and India Real Estate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Private Bank client advisor growth of 11%</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Reached $100 billion in 401(k) assets and successfully piloted retail rollover program; slower than expected growth in number of 401(k) participants</w:t>
      </w:r>
    </w:p>
    <w:p>
      <w:pPr>
        <w:spacing w:after="0" w:line="31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discipline and efficiency</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Completed two phases of Trust platform convergence in U.S.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Implemented Global Transfer Agency platform in Luxembourg in 3Q06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Competitive positioning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Bubble Size = 2006 pretax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2975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31840"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1"/>
          <w:szCs w:val="11"/>
          <w:color w:val="auto"/>
        </w:rPr>
      </w:pPr>
      <w:r>
        <w:rPr>
          <w:rFonts w:ascii="Arial" w:cs="Arial" w:eastAsia="Arial" w:hAnsi="Arial"/>
          <w:sz w:val="18"/>
          <w:szCs w:val="18"/>
          <w:color w:val="auto"/>
        </w:rPr>
        <w:t>Absolute revenue growth</w:t>
      </w:r>
    </w:p>
    <w:p>
      <w:pPr>
        <w:spacing w:after="0" w:line="158"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Key: AB - AllianceBernstein; C - Citigroup Private Bank and Smith Barney; MS - Morgan Stanley Investment Management and Individual Investor Group; NTRS - Northern Trust; UBS - UBS Asset Management, Wealth Management and Wealth Management USA; TROW - T. Rowe Price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Adjustments:</w:t>
      </w:r>
    </w:p>
    <w:p>
      <w:pPr>
        <w:spacing w:after="0" w:line="90"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 2005 and 2006 results adjusted by $19.5mm and $16.4mm respectively, for gains on sale of Cash Management Services business</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 results exclude Japan business; 2005 earnings exclude $122mm relating to the Japan business</w:t>
      </w:r>
    </w:p>
    <w:p>
      <w:pPr>
        <w:spacing w:after="0" w:line="90" w:lineRule="exact"/>
        <w:rPr>
          <w:rFonts w:ascii="Arial" w:cs="Arial" w:eastAsia="Arial" w:hAnsi="Arial"/>
          <w:sz w:val="18"/>
          <w:szCs w:val="18"/>
          <w:color w:val="auto"/>
        </w:rPr>
      </w:pPr>
    </w:p>
    <w:p>
      <w:pPr>
        <w:ind w:firstLine="8"/>
        <w:spacing w:after="0" w:line="268" w:lineRule="auto"/>
        <w:tabs>
          <w:tab w:leader="none" w:pos="1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MS 2005 results exclude a reduction of $241mm from the allocation of an insurance settlement related to the events of September 11th and a $29mm charge for a lease adjustment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targets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targets</w:t>
      </w:r>
    </w:p>
    <w:p>
      <w:pPr>
        <w:spacing w:after="0" w:line="96"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Pretax margin of 35% while investing for growth</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Achieve in 2007</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LOB goal of 20% earnings growth through the cycle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goals</w:t>
      </w:r>
    </w:p>
    <w:p>
      <w:pPr>
        <w:spacing w:after="0" w:line="9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Sustain superior investment performance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 to expand third-party distribution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Stay in front of shift to alternative assets and absolute return investing</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Grow 401(k) and IRA rollover retail channels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Extend PB and PCS footprint, gain efficiencies and expand PCS investment offering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performance</w:t>
      </w:r>
    </w:p>
    <w:p>
      <w:pPr>
        <w:spacing w:after="0" w:line="90"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investment performance above targets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65% of mutual fund AUM in 1st and 2nd quartiles over 1, 3 and 5 years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60% of selected AUM beating benchmarks over 1, 3 and 5 years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55% of mutual fund AUM rated 4 or 5 stars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Portfolio manager retention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Maintain portfolio manager turnover rate below 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Third-party distribution</w:t>
      </w:r>
    </w:p>
    <w:p>
      <w:pPr>
        <w:spacing w:after="0" w:line="90"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Third-party inflows were 11% in the U.S. and 24% internationally in 2006; expect faster growth in U.S. in 2007</w:t>
      </w:r>
    </w:p>
    <w:p>
      <w:pPr>
        <w:spacing w:after="0" w:line="90" w:lineRule="exact"/>
        <w:rPr>
          <w:rFonts w:ascii="Arial" w:cs="Arial" w:eastAsia="Arial" w:hAnsi="Arial"/>
          <w:sz w:val="18"/>
          <w:szCs w:val="18"/>
          <w:color w:val="auto"/>
        </w:rPr>
      </w:pPr>
    </w:p>
    <w:p>
      <w:pPr>
        <w:ind w:left="340" w:right="140" w:hanging="332"/>
        <w:spacing w:after="0" w:line="268"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 grew number of mutual fund advisor relationships by 30%, won preferred placement within 24 distributor programs across multiple channels in 2006; focus on further growth in 2007</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Europe: Ranked 2nd in net sales of long term funds, with 2006 net sales of $19.7B; targeting a shift towards intermediated channels in 2007</w:t>
      </w:r>
    </w:p>
    <w:p>
      <w:pPr>
        <w:spacing w:after="0" w:line="113" w:lineRule="exact"/>
        <w:rPr>
          <w:rFonts w:ascii="Arial" w:cs="Arial" w:eastAsia="Arial" w:hAnsi="Arial"/>
          <w:sz w:val="16"/>
          <w:szCs w:val="16"/>
          <w:color w:val="auto"/>
        </w:rPr>
      </w:pPr>
    </w:p>
    <w:p>
      <w:pPr>
        <w:ind w:left="340" w:right="60" w:hanging="332"/>
        <w:spacing w:after="0" w:line="268"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Asia: in 2007 plan to launch 2-3 new funds in China; obtain license and build out sales force in India; obtain license, develop funds and establish distribution capabilities in Korea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Alternative assets/absolute return investing</w:t>
      </w:r>
    </w:p>
    <w:p>
      <w:pPr>
        <w:spacing w:after="0" w:line="90"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Alternatives have been growing at a CAGR of 28% since 2003, with flows of $14B in 2006; targeting double-digit growth in 2007</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to experience strong flows into Highbridge funds ($6B during 2006) with 97% growth in assets under management in the year</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Raised over $350mm for India Real Estate Fund in 2006; building out Real Estate Infrastructure, China and Renaissance funds in 2007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401(k) and IRA rollover</w:t>
      </w:r>
    </w:p>
    <w:p>
      <w:pPr>
        <w:spacing w:after="0" w:line="96"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Grew participants by 5% in 2006 to 1.4 million; targeting double-digit participant growth in 2007</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AUM growth of 29% in 2006; targeting similar growth in 2007</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Complete integration of CCA Strategies, an employee benefits and compensation consulting firm that will extend our retirement services capabilities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Strengthen connection to RFS and PCS to increase client rollover opportunities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PB and PCS</w:t>
      </w:r>
    </w:p>
    <w:p>
      <w:pPr>
        <w:spacing w:after="0" w:line="96"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Grew PB and PCS AUM by 10% in 2006; targeting double-digit growth in 2007</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Grow number of client advisors in PB and PCS by 5 - 10%</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 to extend PB investments practice to PCS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Expand PCS geographic footprint – established new offices in Atlanta, St. Louis and Princeton in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Generate asset and revenue growth in the Trust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Conclusion</w:t>
      </w:r>
    </w:p>
    <w:p>
      <w:pPr>
        <w:spacing w:after="0" w:line="90"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 to deliver strong investment performance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Leverage product offerings across more internal and external distribution channels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will impact performance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2007 Outlook</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Revenue up from 2006 benefiting from net asset inflows and continued growth in deposits and loans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Expense up from 2006 reflecting continued investments and business growth</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Credit costs trend to more normal levels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MARCH 6, 2007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CARD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Rich Srednicki,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2821305" cy="283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21305" cy="28321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Agenda</w:t>
      </w:r>
    </w:p>
    <w:p>
      <w:pPr>
        <w:spacing w:after="0" w:line="90"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2006 Performance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model</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New account acquisitions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Existing customers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Performance target and 2007 outlook</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356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435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Agenda</w:t>
      </w:r>
    </w:p>
    <w:p>
      <w:pPr>
        <w:spacing w:after="0" w:line="90"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2006 Performance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model</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New account acquisitions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Existing customers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Performance target and 2007 outlook</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($mm)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14,745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14,931</w:t>
            </w: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Credit Costs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4,598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7,346</w:t>
            </w:r>
          </w:p>
        </w:tc>
        <w:tc>
          <w:tcPr>
            <w:tcW w:w="6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18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 w:type="dxa"/>
            <w:vAlign w:val="bottom"/>
          </w:tcPr>
          <w:p>
            <w:pPr>
              <w:spacing w:after="0"/>
              <w:rPr>
                <w:sz w:val="20"/>
                <w:szCs w:val="20"/>
                <w:color w:val="auto"/>
              </w:rPr>
            </w:pPr>
          </w:p>
        </w:tc>
        <w:tc>
          <w:tcPr>
            <w:tcW w:w="4180" w:type="dxa"/>
            <w:vAlign w:val="bottom"/>
            <w:gridSpan w:val="3"/>
            <w:vMerge w:val="continue"/>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3,206</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1,907</w:t>
            </w:r>
          </w:p>
        </w:tc>
        <w:tc>
          <w:tcPr>
            <w:tcW w:w="6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1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 xml:space="preserve">Key Statistics </w:t>
            </w:r>
            <w:r>
              <w:rPr>
                <w:rFonts w:ascii="Arial" w:cs="Arial" w:eastAsia="Arial" w:hAnsi="Arial"/>
                <w:sz w:val="18"/>
                <w:szCs w:val="18"/>
                <w:u w:val="single" w:color="auto"/>
                <w:color w:val="auto"/>
              </w:rPr>
              <w:t>($</w:t>
            </w:r>
            <w:r>
              <w:rPr>
                <w:rFonts w:ascii="Arial" w:cs="Arial" w:eastAsia="Arial" w:hAnsi="Arial"/>
                <w:sz w:val="18"/>
                <w:szCs w:val="18"/>
                <w:color w:val="auto"/>
              </w:rPr>
              <w:t>B)</w:t>
            </w:r>
          </w:p>
        </w:tc>
        <w:tc>
          <w:tcPr>
            <w:tcW w:w="2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ROE</w:t>
            </w:r>
          </w:p>
        </w:tc>
        <w:tc>
          <w:tcPr>
            <w:tcW w:w="284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480"/>
              <w:spacing w:after="0"/>
              <w:rPr>
                <w:sz w:val="20"/>
                <w:szCs w:val="20"/>
                <w:color w:val="auto"/>
              </w:rPr>
            </w:pPr>
            <w:r>
              <w:rPr>
                <w:rFonts w:ascii="Arial" w:cs="Arial" w:eastAsia="Arial" w:hAnsi="Arial"/>
                <w:sz w:val="18"/>
                <w:szCs w:val="18"/>
                <w:color w:val="auto"/>
              </w:rPr>
              <w:t>16%</w:t>
            </w: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Allocated Capital</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ROO (pretax)</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2.18%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Managed Margin</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Net Charge-off Rate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5.21%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30-Day Delinquency Rate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Avg. Outstandings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6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EOP Outstandings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Charge Volume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302</w:t>
            </w:r>
          </w:p>
        </w:tc>
        <w:tc>
          <w:tcPr>
            <w:tcW w:w="6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8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Net Accts Opened (mm)</w:t>
            </w:r>
            <w:r>
              <w:rPr>
                <w:rFonts w:ascii="Arial" w:cs="Arial" w:eastAsia="Arial" w:hAnsi="Arial"/>
                <w:sz w:val="22"/>
                <w:szCs w:val="22"/>
                <w:color w:val="auto"/>
                <w:vertAlign w:val="superscript"/>
              </w:rPr>
              <w:t>2</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1"/>
          <w:szCs w:val="11"/>
          <w:color w:val="auto"/>
        </w:rPr>
      </w:pPr>
      <w:r>
        <w:rPr>
          <w:rFonts w:ascii="Arial" w:cs="Arial" w:eastAsia="Arial" w:hAnsi="Arial"/>
          <w:sz w:val="18"/>
          <w:szCs w:val="18"/>
          <w:color w:val="auto"/>
        </w:rPr>
        <w:t>2005 results have been adjusted to reflect the deconsolidation of Paymentech</w:t>
      </w:r>
    </w:p>
    <w:p>
      <w:pPr>
        <w:spacing w:after="0" w:line="5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1"/>
          <w:szCs w:val="11"/>
          <w:color w:val="auto"/>
        </w:rPr>
      </w:pPr>
      <w:r>
        <w:rPr>
          <w:rFonts w:ascii="Arial" w:cs="Arial" w:eastAsia="Arial" w:hAnsi="Arial"/>
          <w:sz w:val="18"/>
          <w:szCs w:val="18"/>
          <w:color w:val="auto"/>
        </w:rPr>
        <w:t>Includes approximately 30mm accounts in 2006 and approximately 10mm accounts in 2005 related to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2006 Highlights</w:t>
      </w:r>
    </w:p>
    <w:p>
      <w:pPr>
        <w:spacing w:after="0" w:line="90"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progress made in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Record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Record net income of $3.2B up 68% YoY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Historically low credit costs (down 37% YoY) due to significantly lower bankruptcy filings and lower delinquencies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ROO (Pretax) of 3.59%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ROE of 23%</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Record organic new accounts of 15.9mm vs. 11.4mm in 2005</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Charge volume increase of 12% YoY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Strong outstandings growth of 7% YoY</w:t>
      </w:r>
    </w:p>
    <w:p>
      <w:pPr>
        <w:spacing w:after="0" w:line="90" w:lineRule="exact"/>
        <w:rPr>
          <w:rFonts w:ascii="Arial" w:cs="Arial" w:eastAsia="Arial" w:hAnsi="Arial"/>
          <w:sz w:val="18"/>
          <w:szCs w:val="18"/>
          <w:color w:val="auto"/>
        </w:rPr>
      </w:pPr>
    </w:p>
    <w:p>
      <w:pPr>
        <w:ind w:left="340" w:right="200" w:hanging="332"/>
        <w:spacing w:after="0" w:line="268"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Continued to build private label portfolio with the addition of Kohl’s, BP, Pier 1 Imports and Toys “R” Us; strong performance at Sears Canada and Circuit City</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Continued marketing investment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New advertising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Incremental 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What we said last year at Investor Day</w:t>
      </w:r>
    </w:p>
    <w:p>
      <w:pPr>
        <w:spacing w:after="0" w:line="90"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 to grow high ROE and high ROO businesses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 to improve new account acquisition profitability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Continued investment in growth initiatives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Retail branch cross-sell</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Service-to-sales/card activation program</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Judgmental lending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Build brand awareness through advertising and innovation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Business card expansion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Continued focus on expense effectiveness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Complete merchant business integration and improve sales/profits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Strategic acquisitions/partnerships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Circuit City (2004), Sears Canada (2005), BP private label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Improvement in returns and earnings growth</w:t>
      </w:r>
    </w:p>
    <w:p>
      <w:pPr>
        <w:spacing w:after="0" w:line="90" w:lineRule="exact"/>
        <w:rPr>
          <w:sz w:val="20"/>
          <w:szCs w:val="20"/>
          <w:color w:val="auto"/>
        </w:rPr>
      </w:pPr>
    </w:p>
    <w:p>
      <w:pPr>
        <w:ind w:right="1500" w:firstLine="8"/>
        <w:spacing w:after="0" w:line="550" w:lineRule="auto"/>
        <w:tabs>
          <w:tab w:leader="none" w:pos="3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Compounded annual growth rate (CAGR) from 2003 to 2006 is the most improved among peers, but ROO is still below top competitors 2006 Pretax earnings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4013200" cy="37820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013200"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2003 - 2006 Pretax earnings CAGR &amp; 2006 ROO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679190" cy="37731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79190" cy="377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Source: Company Reports; SEC filings</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Notes: Citi U.S. Card segment; includes Canada and Puerto Rico but excludes Mexico Capital One U.S. Card segment; excludes international credit card and small business Discover data includes international loans</w:t>
      </w:r>
    </w:p>
    <w:p>
      <w:pPr>
        <w:spacing w:after="0" w:line="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American Express U.S. Card Services segment; includes U.S. consumer &amp; small business lending and charge card portfolios, pre-paid and travelers cheques and travel services division Bank of America Card Services segment data is not comparable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75"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 share</w:t>
      </w:r>
    </w:p>
    <w:p>
      <w:pPr>
        <w:spacing w:after="0" w:line="90"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We continue to grow share of outstandings and sales and run the business as a growth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5831840" cy="31642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31840" cy="316420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42"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Sources: Visa &amp; MasterCard industry data; Amex and Discover company reports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Source: Federal Reserve, U.S. revolving credit data</w:t>
      </w:r>
    </w:p>
    <w:p>
      <w:pPr>
        <w:spacing w:after="0" w:line="144" w:lineRule="exact"/>
        <w:rPr>
          <w:sz w:val="20"/>
          <w:szCs w:val="20"/>
          <w:color w:val="auto"/>
        </w:rPr>
      </w:pPr>
    </w:p>
    <w:p>
      <w:pPr>
        <w:sectPr>
          <w:pgSz w:w="11900" w:h="16838" w:orient="portrait"/>
          <w:cols w:equalWidth="0" w:num="2">
            <w:col w:w="60" w:space="400"/>
            <w:col w:w="1096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quality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credit loss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867785" cy="3961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67785" cy="396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Delinquencies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936365" cy="3978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936365" cy="397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Source: Earnings Releases; SEC filings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Notes: Bank of America U.S. Consumer and Small Business segment</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Citi U.S. Card segment; includes Canada and Puerto Rico but excludes Mexico Capital One U.S. Card segment; excludes international credit card and small business Discover data includes international loans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American Express U.S. consumer &amp; small business lending portfolios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rates</w:t>
      </w:r>
    </w:p>
    <w:p>
      <w:pPr>
        <w:spacing w:after="0" w:line="90" w:lineRule="exact"/>
        <w:rPr>
          <w:sz w:val="20"/>
          <w:szCs w:val="20"/>
          <w:color w:val="auto"/>
        </w:rPr>
      </w:pPr>
    </w:p>
    <w:p>
      <w:pPr>
        <w:ind w:left="340" w:right="240" w:hanging="332"/>
        <w:spacing w:after="0" w:line="268"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Industry payment rates increased during 2006 due to economic full employment, implementation of higher minimum payments and higher mix of rewards customers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January 2007 reflects normal seasonality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Master trust data</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5831840" cy="32848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31840"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1"/>
          <w:szCs w:val="11"/>
          <w:color w:val="auto"/>
        </w:rPr>
      </w:pPr>
      <w:r>
        <w:rPr>
          <w:rFonts w:ascii="Arial" w:cs="Arial" w:eastAsia="Arial" w:hAnsi="Arial"/>
          <w:sz w:val="18"/>
          <w:szCs w:val="18"/>
          <w:color w:val="auto"/>
        </w:rPr>
        <w:t>Source: SEC filings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card cross-sell</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No. of credit card accounts/branch/month</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3850640" cy="36874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50640"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Service to sales revenue ($mm)</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3841750" cy="3181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41750" cy="318135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42"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Includes telephone banking</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Revenue from product sales after satisfactory completion of an inbound customer service phone call</w:t>
      </w:r>
    </w:p>
    <w:p>
      <w:pPr>
        <w:spacing w:after="0" w:line="179" w:lineRule="exact"/>
        <w:rPr>
          <w:sz w:val="20"/>
          <w:szCs w:val="20"/>
          <w:color w:val="auto"/>
        </w:rPr>
      </w:pPr>
    </w:p>
    <w:p>
      <w:pPr>
        <w:sectPr>
          <w:pgSz w:w="11900" w:h="16838" w:orient="portrait"/>
          <w:cols w:equalWidth="0" w:num="2">
            <w:col w:w="60" w:space="400"/>
            <w:col w:w="1096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Judgmental lending</w:t>
      </w:r>
    </w:p>
    <w:p>
      <w:pPr>
        <w:spacing w:after="0" w:line="90"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continue to increase our use of judgmental lending and automate our learnings as appropriate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approval rate declined in 2006 as we automated the higher credit quality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28816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31840"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account acquisitions</w:t>
      </w:r>
    </w:p>
    <w:p>
      <w:pPr>
        <w:spacing w:after="0" w:line="90"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growth in organic new account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19640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3184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Credit quality has been maintained despite growth in new account acquisitions, which helps reduce volatility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14922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31840"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1"/>
          <w:szCs w:val="11"/>
          <w:color w:val="auto"/>
        </w:rPr>
      </w:pPr>
      <w:r>
        <w:rPr>
          <w:rFonts w:ascii="Arial" w:cs="Arial" w:eastAsia="Arial" w:hAnsi="Arial"/>
          <w:sz w:val="18"/>
          <w:szCs w:val="18"/>
          <w:color w:val="auto"/>
        </w:rPr>
        <w:t>Based on end of period outstandings; Prime and non prime designation at origination</w:t>
      </w:r>
    </w:p>
    <w:p>
      <w:pPr>
        <w:spacing w:after="0" w:line="14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Rewards</w:t>
      </w:r>
    </w:p>
    <w:p>
      <w:pPr>
        <w:spacing w:after="0" w:line="90"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Cards with rewards increased from 32% of outstandings in 2003 to 53% in 2006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Rewards as a percentage of outstandings</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5831840" cy="2795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31840"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1"/>
          <w:szCs w:val="11"/>
          <w:color w:val="auto"/>
        </w:rPr>
      </w:pPr>
      <w:r>
        <w:rPr>
          <w:rFonts w:ascii="Arial" w:cs="Arial" w:eastAsia="Arial" w:hAnsi="Arial"/>
          <w:sz w:val="18"/>
          <w:szCs w:val="18"/>
          <w:color w:val="auto"/>
        </w:rPr>
        <w:t>Based on end of period outstandings</w:t>
      </w:r>
    </w:p>
    <w:p>
      <w:pPr>
        <w:spacing w:after="0" w:line="14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Agenda</w:t>
      </w:r>
    </w:p>
    <w:p>
      <w:pPr>
        <w:spacing w:after="0" w:line="90"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2006 Performance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Business model</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New account acquisitions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Existing customers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Performance target and 2007 outlook</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 we run our business</w:t>
      </w:r>
    </w:p>
    <w:p>
      <w:pPr>
        <w:spacing w:after="0" w:line="90"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Long-term view</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High return, annuity business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Target low double-digit earnings growth through the cycle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Believe industry will grow 5-6% through the cycle, plus our marketing investments and efficiencies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Given our scale and organic growth rate, low double-digit earnings growth is sustainable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Our investments are modeled to achieve this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Marketing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Investments are two types</w:t>
      </w:r>
    </w:p>
    <w:p>
      <w:pPr>
        <w:spacing w:after="0" w:line="90"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New account acquisitions</w:t>
      </w:r>
    </w:p>
    <w:p>
      <w:pPr>
        <w:spacing w:after="0" w:line="90" w:lineRule="exact"/>
        <w:rPr>
          <w:rFonts w:ascii="Arial" w:cs="Arial" w:eastAsia="Arial" w:hAnsi="Arial"/>
          <w:sz w:val="18"/>
          <w:szCs w:val="18"/>
          <w:color w:val="auto"/>
        </w:rPr>
      </w:pPr>
    </w:p>
    <w:p>
      <w:pPr>
        <w:ind w:left="660" w:right="80" w:hanging="314"/>
        <w:spacing w:after="0" w:line="268"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For a given dollar investment, we seek to maximize “out-year” earnings (i.e. 3+ years) at minimum return hurdles (primarily return on outstandings and return on equity)</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We constantly and rigorously review investment returns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Investments not constrained by net interest margin, revenue, outstandings or any single metric</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Existing customers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Fee services, “spend and get” rewards, balance transfers and convenience checks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Investments essentially uncapped because most are “in-year” pretax income positive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account acquisition channel diversification</w:t>
      </w:r>
    </w:p>
    <w:p>
      <w:pPr>
        <w:spacing w:after="0" w:line="90"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Over the past few years we have moved away from a predominately direct mail source to multiple sources that utilize our partner and retail branch channels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accounts</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5831840" cy="30016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31840" cy="30016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Excludes portfolio acquisitions</w:t>
      </w:r>
    </w:p>
    <w:p>
      <w:pPr>
        <w:ind w:right="2720"/>
        <w:spacing w:after="0" w:line="222" w:lineRule="auto"/>
        <w:rPr>
          <w:sz w:val="20"/>
          <w:szCs w:val="20"/>
          <w:color w:val="auto"/>
        </w:rPr>
      </w:pPr>
      <w:r>
        <w:rPr>
          <w:rFonts w:ascii="Arial" w:cs="Arial" w:eastAsia="Arial" w:hAnsi="Arial"/>
          <w:sz w:val="18"/>
          <w:szCs w:val="18"/>
          <w:color w:val="auto"/>
        </w:rPr>
        <w:t>Includes Sears Canada, Kohl’s, Circuit City, Pier 1 Imports, BP private label and Toys “R” Us private label portfolios Includes telemarketing, take-ones, events and media</w:t>
      </w:r>
    </w:p>
    <w:p>
      <w:pPr>
        <w:spacing w:after="0" w:line="130" w:lineRule="exact"/>
        <w:rPr>
          <w:sz w:val="20"/>
          <w:szCs w:val="20"/>
          <w:color w:val="auto"/>
        </w:rPr>
      </w:pPr>
    </w:p>
    <w:p>
      <w:pPr>
        <w:sectPr>
          <w:pgSz w:w="11900" w:h="16838" w:orient="portrait"/>
          <w:cols w:equalWidth="0" w:num="2">
            <w:col w:w="60" w:space="400"/>
            <w:col w:w="1096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account acquisitions – direct mail</w:t>
      </w:r>
    </w:p>
    <w:p>
      <w:pPr>
        <w:spacing w:after="0" w:line="90"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both groups (non-rewards and rewards), our returns are exceeding our internal hurdles which focus on return on outstandings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Non-rewards accounts are cumulative pretax income negative until the introductory period expires and then produces stable earnings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Rewards accounts have higher customer engagement creating a more stable balance and a steeper slope in cumulative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978910" cy="70923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978910" cy="7092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account acquisitions – rewards vs. non-rewards</w:t>
      </w:r>
    </w:p>
    <w:p>
      <w:pPr>
        <w:spacing w:after="0" w:line="90"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Higher spend volumes on our co-brand travel portfolio translate into higher balances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allocate capital based on risk which results in lower capital allocation rate for our co-brand travel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258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3184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1"/>
          <w:szCs w:val="11"/>
          <w:color w:val="auto"/>
        </w:rPr>
      </w:pPr>
      <w:r>
        <w:rPr>
          <w:rFonts w:ascii="Arial" w:cs="Arial" w:eastAsia="Arial" w:hAnsi="Arial"/>
          <w:sz w:val="18"/>
          <w:szCs w:val="18"/>
          <w:color w:val="auto"/>
        </w:rPr>
        <w:t>Based on accounts on file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Existing customers</w:t>
      </w:r>
    </w:p>
    <w:p>
      <w:pPr>
        <w:spacing w:after="0" w:line="90"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Types of marketing investments to existing customers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Balance transfers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Fee services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Spend-related activities to build loyalty and balances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Unlike new account acquisitions, these expenditures tend to either generate immediate returns or are done to reduce attrition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Maximize return on invested dollars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Investments must breakeven in less than 1 year</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Returns from these programs are also reflected in our acquisition models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Existing customers</w:t>
      </w:r>
    </w:p>
    <w:p>
      <w:pPr>
        <w:spacing w:after="0" w:line="212" w:lineRule="exact"/>
        <w:rPr>
          <w:sz w:val="20"/>
          <w:szCs w:val="20"/>
          <w:color w:val="auto"/>
        </w:rPr>
      </w:pPr>
    </w:p>
    <w:p>
      <w:pPr>
        <w:ind w:left="280" w:hanging="272"/>
        <w:spacing w:after="0"/>
        <w:tabs>
          <w:tab w:leader="none" w:pos="2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Similar to our non-rewards acquisition curves, balance transfers tend to attrite fairly quickly and are closely tied to the term of the low rate offer</w:t>
      </w:r>
    </w:p>
    <w:p>
      <w:pPr>
        <w:spacing w:after="0" w:line="140" w:lineRule="exact"/>
        <w:rPr>
          <w:rFonts w:ascii="Arial" w:cs="Arial" w:eastAsia="Arial" w:hAnsi="Arial"/>
          <w:sz w:val="16"/>
          <w:szCs w:val="16"/>
          <w:color w:val="auto"/>
        </w:rPr>
      </w:pPr>
    </w:p>
    <w:p>
      <w:pPr>
        <w:ind w:left="280" w:hanging="272"/>
        <w:spacing w:after="0"/>
        <w:tabs>
          <w:tab w:leader="none" w:pos="2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majority of income is from fee income in the first month, and once the fee has been recognized the return on outstandings is under 3.5%</w:t>
      </w:r>
    </w:p>
    <w:p>
      <w:pPr>
        <w:spacing w:after="0" w:line="140" w:lineRule="exact"/>
        <w:rPr>
          <w:rFonts w:ascii="Arial" w:cs="Arial" w:eastAsia="Arial" w:hAnsi="Arial"/>
          <w:sz w:val="16"/>
          <w:szCs w:val="16"/>
          <w:color w:val="auto"/>
        </w:rPr>
      </w:pPr>
    </w:p>
    <w:p>
      <w:pPr>
        <w:ind w:left="280" w:hanging="272"/>
        <w:spacing w:after="0"/>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These programs have average internal rate of returns of 20+% and are offered to less than 20%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4356735" cy="4227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56735" cy="422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Agenda</w:t>
      </w:r>
    </w:p>
    <w:p>
      <w:pPr>
        <w:spacing w:after="0" w:line="90"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2006 Performance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Business model</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New account acquisitions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Existing customers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Performance target and 2007 outlook</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Pretax return on outstandings (ROO)</w:t>
      </w:r>
    </w:p>
    <w:p>
      <w:pPr>
        <w:spacing w:after="0" w:line="90"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Chase has closed some of the ROO gap but still lags competitors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level and mix of marketing investment will have an impact on our ROO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114300</wp:posOffset>
            </wp:positionV>
            <wp:extent cx="5831840" cy="27184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31840"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Source: Company Reports; SEC filings</w:t>
      </w:r>
    </w:p>
    <w:p>
      <w:pPr>
        <w:spacing w:after="0" w:line="90" w:lineRule="exact"/>
        <w:rPr>
          <w:sz w:val="20"/>
          <w:szCs w:val="20"/>
          <w:color w:val="auto"/>
        </w:rPr>
      </w:pPr>
    </w:p>
    <w:p>
      <w:pPr>
        <w:jc w:val="both"/>
        <w:ind w:right="5340"/>
        <w:spacing w:after="0" w:line="253" w:lineRule="auto"/>
        <w:rPr>
          <w:sz w:val="20"/>
          <w:szCs w:val="20"/>
          <w:color w:val="auto"/>
        </w:rPr>
      </w:pPr>
      <w:r>
        <w:rPr>
          <w:rFonts w:ascii="Arial" w:cs="Arial" w:eastAsia="Arial" w:hAnsi="Arial"/>
          <w:sz w:val="18"/>
          <w:szCs w:val="18"/>
          <w:color w:val="auto"/>
        </w:rPr>
        <w:t>Notes: Citi U.S. Card segment; includes Canada and Puerto Rico but excludes Mexico Capital One U.S. Card segment; excludes international credit card and small business Discover data includes international loans</w:t>
      </w:r>
    </w:p>
    <w:p>
      <w:pPr>
        <w:ind w:right="140"/>
        <w:spacing w:after="0" w:line="261" w:lineRule="auto"/>
        <w:rPr>
          <w:sz w:val="20"/>
          <w:szCs w:val="20"/>
          <w:color w:val="auto"/>
        </w:rPr>
      </w:pPr>
      <w:r>
        <w:rPr>
          <w:rFonts w:ascii="Arial" w:cs="Arial" w:eastAsia="Arial" w:hAnsi="Arial"/>
          <w:sz w:val="18"/>
          <w:szCs w:val="18"/>
          <w:color w:val="auto"/>
        </w:rPr>
        <w:t>American Express U.S. Card Services segment; includes U.S. consumer &amp; small business lending and charge card portfolios, pre-paid and travelers cheques and travel services division Bank of America Card Services segment data is not comparable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target and 2007 outlook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Performance target</w:t>
      </w:r>
    </w:p>
    <w:p>
      <w:pPr>
        <w:spacing w:after="0" w:line="90"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23% - 25% ROE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Expect to maintain even as credit returns to through the cycle averages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2007 Outlook</w:t>
      </w:r>
    </w:p>
    <w:p>
      <w:pPr>
        <w:spacing w:after="0" w:line="90"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Expect growth in outstandings and spend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Revenue expected to increase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Net interest income up</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Noninterest revenue down due to higher partner payments and rewards expense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Credit costs gradually begin to trend up but remain below through-the-cycle average, which is now expected to be 4.75% - 5.00%</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Decline in expense due to lower marketing spend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Path to performance target</w:t>
      </w:r>
    </w:p>
    <w:p>
      <w:pPr>
        <w:spacing w:after="0" w:line="90"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business matures, sufficient amounts of portfolio will be in year 3+</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and mix of our marketing investment impacts target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Level of spend for new account acquisitions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Based on competitive market and economic conditions, we adjust our level of marketing investment</w:t>
      </w:r>
    </w:p>
    <w:p>
      <w:pPr>
        <w:spacing w:after="0" w:line="90" w:lineRule="exact"/>
        <w:rPr>
          <w:rFonts w:ascii="Arial" w:cs="Arial" w:eastAsia="Arial" w:hAnsi="Arial"/>
          <w:sz w:val="18"/>
          <w:szCs w:val="18"/>
          <w:color w:val="auto"/>
        </w:rPr>
      </w:pPr>
    </w:p>
    <w:p>
      <w:pPr>
        <w:ind w:left="1000" w:right="640" w:hanging="317"/>
        <w:spacing w:after="0" w:line="268" w:lineRule="auto"/>
        <w:tabs>
          <w:tab w:leader="none" w:pos="10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Favorable market and economic conditions over the last several years have allowed us to increase our level of marketing investment vs our investment objectives</w:t>
      </w:r>
    </w:p>
    <w:p>
      <w:pPr>
        <w:spacing w:after="0" w:line="253" w:lineRule="exact"/>
        <w:rPr>
          <w:rFonts w:ascii="Arial" w:cs="Arial" w:eastAsia="Arial" w:hAnsi="Arial"/>
          <w:sz w:val="18"/>
          <w:szCs w:val="18"/>
          <w:color w:val="auto"/>
        </w:rPr>
      </w:pPr>
    </w:p>
    <w:p>
      <w:pPr>
        <w:ind w:left="660" w:hanging="314"/>
        <w:spacing w:after="0"/>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Level of spend for existing customers (Balance transfer programs)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Average internal rate of returns of 20+%</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Generate fees, balances, engagement</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Once fee is realized, low return on outstandings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Balances have short average life</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Very low risk, very targeted (&lt; 20% of customers)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Risks to long-term hurdles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Competitive landscape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Credit loss normalization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Legislative environment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Agenda</w:t>
      </w:r>
    </w:p>
    <w:p>
      <w:pPr>
        <w:spacing w:after="0" w:line="90"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2006 Performance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Business model</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New account acquisitions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Existing customers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Performance target and 2007 outlook</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areas of focus for 2007</w:t>
      </w:r>
    </w:p>
    <w:p>
      <w:pPr>
        <w:spacing w:after="0" w:line="90"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Grow Chase-branded business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Expand our position in key growth segments of the market e.g., business card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to grow partner business – both co-brand and private label</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Maintain disciplined and efficient operating environment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Grow the Chase-branded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895475" cy="13379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9547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520" w:hanging="285"/>
        <w:spacing w:after="0"/>
        <w:tabs>
          <w:tab w:leader="none" w:pos="4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Increase brand awareness and relevance among key customer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680085</wp:posOffset>
            </wp:positionV>
            <wp:extent cx="1912620" cy="18440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1262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520" w:hanging="285"/>
        <w:spacing w:after="0"/>
        <w:tabs>
          <w:tab w:leader="none" w:pos="4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Increase share of wallet and build loyalty</w:t>
      </w:r>
    </w:p>
    <w:p>
      <w:pPr>
        <w:spacing w:after="0" w:line="90" w:lineRule="exact"/>
        <w:rPr>
          <w:rFonts w:ascii="Arial" w:cs="Arial" w:eastAsia="Arial" w:hAnsi="Arial"/>
          <w:sz w:val="18"/>
          <w:szCs w:val="18"/>
          <w:color w:val="auto"/>
        </w:rPr>
      </w:pPr>
    </w:p>
    <w:p>
      <w:pPr>
        <w:ind w:left="4840" w:hanging="281"/>
        <w:spacing w:after="0"/>
        <w:tabs>
          <w:tab w:leader="none" w:pos="48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Right products (e.g., Freedom), new products slated for ‘07</w:t>
      </w:r>
    </w:p>
    <w:p>
      <w:pPr>
        <w:spacing w:after="0" w:line="90" w:lineRule="exact"/>
        <w:rPr>
          <w:rFonts w:ascii="Arial" w:cs="Arial" w:eastAsia="Arial" w:hAnsi="Arial"/>
          <w:sz w:val="18"/>
          <w:szCs w:val="18"/>
          <w:color w:val="auto"/>
        </w:rPr>
      </w:pPr>
    </w:p>
    <w:p>
      <w:pPr>
        <w:ind w:left="4840" w:hanging="281"/>
        <w:spacing w:after="0"/>
        <w:tabs>
          <w:tab w:leader="none" w:pos="48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Best customer treatment</w:t>
      </w:r>
    </w:p>
    <w:p>
      <w:pPr>
        <w:spacing w:after="0" w:line="90" w:lineRule="exact"/>
        <w:rPr>
          <w:rFonts w:ascii="Arial" w:cs="Arial" w:eastAsia="Arial" w:hAnsi="Arial"/>
          <w:sz w:val="18"/>
          <w:szCs w:val="18"/>
          <w:color w:val="auto"/>
        </w:rPr>
      </w:pPr>
    </w:p>
    <w:p>
      <w:pPr>
        <w:ind w:left="4840" w:hanging="281"/>
        <w:spacing w:after="0"/>
        <w:tabs>
          <w:tab w:leader="none" w:pos="48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Service-to-sales cross-sell and customer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1826895" cy="13290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2689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20" w:hanging="285"/>
        <w:spacing w:after="0"/>
        <w:tabs>
          <w:tab w:leader="none" w:pos="4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Continue to partner with Retail Financial Services</w:t>
      </w:r>
    </w:p>
    <w:p>
      <w:pPr>
        <w:spacing w:after="0" w:line="90" w:lineRule="exact"/>
        <w:rPr>
          <w:rFonts w:ascii="Arial" w:cs="Arial" w:eastAsia="Arial" w:hAnsi="Arial"/>
          <w:sz w:val="18"/>
          <w:szCs w:val="18"/>
          <w:color w:val="auto"/>
        </w:rPr>
      </w:pPr>
    </w:p>
    <w:p>
      <w:pPr>
        <w:ind w:left="4840" w:hanging="281"/>
        <w:spacing w:after="0"/>
        <w:tabs>
          <w:tab w:leader="none" w:pos="48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Branch cross-sell to engage customers</w:t>
      </w:r>
    </w:p>
    <w:p>
      <w:pPr>
        <w:spacing w:after="0" w:line="90" w:lineRule="exact"/>
        <w:rPr>
          <w:rFonts w:ascii="Arial" w:cs="Arial" w:eastAsia="Arial" w:hAnsi="Arial"/>
          <w:sz w:val="18"/>
          <w:szCs w:val="18"/>
          <w:color w:val="auto"/>
        </w:rPr>
      </w:pPr>
    </w:p>
    <w:p>
      <w:pPr>
        <w:ind w:left="4840" w:hanging="281"/>
        <w:spacing w:after="0"/>
        <w:tabs>
          <w:tab w:leader="none" w:pos="48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Home equity cross-sell to Card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Grow Chase-branded business – Chase freedom launch</w:t>
      </w:r>
    </w:p>
    <w:p>
      <w:pPr>
        <w:spacing w:after="0" w:line="90"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Chase Freedom is a truly unique and differentiated rewards product that delivers 3 promises to the customer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5480" w:hanging="326"/>
        <w:spacing w:after="0"/>
        <w:tabs>
          <w:tab w:leader="none" w:pos="5480" w:val="left"/>
        </w:tabs>
        <w:numPr>
          <w:ilvl w:val="1"/>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freedom to choose </w:t>
      </w:r>
      <w:r>
        <w:rPr>
          <w:rFonts w:ascii="Arial" w:cs="Arial" w:eastAsia="Arial" w:hAnsi="Arial"/>
          <w:sz w:val="18"/>
          <w:szCs w:val="18"/>
          <w:color w:val="auto"/>
        </w:rPr>
        <w:t>– between cash back or points</w:t>
      </w:r>
    </w:p>
    <w:p>
      <w:pPr>
        <w:spacing w:after="0" w:line="90" w:lineRule="exact"/>
        <w:rPr>
          <w:rFonts w:ascii="Arial" w:cs="Arial" w:eastAsia="Arial" w:hAnsi="Arial"/>
          <w:sz w:val="18"/>
          <w:szCs w:val="18"/>
          <w:color w:val="auto"/>
        </w:rPr>
      </w:pPr>
    </w:p>
    <w:p>
      <w:pPr>
        <w:ind w:left="5480" w:right="220" w:hanging="326"/>
        <w:spacing w:after="0" w:line="268" w:lineRule="auto"/>
        <w:tabs>
          <w:tab w:leader="none" w:pos="5481" w:val="left"/>
        </w:tabs>
        <w:numPr>
          <w:ilvl w:val="1"/>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freedom to change </w:t>
      </w:r>
      <w:r>
        <w:rPr>
          <w:rFonts w:ascii="Arial" w:cs="Arial" w:eastAsia="Arial" w:hAnsi="Arial"/>
          <w:sz w:val="18"/>
          <w:szCs w:val="18"/>
          <w:color w:val="auto"/>
        </w:rPr>
        <w:t>– from cash back to points or points to cash back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losing any rewards</w:t>
      </w:r>
    </w:p>
    <w:p>
      <w:pPr>
        <w:spacing w:after="0" w:line="50" w:lineRule="exact"/>
        <w:rPr>
          <w:rFonts w:ascii="Arial" w:cs="Arial" w:eastAsia="Arial" w:hAnsi="Arial"/>
          <w:sz w:val="18"/>
          <w:szCs w:val="18"/>
          <w:color w:val="auto"/>
        </w:rPr>
      </w:pPr>
    </w:p>
    <w:p>
      <w:pPr>
        <w:ind w:left="5480" w:right="200" w:hanging="326"/>
        <w:spacing w:after="0" w:line="268" w:lineRule="auto"/>
        <w:tabs>
          <w:tab w:leader="none" w:pos="5481" w:val="left"/>
        </w:tabs>
        <w:numPr>
          <w:ilvl w:val="1"/>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freedom to earn more </w:t>
      </w:r>
      <w:r>
        <w:rPr>
          <w:rFonts w:ascii="Arial" w:cs="Arial" w:eastAsia="Arial" w:hAnsi="Arial"/>
          <w:sz w:val="18"/>
          <w:szCs w:val="18"/>
          <w:color w:val="auto"/>
        </w:rPr>
        <w:t>– earn 3% in gas, grocery and quick service restaurant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purchases and 1% on all other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-1162050</wp:posOffset>
            </wp:positionV>
            <wp:extent cx="2366645" cy="15176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6664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Brand awareness – total unaided</w:t>
            </w:r>
          </w:p>
        </w:tc>
        <w:tc>
          <w:tcPr>
            <w:tcW w:w="6160" w:type="dxa"/>
            <w:vAlign w:val="bottom"/>
            <w:gridSpan w:val="3"/>
          </w:tcPr>
          <w:p>
            <w:pPr>
              <w:ind w:left="2280"/>
              <w:spacing w:after="0"/>
              <w:rPr>
                <w:sz w:val="20"/>
                <w:szCs w:val="20"/>
                <w:color w:val="auto"/>
              </w:rPr>
            </w:pPr>
            <w:r>
              <w:rPr>
                <w:rFonts w:ascii="Arial" w:cs="Arial" w:eastAsia="Arial" w:hAnsi="Arial"/>
                <w:sz w:val="18"/>
                <w:szCs w:val="18"/>
                <w:color w:val="auto"/>
              </w:rPr>
              <w:t>Key program results</w:t>
            </w:r>
          </w:p>
        </w:tc>
      </w:tr>
      <w:tr>
        <w:trPr>
          <w:trHeight w:val="324"/>
        </w:trPr>
        <w:tc>
          <w:tcPr>
            <w:tcW w:w="4580" w:type="dxa"/>
            <w:vAlign w:val="bottom"/>
          </w:tcPr>
          <w:p>
            <w:pPr>
              <w:spacing w:after="0"/>
              <w:rPr>
                <w:sz w:val="24"/>
                <w:szCs w:val="24"/>
                <w:color w:val="auto"/>
              </w:rPr>
            </w:pPr>
          </w:p>
        </w:tc>
        <w:tc>
          <w:tcPr>
            <w:tcW w:w="2480" w:type="dxa"/>
            <w:vAlign w:val="bottom"/>
          </w:tcPr>
          <w:p>
            <w:pPr>
              <w:ind w:left="2280"/>
              <w:spacing w:after="0"/>
              <w:rPr>
                <w:sz w:val="20"/>
                <w:szCs w:val="20"/>
                <w:color w:val="auto"/>
              </w:rPr>
            </w:pPr>
            <w:r>
              <w:rPr>
                <w:rFonts w:ascii="Arial" w:cs="Arial" w:eastAsia="Arial" w:hAnsi="Arial"/>
                <w:sz w:val="18"/>
                <w:szCs w:val="18"/>
                <w:color w:val="auto"/>
              </w:rPr>
              <w:t>•</w:t>
            </w:r>
          </w:p>
        </w:tc>
        <w:tc>
          <w:tcPr>
            <w:tcW w:w="3680" w:type="dxa"/>
            <w:vAlign w:val="bottom"/>
            <w:gridSpan w:val="2"/>
          </w:tcPr>
          <w:p>
            <w:pPr>
              <w:ind w:left="140"/>
              <w:spacing w:after="0"/>
              <w:rPr>
                <w:sz w:val="20"/>
                <w:szCs w:val="20"/>
                <w:color w:val="auto"/>
              </w:rPr>
            </w:pPr>
            <w:r>
              <w:rPr>
                <w:rFonts w:ascii="Arial" w:cs="Arial" w:eastAsia="Arial" w:hAnsi="Arial"/>
                <w:sz w:val="18"/>
                <w:szCs w:val="18"/>
                <w:color w:val="auto"/>
              </w:rPr>
              <w:t>Launched September 18</w:t>
            </w:r>
          </w:p>
        </w:tc>
      </w:tr>
      <w:tr>
        <w:trPr>
          <w:trHeight w:val="297"/>
        </w:trPr>
        <w:tc>
          <w:tcPr>
            <w:tcW w:w="4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3360" w:type="dxa"/>
            <w:vAlign w:val="bottom"/>
          </w:tcPr>
          <w:p>
            <w:pPr>
              <w:ind w:left="140"/>
              <w:spacing w:after="0"/>
              <w:rPr>
                <w:sz w:val="20"/>
                <w:szCs w:val="20"/>
                <w:color w:val="auto"/>
              </w:rPr>
            </w:pPr>
            <w:r>
              <w:rPr>
                <w:rFonts w:ascii="Arial" w:cs="Arial" w:eastAsia="Arial" w:hAnsi="Arial"/>
                <w:sz w:val="18"/>
                <w:szCs w:val="18"/>
                <w:color w:val="auto"/>
              </w:rPr>
              <w:t>More than 700,000 accounts</w:t>
            </w:r>
          </w:p>
        </w:tc>
      </w:tr>
      <w:tr>
        <w:trPr>
          <w:trHeight w:val="297"/>
        </w:trPr>
        <w:tc>
          <w:tcPr>
            <w:tcW w:w="4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3360" w:type="dxa"/>
            <w:vAlign w:val="bottom"/>
          </w:tcPr>
          <w:p>
            <w:pPr>
              <w:ind w:left="140"/>
              <w:spacing w:after="0"/>
              <w:rPr>
                <w:sz w:val="20"/>
                <w:szCs w:val="20"/>
                <w:color w:val="auto"/>
              </w:rPr>
            </w:pPr>
            <w:r>
              <w:rPr>
                <w:rFonts w:ascii="Arial" w:cs="Arial" w:eastAsia="Arial" w:hAnsi="Arial"/>
                <w:sz w:val="18"/>
                <w:szCs w:val="18"/>
                <w:color w:val="auto"/>
                <w:w w:val="86"/>
              </w:rPr>
              <w:t>#1 product sold through Chase retail branches</w:t>
            </w:r>
          </w:p>
        </w:tc>
      </w:tr>
      <w:tr>
        <w:trPr>
          <w:trHeight w:val="297"/>
        </w:trPr>
        <w:tc>
          <w:tcPr>
            <w:tcW w:w="4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3360" w:type="dxa"/>
            <w:vAlign w:val="bottom"/>
          </w:tcPr>
          <w:p>
            <w:pPr>
              <w:ind w:left="140"/>
              <w:spacing w:after="0"/>
              <w:rPr>
                <w:sz w:val="20"/>
                <w:szCs w:val="20"/>
                <w:color w:val="auto"/>
              </w:rPr>
            </w:pPr>
            <w:r>
              <w:rPr>
                <w:rFonts w:ascii="Arial" w:cs="Arial" w:eastAsia="Arial" w:hAnsi="Arial"/>
                <w:sz w:val="18"/>
                <w:szCs w:val="18"/>
                <w:color w:val="auto"/>
              </w:rPr>
              <w:t>Fully integrated marketing campaign</w:t>
            </w:r>
          </w:p>
        </w:tc>
      </w:tr>
      <w:tr>
        <w:trPr>
          <w:trHeight w:val="297"/>
        </w:trPr>
        <w:tc>
          <w:tcPr>
            <w:tcW w:w="4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3360" w:type="dxa"/>
            <w:vAlign w:val="bottom"/>
          </w:tcPr>
          <w:p>
            <w:pPr>
              <w:ind w:left="120"/>
              <w:spacing w:after="0"/>
              <w:rPr>
                <w:sz w:val="20"/>
                <w:szCs w:val="20"/>
                <w:color w:val="auto"/>
              </w:rPr>
            </w:pPr>
            <w:r>
              <w:rPr>
                <w:rFonts w:ascii="Arial" w:cs="Arial" w:eastAsia="Arial" w:hAnsi="Arial"/>
                <w:sz w:val="18"/>
                <w:szCs w:val="18"/>
                <w:color w:val="auto"/>
              </w:rPr>
              <w:t>Attracts younger customers</w:t>
            </w:r>
          </w:p>
        </w:tc>
      </w:tr>
      <w:tr>
        <w:trPr>
          <w:trHeight w:val="297"/>
        </w:trPr>
        <w:tc>
          <w:tcPr>
            <w:tcW w:w="4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3360" w:type="dxa"/>
            <w:vAlign w:val="bottom"/>
          </w:tcPr>
          <w:p>
            <w:pPr>
              <w:ind w:left="140"/>
              <w:spacing w:after="0"/>
              <w:rPr>
                <w:sz w:val="20"/>
                <w:szCs w:val="20"/>
                <w:color w:val="auto"/>
              </w:rPr>
            </w:pPr>
            <w:r>
              <w:rPr>
                <w:rFonts w:ascii="Arial" w:cs="Arial" w:eastAsia="Arial" w:hAnsi="Arial"/>
                <w:sz w:val="18"/>
                <w:szCs w:val="18"/>
                <w:color w:val="auto"/>
                <w:w w:val="93"/>
              </w:rPr>
              <w:t>Strong early spend and activation numbers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-1078865</wp:posOffset>
            </wp:positionV>
            <wp:extent cx="4296410" cy="21437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9641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Source: Chase Credit Card Tracker – Millward Brown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Expand in key growth segments - Small Business</w:t>
      </w:r>
    </w:p>
    <w:p>
      <w:pPr>
        <w:spacing w:after="0" w:line="90"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Chase’s focus and investment in the Small Business sector is a key driver of growth</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Only 4% of small business expenses on cards compared to 28% of consumer expenses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Key drivers of growth in Small Business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Focusing on customers – Building products designed to meet partner and customer needs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Leveraging JPMC – Working closely across LOBs to deliver the best of Chase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Investing – Dedicating capacity and investment dollars to focus on the targeted market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Targeting sectors – Developing and launching sector specific strategies (e.g., contractor card) and partner business cards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Projected market growth in credit card spend</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3721735" cy="1946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721735"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Chase Small Business card growth (2006 vs.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1966595</wp:posOffset>
            </wp:positionV>
            <wp:extent cx="6000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3515995" cy="16554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1599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1"/>
          <w:szCs w:val="11"/>
          <w:color w:val="auto"/>
        </w:rPr>
      </w:pPr>
      <w:r>
        <w:rPr>
          <w:rFonts w:ascii="Arial" w:cs="Arial" w:eastAsia="Arial" w:hAnsi="Arial"/>
          <w:sz w:val="18"/>
          <w:szCs w:val="18"/>
          <w:color w:val="auto"/>
        </w:rPr>
        <w:t>Source: Internal estimates for growth over next 3-5 years</w:t>
      </w:r>
    </w:p>
    <w:p>
      <w:pPr>
        <w:spacing w:after="0" w:line="14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Grow partnership business – co-brand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1826895" cy="13379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26895" cy="133794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580" w:hanging="277"/>
        <w:spacing w:after="0"/>
        <w:tabs>
          <w:tab w:leader="none" w:pos="3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Signed/renewed over 30 partnership deals in 2006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30702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3070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30702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620" w:right="380" w:hanging="317"/>
        <w:spacing w:after="0" w:line="268" w:lineRule="auto"/>
        <w:tabs>
          <w:tab w:leader="none" w:pos="3577"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Product expansion to ensure right products for right customers, e.g. Continental: Platinum, Business Card, Presidential Plus</w:t>
      </w:r>
    </w:p>
    <w:p>
      <w:pPr>
        <w:spacing w:after="0" w:line="50" w:lineRule="exact"/>
        <w:rPr>
          <w:rFonts w:ascii="Arial" w:cs="Arial" w:eastAsia="Arial" w:hAnsi="Arial"/>
          <w:sz w:val="18"/>
          <w:szCs w:val="18"/>
          <w:color w:val="auto"/>
        </w:rPr>
      </w:pPr>
    </w:p>
    <w:p>
      <w:pPr>
        <w:ind w:left="3580" w:hanging="277"/>
        <w:spacing w:after="0"/>
        <w:tabs>
          <w:tab w:leader="none" w:pos="3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Broaden redemption capabilities to leverage partner relationships:</w:t>
      </w:r>
    </w:p>
    <w:p>
      <w:pPr>
        <w:spacing w:after="0" w:line="90" w:lineRule="exact"/>
        <w:rPr>
          <w:rFonts w:ascii="Arial" w:cs="Arial" w:eastAsia="Arial" w:hAnsi="Arial"/>
          <w:sz w:val="18"/>
          <w:szCs w:val="18"/>
          <w:color w:val="auto"/>
        </w:rPr>
      </w:pPr>
    </w:p>
    <w:p>
      <w:pPr>
        <w:ind w:left="3960" w:right="240" w:hanging="333"/>
        <w:spacing w:after="0" w:line="268" w:lineRule="auto"/>
        <w:tabs>
          <w:tab w:leader="none" w:pos="3917" w:val="left"/>
        </w:tabs>
        <w:numPr>
          <w:ilvl w:val="1"/>
          <w:numId w:val="79"/>
        </w:numPr>
        <w:rPr>
          <w:rFonts w:ascii="Arial" w:cs="Arial" w:eastAsia="Arial" w:hAnsi="Arial"/>
          <w:sz w:val="18"/>
          <w:szCs w:val="18"/>
          <w:color w:val="auto"/>
        </w:rPr>
      </w:pPr>
      <w:r>
        <w:rPr>
          <w:rFonts w:ascii="Arial" w:cs="Arial" w:eastAsia="Arial" w:hAnsi="Arial"/>
          <w:sz w:val="18"/>
          <w:szCs w:val="18"/>
          <w:color w:val="auto"/>
        </w:rPr>
        <w:t>United Alternative Redemption: Statement credits for purchases of tickets on United.com, hotel and car rentals</w:t>
      </w:r>
    </w:p>
    <w:p>
      <w:pPr>
        <w:spacing w:after="0" w:line="50" w:lineRule="exact"/>
        <w:rPr>
          <w:rFonts w:ascii="Arial" w:cs="Arial" w:eastAsia="Arial" w:hAnsi="Arial"/>
          <w:sz w:val="18"/>
          <w:szCs w:val="18"/>
          <w:color w:val="auto"/>
        </w:rPr>
      </w:pPr>
    </w:p>
    <w:p>
      <w:pPr>
        <w:ind w:left="3900" w:hanging="273"/>
        <w:spacing w:after="0"/>
        <w:tabs>
          <w:tab w:leader="none" w:pos="3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BP: Redeem for gift cards, charitable donations or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1826895" cy="13290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2689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580" w:hanging="277"/>
        <w:spacing w:after="0"/>
        <w:tabs>
          <w:tab w:leader="none" w:pos="35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Increase customer touch points through channel expansion, e.g. Instant credit/POS, Internet placement</w:t>
      </w:r>
    </w:p>
    <w:p>
      <w:pPr>
        <w:spacing w:after="0" w:line="113" w:lineRule="exact"/>
        <w:rPr>
          <w:rFonts w:ascii="Arial" w:cs="Arial" w:eastAsia="Arial" w:hAnsi="Arial"/>
          <w:sz w:val="16"/>
          <w:szCs w:val="16"/>
          <w:color w:val="auto"/>
        </w:rPr>
      </w:pPr>
    </w:p>
    <w:p>
      <w:pPr>
        <w:ind w:left="3580" w:hanging="277"/>
        <w:spacing w:after="0"/>
        <w:tabs>
          <w:tab w:leader="none" w:pos="3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Further leveraging partner’s distribution channels for all Chase products</w:t>
      </w:r>
    </w:p>
    <w:p>
      <w:pPr>
        <w:spacing w:after="0" w:line="90" w:lineRule="exact"/>
        <w:rPr>
          <w:rFonts w:ascii="Arial" w:cs="Arial" w:eastAsia="Arial" w:hAnsi="Arial"/>
          <w:sz w:val="18"/>
          <w:szCs w:val="18"/>
          <w:color w:val="auto"/>
        </w:rPr>
      </w:pPr>
    </w:p>
    <w:p>
      <w:pPr>
        <w:ind w:left="3580" w:hanging="277"/>
        <w:spacing w:after="0"/>
        <w:tabs>
          <w:tab w:leader="none" w:pos="35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Expand partner relationships with other LOBs, e.g. Retail Bank, Student Lending, Treasury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Grow partner business – private label clients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Acquisition timeline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884930" cy="19723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84930"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New accounts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627755" cy="21437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62775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End of period outstandings ($mm)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Sales volume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Leverage key capabilities to increase sales and drive loyalty for our retail partners</w:t>
      </w:r>
    </w:p>
    <w:p>
      <w:pPr>
        <w:spacing w:after="0" w:line="90"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Positions in both private label and co-brand enables us to bring a strong and distinctive set of capabilities to our retail partners: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Instant credit and integrated product (co-brand and private label) underwriting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National field sales model to support in-store sales and promotions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Proprietary processing platform for scale and efficiency</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Paymentech and Chase loyalty solutions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Maintain disciplined and efficient operating environment</w:t>
      </w:r>
    </w:p>
    <w:p>
      <w:pPr>
        <w:spacing w:after="0" w:line="90"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Chase Card Services compares very favorably on expense efficiencies by creating a culture of operational excellence with highest service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76835</wp:posOffset>
            </wp:positionV>
            <wp:extent cx="5831840" cy="27273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31840"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Source: Earnings Release and SEC filings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Citi U.S. Card segment includes U.S., Canada and Puerto Rico but excludes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One data is for U.S. Card segment which excludes small business and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Discover data includes international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Card Services and Amex U.S. Card Services data is not comparable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objective is market leadership</w:t>
      </w:r>
    </w:p>
    <w:p>
      <w:pPr>
        <w:spacing w:after="0" w:line="90"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Objective is to maintain strong growth and high returns for the business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High quality customer franchise with strong presence in both the rewards and non-rewards segments of the market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Best co-brand and partnership portfolio providing: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breadth of partners to meet a broad range of customer interests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Opportunities to leverage partner channels to attract highly engaged customers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Opportunity to create more synergy between the merchant acquiring and issuing businesses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culture of operational excellence with highest service standards and low costs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Continuing to invest in building core capabilities and marketing to meet our long term growth goals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MARCH 6, 2007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TREASURY &amp; SECURITIES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Heidi Miller,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2821305" cy="2832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21305" cy="28321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Agenda</w:t>
      </w:r>
    </w:p>
    <w:p>
      <w:pPr>
        <w:spacing w:after="0" w:line="90"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2006 Recap</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Goals and accomplishments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Financials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Peer comparables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2007 Priorities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Financial targets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How we get there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2006 Goals and accomplishments</w:t>
            </w:r>
          </w:p>
        </w:tc>
        <w:tc>
          <w:tcPr>
            <w:tcW w:w="40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297"/>
        </w:trPr>
        <w:tc>
          <w:tcPr>
            <w:tcW w:w="5720" w:type="dxa"/>
            <w:vAlign w:val="bottom"/>
            <w:gridSpan w:val="2"/>
          </w:tcPr>
          <w:p>
            <w:pPr>
              <w:spacing w:after="0"/>
              <w:rPr>
                <w:sz w:val="20"/>
                <w:szCs w:val="20"/>
                <w:color w:val="auto"/>
              </w:rPr>
            </w:pPr>
            <w:r>
              <w:rPr>
                <w:rFonts w:ascii="Arial" w:cs="Arial" w:eastAsia="Arial" w:hAnsi="Arial"/>
                <w:sz w:val="18"/>
                <w:szCs w:val="18"/>
                <w:color w:val="auto"/>
              </w:rPr>
              <w:t>What we said</w:t>
            </w: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What we did</w:t>
            </w:r>
          </w:p>
        </w:tc>
      </w:tr>
      <w:tr>
        <w:trPr>
          <w:trHeight w:val="324"/>
        </w:trPr>
        <w:tc>
          <w:tcPr>
            <w:tcW w:w="5720" w:type="dxa"/>
            <w:vAlign w:val="bottom"/>
            <w:gridSpan w:val="2"/>
          </w:tcPr>
          <w:p>
            <w:pPr>
              <w:spacing w:after="0"/>
              <w:rPr>
                <w:sz w:val="20"/>
                <w:szCs w:val="20"/>
                <w:color w:val="auto"/>
              </w:rPr>
            </w:pPr>
            <w:r>
              <w:rPr>
                <w:rFonts w:ascii="Arial" w:cs="Arial" w:eastAsia="Arial" w:hAnsi="Arial"/>
                <w:sz w:val="18"/>
                <w:szCs w:val="18"/>
                <w:color w:val="auto"/>
              </w:rPr>
              <w:t>•   Substantial progress in 2006 toward 35% pretax margin</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5180" w:type="dxa"/>
            <w:vAlign w:val="bottom"/>
          </w:tcPr>
          <w:p>
            <w:pPr>
              <w:ind w:left="120"/>
              <w:spacing w:after="0"/>
              <w:rPr>
                <w:sz w:val="20"/>
                <w:szCs w:val="20"/>
                <w:color w:val="auto"/>
              </w:rPr>
            </w:pPr>
            <w:r>
              <w:rPr>
                <w:rFonts w:ascii="Arial" w:cs="Arial" w:eastAsia="Arial" w:hAnsi="Arial"/>
                <w:sz w:val="18"/>
                <w:szCs w:val="18"/>
                <w:color w:val="auto"/>
              </w:rPr>
              <w:t>Increased margin by 400 bps</w:t>
            </w:r>
          </w:p>
        </w:tc>
      </w:tr>
      <w:tr>
        <w:trPr>
          <w:trHeight w:val="31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540" w:type="dxa"/>
            <w:vAlign w:val="bottom"/>
          </w:tcPr>
          <w:p>
            <w:pPr>
              <w:ind w:left="100"/>
              <w:spacing w:after="0"/>
              <w:rPr>
                <w:sz w:val="20"/>
                <w:szCs w:val="20"/>
                <w:color w:val="auto"/>
              </w:rPr>
            </w:pPr>
            <w:r>
              <w:rPr>
                <w:rFonts w:ascii="Arial" w:cs="Arial" w:eastAsia="Arial" w:hAnsi="Arial"/>
                <w:sz w:val="18"/>
                <w:szCs w:val="18"/>
                <w:color w:val="auto"/>
              </w:rPr>
              <w:t>Continue merger integration</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5180" w:type="dxa"/>
            <w:vAlign w:val="bottom"/>
          </w:tcPr>
          <w:p>
            <w:pPr>
              <w:ind w:left="120"/>
              <w:spacing w:after="0"/>
              <w:rPr>
                <w:sz w:val="20"/>
                <w:szCs w:val="20"/>
                <w:color w:val="auto"/>
              </w:rPr>
            </w:pPr>
            <w:r>
              <w:rPr>
                <w:rFonts w:ascii="Arial" w:cs="Arial" w:eastAsia="Arial" w:hAnsi="Arial"/>
                <w:sz w:val="18"/>
                <w:szCs w:val="18"/>
                <w:color w:val="auto"/>
              </w:rPr>
              <w:t>Substantially completed merger</w:t>
            </w:r>
          </w:p>
        </w:tc>
      </w:tr>
      <w:tr>
        <w:trPr>
          <w:trHeight w:val="222"/>
        </w:trPr>
        <w:tc>
          <w:tcPr>
            <w:tcW w:w="1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   Exceeded merger savings target</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540" w:type="dxa"/>
            <w:vAlign w:val="bottom"/>
          </w:tcPr>
          <w:p>
            <w:pPr>
              <w:ind w:left="100"/>
              <w:spacing w:after="0"/>
              <w:rPr>
                <w:sz w:val="20"/>
                <w:szCs w:val="20"/>
                <w:color w:val="auto"/>
              </w:rPr>
            </w:pPr>
            <w:r>
              <w:rPr>
                <w:rFonts w:ascii="Arial" w:cs="Arial" w:eastAsia="Arial" w:hAnsi="Arial"/>
                <w:sz w:val="18"/>
                <w:szCs w:val="18"/>
                <w:color w:val="auto"/>
              </w:rPr>
              <w:t>Grow international share</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5180" w:type="dxa"/>
            <w:vAlign w:val="bottom"/>
          </w:tcPr>
          <w:p>
            <w:pPr>
              <w:ind w:left="120"/>
              <w:spacing w:after="0"/>
              <w:rPr>
                <w:sz w:val="20"/>
                <w:szCs w:val="20"/>
                <w:color w:val="auto"/>
              </w:rPr>
            </w:pPr>
            <w:r>
              <w:rPr>
                <w:rFonts w:ascii="Arial" w:cs="Arial" w:eastAsia="Arial" w:hAnsi="Arial"/>
                <w:sz w:val="18"/>
                <w:szCs w:val="18"/>
                <w:color w:val="auto"/>
                <w:w w:val="88"/>
              </w:rPr>
              <w:t>Increased non-U.S. revenue to 44% from 35% in 2004 and 40% in 2005</w:t>
            </w:r>
          </w:p>
        </w:tc>
      </w:tr>
      <w:tr>
        <w:trPr>
          <w:trHeight w:val="318"/>
        </w:trPr>
        <w:tc>
          <w:tcPr>
            <w:tcW w:w="5720" w:type="dxa"/>
            <w:vAlign w:val="bottom"/>
            <w:gridSpan w:val="2"/>
          </w:tcPr>
          <w:p>
            <w:pPr>
              <w:spacing w:after="0"/>
              <w:rPr>
                <w:sz w:val="20"/>
                <w:szCs w:val="20"/>
                <w:color w:val="auto"/>
              </w:rPr>
            </w:pPr>
            <w:r>
              <w:rPr>
                <w:rFonts w:ascii="Arial" w:cs="Arial" w:eastAsia="Arial" w:hAnsi="Arial"/>
                <w:sz w:val="18"/>
                <w:szCs w:val="18"/>
                <w:color w:val="auto"/>
                <w:w w:val="92"/>
              </w:rPr>
              <w:t>•   Attain best-in-class client service across all products – people and systems</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5180" w:type="dxa"/>
            <w:vAlign w:val="bottom"/>
          </w:tcPr>
          <w:p>
            <w:pPr>
              <w:ind w:left="120"/>
              <w:spacing w:after="0"/>
              <w:rPr>
                <w:sz w:val="20"/>
                <w:szCs w:val="20"/>
                <w:color w:val="auto"/>
              </w:rPr>
            </w:pPr>
            <w:r>
              <w:rPr>
                <w:rFonts w:ascii="Arial" w:cs="Arial" w:eastAsia="Arial" w:hAnsi="Arial"/>
                <w:sz w:val="18"/>
                <w:szCs w:val="18"/>
                <w:color w:val="auto"/>
              </w:rPr>
              <w:t>Multi-language capabilities</w:t>
            </w:r>
          </w:p>
        </w:tc>
      </w:tr>
      <w:tr>
        <w:trPr>
          <w:trHeight w:val="216"/>
        </w:trPr>
        <w:tc>
          <w:tcPr>
            <w:tcW w:w="1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5180" w:type="dxa"/>
            <w:vAlign w:val="bottom"/>
          </w:tcPr>
          <w:p>
            <w:pPr>
              <w:ind w:left="120"/>
              <w:spacing w:after="0"/>
              <w:rPr>
                <w:sz w:val="20"/>
                <w:szCs w:val="20"/>
                <w:color w:val="auto"/>
              </w:rPr>
            </w:pPr>
            <w:r>
              <w:rPr>
                <w:rFonts w:ascii="Arial" w:cs="Arial" w:eastAsia="Arial" w:hAnsi="Arial"/>
                <w:sz w:val="18"/>
                <w:szCs w:val="18"/>
                <w:color w:val="auto"/>
              </w:rPr>
              <w:t>Online dashboard</w:t>
            </w:r>
          </w:p>
        </w:tc>
      </w:tr>
      <w:tr>
        <w:trPr>
          <w:trHeight w:val="222"/>
        </w:trPr>
        <w:tc>
          <w:tcPr>
            <w:tcW w:w="1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5180" w:type="dxa"/>
            <w:vAlign w:val="bottom"/>
          </w:tcPr>
          <w:p>
            <w:pPr>
              <w:ind w:left="120"/>
              <w:spacing w:after="0"/>
              <w:rPr>
                <w:sz w:val="20"/>
                <w:szCs w:val="20"/>
                <w:color w:val="auto"/>
              </w:rPr>
            </w:pPr>
            <w:r>
              <w:rPr>
                <w:rFonts w:ascii="Arial" w:cs="Arial" w:eastAsia="Arial" w:hAnsi="Arial"/>
                <w:sz w:val="18"/>
                <w:szCs w:val="18"/>
                <w:color w:val="auto"/>
              </w:rPr>
              <w:t>Improved client satisfaction</w:t>
            </w:r>
          </w:p>
        </w:tc>
      </w:tr>
      <w:tr>
        <w:trPr>
          <w:trHeight w:val="331"/>
        </w:trPr>
        <w:tc>
          <w:tcPr>
            <w:tcW w:w="5720" w:type="dxa"/>
            <w:vAlign w:val="bottom"/>
            <w:gridSpan w:val="2"/>
          </w:tcPr>
          <w:p>
            <w:pPr>
              <w:spacing w:after="0"/>
              <w:rPr>
                <w:sz w:val="20"/>
                <w:szCs w:val="20"/>
                <w:color w:val="auto"/>
              </w:rPr>
            </w:pPr>
            <w:r>
              <w:rPr>
                <w:rFonts w:ascii="Arial" w:cs="Arial" w:eastAsia="Arial" w:hAnsi="Arial"/>
                <w:sz w:val="18"/>
                <w:szCs w:val="18"/>
                <w:color w:val="auto"/>
              </w:rPr>
              <w:t>•   Increase distribution partnership across the firm</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5180" w:type="dxa"/>
            <w:vAlign w:val="bottom"/>
          </w:tcPr>
          <w:p>
            <w:pPr>
              <w:ind w:left="120"/>
              <w:spacing w:after="0"/>
              <w:rPr>
                <w:sz w:val="20"/>
                <w:szCs w:val="20"/>
                <w:color w:val="auto"/>
              </w:rPr>
            </w:pPr>
            <w:r>
              <w:rPr>
                <w:rFonts w:ascii="Arial" w:cs="Arial" w:eastAsia="Arial" w:hAnsi="Arial"/>
                <w:sz w:val="18"/>
                <w:szCs w:val="18"/>
                <w:color w:val="auto"/>
              </w:rPr>
              <w:t>Established global corporate bank</w:t>
            </w:r>
          </w:p>
        </w:tc>
      </w:tr>
      <w:tr>
        <w:trPr>
          <w:trHeight w:val="222"/>
        </w:trPr>
        <w:tc>
          <w:tcPr>
            <w:tcW w:w="1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w w:val="92"/>
              </w:rPr>
              <w:t>•   Re-aligned to increase focus on Middle Market and Business Banking</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Performance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($mm)</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jc w:val="right"/>
              <w:ind w:right="1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2006</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2005</w:t>
            </w:r>
          </w:p>
        </w:tc>
        <w:tc>
          <w:tcPr>
            <w:tcW w:w="600" w:type="dxa"/>
            <w:vAlign w:val="bottom"/>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O/(U)</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5,539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Treasury Services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2,792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2,695</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Worldwide Securities Svcs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2,844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4,266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4,050</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91"/>
        </w:trPr>
        <w:tc>
          <w:tcPr>
            <w:tcW w:w="4980" w:type="dxa"/>
            <w:vAlign w:val="bottom"/>
            <w:gridSpan w:val="3"/>
          </w:tcPr>
          <w:p>
            <w:pPr>
              <w:spacing w:after="0"/>
              <w:rPr>
                <w:sz w:val="20"/>
                <w:szCs w:val="20"/>
                <w:color w:val="auto"/>
              </w:rPr>
            </w:pPr>
            <w:r>
              <w:rPr>
                <w:rFonts w:ascii="Arial" w:cs="Arial" w:eastAsia="Arial" w:hAnsi="Arial"/>
                <w:sz w:val="18"/>
                <w:szCs w:val="18"/>
                <w:color w:val="auto"/>
              </w:rPr>
              <w:t xml:space="preserve">Key Statistics </w:t>
            </w:r>
            <w:r>
              <w:rPr>
                <w:rFonts w:ascii="Arial" w:cs="Arial" w:eastAsia="Arial" w:hAnsi="Arial"/>
                <w:sz w:val="18"/>
                <w:szCs w:val="18"/>
                <w:u w:val="single" w:color="auto"/>
                <w:color w:val="auto"/>
              </w:rPr>
              <w:t>($</w:t>
            </w:r>
            <w:r>
              <w:rPr>
                <w:rFonts w:ascii="Arial" w:cs="Arial" w:eastAsia="Arial" w:hAnsi="Arial"/>
                <w:sz w:val="18"/>
                <w:szCs w:val="18"/>
                <w:color w:val="auto"/>
              </w:rPr>
              <w:t>B)</w:t>
            </w:r>
          </w:p>
        </w:tc>
        <w:tc>
          <w:tcPr>
            <w:tcW w:w="2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ROE</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Margin</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Avg. Liability Balances</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190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155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under Custody ($T)</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Headcount</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25,423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22,207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TSS Firmwide Revenue</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TSS Firmwide Pretax Margin</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2006 Highlights</w:t>
      </w:r>
    </w:p>
    <w:p>
      <w:pPr>
        <w:spacing w:after="0" w:line="90"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Double-digit revenue and net income growth</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Positive operating leverage, after investment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Diversifying internationally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TSS - making steady progress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5831840" cy="27444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3184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TSS – complete and diversified product set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2006 TS revenue contribution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TS revenue - $2.8B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118110</wp:posOffset>
            </wp:positionV>
            <wp:extent cx="3481705" cy="3344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8170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2006 WSS revenue contribution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WSS revenue - $3.3B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118110</wp:posOffset>
            </wp:positionV>
            <wp:extent cx="3764915" cy="29070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764915"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TSS – increasing international presence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2004 Revenue by region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 -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118110</wp:posOffset>
            </wp:positionV>
            <wp:extent cx="3430270" cy="26327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30270"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1840" w:type="dxa"/>
            <w:vAlign w:val="bottom"/>
          </w:tcPr>
          <w:p>
            <w:pPr>
              <w:spacing w:after="0"/>
              <w:rPr>
                <w:sz w:val="19"/>
                <w:szCs w:val="19"/>
                <w:color w:val="auto"/>
              </w:rPr>
            </w:pPr>
          </w:p>
        </w:tc>
        <w:tc>
          <w:tcPr>
            <w:tcW w:w="5000" w:type="dxa"/>
            <w:vAlign w:val="bottom"/>
            <w:gridSpan w:val="2"/>
          </w:tcPr>
          <w:p>
            <w:pPr>
              <w:jc w:val="right"/>
              <w:ind w:right="2932"/>
              <w:spacing w:after="0"/>
              <w:rPr>
                <w:sz w:val="20"/>
                <w:szCs w:val="20"/>
                <w:color w:val="auto"/>
              </w:rPr>
            </w:pPr>
            <w:r>
              <w:rPr>
                <w:rFonts w:ascii="Arial" w:cs="Arial" w:eastAsia="Arial" w:hAnsi="Arial"/>
                <w:sz w:val="18"/>
                <w:szCs w:val="18"/>
                <w:b w:val="1"/>
                <w:bCs w:val="1"/>
                <w:color w:val="auto"/>
              </w:rPr>
              <w:t>Headcount</w:t>
            </w: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Americas</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15,080</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EMEA</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4,019</w:t>
            </w: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APAC</w:t>
            </w:r>
          </w:p>
        </w:tc>
        <w:tc>
          <w:tcPr>
            <w:tcW w:w="45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r>
      <w:tr>
        <w:trPr>
          <w:trHeight w:val="224"/>
        </w:trPr>
        <w:tc>
          <w:tcPr>
            <w:tcW w:w="1840" w:type="dxa"/>
            <w:vAlign w:val="bottom"/>
          </w:tcPr>
          <w:p>
            <w:pPr>
              <w:spacing w:after="0"/>
              <w:rPr>
                <w:sz w:val="20"/>
                <w:szCs w:val="20"/>
                <w:color w:val="auto"/>
              </w:rPr>
            </w:pPr>
            <w:r>
              <w:rPr>
                <w:rFonts w:ascii="Arial" w:cs="Arial" w:eastAsia="Arial" w:hAnsi="Arial"/>
                <w:sz w:val="18"/>
                <w:szCs w:val="18"/>
                <w:color w:val="auto"/>
              </w:rPr>
              <w:t>Total</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20,467</w:t>
            </w:r>
          </w:p>
        </w:tc>
      </w:tr>
      <w:tr>
        <w:trPr>
          <w:trHeight w:val="20"/>
        </w:trPr>
        <w:tc>
          <w:tcPr>
            <w:tcW w:w="18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2006 Revenue by region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 - $6.1B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118110</wp:posOffset>
            </wp:positionV>
            <wp:extent cx="3284855" cy="26587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84855"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1840" w:type="dxa"/>
            <w:vAlign w:val="bottom"/>
          </w:tcPr>
          <w:p>
            <w:pPr>
              <w:spacing w:after="0"/>
              <w:rPr>
                <w:sz w:val="19"/>
                <w:szCs w:val="19"/>
                <w:color w:val="auto"/>
              </w:rPr>
            </w:pPr>
          </w:p>
        </w:tc>
        <w:tc>
          <w:tcPr>
            <w:tcW w:w="5000" w:type="dxa"/>
            <w:vAlign w:val="bottom"/>
            <w:gridSpan w:val="2"/>
          </w:tcPr>
          <w:p>
            <w:pPr>
              <w:jc w:val="right"/>
              <w:ind w:right="2932"/>
              <w:spacing w:after="0"/>
              <w:rPr>
                <w:sz w:val="20"/>
                <w:szCs w:val="20"/>
                <w:color w:val="auto"/>
              </w:rPr>
            </w:pPr>
            <w:r>
              <w:rPr>
                <w:rFonts w:ascii="Arial" w:cs="Arial" w:eastAsia="Arial" w:hAnsi="Arial"/>
                <w:sz w:val="18"/>
                <w:szCs w:val="18"/>
                <w:b w:val="1"/>
                <w:bCs w:val="1"/>
                <w:color w:val="auto"/>
              </w:rPr>
              <w:t>Headcount</w:t>
            </w: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Americas</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17,353</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EMEA</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5,227</w:t>
            </w: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APAC</w:t>
            </w:r>
          </w:p>
        </w:tc>
        <w:tc>
          <w:tcPr>
            <w:tcW w:w="45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w:t>
            </w:r>
          </w:p>
        </w:tc>
      </w:tr>
      <w:tr>
        <w:trPr>
          <w:trHeight w:val="224"/>
        </w:trPr>
        <w:tc>
          <w:tcPr>
            <w:tcW w:w="1840" w:type="dxa"/>
            <w:vAlign w:val="bottom"/>
          </w:tcPr>
          <w:p>
            <w:pPr>
              <w:spacing w:after="0"/>
              <w:rPr>
                <w:sz w:val="20"/>
                <w:szCs w:val="20"/>
                <w:color w:val="auto"/>
              </w:rPr>
            </w:pPr>
            <w:r>
              <w:rPr>
                <w:rFonts w:ascii="Arial" w:cs="Arial" w:eastAsia="Arial" w:hAnsi="Arial"/>
                <w:sz w:val="18"/>
                <w:szCs w:val="18"/>
                <w:color w:val="auto"/>
              </w:rPr>
              <w:t>Total</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25,423</w:t>
            </w:r>
          </w:p>
        </w:tc>
      </w:tr>
      <w:tr>
        <w:trPr>
          <w:trHeight w:val="20"/>
        </w:trPr>
        <w:tc>
          <w:tcPr>
            <w:tcW w:w="18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TSS - peer comparables: a tale of two businesses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Peer analysis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2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21"/>
                <w:szCs w:val="21"/>
                <w:color w:val="auto"/>
              </w:rPr>
            </w:pPr>
          </w:p>
        </w:tc>
        <w:tc>
          <w:tcPr>
            <w:tcW w:w="1280" w:type="dxa"/>
            <w:vAlign w:val="bottom"/>
            <w:gridSpan w:val="3"/>
          </w:tcPr>
          <w:p>
            <w:pPr>
              <w:ind w:left="220"/>
              <w:spacing w:after="0"/>
              <w:rPr>
                <w:sz w:val="20"/>
                <w:szCs w:val="20"/>
                <w:color w:val="auto"/>
              </w:rPr>
            </w:pPr>
            <w:r>
              <w:rPr>
                <w:rFonts w:ascii="Arial" w:cs="Arial" w:eastAsia="Arial" w:hAnsi="Arial"/>
                <w:sz w:val="14"/>
                <w:szCs w:val="14"/>
                <w:b w:val="1"/>
                <w:bCs w:val="1"/>
                <w:color w:val="auto"/>
              </w:rPr>
              <w:t>Pretax margin</w:t>
            </w:r>
          </w:p>
        </w:tc>
        <w:tc>
          <w:tcPr>
            <w:tcW w:w="220" w:type="dxa"/>
            <w:vAlign w:val="bottom"/>
          </w:tcPr>
          <w:p>
            <w:pPr>
              <w:spacing w:after="0"/>
              <w:rPr>
                <w:sz w:val="21"/>
                <w:szCs w:val="21"/>
                <w:color w:val="auto"/>
              </w:rPr>
            </w:pPr>
          </w:p>
        </w:tc>
        <w:tc>
          <w:tcPr>
            <w:tcW w:w="1400" w:type="dxa"/>
            <w:vAlign w:val="bottom"/>
            <w:gridSpan w:val="4"/>
          </w:tcPr>
          <w:p>
            <w:pPr>
              <w:ind w:left="220"/>
              <w:spacing w:after="0"/>
              <w:rPr>
                <w:sz w:val="20"/>
                <w:szCs w:val="20"/>
                <w:color w:val="auto"/>
              </w:rPr>
            </w:pPr>
            <w:r>
              <w:rPr>
                <w:rFonts w:ascii="Arial" w:cs="Arial" w:eastAsia="Arial" w:hAnsi="Arial"/>
                <w:sz w:val="14"/>
                <w:szCs w:val="14"/>
                <w:b w:val="1"/>
                <w:bCs w:val="1"/>
                <w:color w:val="auto"/>
              </w:rPr>
              <w:t>EOP AUC</w:t>
            </w:r>
          </w:p>
        </w:tc>
        <w:tc>
          <w:tcPr>
            <w:tcW w:w="13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Avg liability bal.</w:t>
            </w:r>
            <w:r>
              <w:rPr>
                <w:rFonts w:ascii="Arial" w:cs="Arial" w:eastAsia="Arial" w:hAnsi="Arial"/>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54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($B)</w:t>
            </w:r>
          </w:p>
        </w:tc>
        <w:tc>
          <w:tcPr>
            <w:tcW w:w="4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($T)</w:t>
            </w: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rPr>
              <w:t>($B)</w:t>
            </w: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0"/>
              </w:rPr>
              <w:t>vs. 2005</w:t>
            </w:r>
          </w:p>
        </w:tc>
        <w:tc>
          <w:tcPr>
            <w:tcW w:w="280" w:type="dxa"/>
            <w:vAlign w:val="bottom"/>
          </w:tcPr>
          <w:p>
            <w:pPr>
              <w:spacing w:after="0"/>
              <w:rPr>
                <w:sz w:val="14"/>
                <w:szCs w:val="14"/>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vs. 2005</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0"/>
              </w:rPr>
              <w:t>vs. 2005</w:t>
            </w:r>
          </w:p>
        </w:tc>
        <w:tc>
          <w:tcPr>
            <w:tcW w:w="500" w:type="dxa"/>
            <w:vAlign w:val="bottom"/>
          </w:tcPr>
          <w:p>
            <w:pPr>
              <w:jc w:val="right"/>
              <w:ind w:right="18"/>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0"/>
              </w:rPr>
              <w:t>vs. 2005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rPr>
              <w:t>JPM (TSS Firmwide)</w:t>
            </w:r>
            <w:r>
              <w:rPr>
                <w:rFonts w:ascii="Arial" w:cs="Arial" w:eastAsia="Arial" w:hAnsi="Arial"/>
                <w:sz w:val="22"/>
                <w:szCs w:val="22"/>
                <w:color w:val="auto"/>
                <w:vertAlign w:val="superscript"/>
              </w:rPr>
              <w:t>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300 bps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$262.7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 (Global Transaction Services)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33</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100 bps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79"/>
              </w:rPr>
              <w:t>21</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188.8</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WB (Treasury &amp; Int’l Trade Finance)</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400 bps</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BAC (Treasury Services)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51</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300 bps</w:t>
            </w:r>
          </w:p>
        </w:tc>
        <w:tc>
          <w:tcPr>
            <w:tcW w:w="22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500" w:type="dxa"/>
            <w:vAlign w:val="bottom"/>
          </w:tcPr>
          <w:p>
            <w:pPr>
              <w:jc w:val="right"/>
              <w:spacing w:after="0"/>
              <w:rPr>
                <w:sz w:val="20"/>
                <w:szCs w:val="20"/>
                <w:color w:val="auto"/>
              </w:rPr>
            </w:pPr>
            <w:r>
              <w:rPr>
                <w:rFonts w:ascii="Arial" w:cs="Arial" w:eastAsia="Arial" w:hAnsi="Arial"/>
                <w:sz w:val="18"/>
                <w:szCs w:val="18"/>
                <w:color w:val="auto"/>
              </w:rPr>
              <w:t>205.6</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BK (Institutional Services)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100 bps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19</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STT (Investment Servicing)</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27</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100 bps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79"/>
              </w:rPr>
              <w:t>17</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63.9</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MEL</w:t>
            </w:r>
            <w:r>
              <w:rPr>
                <w:rFonts w:ascii="Arial" w:cs="Arial" w:eastAsia="Arial" w:hAnsi="Arial"/>
                <w:sz w:val="22"/>
                <w:szCs w:val="22"/>
                <w:color w:val="auto"/>
                <w:vertAlign w:val="superscript"/>
              </w:rPr>
              <w:t>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 bps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16</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Peer Average</w:t>
            </w:r>
          </w:p>
        </w:tc>
        <w:tc>
          <w:tcPr>
            <w:tcW w:w="3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4.5</w:t>
            </w:r>
          </w:p>
        </w:tc>
        <w:tc>
          <w:tcPr>
            <w:tcW w:w="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34%</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150 bps</w:t>
            </w:r>
          </w:p>
        </w:tc>
        <w:tc>
          <w:tcPr>
            <w:tcW w:w="22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10.0</w:t>
            </w:r>
          </w:p>
        </w:tc>
        <w:tc>
          <w:tcPr>
            <w:tcW w:w="200" w:type="dxa"/>
            <w:vAlign w:val="bottom"/>
          </w:tcPr>
          <w:p>
            <w:pPr>
              <w:spacing w:after="0"/>
              <w:rPr>
                <w:sz w:val="19"/>
                <w:szCs w:val="19"/>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18%</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5"/>
              </w:rPr>
              <w:t>$ 90.5</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6"/>
        </w:trPr>
        <w:tc>
          <w:tcPr>
            <w:tcW w:w="960" w:type="dxa"/>
            <w:vAlign w:val="bottom"/>
            <w:tcBorders>
              <w:bottom w:val="single" w:sz="8" w:color="auto"/>
            </w:tcBorders>
          </w:tcPr>
          <w:p>
            <w:pPr>
              <w:spacing w:after="0"/>
              <w:rPr>
                <w:sz w:val="10"/>
                <w:szCs w:val="10"/>
                <w:color w:val="auto"/>
              </w:rPr>
            </w:pPr>
          </w:p>
        </w:tc>
        <w:tc>
          <w:tcPr>
            <w:tcW w:w="48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sectPr>
          <w:pgSz w:w="11900" w:h="16838" w:orient="portrait"/>
          <w:cols w:equalWidth="0" w:num="1">
            <w:col w:w="11420"/>
          </w:cols>
          <w:pgMar w:left="240" w:top="280" w:right="23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63"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Liability balances include deposits and deposits swept to on-balance sheet liabilities</w:t>
      </w:r>
    </w:p>
    <w:p>
      <w:pPr>
        <w:spacing w:after="0"/>
        <w:rPr>
          <w:sz w:val="20"/>
          <w:szCs w:val="20"/>
          <w:color w:val="auto"/>
        </w:rPr>
      </w:pPr>
      <w:r>
        <w:rPr>
          <w:rFonts w:ascii="Arial" w:cs="Arial" w:eastAsia="Arial" w:hAnsi="Arial"/>
          <w:sz w:val="15"/>
          <w:szCs w:val="15"/>
          <w:color w:val="auto"/>
        </w:rPr>
        <w:t>Firmwide figures include TS revenue ($2.5B) and associated allocated expenses recorded in Commercial Banking, Regional Banking and Asset</w:t>
      </w:r>
    </w:p>
    <w:p>
      <w:pPr>
        <w:spacing w:after="0" w:line="238" w:lineRule="auto"/>
        <w:rPr>
          <w:sz w:val="20"/>
          <w:szCs w:val="20"/>
          <w:color w:val="auto"/>
        </w:rPr>
      </w:pPr>
      <w:r>
        <w:rPr>
          <w:rFonts w:ascii="Arial" w:cs="Arial" w:eastAsia="Arial" w:hAnsi="Arial"/>
          <w:sz w:val="18"/>
          <w:szCs w:val="18"/>
          <w:color w:val="auto"/>
        </w:rPr>
        <w:t>Management businesses</w:t>
      </w:r>
    </w:p>
    <w:p>
      <w:pPr>
        <w:spacing w:after="0"/>
        <w:rPr>
          <w:sz w:val="20"/>
          <w:szCs w:val="20"/>
          <w:color w:val="auto"/>
        </w:rPr>
      </w:pPr>
      <w:r>
        <w:rPr>
          <w:rFonts w:ascii="Arial" w:cs="Arial" w:eastAsia="Arial" w:hAnsi="Arial"/>
          <w:sz w:val="18"/>
          <w:szCs w:val="18"/>
          <w:color w:val="auto"/>
        </w:rPr>
        <w:t>Excludes asset management, private wealth management and other Sources: Company reports and SEC filings</w:t>
      </w:r>
    </w:p>
    <w:p>
      <w:pPr>
        <w:spacing w:after="0" w:line="130" w:lineRule="exact"/>
        <w:rPr>
          <w:sz w:val="20"/>
          <w:szCs w:val="20"/>
          <w:color w:val="auto"/>
        </w:rPr>
      </w:pPr>
    </w:p>
    <w:p>
      <w:pPr>
        <w:sectPr>
          <w:pgSz w:w="11900" w:h="16838" w:orient="portrait"/>
          <w:cols w:equalWidth="0" w:num="2">
            <w:col w:w="60" w:space="400"/>
            <w:col w:w="1096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WSS – most improved and top of the class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Peer analysis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40" w:type="dxa"/>
            <w:vAlign w:val="bottom"/>
            <w:gridSpan w:val="4"/>
          </w:tcPr>
          <w:p>
            <w:pPr>
              <w:ind w:left="240"/>
              <w:spacing w:after="0"/>
              <w:rPr>
                <w:sz w:val="20"/>
                <w:szCs w:val="20"/>
                <w:color w:val="auto"/>
              </w:rPr>
            </w:pPr>
            <w:r>
              <w:rPr>
                <w:rFonts w:ascii="Arial" w:cs="Arial" w:eastAsia="Arial" w:hAnsi="Arial"/>
                <w:sz w:val="14"/>
                <w:szCs w:val="14"/>
                <w:b w:val="1"/>
                <w:bCs w:val="1"/>
                <w:color w:val="auto"/>
              </w:rPr>
              <w:t>Revenue</w:t>
            </w:r>
          </w:p>
        </w:tc>
        <w:tc>
          <w:tcPr>
            <w:tcW w:w="15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Pretax mrgin</w:t>
            </w:r>
          </w:p>
        </w:tc>
        <w:tc>
          <w:tcPr>
            <w:tcW w:w="1400" w:type="dxa"/>
            <w:vAlign w:val="bottom"/>
            <w:gridSpan w:val="4"/>
          </w:tcPr>
          <w:p>
            <w:pPr>
              <w:ind w:left="220"/>
              <w:spacing w:after="0"/>
              <w:rPr>
                <w:sz w:val="20"/>
                <w:szCs w:val="20"/>
                <w:color w:val="auto"/>
              </w:rPr>
            </w:pPr>
            <w:r>
              <w:rPr>
                <w:rFonts w:ascii="Arial" w:cs="Arial" w:eastAsia="Arial" w:hAnsi="Arial"/>
                <w:sz w:val="14"/>
                <w:szCs w:val="14"/>
                <w:b w:val="1"/>
                <w:bCs w:val="1"/>
                <w:color w:val="auto"/>
              </w:rPr>
              <w:t>EOP AUC</w:t>
            </w:r>
          </w:p>
        </w:tc>
        <w:tc>
          <w:tcPr>
            <w:tcW w:w="13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Avg liability bal.</w:t>
            </w:r>
            <w:r>
              <w:rPr>
                <w:rFonts w:ascii="Arial" w:cs="Arial" w:eastAsia="Arial" w:hAnsi="Arial"/>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2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($B)</w:t>
            </w:r>
          </w:p>
        </w:tc>
        <w:tc>
          <w:tcPr>
            <w:tcW w:w="4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 T)</w:t>
            </w: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($B)</w:t>
            </w: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vs. 2005</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2006</w:t>
            </w:r>
          </w:p>
        </w:tc>
        <w:tc>
          <w:tcPr>
            <w:tcW w:w="38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vs. 2005</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vs. 2005</w:t>
            </w:r>
          </w:p>
        </w:tc>
        <w:tc>
          <w:tcPr>
            <w:tcW w:w="500" w:type="dxa"/>
            <w:vAlign w:val="bottom"/>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0"/>
              </w:rPr>
              <w:t>vs. 2005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 WSS</w:t>
            </w:r>
          </w:p>
        </w:tc>
        <w:tc>
          <w:tcPr>
            <w:tcW w:w="2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17%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800 bps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$13.9</w:t>
            </w:r>
          </w:p>
        </w:tc>
        <w:tc>
          <w:tcPr>
            <w:tcW w:w="10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$100.7</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BK (Institutional Services)</w:t>
            </w:r>
          </w:p>
        </w:tc>
        <w:tc>
          <w:tcPr>
            <w:tcW w:w="2460" w:type="dxa"/>
            <w:vAlign w:val="bottom"/>
            <w:gridSpan w:val="3"/>
          </w:tcPr>
          <w:p>
            <w:pPr>
              <w:jc w:val="right"/>
              <w:ind w:right="200"/>
              <w:spacing w:after="0"/>
              <w:rPr>
                <w:sz w:val="20"/>
                <w:szCs w:val="20"/>
                <w:color w:val="auto"/>
              </w:rPr>
            </w:pPr>
            <w:r>
              <w:rPr>
                <w:rFonts w:ascii="Arial" w:cs="Arial" w:eastAsia="Arial" w:hAnsi="Arial"/>
                <w:sz w:val="18"/>
                <w:szCs w:val="18"/>
                <w:color w:val="auto"/>
              </w:rPr>
              <w:t>5.6</w:t>
            </w:r>
          </w:p>
        </w:tc>
        <w:tc>
          <w:tcPr>
            <w:tcW w:w="460" w:type="dxa"/>
            <w:vAlign w:val="bottom"/>
          </w:tcPr>
          <w:p>
            <w:pPr>
              <w:ind w:left="280"/>
              <w:spacing w:after="0"/>
              <w:rPr>
                <w:sz w:val="20"/>
                <w:szCs w:val="20"/>
                <w:color w:val="auto"/>
              </w:rPr>
            </w:pPr>
            <w:r>
              <w:rPr>
                <w:rFonts w:ascii="Arial" w:cs="Arial" w:eastAsia="Arial" w:hAnsi="Arial"/>
                <w:sz w:val="18"/>
                <w:szCs w:val="18"/>
                <w:color w:val="auto"/>
                <w:w w:val="79"/>
              </w:rPr>
              <w:t>14</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100 bps</w:t>
            </w:r>
          </w:p>
        </w:tc>
        <w:tc>
          <w:tcPr>
            <w:tcW w:w="400" w:type="dxa"/>
            <w:vAlign w:val="bottom"/>
          </w:tcPr>
          <w:p>
            <w:pPr>
              <w:jc w:val="right"/>
              <w:spacing w:after="0"/>
              <w:rPr>
                <w:sz w:val="20"/>
                <w:szCs w:val="20"/>
                <w:color w:val="auto"/>
              </w:rPr>
            </w:pPr>
            <w:r>
              <w:rPr>
                <w:rFonts w:ascii="Arial" w:cs="Arial" w:eastAsia="Arial" w:hAnsi="Arial"/>
                <w:sz w:val="18"/>
                <w:szCs w:val="18"/>
                <w:color w:val="auto"/>
              </w:rPr>
              <w:t>13.0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w w:val="79"/>
              </w:rPr>
              <w:t>19</w:t>
            </w:r>
          </w:p>
        </w:tc>
        <w:tc>
          <w:tcPr>
            <w:tcW w:w="3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STT (Investment Servicing)</w:t>
            </w:r>
          </w:p>
        </w:tc>
        <w:tc>
          <w:tcPr>
            <w:tcW w:w="2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100 bps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17</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line="217" w:lineRule="exact"/>
              <w:rPr>
                <w:sz w:val="20"/>
                <w:szCs w:val="20"/>
                <w:color w:val="auto"/>
              </w:rPr>
            </w:pPr>
            <w:r>
              <w:rPr>
                <w:rFonts w:ascii="Arial" w:cs="Arial" w:eastAsia="Arial" w:hAnsi="Arial"/>
                <w:sz w:val="18"/>
                <w:szCs w:val="18"/>
                <w:color w:val="auto"/>
              </w:rPr>
              <w:t>MEL</w:t>
            </w:r>
            <w:r>
              <w:rPr>
                <w:rFonts w:ascii="Arial" w:cs="Arial" w:eastAsia="Arial" w:hAnsi="Arial"/>
                <w:sz w:val="22"/>
                <w:szCs w:val="22"/>
                <w:color w:val="auto"/>
                <w:vertAlign w:val="superscript"/>
              </w:rPr>
              <w:t>2</w:t>
            </w:r>
          </w:p>
        </w:tc>
        <w:tc>
          <w:tcPr>
            <w:tcW w:w="1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79"/>
              </w:rPr>
              <w:t>15</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bps</w:t>
            </w: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w w:val="79"/>
              </w:rPr>
              <w:t>16</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Peer Average</w:t>
            </w:r>
          </w:p>
        </w:tc>
        <w:tc>
          <w:tcPr>
            <w:tcW w:w="2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14%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 bps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$ 9.8</w:t>
            </w:r>
          </w:p>
        </w:tc>
        <w:tc>
          <w:tcPr>
            <w:tcW w:w="10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$ 39.3</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9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ectPr>
          <w:pgSz w:w="11900" w:h="16838" w:orient="portrait"/>
          <w:cols w:equalWidth="0" w:num="1">
            <w:col w:w="11420"/>
          </w:cols>
          <w:pgMar w:left="240" w:top="280"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ind w:right="5060"/>
        <w:spacing w:after="0" w:line="255" w:lineRule="auto"/>
        <w:rPr>
          <w:sz w:val="20"/>
          <w:szCs w:val="20"/>
          <w:color w:val="auto"/>
        </w:rPr>
      </w:pPr>
      <w:r>
        <w:rPr>
          <w:rFonts w:ascii="Arial" w:cs="Arial" w:eastAsia="Arial" w:hAnsi="Arial"/>
          <w:sz w:val="16"/>
          <w:szCs w:val="16"/>
          <w:color w:val="auto"/>
        </w:rPr>
        <w:t>Liability balances include deposits and deposits swept to on-balance sheet liabilities Excludes asset management, private wealth management and other</w:t>
      </w:r>
    </w:p>
    <w:p>
      <w:pPr>
        <w:spacing w:after="0" w:line="1" w:lineRule="exact"/>
        <w:rPr>
          <w:sz w:val="20"/>
          <w:szCs w:val="20"/>
          <w:color w:val="auto"/>
        </w:rPr>
      </w:pPr>
    </w:p>
    <w:p>
      <w:pPr>
        <w:sectPr>
          <w:pgSz w:w="11900" w:h="16838" w:orient="portrait"/>
          <w:cols w:equalWidth="0" w:num="2">
            <w:col w:w="60" w:space="400"/>
            <w:col w:w="1096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Sources:Company reports and SEC filings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WSS — solid growth with positive operating leverage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31840" cy="3190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31840"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WSS – winning in the marketplace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Outsourcing</w:t>
      </w:r>
    </w:p>
    <w:p>
      <w:pPr>
        <w:spacing w:after="0" w:line="117" w:lineRule="exact"/>
        <w:rPr>
          <w:sz w:val="20"/>
          <w:szCs w:val="20"/>
          <w:color w:val="auto"/>
        </w:rPr>
      </w:pPr>
    </w:p>
    <w:p>
      <w:pPr>
        <w:ind w:left="820" w:hanging="272"/>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Threadneedle Asset Management</w:t>
      </w:r>
    </w:p>
    <w:p>
      <w:pPr>
        <w:spacing w:after="0" w:line="15" w:lineRule="exact"/>
        <w:rPr>
          <w:rFonts w:ascii="Arial" w:cs="Arial" w:eastAsia="Arial" w:hAnsi="Arial"/>
          <w:sz w:val="18"/>
          <w:szCs w:val="18"/>
          <w:color w:val="auto"/>
        </w:rPr>
      </w:pPr>
    </w:p>
    <w:p>
      <w:pPr>
        <w:ind w:left="820" w:hanging="272"/>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Old Mutual Asset Management</w:t>
      </w:r>
    </w:p>
    <w:p>
      <w:pPr>
        <w:spacing w:after="0" w:line="9" w:lineRule="exact"/>
        <w:rPr>
          <w:rFonts w:ascii="Arial" w:cs="Arial" w:eastAsia="Arial" w:hAnsi="Arial"/>
          <w:sz w:val="18"/>
          <w:szCs w:val="18"/>
          <w:color w:val="auto"/>
        </w:rPr>
      </w:pPr>
    </w:p>
    <w:p>
      <w:pPr>
        <w:ind w:left="820" w:hanging="272"/>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Henderson Global Investors</w:t>
      </w:r>
    </w:p>
    <w:p>
      <w:pPr>
        <w:spacing w:after="0" w:line="9" w:lineRule="exact"/>
        <w:rPr>
          <w:rFonts w:ascii="Arial" w:cs="Arial" w:eastAsia="Arial" w:hAnsi="Arial"/>
          <w:sz w:val="18"/>
          <w:szCs w:val="18"/>
          <w:color w:val="auto"/>
        </w:rPr>
      </w:pPr>
    </w:p>
    <w:p>
      <w:pPr>
        <w:ind w:left="820" w:hanging="272"/>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Hicks Muse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Global Custody/ Fund Accounting/ Securities Lending</w:t>
      </w:r>
    </w:p>
    <w:p>
      <w:pPr>
        <w:spacing w:after="0" w:line="140" w:lineRule="exact"/>
        <w:rPr>
          <w:sz w:val="20"/>
          <w:szCs w:val="20"/>
          <w:color w:val="auto"/>
        </w:rPr>
      </w:pPr>
    </w:p>
    <w:p>
      <w:pPr>
        <w:ind w:left="820" w:hanging="272"/>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Nordea Asset Management</w:t>
      </w:r>
    </w:p>
    <w:p>
      <w:pPr>
        <w:spacing w:after="0" w:line="15" w:lineRule="exact"/>
        <w:rPr>
          <w:rFonts w:ascii="Arial" w:cs="Arial" w:eastAsia="Arial" w:hAnsi="Arial"/>
          <w:sz w:val="18"/>
          <w:szCs w:val="18"/>
          <w:color w:val="auto"/>
        </w:rPr>
      </w:pPr>
    </w:p>
    <w:p>
      <w:pPr>
        <w:ind w:left="820" w:hanging="272"/>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TX Employee Retirement System</w:t>
      </w:r>
    </w:p>
    <w:p>
      <w:pPr>
        <w:spacing w:after="0" w:line="9" w:lineRule="exact"/>
        <w:rPr>
          <w:rFonts w:ascii="Arial" w:cs="Arial" w:eastAsia="Arial" w:hAnsi="Arial"/>
          <w:sz w:val="18"/>
          <w:szCs w:val="18"/>
          <w:color w:val="auto"/>
        </w:rPr>
      </w:pPr>
    </w:p>
    <w:p>
      <w:pPr>
        <w:ind w:left="820" w:hanging="272"/>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Superannuation Trust of Australia</w:t>
      </w:r>
    </w:p>
    <w:p>
      <w:pPr>
        <w:spacing w:after="0" w:line="9" w:lineRule="exact"/>
        <w:rPr>
          <w:rFonts w:ascii="Arial" w:cs="Arial" w:eastAsia="Arial" w:hAnsi="Arial"/>
          <w:sz w:val="18"/>
          <w:szCs w:val="18"/>
          <w:color w:val="auto"/>
        </w:rPr>
      </w:pPr>
    </w:p>
    <w:p>
      <w:pPr>
        <w:ind w:left="820" w:hanging="272"/>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Freddie Mac</w:t>
      </w:r>
    </w:p>
    <w:p>
      <w:pPr>
        <w:spacing w:after="0" w:line="9" w:lineRule="exact"/>
        <w:rPr>
          <w:rFonts w:ascii="Arial" w:cs="Arial" w:eastAsia="Arial" w:hAnsi="Arial"/>
          <w:sz w:val="18"/>
          <w:szCs w:val="18"/>
          <w:color w:val="auto"/>
        </w:rPr>
      </w:pPr>
    </w:p>
    <w:p>
      <w:pPr>
        <w:ind w:left="820" w:hanging="272"/>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MFS Investment Management</w:t>
      </w:r>
    </w:p>
    <w:p>
      <w:pPr>
        <w:spacing w:after="0" w:line="9" w:lineRule="exact"/>
        <w:rPr>
          <w:rFonts w:ascii="Arial" w:cs="Arial" w:eastAsia="Arial" w:hAnsi="Arial"/>
          <w:sz w:val="18"/>
          <w:szCs w:val="18"/>
          <w:color w:val="auto"/>
        </w:rPr>
      </w:pPr>
    </w:p>
    <w:p>
      <w:pPr>
        <w:ind w:left="820" w:hanging="272"/>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ATT/SBC (pension fund)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ADR</w:t>
      </w:r>
    </w:p>
    <w:p>
      <w:pPr>
        <w:spacing w:after="0" w:line="15" w:lineRule="exact"/>
        <w:rPr>
          <w:sz w:val="20"/>
          <w:szCs w:val="20"/>
          <w:color w:val="auto"/>
        </w:rPr>
      </w:pPr>
    </w:p>
    <w:p>
      <w:pPr>
        <w:ind w:left="820" w:hanging="272"/>
        <w:spacing w:after="0"/>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Petrobras</w:t>
      </w:r>
    </w:p>
    <w:p>
      <w:pPr>
        <w:spacing w:after="0" w:line="9" w:lineRule="exact"/>
        <w:rPr>
          <w:rFonts w:ascii="Arial" w:cs="Arial" w:eastAsia="Arial" w:hAnsi="Arial"/>
          <w:sz w:val="18"/>
          <w:szCs w:val="18"/>
          <w:color w:val="auto"/>
        </w:rPr>
      </w:pPr>
    </w:p>
    <w:p>
      <w:pPr>
        <w:ind w:left="820" w:hanging="272"/>
        <w:spacing w:after="0"/>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Rosneft</w:t>
      </w:r>
    </w:p>
    <w:p>
      <w:pPr>
        <w:spacing w:after="0" w:line="9" w:lineRule="exact"/>
        <w:rPr>
          <w:rFonts w:ascii="Arial" w:cs="Arial" w:eastAsia="Arial" w:hAnsi="Arial"/>
          <w:sz w:val="18"/>
          <w:szCs w:val="18"/>
          <w:color w:val="auto"/>
        </w:rPr>
      </w:pPr>
    </w:p>
    <w:p>
      <w:pPr>
        <w:ind w:left="820" w:hanging="272"/>
        <w:spacing w:after="0"/>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United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6000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1"/>
          <w:szCs w:val="11"/>
          <w:color w:val="auto"/>
        </w:rPr>
      </w:pPr>
      <w:r>
        <w:rPr>
          <w:rFonts w:ascii="Arial" w:cs="Arial" w:eastAsia="Arial" w:hAnsi="Arial"/>
          <w:sz w:val="18"/>
          <w:szCs w:val="18"/>
          <w:color w:val="auto"/>
        </w:rPr>
        <w:t>Assets under administration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-434340</wp:posOffset>
            </wp:positionV>
            <wp:extent cx="462915" cy="11747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62915" cy="11747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Europe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598805</wp:posOffset>
            </wp:positionV>
            <wp:extent cx="462915" cy="11747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62915"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Europe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393065</wp:posOffset>
            </wp:positionV>
            <wp:extent cx="454660" cy="9436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5466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$200+ B AUA</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$800+ B AUC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$200+ B</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Market Cap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3">
            <w:col w:w="7260" w:space="720"/>
            <w:col w:w="1580" w:space="720"/>
            <w:col w:w="1140"/>
          </w:cols>
          <w:pgMar w:left="240" w:top="280"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WSS – recognized leader in the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Worldwide Securities Services awards and rankings</w:t>
      </w:r>
    </w:p>
    <w:p>
      <w:pPr>
        <w:spacing w:after="0" w:line="212"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 by assets under custody ($13.9T)</w:t>
      </w:r>
      <w:r>
        <w:rPr>
          <w:rFonts w:ascii="Arial" w:cs="Arial" w:eastAsia="Arial" w:hAnsi="Arial"/>
          <w:sz w:val="22"/>
          <w:szCs w:val="22"/>
          <w:color w:val="auto"/>
          <w:vertAlign w:val="superscript"/>
        </w:rPr>
        <w:t>1</w:t>
      </w:r>
    </w:p>
    <w:p>
      <w:pPr>
        <w:spacing w:after="0" w:line="44"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European Custodian of the Year - ICFA European Custody and Fund Administration Awards, February 2007</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Top Rated in EMEA, N. America and Overall - Global Custodian Tri-Party Survey, March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Best FX Service Overall - Global Investor FX Client Survey, March 2006</w:t>
      </w:r>
    </w:p>
    <w:p>
      <w:pPr>
        <w:spacing w:after="0" w:line="90" w:lineRule="exact"/>
        <w:rPr>
          <w:rFonts w:ascii="Arial" w:cs="Arial" w:eastAsia="Arial" w:hAnsi="Arial"/>
          <w:sz w:val="18"/>
          <w:szCs w:val="18"/>
          <w:color w:val="auto"/>
        </w:rPr>
      </w:pPr>
    </w:p>
    <w:p>
      <w:pPr>
        <w:ind w:left="340" w:right="500" w:hanging="332"/>
        <w:spacing w:after="0" w:line="268"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 Overall Cash Provider, #1 for Rates/Price Competitiveness, #1 in Ability to deal in Size, #1 in Reporting Capabilities - ISF (International Securities Finance) Annual Repo/Securities Lending Survey, June 2006</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 in “Clash of the Titans” - R &amp; M Global Custody Survey, 2007</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Best Investor Services – Waters Magazine, July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Best Custody Specialist – </w:t>
      </w:r>
      <w:r>
        <w:rPr>
          <w:rFonts w:ascii="Arial" w:cs="Arial" w:eastAsia="Arial" w:hAnsi="Arial"/>
          <w:sz w:val="18"/>
          <w:szCs w:val="18"/>
          <w:i w:val="1"/>
          <w:iCs w:val="1"/>
          <w:color w:val="auto"/>
        </w:rPr>
        <w:t>The Asset’s</w:t>
      </w:r>
      <w:r>
        <w:rPr>
          <w:rFonts w:ascii="Arial" w:cs="Arial" w:eastAsia="Arial" w:hAnsi="Arial"/>
          <w:sz w:val="18"/>
          <w:szCs w:val="18"/>
          <w:color w:val="auto"/>
        </w:rPr>
        <w:t xml:space="preserve"> annual Triple A Transaction Banking Awards, 2007</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Custodian of the Year - Funds Europe, November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Securities Services Provider of the Year - The Banker, November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#2 ADR bank in market cap under management - SEC 13-F filings, Jan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000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73"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1"/>
          <w:szCs w:val="11"/>
          <w:color w:val="auto"/>
        </w:rPr>
      </w:pPr>
      <w:r>
        <w:rPr>
          <w:rFonts w:ascii="Arial" w:cs="Arial" w:eastAsia="Arial" w:hAnsi="Arial"/>
          <w:sz w:val="18"/>
          <w:szCs w:val="18"/>
          <w:color w:val="auto"/>
        </w:rPr>
        <w:t>As of 12/31/06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WSS — double digit growth in all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2005-2006 WSS product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29756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31840"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WSS - #1 through organic growth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AUC growth by region 2002-2006</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5831840" cy="37903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31840" cy="379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1"/>
          <w:szCs w:val="11"/>
          <w:color w:val="auto"/>
        </w:rPr>
      </w:pPr>
      <w:r>
        <w:rPr>
          <w:rFonts w:ascii="Arial" w:cs="Arial" w:eastAsia="Arial" w:hAnsi="Arial"/>
          <w:sz w:val="18"/>
          <w:szCs w:val="18"/>
          <w:color w:val="auto"/>
        </w:rPr>
        <w:t>2002 data presented on a combined basis for JPM and Bank One. 2003 - 2004 data presented on a proforma basis.</w:t>
      </w:r>
    </w:p>
    <w:p>
      <w:pPr>
        <w:spacing w:after="0" w:line="14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WSS – AUC mix drives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2006 Assets by location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$13.9T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778760" cy="26498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778760"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Implications:</w:t>
      </w:r>
    </w:p>
    <w:p>
      <w:pPr>
        <w:spacing w:after="0" w:line="90"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Rate card differentials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FX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2006 AUC by asset type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$13.9T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3662045" cy="30530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662045"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Implications:</w:t>
      </w:r>
    </w:p>
    <w:p>
      <w:pPr>
        <w:spacing w:after="0" w:line="90"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Securities Lending opportunities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Size of lendable base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WSS - more than a custodian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NAVs by region 2004-2006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28898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3184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 Services rankings</w:t>
      </w:r>
    </w:p>
    <w:p>
      <w:pPr>
        <w:spacing w:after="0" w:line="96"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 provider for non-U.S. domiciled funds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#2 provider globally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#3 provider for U.S. mutual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Source: 2006 Mutual Fund Service Guide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WSS - investments are starting to pay off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2003-2006 WSS hedge fund services, AUA</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3489325</wp:posOffset>
            </wp:positionV>
            <wp:extent cx="6000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1"/>
          <w:szCs w:val="11"/>
          <w:color w:val="auto"/>
        </w:rPr>
      </w:pPr>
      <w:r>
        <w:rPr>
          <w:rFonts w:ascii="Arial" w:cs="Arial" w:eastAsia="Arial" w:hAnsi="Arial"/>
          <w:sz w:val="18"/>
          <w:szCs w:val="18"/>
          <w:color w:val="auto"/>
        </w:rPr>
        <w:t>Assets under administration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WSS - all deals not created equal</w:t>
      </w:r>
    </w:p>
    <w:p>
      <w:pPr>
        <w:spacing w:after="0" w:line="90"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Traditional custody deals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Highly scalable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 on-boarding of client’s employees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Quick take-on (30-60 day ramp-up)</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Fund Administration / Accounting deals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Requires more integration with client infrastructure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Not as scalable as custody</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90-120 days to transition accounts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Outsourcing deals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Typically large and complex transactions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Deals done as “lift-outs” due to size and complexity</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Requires 6-8 months of technology build for initial integration and migration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Usually requires on-boarding of client’s employees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12-18 month ramp-up for complete integration and cost consolidation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TS - good margins, single-digit revenue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2006 Peer analysis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2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21"/>
                <w:szCs w:val="21"/>
                <w:color w:val="auto"/>
              </w:rPr>
            </w:pPr>
          </w:p>
        </w:tc>
        <w:tc>
          <w:tcPr>
            <w:tcW w:w="1200" w:type="dxa"/>
            <w:vAlign w:val="bottom"/>
            <w:gridSpan w:val="3"/>
          </w:tcPr>
          <w:p>
            <w:pPr>
              <w:ind w:left="180"/>
              <w:spacing w:after="0"/>
              <w:rPr>
                <w:sz w:val="20"/>
                <w:szCs w:val="20"/>
                <w:color w:val="auto"/>
              </w:rPr>
            </w:pPr>
            <w:r>
              <w:rPr>
                <w:rFonts w:ascii="Arial" w:cs="Arial" w:eastAsia="Arial" w:hAnsi="Arial"/>
                <w:sz w:val="14"/>
                <w:szCs w:val="14"/>
                <w:b w:val="1"/>
                <w:bCs w:val="1"/>
                <w:color w:val="auto"/>
              </w:rPr>
              <w:t>Pretax margin</w:t>
            </w:r>
          </w:p>
        </w:tc>
        <w:tc>
          <w:tcPr>
            <w:tcW w:w="200" w:type="dxa"/>
            <w:vAlign w:val="bottom"/>
          </w:tcPr>
          <w:p>
            <w:pPr>
              <w:spacing w:after="0"/>
              <w:rPr>
                <w:sz w:val="21"/>
                <w:szCs w:val="21"/>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Avg liability bal.</w:t>
            </w:r>
            <w:r>
              <w:rPr>
                <w:rFonts w:ascii="Arial" w:cs="Arial" w:eastAsia="Arial" w:hAnsi="Arial"/>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5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($B)</w:t>
            </w:r>
          </w:p>
        </w:tc>
        <w:tc>
          <w:tcPr>
            <w:tcW w:w="4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($B)</w:t>
            </w: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0"/>
              </w:rPr>
              <w:t>vs. 2005</w:t>
            </w:r>
          </w:p>
        </w:tc>
        <w:tc>
          <w:tcPr>
            <w:tcW w:w="7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4"/>
              </w:rPr>
              <w:t>vs. 2005</w:t>
            </w:r>
          </w:p>
        </w:tc>
        <w:tc>
          <w:tcPr>
            <w:tcW w:w="7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0"/>
              </w:rPr>
              <w:t>vs. 2005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rPr>
              <w:t>JPM (TS Firmwide)</w:t>
            </w:r>
            <w:r>
              <w:rPr>
                <w:rFonts w:ascii="Arial" w:cs="Arial" w:eastAsia="Arial" w:hAnsi="Arial"/>
                <w:sz w:val="22"/>
                <w:szCs w:val="22"/>
                <w:color w:val="auto"/>
                <w:vertAlign w:val="superscript"/>
              </w:rPr>
              <w:t>2</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$5.2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 bps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$162.0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line="217" w:lineRule="exact"/>
              <w:rPr>
                <w:sz w:val="20"/>
                <w:szCs w:val="20"/>
                <w:color w:val="auto"/>
              </w:rPr>
            </w:pPr>
            <w:r>
              <w:rPr>
                <w:rFonts w:ascii="Arial" w:cs="Arial" w:eastAsia="Arial" w:hAnsi="Arial"/>
                <w:sz w:val="18"/>
                <w:szCs w:val="18"/>
                <w:color w:val="auto"/>
              </w:rPr>
              <w:t>C (Global Transaction Services)</w:t>
            </w:r>
            <w:r>
              <w:rPr>
                <w:rFonts w:ascii="Arial" w:cs="Arial" w:eastAsia="Arial" w:hAnsi="Arial"/>
                <w:sz w:val="22"/>
                <w:szCs w:val="22"/>
                <w:color w:val="auto"/>
                <w:vertAlign w:val="superscript"/>
              </w:rPr>
              <w:t>3</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8"/>
                <w:szCs w:val="18"/>
                <w:color w:val="auto"/>
              </w:rPr>
              <w:t>33</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100 bps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188.8</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 (Treasury Services)</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300 bps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WB (Treasury &amp; Int’l Trade Finance)</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8"/>
                <w:szCs w:val="18"/>
                <w:color w:val="auto"/>
              </w:rPr>
              <w:t>34</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400 bps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Peer Average</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267 bps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137.2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3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sectPr>
          <w:pgSz w:w="11900" w:h="16838" w:orient="portrait"/>
          <w:cols w:equalWidth="0" w:num="1">
            <w:col w:w="11420"/>
          </w:cols>
          <w:pgMar w:left="240" w:top="280" w:right="23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63"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Liability balances include deposits and deposits swept to on-balance sheet liabilities</w:t>
      </w:r>
    </w:p>
    <w:p>
      <w:pPr>
        <w:spacing w:after="0"/>
        <w:rPr>
          <w:sz w:val="20"/>
          <w:szCs w:val="20"/>
          <w:color w:val="auto"/>
        </w:rPr>
      </w:pPr>
      <w:r>
        <w:rPr>
          <w:rFonts w:ascii="Arial" w:cs="Arial" w:eastAsia="Arial" w:hAnsi="Arial"/>
          <w:sz w:val="15"/>
          <w:szCs w:val="15"/>
          <w:color w:val="auto"/>
        </w:rPr>
        <w:t>Firmwide figures include TS revenue ($2.5B) and associated expenses recorded in Commercial Banking, Regional Banking and Asset Management line-of-</w:t>
      </w:r>
    </w:p>
    <w:p>
      <w:pPr>
        <w:spacing w:after="0" w:line="238" w:lineRule="auto"/>
        <w:rPr>
          <w:sz w:val="20"/>
          <w:szCs w:val="20"/>
          <w:color w:val="auto"/>
        </w:rPr>
      </w:pPr>
      <w:r>
        <w:rPr>
          <w:rFonts w:ascii="Arial" w:cs="Arial" w:eastAsia="Arial" w:hAnsi="Arial"/>
          <w:sz w:val="18"/>
          <w:szCs w:val="18"/>
          <w:color w:val="auto"/>
        </w:rPr>
        <w:t>businesses</w:t>
      </w:r>
    </w:p>
    <w:p>
      <w:pPr>
        <w:spacing w:after="0"/>
        <w:rPr>
          <w:sz w:val="20"/>
          <w:szCs w:val="20"/>
          <w:color w:val="auto"/>
        </w:rPr>
      </w:pPr>
      <w:r>
        <w:rPr>
          <w:rFonts w:ascii="Arial" w:cs="Arial" w:eastAsia="Arial" w:hAnsi="Arial"/>
          <w:sz w:val="18"/>
          <w:szCs w:val="18"/>
          <w:color w:val="auto"/>
        </w:rPr>
        <w:t>Includes WSS equivalent liability balances</w:t>
      </w:r>
    </w:p>
    <w:p>
      <w:pPr>
        <w:spacing w:after="0" w:line="63" w:lineRule="exact"/>
        <w:rPr>
          <w:sz w:val="20"/>
          <w:szCs w:val="20"/>
          <w:color w:val="auto"/>
        </w:rPr>
      </w:pPr>
    </w:p>
    <w:p>
      <w:pPr>
        <w:sectPr>
          <w:pgSz w:w="11900" w:h="16838" w:orient="portrait"/>
          <w:cols w:equalWidth="0" w:num="2">
            <w:col w:w="60" w:space="400"/>
            <w:col w:w="1096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Sources:Company reports and SEC filings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TS — continued margin improvement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TS firmwide financial results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831840" cy="27101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3184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TS — solid growth led by liquidity and trade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2005-2006 TS firmwide product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5831840" cy="27616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31840"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TS – high growth with changing mix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2004-2006 TS firmwide balance growth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831840" cy="31559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831840"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TS – market leader</w:t>
      </w:r>
    </w:p>
    <w:p>
      <w:pPr>
        <w:spacing w:after="0" w:line="207" w:lineRule="exact"/>
        <w:rPr>
          <w:sz w:val="20"/>
          <w:szCs w:val="20"/>
          <w:color w:val="auto"/>
        </w:rPr>
      </w:pPr>
    </w:p>
    <w:p>
      <w:pPr>
        <w:spacing w:after="0"/>
        <w:tabs>
          <w:tab w:leader="none" w:pos="11000" w:val="left"/>
        </w:tabs>
        <w:rPr>
          <w:sz w:val="20"/>
          <w:szCs w:val="20"/>
          <w:color w:val="auto"/>
        </w:rPr>
      </w:pPr>
      <w:r>
        <w:rPr>
          <w:rFonts w:ascii="Arial" w:cs="Arial" w:eastAsia="Arial" w:hAnsi="Arial"/>
          <w:sz w:val="14"/>
          <w:szCs w:val="14"/>
          <w:b w:val="1"/>
          <w:bCs w:val="1"/>
          <w:color w:val="auto"/>
        </w:rPr>
        <w:t>Electronic and Card</w:t>
      </w:r>
      <w:r>
        <w:rPr>
          <w:sz w:val="20"/>
          <w:szCs w:val="20"/>
          <w:color w:val="auto"/>
        </w:rPr>
        <w:tab/>
      </w:r>
      <w:r>
        <w:rPr>
          <w:rFonts w:ascii="Arial" w:cs="Arial" w:eastAsia="Arial" w:hAnsi="Arial"/>
          <w:sz w:val="12"/>
          <w:szCs w:val="12"/>
          <w:b w:val="1"/>
          <w:bCs w:val="1"/>
          <w:u w:val="single" w:color="auto"/>
          <w:color w:val="auto"/>
        </w:rPr>
        <w:t>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5601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7" w:lineRule="exact"/>
        <w:rPr>
          <w:sz w:val="20"/>
          <w:szCs w:val="20"/>
          <w:color w:val="auto"/>
        </w:rPr>
      </w:pPr>
    </w:p>
    <w:p>
      <w:pPr>
        <w:ind w:left="600" w:hanging="268"/>
        <w:spacing w:after="0"/>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ACH</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rPr>
              <w:t>•</w:t>
            </w:r>
          </w:p>
        </w:tc>
        <w:tc>
          <w:tcPr>
            <w:tcW w:w="6180" w:type="dxa"/>
            <w:vAlign w:val="bottom"/>
          </w:tcPr>
          <w:p>
            <w:pPr>
              <w:ind w:left="100"/>
              <w:spacing w:after="0"/>
              <w:rPr>
                <w:sz w:val="20"/>
                <w:szCs w:val="20"/>
                <w:color w:val="auto"/>
              </w:rPr>
            </w:pPr>
            <w:r>
              <w:rPr>
                <w:rFonts w:ascii="Arial" w:cs="Arial" w:eastAsia="Arial" w:hAnsi="Arial"/>
                <w:sz w:val="18"/>
                <w:szCs w:val="18"/>
                <w:color w:val="auto"/>
              </w:rPr>
              <w:t>Debit originations</w:t>
            </w:r>
          </w:p>
        </w:tc>
        <w:tc>
          <w:tcPr>
            <w:tcW w:w="3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rPr>
              <w:t>•</w:t>
            </w:r>
          </w:p>
        </w:tc>
        <w:tc>
          <w:tcPr>
            <w:tcW w:w="6180" w:type="dxa"/>
            <w:vAlign w:val="bottom"/>
          </w:tcPr>
          <w:p>
            <w:pPr>
              <w:ind w:left="100"/>
              <w:spacing w:after="0"/>
              <w:rPr>
                <w:sz w:val="20"/>
                <w:szCs w:val="20"/>
                <w:color w:val="auto"/>
              </w:rPr>
            </w:pPr>
            <w:r>
              <w:rPr>
                <w:rFonts w:ascii="Arial" w:cs="Arial" w:eastAsia="Arial" w:hAnsi="Arial"/>
                <w:sz w:val="18"/>
                <w:szCs w:val="18"/>
                <w:color w:val="auto"/>
              </w:rPr>
              <w:t>Credit originations</w:t>
            </w:r>
          </w:p>
        </w:tc>
        <w:tc>
          <w:tcPr>
            <w:tcW w:w="3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00" w:type="dxa"/>
            <w:vAlign w:val="bottom"/>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ind w:left="120"/>
              <w:spacing w:after="0"/>
              <w:rPr>
                <w:sz w:val="20"/>
                <w:szCs w:val="20"/>
                <w:color w:val="auto"/>
              </w:rPr>
            </w:pPr>
            <w:r>
              <w:rPr>
                <w:rFonts w:ascii="Arial" w:cs="Arial" w:eastAsia="Arial" w:hAnsi="Arial"/>
                <w:sz w:val="18"/>
                <w:szCs w:val="18"/>
                <w:color w:val="auto"/>
              </w:rPr>
              <w:t>USD</w:t>
            </w:r>
          </w:p>
        </w:tc>
        <w:tc>
          <w:tcPr>
            <w:tcW w:w="618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rPr>
              <w:t>•</w:t>
            </w:r>
          </w:p>
        </w:tc>
        <w:tc>
          <w:tcPr>
            <w:tcW w:w="6180" w:type="dxa"/>
            <w:vAlign w:val="bottom"/>
          </w:tcPr>
          <w:p>
            <w:pPr>
              <w:ind w:left="100"/>
              <w:spacing w:after="0"/>
              <w:rPr>
                <w:sz w:val="20"/>
                <w:szCs w:val="20"/>
                <w:color w:val="auto"/>
              </w:rPr>
            </w:pPr>
            <w:r>
              <w:rPr>
                <w:rFonts w:ascii="Arial" w:cs="Arial" w:eastAsia="Arial" w:hAnsi="Arial"/>
                <w:sz w:val="18"/>
                <w:szCs w:val="18"/>
                <w:color w:val="auto"/>
              </w:rPr>
              <w:t>Fedwire</w:t>
            </w:r>
          </w:p>
        </w:tc>
        <w:tc>
          <w:tcPr>
            <w:tcW w:w="3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rPr>
              <w:t>•</w:t>
            </w:r>
          </w:p>
        </w:tc>
        <w:tc>
          <w:tcPr>
            <w:tcW w:w="6180" w:type="dxa"/>
            <w:vAlign w:val="bottom"/>
          </w:tcPr>
          <w:p>
            <w:pPr>
              <w:ind w:left="100"/>
              <w:spacing w:after="0"/>
              <w:rPr>
                <w:sz w:val="20"/>
                <w:szCs w:val="20"/>
                <w:color w:val="auto"/>
              </w:rPr>
            </w:pPr>
            <w:r>
              <w:rPr>
                <w:rFonts w:ascii="Arial" w:cs="Arial" w:eastAsia="Arial" w:hAnsi="Arial"/>
                <w:sz w:val="18"/>
                <w:szCs w:val="18"/>
                <w:color w:val="auto"/>
              </w:rPr>
              <w:t>CHIPS</w:t>
            </w:r>
          </w:p>
        </w:tc>
        <w:tc>
          <w:tcPr>
            <w:tcW w:w="3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rPr>
              <w:t>•</w:t>
            </w:r>
          </w:p>
        </w:tc>
        <w:tc>
          <w:tcPr>
            <w:tcW w:w="6180" w:type="dxa"/>
            <w:vAlign w:val="bottom"/>
          </w:tcPr>
          <w:p>
            <w:pPr>
              <w:ind w:left="100"/>
              <w:spacing w:after="0"/>
              <w:rPr>
                <w:sz w:val="20"/>
                <w:szCs w:val="20"/>
                <w:color w:val="auto"/>
              </w:rPr>
            </w:pPr>
            <w:r>
              <w:rPr>
                <w:rFonts w:ascii="Arial" w:cs="Arial" w:eastAsia="Arial" w:hAnsi="Arial"/>
                <w:sz w:val="18"/>
                <w:szCs w:val="18"/>
                <w:color w:val="auto"/>
              </w:rPr>
              <w:t>Book</w:t>
            </w:r>
          </w:p>
        </w:tc>
        <w:tc>
          <w:tcPr>
            <w:tcW w:w="3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00" w:type="dxa"/>
            <w:vAlign w:val="bottom"/>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ind w:left="120"/>
              <w:spacing w:after="0"/>
              <w:rPr>
                <w:sz w:val="20"/>
                <w:szCs w:val="20"/>
                <w:color w:val="auto"/>
              </w:rPr>
            </w:pPr>
            <w:r>
              <w:rPr>
                <w:rFonts w:ascii="Arial" w:cs="Arial" w:eastAsia="Arial" w:hAnsi="Arial"/>
                <w:sz w:val="18"/>
                <w:szCs w:val="18"/>
                <w:color w:val="auto"/>
              </w:rPr>
              <w:t>Cards</w:t>
            </w:r>
          </w:p>
        </w:tc>
        <w:tc>
          <w:tcPr>
            <w:tcW w:w="618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840" w:type="dxa"/>
            <w:vAlign w:val="bottom"/>
            <w:gridSpan w:val="2"/>
          </w:tcPr>
          <w:p>
            <w:pPr>
              <w:ind w:left="480"/>
              <w:spacing w:after="0"/>
              <w:rPr>
                <w:sz w:val="20"/>
                <w:szCs w:val="20"/>
                <w:color w:val="auto"/>
              </w:rPr>
            </w:pPr>
            <w:r>
              <w:rPr>
                <w:rFonts w:ascii="Arial" w:cs="Arial" w:eastAsia="Arial" w:hAnsi="Arial"/>
                <w:sz w:val="18"/>
                <w:szCs w:val="18"/>
                <w:color w:val="auto"/>
              </w:rPr>
              <w:t>•   Purchasing Card (Transaction $)</w:t>
            </w:r>
          </w:p>
        </w:tc>
        <w:tc>
          <w:tcPr>
            <w:tcW w:w="3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50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rPr>
              <w:t>•</w:t>
            </w:r>
          </w:p>
        </w:tc>
        <w:tc>
          <w:tcPr>
            <w:tcW w:w="6180" w:type="dxa"/>
            <w:vAlign w:val="bottom"/>
          </w:tcPr>
          <w:p>
            <w:pPr>
              <w:ind w:left="100"/>
              <w:spacing w:after="0"/>
              <w:rPr>
                <w:sz w:val="20"/>
                <w:szCs w:val="20"/>
                <w:color w:val="auto"/>
              </w:rPr>
            </w:pPr>
            <w:r>
              <w:rPr>
                <w:rFonts w:ascii="Arial" w:cs="Arial" w:eastAsia="Arial" w:hAnsi="Arial"/>
                <w:sz w:val="18"/>
                <w:szCs w:val="18"/>
                <w:color w:val="auto"/>
              </w:rPr>
              <w:t>Payroll Cards</w:t>
            </w:r>
          </w:p>
        </w:tc>
        <w:tc>
          <w:tcPr>
            <w:tcW w:w="3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9"/>
              </w:rPr>
              <w:t>Paper</w:t>
            </w:r>
          </w:p>
        </w:tc>
        <w:tc>
          <w:tcPr>
            <w:tcW w:w="6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16"/>
        </w:trPr>
        <w:tc>
          <w:tcPr>
            <w:tcW w:w="7340" w:type="dxa"/>
            <w:vAlign w:val="bottom"/>
            <w:gridSpan w:val="3"/>
          </w:tcPr>
          <w:p>
            <w:pPr>
              <w:ind w:left="340"/>
              <w:spacing w:after="0"/>
              <w:rPr>
                <w:sz w:val="20"/>
                <w:szCs w:val="20"/>
                <w:color w:val="auto"/>
              </w:rPr>
            </w:pPr>
            <w:r>
              <w:rPr>
                <w:rFonts w:ascii="Arial" w:cs="Arial" w:eastAsia="Arial" w:hAnsi="Arial"/>
                <w:sz w:val="18"/>
                <w:szCs w:val="18"/>
                <w:color w:val="auto"/>
              </w:rPr>
              <w:t>•   Check Clearing (Total Volume)</w:t>
            </w:r>
          </w:p>
        </w:tc>
        <w:tc>
          <w:tcPr>
            <w:tcW w:w="3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340" w:type="dxa"/>
            <w:vAlign w:val="bottom"/>
            <w:gridSpan w:val="3"/>
          </w:tcPr>
          <w:p>
            <w:pPr>
              <w:ind w:left="340"/>
              <w:spacing w:after="0"/>
              <w:rPr>
                <w:sz w:val="20"/>
                <w:szCs w:val="20"/>
                <w:color w:val="auto"/>
              </w:rPr>
            </w:pPr>
            <w:r>
              <w:rPr>
                <w:rFonts w:ascii="Arial" w:cs="Arial" w:eastAsia="Arial" w:hAnsi="Arial"/>
                <w:sz w:val="18"/>
                <w:szCs w:val="18"/>
                <w:color w:val="auto"/>
              </w:rPr>
              <w:t>•   Controlled Disbursement (Checks Paid)</w:t>
            </w:r>
          </w:p>
        </w:tc>
        <w:tc>
          <w:tcPr>
            <w:tcW w:w="3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00" w:type="dxa"/>
            <w:vAlign w:val="bottom"/>
          </w:tcPr>
          <w:p>
            <w:pPr>
              <w:ind w:left="340"/>
              <w:spacing w:after="0"/>
              <w:rPr>
                <w:sz w:val="20"/>
                <w:szCs w:val="20"/>
                <w:color w:val="auto"/>
              </w:rPr>
            </w:pPr>
            <w:r>
              <w:rPr>
                <w:rFonts w:ascii="Arial" w:cs="Arial" w:eastAsia="Arial" w:hAnsi="Arial"/>
                <w:sz w:val="18"/>
                <w:szCs w:val="18"/>
                <w:color w:val="auto"/>
              </w:rPr>
              <w:t>•</w:t>
            </w: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rPr>
              <w:t>Retail Lockbox (Remittances)</w:t>
            </w:r>
          </w:p>
        </w:tc>
        <w:tc>
          <w:tcPr>
            <w:tcW w:w="3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500" w:type="dxa"/>
            <w:vAlign w:val="bottom"/>
          </w:tcPr>
          <w:p>
            <w:pPr>
              <w:ind w:left="340"/>
              <w:spacing w:after="0"/>
              <w:rPr>
                <w:sz w:val="20"/>
                <w:szCs w:val="20"/>
                <w:color w:val="auto"/>
              </w:rPr>
            </w:pPr>
            <w:r>
              <w:rPr>
                <w:rFonts w:ascii="Arial" w:cs="Arial" w:eastAsia="Arial" w:hAnsi="Arial"/>
                <w:sz w:val="18"/>
                <w:szCs w:val="18"/>
                <w:color w:val="auto"/>
              </w:rPr>
              <w:t>•</w:t>
            </w: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rPr>
              <w:t>Wholesale Lockbox (Remittances)</w:t>
            </w:r>
          </w:p>
        </w:tc>
        <w:tc>
          <w:tcPr>
            <w:tcW w:w="3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Liquidity</w:t>
            </w:r>
          </w:p>
        </w:tc>
        <w:tc>
          <w:tcPr>
            <w:tcW w:w="61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22"/>
        </w:trPr>
        <w:tc>
          <w:tcPr>
            <w:tcW w:w="7340" w:type="dxa"/>
            <w:vAlign w:val="bottom"/>
            <w:gridSpan w:val="3"/>
          </w:tcPr>
          <w:p>
            <w:pPr>
              <w:ind w:left="340"/>
              <w:spacing w:after="0"/>
              <w:rPr>
                <w:sz w:val="20"/>
                <w:szCs w:val="20"/>
                <w:color w:val="auto"/>
              </w:rPr>
            </w:pPr>
            <w:r>
              <w:rPr>
                <w:rFonts w:ascii="Arial" w:cs="Arial" w:eastAsia="Arial" w:hAnsi="Arial"/>
                <w:sz w:val="18"/>
                <w:szCs w:val="18"/>
                <w:color w:val="auto"/>
              </w:rPr>
              <w:t>•   Sweep Accounts (Avg Daily Balances)</w:t>
            </w:r>
          </w:p>
        </w:tc>
        <w:tc>
          <w:tcPr>
            <w:tcW w:w="396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Source: 2006 Ernst &amp; Young Cash Management Services Study – Product Ranking Report</w:t>
      </w:r>
    </w:p>
    <w:p>
      <w:pPr>
        <w:spacing w:after="0" w:line="90"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#1 in electronic products –fastest growing segment</w:t>
      </w:r>
    </w:p>
    <w:p>
      <w:pPr>
        <w:spacing w:after="0" w:line="90" w:lineRule="exact"/>
        <w:rPr>
          <w:rFonts w:ascii="Arial" w:cs="Arial" w:eastAsia="Arial" w:hAnsi="Arial"/>
          <w:sz w:val="18"/>
          <w:szCs w:val="18"/>
          <w:color w:val="auto"/>
        </w:rPr>
      </w:pPr>
    </w:p>
    <w:p>
      <w:pPr>
        <w:ind w:right="5980" w:firstLine="8"/>
        <w:spacing w:after="0" w:line="362" w:lineRule="auto"/>
        <w:tabs>
          <w:tab w:leader="none" w:pos="324" w:val="left"/>
        </w:tabs>
        <w:numPr>
          <w:ilvl w:val="0"/>
          <w:numId w:val="99"/>
        </w:numPr>
        <w:rPr>
          <w:rFonts w:ascii="Arial" w:cs="Arial" w:eastAsia="Arial" w:hAnsi="Arial"/>
          <w:sz w:val="18"/>
          <w:szCs w:val="18"/>
          <w:color w:val="auto"/>
        </w:rPr>
      </w:pPr>
      <w:r>
        <w:rPr>
          <w:rFonts w:ascii="Arial" w:cs="Arial" w:eastAsia="Arial" w:hAnsi="Arial"/>
          <w:sz w:val="18"/>
          <w:szCs w:val="18"/>
          <w:color w:val="auto"/>
        </w:rPr>
        <w:t>#1 in USD Treasury clearing &amp; commercial payments globally (‘03-’05) Source: FI Metrix</w:t>
      </w:r>
    </w:p>
    <w:p>
      <w:pPr>
        <w:spacing w:after="0" w:line="3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TS – international franchise key to future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TS firmwide revenue by region - 2006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firmwide revenue - $5.2B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118110</wp:posOffset>
            </wp:positionV>
            <wp:extent cx="3576320" cy="33534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576320" cy="335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TS firmwide revenue growth by region – ‘06 vs ‘05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10795</wp:posOffset>
            </wp:positionV>
            <wp:extent cx="3584575" cy="30956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584575" cy="309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Treasury Services global capabilities and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10795</wp:posOffset>
            </wp:positionV>
            <wp:extent cx="5831840" cy="37649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31840" cy="376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TS – winning in the marketplace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Cash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-121920</wp:posOffset>
            </wp:positionV>
            <wp:extent cx="257175" cy="9347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7175" cy="934720"/>
                    </a:xfrm>
                    <a:prstGeom prst="rect">
                      <a:avLst/>
                    </a:prstGeom>
                    <a:noFill/>
                  </pic:spPr>
                </pic:pic>
              </a:graphicData>
            </a:graphic>
          </wp:anchor>
        </w:drawing>
      </w:r>
    </w:p>
    <w:p>
      <w:pPr>
        <w:spacing w:after="0" w:line="59" w:lineRule="exact"/>
        <w:rPr>
          <w:sz w:val="20"/>
          <w:szCs w:val="20"/>
          <w:color w:val="auto"/>
        </w:rPr>
      </w:pPr>
    </w:p>
    <w:p>
      <w:pPr>
        <w:ind w:left="280" w:hanging="272"/>
        <w:spacing w:after="0"/>
        <w:tabs>
          <w:tab w:leader="none" w:pos="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Duke Energy</w:t>
      </w:r>
    </w:p>
    <w:p>
      <w:pPr>
        <w:ind w:left="6280"/>
        <w:spacing w:after="0"/>
        <w:tabs>
          <w:tab w:leader="none" w:pos="6540" w:val="left"/>
        </w:tabs>
        <w:rPr>
          <w:sz w:val="20"/>
          <w:szCs w:val="20"/>
          <w:color w:val="auto"/>
        </w:rPr>
      </w:pPr>
      <w:r>
        <w:rPr>
          <w:rFonts w:ascii="Arial" w:cs="Arial" w:eastAsia="Arial" w:hAnsi="Arial"/>
          <w:sz w:val="18"/>
          <w:szCs w:val="18"/>
          <w:color w:val="auto"/>
        </w:rPr>
        <w:t>•</w:t>
        <w:tab/>
        <w:t>Lockbox, ACH, bill printing</w:t>
      </w:r>
    </w:p>
    <w:p>
      <w:pPr>
        <w:spacing w:after="0" w:line="76" w:lineRule="exact"/>
        <w:rPr>
          <w:sz w:val="20"/>
          <w:szCs w:val="20"/>
          <w:color w:val="auto"/>
        </w:rPr>
      </w:pPr>
    </w:p>
    <w:p>
      <w:pPr>
        <w:ind w:left="6280"/>
        <w:spacing w:after="0"/>
        <w:tabs>
          <w:tab w:leader="none" w:pos="6540" w:val="left"/>
        </w:tabs>
        <w:rPr>
          <w:sz w:val="20"/>
          <w:szCs w:val="20"/>
          <w:color w:val="auto"/>
        </w:rPr>
      </w:pPr>
      <w:r>
        <w:rPr>
          <w:rFonts w:ascii="Arial" w:cs="Arial" w:eastAsia="Arial" w:hAnsi="Arial"/>
          <w:sz w:val="18"/>
          <w:szCs w:val="18"/>
          <w:color w:val="auto"/>
        </w:rPr>
        <w:t>•</w:t>
        <w:tab/>
        <w:t>22.8mm bills printed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Payments</w:t>
      </w:r>
    </w:p>
    <w:p>
      <w:pPr>
        <w:spacing w:after="0" w:line="96" w:lineRule="exact"/>
        <w:rPr>
          <w:sz w:val="20"/>
          <w:szCs w:val="20"/>
          <w:color w:val="auto"/>
        </w:rPr>
      </w:pPr>
    </w:p>
    <w:p>
      <w:pPr>
        <w:ind w:left="280" w:hanging="272"/>
        <w:spacing w:after="0"/>
        <w:tabs>
          <w:tab w:leader="none" w:pos="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NY Department of Labor Unemployment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-82550</wp:posOffset>
            </wp:positionV>
            <wp:extent cx="257175" cy="9347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7175" cy="934720"/>
                    </a:xfrm>
                    <a:prstGeom prst="rect">
                      <a:avLst/>
                    </a:prstGeom>
                    <a:noFill/>
                  </pic:spPr>
                </pic:pic>
              </a:graphicData>
            </a:graphic>
          </wp:anchor>
        </w:drawing>
      </w:r>
    </w:p>
    <w:p>
      <w:pPr>
        <w:ind w:left="6280"/>
        <w:spacing w:after="0"/>
        <w:tabs>
          <w:tab w:leader="none" w:pos="6540" w:val="left"/>
        </w:tabs>
        <w:rPr>
          <w:sz w:val="20"/>
          <w:szCs w:val="20"/>
          <w:color w:val="auto"/>
        </w:rPr>
      </w:pPr>
      <w:r>
        <w:rPr>
          <w:rFonts w:ascii="Arial" w:cs="Arial" w:eastAsia="Arial" w:hAnsi="Arial"/>
          <w:sz w:val="18"/>
          <w:szCs w:val="18"/>
          <w:color w:val="auto"/>
        </w:rPr>
        <w:t>•</w:t>
        <w:tab/>
        <w:t>EFS, Debit Card, ACH</w:t>
      </w:r>
    </w:p>
    <w:p>
      <w:pPr>
        <w:spacing w:after="0" w:line="76" w:lineRule="exact"/>
        <w:rPr>
          <w:sz w:val="20"/>
          <w:szCs w:val="20"/>
          <w:color w:val="auto"/>
        </w:rPr>
      </w:pPr>
    </w:p>
    <w:p>
      <w:pPr>
        <w:ind w:left="6280"/>
        <w:spacing w:after="0"/>
        <w:tabs>
          <w:tab w:leader="none" w:pos="6540" w:val="left"/>
        </w:tabs>
        <w:rPr>
          <w:sz w:val="20"/>
          <w:szCs w:val="20"/>
          <w:color w:val="auto"/>
        </w:rPr>
      </w:pPr>
      <w:r>
        <w:rPr>
          <w:rFonts w:ascii="Arial" w:cs="Arial" w:eastAsia="Arial" w:hAnsi="Arial"/>
          <w:sz w:val="18"/>
          <w:szCs w:val="18"/>
          <w:color w:val="auto"/>
        </w:rPr>
        <w:t>•</w:t>
        <w:tab/>
        <w:t>220,000 cards issued in first month</w:t>
      </w:r>
    </w:p>
    <w:p>
      <w:pPr>
        <w:spacing w:after="0" w:line="90" w:lineRule="exact"/>
        <w:rPr>
          <w:sz w:val="20"/>
          <w:szCs w:val="20"/>
          <w:color w:val="auto"/>
        </w:rPr>
      </w:pPr>
    </w:p>
    <w:p>
      <w:pPr>
        <w:ind w:left="6280"/>
        <w:spacing w:after="0"/>
        <w:tabs>
          <w:tab w:leader="none" w:pos="6540" w:val="left"/>
        </w:tabs>
        <w:rPr>
          <w:sz w:val="20"/>
          <w:szCs w:val="20"/>
          <w:color w:val="auto"/>
        </w:rPr>
      </w:pPr>
      <w:r>
        <w:rPr>
          <w:rFonts w:ascii="Arial" w:cs="Arial" w:eastAsia="Arial" w:hAnsi="Arial"/>
          <w:sz w:val="18"/>
          <w:szCs w:val="18"/>
          <w:color w:val="auto"/>
        </w:rPr>
        <w:t>•</w:t>
        <w:tab/>
        <w:t>400,000 currently active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&amp; Logistics</w:t>
      </w:r>
    </w:p>
    <w:p>
      <w:pPr>
        <w:spacing w:after="0" w:line="96" w:lineRule="exact"/>
        <w:rPr>
          <w:sz w:val="20"/>
          <w:szCs w:val="20"/>
          <w:color w:val="auto"/>
        </w:rPr>
      </w:pPr>
    </w:p>
    <w:p>
      <w:pPr>
        <w:ind w:left="280" w:hanging="272"/>
        <w:spacing w:after="0"/>
        <w:tabs>
          <w:tab w:leader="none" w:pos="2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Global Communications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-82550</wp:posOffset>
            </wp:positionV>
            <wp:extent cx="257175" cy="9347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7175" cy="934720"/>
                    </a:xfrm>
                    <a:prstGeom prst="rect">
                      <a:avLst/>
                    </a:prstGeom>
                    <a:noFill/>
                  </pic:spPr>
                </pic:pic>
              </a:graphicData>
            </a:graphic>
          </wp:anchor>
        </w:drawing>
      </w:r>
    </w:p>
    <w:p>
      <w:pPr>
        <w:spacing w:after="0" w:line="124" w:lineRule="exact"/>
        <w:rPr>
          <w:sz w:val="20"/>
          <w:szCs w:val="20"/>
          <w:color w:val="auto"/>
        </w:rPr>
      </w:pPr>
    </w:p>
    <w:p>
      <w:pPr>
        <w:ind w:left="6280"/>
        <w:spacing w:after="0"/>
        <w:tabs>
          <w:tab w:leader="none" w:pos="6540" w:val="left"/>
        </w:tabs>
        <w:rPr>
          <w:sz w:val="20"/>
          <w:szCs w:val="20"/>
          <w:color w:val="auto"/>
        </w:rPr>
      </w:pPr>
      <w:r>
        <w:rPr>
          <w:rFonts w:ascii="Arial" w:cs="Arial" w:eastAsia="Arial" w:hAnsi="Arial"/>
          <w:sz w:val="18"/>
          <w:szCs w:val="18"/>
          <w:color w:val="auto"/>
        </w:rPr>
        <w:t>•</w:t>
        <w:tab/>
        <w:t>Supply chain logistics</w:t>
      </w:r>
    </w:p>
    <w:p>
      <w:pPr>
        <w:spacing w:after="0" w:line="90" w:lineRule="exact"/>
        <w:rPr>
          <w:sz w:val="20"/>
          <w:szCs w:val="20"/>
          <w:color w:val="auto"/>
        </w:rPr>
      </w:pPr>
    </w:p>
    <w:p>
      <w:pPr>
        <w:ind w:left="6280"/>
        <w:spacing w:after="0"/>
        <w:tabs>
          <w:tab w:leader="none" w:pos="6540" w:val="left"/>
        </w:tabs>
        <w:rPr>
          <w:sz w:val="20"/>
          <w:szCs w:val="20"/>
          <w:color w:val="auto"/>
        </w:rPr>
      </w:pPr>
      <w:r>
        <w:rPr>
          <w:rFonts w:ascii="Arial" w:cs="Arial" w:eastAsia="Arial" w:hAnsi="Arial"/>
          <w:sz w:val="18"/>
          <w:szCs w:val="18"/>
          <w:color w:val="auto"/>
        </w:rPr>
        <w:t>•</w:t>
        <w:tab/>
        <w:t>Over $1B in goods processed manufacturer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Pan-Asian Cash Management</w:t>
      </w:r>
    </w:p>
    <w:p>
      <w:pPr>
        <w:spacing w:after="0" w:line="96" w:lineRule="exact"/>
        <w:rPr>
          <w:sz w:val="20"/>
          <w:szCs w:val="20"/>
          <w:color w:val="auto"/>
        </w:rPr>
      </w:pPr>
    </w:p>
    <w:p>
      <w:pPr>
        <w:ind w:left="280" w:hanging="272"/>
        <w:spacing w:after="0"/>
        <w:tabs>
          <w:tab w:leader="none" w:pos="2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Multi-national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-82550</wp:posOffset>
            </wp:positionV>
            <wp:extent cx="257175" cy="9347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7175" cy="934720"/>
                    </a:xfrm>
                    <a:prstGeom prst="rect">
                      <a:avLst/>
                    </a:prstGeom>
                    <a:noFill/>
                  </pic:spPr>
                </pic:pic>
              </a:graphicData>
            </a:graphic>
          </wp:anchor>
        </w:drawing>
      </w:r>
    </w:p>
    <w:p>
      <w:pPr>
        <w:spacing w:after="0" w:line="16" w:lineRule="exact"/>
        <w:rPr>
          <w:sz w:val="20"/>
          <w:szCs w:val="20"/>
          <w:color w:val="auto"/>
        </w:rPr>
      </w:pPr>
    </w:p>
    <w:p>
      <w:pPr>
        <w:ind w:left="6560" w:right="140" w:hanging="323"/>
        <w:spacing w:after="0" w:line="268" w:lineRule="auto"/>
        <w:tabs>
          <w:tab w:leader="none" w:pos="6540" w:val="left"/>
        </w:tabs>
        <w:rPr>
          <w:sz w:val="20"/>
          <w:szCs w:val="20"/>
          <w:color w:val="auto"/>
        </w:rPr>
      </w:pPr>
      <w:r>
        <w:rPr>
          <w:rFonts w:ascii="Arial" w:cs="Arial" w:eastAsia="Arial" w:hAnsi="Arial"/>
          <w:sz w:val="18"/>
          <w:szCs w:val="18"/>
          <w:color w:val="auto"/>
        </w:rPr>
        <w:t>•</w:t>
        <w:tab/>
        <w:t>Collections &amp; disbursements, FX, Liquidity &amp; investments, Global client Access</w:t>
      </w:r>
    </w:p>
    <w:p>
      <w:pPr>
        <w:spacing w:after="0" w:line="51" w:lineRule="exact"/>
        <w:rPr>
          <w:sz w:val="20"/>
          <w:szCs w:val="20"/>
          <w:color w:val="auto"/>
        </w:rPr>
      </w:pPr>
    </w:p>
    <w:p>
      <w:pPr>
        <w:ind w:left="6280"/>
        <w:spacing w:after="0"/>
        <w:tabs>
          <w:tab w:leader="none" w:pos="6540" w:val="left"/>
        </w:tabs>
        <w:rPr>
          <w:sz w:val="20"/>
          <w:szCs w:val="20"/>
          <w:color w:val="auto"/>
        </w:rPr>
      </w:pPr>
      <w:r>
        <w:rPr>
          <w:rFonts w:ascii="Arial" w:cs="Arial" w:eastAsia="Arial" w:hAnsi="Arial"/>
          <w:sz w:val="15"/>
          <w:szCs w:val="15"/>
          <w:color w:val="auto"/>
        </w:rPr>
        <w:t>•</w:t>
        <w:tab/>
        <w:t>Spans 13 Asian countries, 11 languages, 7 time zones, 14 currencies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TS - market leadership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Awards</w:t>
      </w:r>
    </w:p>
    <w:p>
      <w:pPr>
        <w:spacing w:after="0" w:line="90"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Best overall bank for Cash Management in North America - </w:t>
      </w:r>
      <w:r>
        <w:rPr>
          <w:rFonts w:ascii="Arial" w:cs="Arial" w:eastAsia="Arial" w:hAnsi="Arial"/>
          <w:sz w:val="18"/>
          <w:szCs w:val="18"/>
          <w:i w:val="1"/>
          <w:iCs w:val="1"/>
          <w:color w:val="auto"/>
        </w:rPr>
        <w:t>Global Finance,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Best Cash Management Specialist - </w:t>
      </w:r>
      <w:r>
        <w:rPr>
          <w:rFonts w:ascii="Arial" w:cs="Arial" w:eastAsia="Arial" w:hAnsi="Arial"/>
          <w:sz w:val="18"/>
          <w:szCs w:val="18"/>
          <w:i w:val="1"/>
          <w:iCs w:val="1"/>
          <w:color w:val="auto"/>
        </w:rPr>
        <w:t>The Asset,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Best ECA Trade Solution Bank - </w:t>
      </w:r>
      <w:r>
        <w:rPr>
          <w:rFonts w:ascii="Arial" w:cs="Arial" w:eastAsia="Arial" w:hAnsi="Arial"/>
          <w:sz w:val="18"/>
          <w:szCs w:val="18"/>
          <w:i w:val="1"/>
          <w:iCs w:val="1"/>
          <w:color w:val="auto"/>
        </w:rPr>
        <w:t>The Asset,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Best Liquidity solution provider - </w:t>
      </w:r>
      <w:r>
        <w:rPr>
          <w:rFonts w:ascii="Arial" w:cs="Arial" w:eastAsia="Arial" w:hAnsi="Arial"/>
          <w:sz w:val="18"/>
          <w:szCs w:val="18"/>
          <w:i w:val="1"/>
          <w:iCs w:val="1"/>
          <w:color w:val="auto"/>
        </w:rPr>
        <w:t>The Asset,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Best Trade Services Provider - </w:t>
      </w:r>
      <w:r>
        <w:rPr>
          <w:rFonts w:ascii="Arial" w:cs="Arial" w:eastAsia="Arial" w:hAnsi="Arial"/>
          <w:sz w:val="18"/>
          <w:szCs w:val="18"/>
          <w:i w:val="1"/>
          <w:iCs w:val="1"/>
          <w:color w:val="auto"/>
        </w:rPr>
        <w:t>Trade and Forfaiting Review,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#1 overall service in Asia - </w:t>
      </w:r>
      <w:r>
        <w:rPr>
          <w:rFonts w:ascii="Arial" w:cs="Arial" w:eastAsia="Arial" w:hAnsi="Arial"/>
          <w:sz w:val="18"/>
          <w:szCs w:val="18"/>
          <w:i w:val="1"/>
          <w:iCs w:val="1"/>
          <w:color w:val="auto"/>
        </w:rPr>
        <w:t>Euromoney,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#1 Non-indigenous Euro Clearer – </w:t>
      </w:r>
      <w:r>
        <w:rPr>
          <w:rFonts w:ascii="Arial" w:cs="Arial" w:eastAsia="Arial" w:hAnsi="Arial"/>
          <w:sz w:val="18"/>
          <w:szCs w:val="18"/>
          <w:i w:val="1"/>
          <w:iCs w:val="1"/>
          <w:color w:val="auto"/>
        </w:rPr>
        <w:t>German RTGS system,</w:t>
      </w:r>
      <w:r>
        <w:rPr>
          <w:rFonts w:ascii="Arial" w:cs="Arial" w:eastAsia="Arial" w:hAnsi="Arial"/>
          <w:sz w:val="18"/>
          <w:szCs w:val="18"/>
          <w:color w:val="auto"/>
        </w:rPr>
        <w:t xml:space="preserve">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#1 in Implementation of SEPA – </w:t>
      </w:r>
      <w:r>
        <w:rPr>
          <w:rFonts w:ascii="Arial" w:cs="Arial" w:eastAsia="Arial" w:hAnsi="Arial"/>
          <w:sz w:val="18"/>
          <w:szCs w:val="18"/>
          <w:i w:val="1"/>
          <w:iCs w:val="1"/>
          <w:color w:val="auto"/>
        </w:rPr>
        <w:t>Euromoney,</w:t>
      </w:r>
      <w:r>
        <w:rPr>
          <w:rFonts w:ascii="Arial" w:cs="Arial" w:eastAsia="Arial" w:hAnsi="Arial"/>
          <w:sz w:val="18"/>
          <w:szCs w:val="18"/>
          <w:color w:val="auto"/>
        </w:rPr>
        <w:t xml:space="preserve">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JPMorgan Chase Vastera named One of “100 Great Supply Chain Partners” - </w:t>
      </w:r>
      <w:r>
        <w:rPr>
          <w:rFonts w:ascii="Arial" w:cs="Arial" w:eastAsia="Arial" w:hAnsi="Arial"/>
          <w:sz w:val="18"/>
          <w:szCs w:val="18"/>
          <w:i w:val="1"/>
          <w:iCs w:val="1"/>
          <w:color w:val="auto"/>
        </w:rPr>
        <w:t>Global Logistics and Supply Chain Strategies,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#1 ACH items originated – </w:t>
      </w:r>
      <w:r>
        <w:rPr>
          <w:rFonts w:ascii="Arial" w:cs="Arial" w:eastAsia="Arial" w:hAnsi="Arial"/>
          <w:sz w:val="18"/>
          <w:szCs w:val="18"/>
          <w:i w:val="1"/>
          <w:iCs w:val="1"/>
          <w:color w:val="auto"/>
        </w:rPr>
        <w:t>NACHA,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#1 CHIPS, FedWire &amp; Book Transfers – </w:t>
      </w:r>
      <w:r>
        <w:rPr>
          <w:rFonts w:ascii="Arial" w:cs="Arial" w:eastAsia="Arial" w:hAnsi="Arial"/>
          <w:sz w:val="18"/>
          <w:szCs w:val="18"/>
          <w:i w:val="1"/>
          <w:iCs w:val="1"/>
          <w:color w:val="auto"/>
        </w:rPr>
        <w:t>Ernst &amp; Young,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#1 Sweep Accounts, Average Daily Balances – </w:t>
      </w:r>
      <w:r>
        <w:rPr>
          <w:rFonts w:ascii="Arial" w:cs="Arial" w:eastAsia="Arial" w:hAnsi="Arial"/>
          <w:sz w:val="18"/>
          <w:szCs w:val="18"/>
          <w:i w:val="1"/>
          <w:iCs w:val="1"/>
          <w:color w:val="auto"/>
        </w:rPr>
        <w:t>Ernst &amp; Young,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TS – completing the merger; end in sight</w:t>
      </w:r>
    </w:p>
    <w:p>
      <w:pPr>
        <w:spacing w:after="0" w:line="90"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Much accomplished in 2006</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Exceeded merger save targets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Completed all scheduled milestones and systems conversion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Executed site and data center consolidations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Last major milestone 3Q07</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Tri-State wholesale DDA conversion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TSS performance targets: growth and efficiency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Performance target</w:t>
      </w:r>
    </w:p>
    <w:p>
      <w:pPr>
        <w:spacing w:after="0" w:line="90"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35% pretax margin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Strive to achieve by end of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How we get there</w:t>
      </w:r>
    </w:p>
    <w:p>
      <w:pPr>
        <w:spacing w:after="0" w:line="90"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Invest in high-margin/ high-growth areas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International markets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Alternative Investment Services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Migration from paper to electronic payments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Client diversification and penetration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Global Corporate Banking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Chase Commercial Bank (Middle Market) &amp; Business Banking</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Improve efficiency, productivity and client experience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Growing importance of international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Foreign direct investments (FDI) inflows (U.S.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Forecast GDP in BRIC and 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113665</wp:posOffset>
            </wp:positionV>
            <wp:extent cx="5831840" cy="23323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83184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Faster growth in most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Higher 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Growth of BRIC economies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Higher growth of trade and payments within regions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Increasing global market interaction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International expansion – what we are doing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48621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831840" cy="486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Mature Markets</w:t>
      </w:r>
    </w:p>
    <w:p>
      <w:pPr>
        <w:spacing w:after="0" w:line="90"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Additional sales &amp; coverage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Footprint and operational efficiencies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Emerging</w:t>
      </w:r>
    </w:p>
    <w:p>
      <w:pPr>
        <w:spacing w:after="0" w:line="90"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Wholesale branches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Local infrastructure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Local language capabilities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Sales &amp; coverage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Trade windows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Why invest in Alternative Investment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Percentage of funds which expect to increase/decrease asset class allocations – next 3 years</w:t>
      </w:r>
      <w:r>
        <w:rPr>
          <w:rFonts w:ascii="Arial" w:cs="Arial" w:eastAsia="Arial" w:hAnsi="Arial"/>
          <w:sz w:val="22"/>
          <w:szCs w:val="22"/>
          <w:color w:val="auto"/>
          <w:vertAlign w:val="superscript"/>
        </w:rPr>
        <w:t>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Funds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2315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31840"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Hedge funds are fastest growing investor segment (23% CAGR)</w:t>
      </w:r>
      <w:r>
        <w:rPr>
          <w:rFonts w:ascii="Arial" w:cs="Arial" w:eastAsia="Arial" w:hAnsi="Arial"/>
          <w:sz w:val="22"/>
          <w:szCs w:val="22"/>
          <w:color w:val="auto"/>
          <w:vertAlign w:val="superscript"/>
        </w:rPr>
        <w:t>2</w:t>
      </w:r>
    </w:p>
    <w:p>
      <w:pPr>
        <w:ind w:left="460" w:hanging="452"/>
        <w:spacing w:after="0" w:line="208" w:lineRule="auto"/>
        <w:tabs>
          <w:tab w:leader="none" w:pos="460" w:val="left"/>
        </w:tabs>
        <w:numPr>
          <w:ilvl w:val="0"/>
          <w:numId w:val="112"/>
        </w:numPr>
        <w:rPr>
          <w:rFonts w:ascii="Arial" w:cs="Arial" w:eastAsia="Arial" w:hAnsi="Arial"/>
          <w:sz w:val="11"/>
          <w:szCs w:val="11"/>
          <w:color w:val="auto"/>
        </w:rPr>
      </w:pPr>
      <w:r>
        <w:rPr>
          <w:rFonts w:ascii="Arial" w:cs="Arial" w:eastAsia="Arial" w:hAnsi="Arial"/>
          <w:sz w:val="18"/>
          <w:szCs w:val="18"/>
          <w:color w:val="auto"/>
        </w:rPr>
        <w:t>Source: Greenwich Associates – IAM Market Dynamics Report.</w:t>
      </w:r>
    </w:p>
    <w:p>
      <w:pPr>
        <w:ind w:left="460" w:hanging="452"/>
        <w:spacing w:after="0"/>
        <w:tabs>
          <w:tab w:leader="none" w:pos="460" w:val="left"/>
        </w:tabs>
        <w:numPr>
          <w:ilvl w:val="0"/>
          <w:numId w:val="113"/>
        </w:numPr>
        <w:rPr>
          <w:rFonts w:ascii="Arial" w:cs="Arial" w:eastAsia="Arial" w:hAnsi="Arial"/>
          <w:sz w:val="11"/>
          <w:szCs w:val="11"/>
          <w:color w:val="auto"/>
        </w:rPr>
      </w:pPr>
      <w:r>
        <w:rPr>
          <w:rFonts w:ascii="Arial" w:cs="Arial" w:eastAsia="Arial" w:hAnsi="Arial"/>
          <w:sz w:val="18"/>
          <w:szCs w:val="18"/>
          <w:color w:val="auto"/>
        </w:rPr>
        <w:t>Source: HFR database; CAGR for 2001 through 2008E</w:t>
      </w:r>
    </w:p>
    <w:p>
      <w:pPr>
        <w:spacing w:after="0" w:line="13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Alternative investments – what we are doing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Migrating from a custodian to an asset servicer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919220" cy="3473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919220"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Integrate Transfer Agency in U.S.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Continue to enhance reporting for new products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Roll-out product Internationally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Developing best-in-class technology platforms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Leveraging firmwide expertise and relationship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Paper to electronic - what we are doing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Product development and promotion:</w:t>
      </w:r>
    </w:p>
    <w:p>
      <w:pPr>
        <w:spacing w:after="0" w:line="90"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Check Deposits, e.g., Image Capture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Disbursements, e.g., Purchasing Card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Automated Clearing House (ACH), e.g., Accounts Receivable Conversion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Wholesale Lockbox, e.g., Receivables Edge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Stellar client franchise – opportunities abound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2006 Client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4047490" cy="33534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047490" cy="335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Key insights</w:t>
      </w:r>
    </w:p>
    <w:p>
      <w:pPr>
        <w:spacing w:after="0" w:line="90"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Financial Institutions remain core strength</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Increase share of wallet with Large Corporates via Global Corporate Bank</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Middle Market significant source of growth</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Opportunities emerging with endowments / foundations and international public sector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Corporate Banking – focused coverage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Global Corporate Banking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4690745" cy="26073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69074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180" w:type="dxa"/>
        <w:tblCellMar>
          <w:top w:w="0" w:type="dxa"/>
          <w:left w:w="0" w:type="dxa"/>
          <w:bottom w:w="0" w:type="dxa"/>
          <w:right w:w="0" w:type="dxa"/>
        </w:tblCellMar>
      </w:tblPr>
      <w:tr>
        <w:trPr>
          <w:trHeight w:val="222"/>
        </w:trPr>
        <w:tc>
          <w:tcPr>
            <w:tcW w:w="1340" w:type="dxa"/>
            <w:vAlign w:val="bottom"/>
          </w:tcPr>
          <w:p>
            <w:pPr>
              <w:spacing w:after="0"/>
              <w:rPr>
                <w:sz w:val="19"/>
                <w:szCs w:val="19"/>
                <w:color w:val="auto"/>
              </w:rPr>
            </w:pPr>
          </w:p>
        </w:tc>
        <w:tc>
          <w:tcPr>
            <w:tcW w:w="4000" w:type="dxa"/>
            <w:vAlign w:val="bottom"/>
            <w:gridSpan w:val="2"/>
          </w:tcPr>
          <w:p>
            <w:pPr>
              <w:ind w:left="1680"/>
              <w:spacing w:after="0"/>
              <w:rPr>
                <w:sz w:val="20"/>
                <w:szCs w:val="20"/>
                <w:color w:val="auto"/>
              </w:rPr>
            </w:pPr>
            <w:r>
              <w:rPr>
                <w:rFonts w:ascii="Arial" w:cs="Arial" w:eastAsia="Arial" w:hAnsi="Arial"/>
                <w:sz w:val="18"/>
                <w:szCs w:val="18"/>
                <w:color w:val="auto"/>
              </w:rPr>
              <w:t>Key Segments</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340" w:type="dxa"/>
            <w:vAlign w:val="bottom"/>
          </w:tcPr>
          <w:p>
            <w:pPr>
              <w:jc w:val="center"/>
              <w:ind w:right="252"/>
              <w:spacing w:after="0"/>
              <w:rPr>
                <w:sz w:val="20"/>
                <w:szCs w:val="20"/>
                <w:color w:val="auto"/>
              </w:rPr>
            </w:pPr>
            <w:r>
              <w:rPr>
                <w:rFonts w:ascii="Arial" w:cs="Arial" w:eastAsia="Arial" w:hAnsi="Arial"/>
                <w:sz w:val="18"/>
                <w:szCs w:val="18"/>
                <w:color w:val="auto"/>
                <w:w w:val="90"/>
              </w:rPr>
              <w:t>Broker Dealer</w:t>
            </w:r>
          </w:p>
        </w:tc>
        <w:tc>
          <w:tcPr>
            <w:tcW w:w="2340" w:type="dxa"/>
            <w:vAlign w:val="bottom"/>
          </w:tcPr>
          <w:p>
            <w:pPr>
              <w:jc w:val="center"/>
              <w:spacing w:after="0"/>
              <w:rPr>
                <w:sz w:val="20"/>
                <w:szCs w:val="20"/>
                <w:color w:val="auto"/>
              </w:rPr>
            </w:pPr>
            <w:r>
              <w:rPr>
                <w:rFonts w:ascii="Arial" w:cs="Arial" w:eastAsia="Arial" w:hAnsi="Arial"/>
                <w:sz w:val="18"/>
                <w:szCs w:val="18"/>
                <w:color w:val="auto"/>
                <w:w w:val="93"/>
              </w:rPr>
              <w:t>FIG</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Latin America</w:t>
            </w:r>
          </w:p>
        </w:tc>
        <w:tc>
          <w:tcPr>
            <w:tcW w:w="2180" w:type="dxa"/>
            <w:vAlign w:val="bottom"/>
          </w:tcPr>
          <w:p>
            <w:pPr>
              <w:jc w:val="center"/>
              <w:ind w:left="212"/>
              <w:spacing w:after="0"/>
              <w:rPr>
                <w:sz w:val="20"/>
                <w:szCs w:val="20"/>
                <w:color w:val="auto"/>
              </w:rPr>
            </w:pPr>
            <w:r>
              <w:rPr>
                <w:rFonts w:ascii="Arial" w:cs="Arial" w:eastAsia="Arial" w:hAnsi="Arial"/>
                <w:sz w:val="18"/>
                <w:szCs w:val="18"/>
                <w:color w:val="auto"/>
                <w:w w:val="89"/>
              </w:rPr>
              <w:t>Consumer / Health / Retail</w:t>
            </w:r>
          </w:p>
        </w:tc>
        <w:tc>
          <w:tcPr>
            <w:tcW w:w="0" w:type="dxa"/>
            <w:vAlign w:val="bottom"/>
          </w:tcPr>
          <w:p>
            <w:pPr>
              <w:spacing w:after="0"/>
              <w:rPr>
                <w:sz w:val="1"/>
                <w:szCs w:val="1"/>
                <w:color w:val="auto"/>
              </w:rPr>
            </w:pPr>
          </w:p>
        </w:tc>
      </w:tr>
      <w:tr>
        <w:trPr>
          <w:trHeight w:val="216"/>
        </w:trPr>
        <w:tc>
          <w:tcPr>
            <w:tcW w:w="1340" w:type="dxa"/>
            <w:vAlign w:val="bottom"/>
            <w:vMerge w:val="restart"/>
          </w:tcPr>
          <w:p>
            <w:pPr>
              <w:jc w:val="center"/>
              <w:ind w:right="232"/>
              <w:spacing w:after="0"/>
              <w:rPr>
                <w:sz w:val="20"/>
                <w:szCs w:val="20"/>
                <w:color w:val="auto"/>
              </w:rPr>
            </w:pPr>
            <w:r>
              <w:rPr>
                <w:rFonts w:ascii="Arial" w:cs="Arial" w:eastAsia="Arial" w:hAnsi="Arial"/>
                <w:sz w:val="18"/>
                <w:szCs w:val="18"/>
                <w:color w:val="auto"/>
                <w:w w:val="90"/>
              </w:rPr>
              <w:t>Industrials</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9"/>
              </w:rPr>
              <w:t>Telecom / Media / Tech</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91"/>
              </w:rPr>
              <w:t>Energy</w:t>
            </w:r>
          </w:p>
        </w:tc>
        <w:tc>
          <w:tcPr>
            <w:tcW w:w="2180" w:type="dxa"/>
            <w:vAlign w:val="bottom"/>
          </w:tcPr>
          <w:p>
            <w:pPr>
              <w:jc w:val="center"/>
              <w:ind w:left="192"/>
              <w:spacing w:after="0"/>
              <w:rPr>
                <w:sz w:val="20"/>
                <w:szCs w:val="20"/>
                <w:color w:val="auto"/>
              </w:rPr>
            </w:pPr>
            <w:r>
              <w:rPr>
                <w:rFonts w:ascii="Arial" w:cs="Arial" w:eastAsia="Arial" w:hAnsi="Arial"/>
                <w:sz w:val="18"/>
                <w:szCs w:val="18"/>
                <w:color w:val="auto"/>
                <w:w w:val="88"/>
              </w:rPr>
              <w:t>Transportation / Paper &amp;</w:t>
            </w:r>
          </w:p>
        </w:tc>
        <w:tc>
          <w:tcPr>
            <w:tcW w:w="0" w:type="dxa"/>
            <w:vAlign w:val="bottom"/>
          </w:tcPr>
          <w:p>
            <w:pPr>
              <w:spacing w:after="0"/>
              <w:rPr>
                <w:sz w:val="1"/>
                <w:szCs w:val="1"/>
                <w:color w:val="auto"/>
              </w:rPr>
            </w:pPr>
          </w:p>
        </w:tc>
      </w:tr>
      <w:tr>
        <w:trPr>
          <w:trHeight w:val="114"/>
        </w:trPr>
        <w:tc>
          <w:tcPr>
            <w:tcW w:w="1340" w:type="dxa"/>
            <w:vAlign w:val="bottom"/>
            <w:vMerge w:val="continue"/>
          </w:tcPr>
          <w:p>
            <w:pPr>
              <w:spacing w:after="0"/>
              <w:rPr>
                <w:sz w:val="9"/>
                <w:szCs w:val="9"/>
                <w:color w:val="auto"/>
              </w:rPr>
            </w:pPr>
          </w:p>
        </w:tc>
        <w:tc>
          <w:tcPr>
            <w:tcW w:w="234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2180" w:type="dxa"/>
            <w:vAlign w:val="bottom"/>
            <w:vMerge w:val="restart"/>
          </w:tcPr>
          <w:p>
            <w:pPr>
              <w:jc w:val="center"/>
              <w:ind w:left="192"/>
              <w:spacing w:after="0"/>
              <w:rPr>
                <w:sz w:val="20"/>
                <w:szCs w:val="20"/>
                <w:color w:val="auto"/>
              </w:rPr>
            </w:pPr>
            <w:r>
              <w:rPr>
                <w:rFonts w:ascii="Arial" w:cs="Arial" w:eastAsia="Arial" w:hAnsi="Arial"/>
                <w:sz w:val="18"/>
                <w:szCs w:val="18"/>
                <w:color w:val="auto"/>
                <w:w w:val="94"/>
              </w:rPr>
              <w:t>Bldg</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Key opportunities</w:t>
      </w:r>
    </w:p>
    <w:p>
      <w:pPr>
        <w:spacing w:after="0" w:line="9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Leverage universal bank model</w:t>
      </w:r>
    </w:p>
    <w:p>
      <w:pPr>
        <w:spacing w:after="0" w:line="9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Increase share of wallet</w:t>
      </w:r>
    </w:p>
    <w:p>
      <w:pPr>
        <w:spacing w:after="0" w:line="9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Improve number of products per customer</w:t>
      </w:r>
    </w:p>
    <w:p>
      <w:pPr>
        <w:spacing w:after="0" w:line="9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Improve client experience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Middle Market expansion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2004-2006 TS Middle Market growth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4090670" cy="39192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090670" cy="391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Note: TEPC indicates Trade, E-Payables and Commercial Cards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Growth initiatives</w:t>
      </w:r>
    </w:p>
    <w:p>
      <w:pPr>
        <w:spacing w:after="0" w:line="90"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Increase prospect conversion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Improve coverage model and productivity of CB Bankers and TS Sales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Market global capabilities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Tailor product to Middle Market client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Increase focus on Business Banking product and sales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 we get there - efficiency &amp; productivity</w:t>
      </w:r>
    </w:p>
    <w:p>
      <w:pPr>
        <w:spacing w:after="0" w:line="212" w:lineRule="exact"/>
        <w:rPr>
          <w:sz w:val="20"/>
          <w:szCs w:val="20"/>
          <w:color w:val="auto"/>
        </w:rPr>
      </w:pPr>
    </w:p>
    <w:p>
      <w:pPr>
        <w:ind w:left="280" w:hanging="272"/>
        <w:spacing w:after="0"/>
        <w:tabs>
          <w:tab w:leader="none" w:pos="2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Technology examples</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Improve vendor management</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Increase efficiency of production support</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Reduce contractor costs</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Consolidate data centers</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Reduce infrastructure costs</w:t>
      </w:r>
    </w:p>
    <w:p>
      <w:pPr>
        <w:spacing w:after="0" w:line="90" w:lineRule="exact"/>
        <w:rPr>
          <w:rFonts w:ascii="Arial" w:cs="Arial" w:eastAsia="Arial" w:hAnsi="Arial"/>
          <w:sz w:val="18"/>
          <w:szCs w:val="18"/>
          <w:color w:val="auto"/>
        </w:rPr>
      </w:pPr>
    </w:p>
    <w:p>
      <w:pPr>
        <w:ind w:left="280" w:hanging="272"/>
        <w:spacing w:after="0"/>
        <w:tabs>
          <w:tab w:leader="none" w:pos="2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Operations examples</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Re-engineer and improve processes</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Leverage operational utilities</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Improve straight-through processing rates</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Global sourcing in low cost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2969895</wp:posOffset>
            </wp:positionV>
            <wp:extent cx="60007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-2012315</wp:posOffset>
            </wp:positionV>
            <wp:extent cx="2830195" cy="49136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830195" cy="491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1"/>
          <w:szCs w:val="11"/>
          <w:color w:val="auto"/>
        </w:rPr>
      </w:pPr>
      <w:r>
        <w:rPr>
          <w:rFonts w:ascii="Arial" w:cs="Arial" w:eastAsia="Arial" w:hAnsi="Arial"/>
          <w:sz w:val="18"/>
          <w:szCs w:val="18"/>
          <w:color w:val="auto"/>
        </w:rPr>
        <w:t>2-3 year pretax income impact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 we get there - efficiency &amp;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139700</wp:posOffset>
            </wp:positionV>
            <wp:extent cx="2006600" cy="27355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006600"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80" w:hanging="272"/>
        <w:spacing w:after="0"/>
        <w:tabs>
          <w:tab w:leader="none" w:pos="2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Client Service examples</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Site consolidation</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Global sourcing in low-cost locations</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Re-engineering and process improvement</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Implement tools to automate manual processes</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Reduce on-boarding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911860</wp:posOffset>
            </wp:positionV>
            <wp:extent cx="60007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1"/>
          <w:szCs w:val="11"/>
          <w:color w:val="auto"/>
        </w:rPr>
      </w:pPr>
      <w:r>
        <w:rPr>
          <w:rFonts w:ascii="Arial" w:cs="Arial" w:eastAsia="Arial" w:hAnsi="Arial"/>
          <w:sz w:val="18"/>
          <w:szCs w:val="18"/>
          <w:color w:val="auto"/>
        </w:rPr>
        <w:t>2-3 year pretax income impact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TSS – opportunities abound but…</w:t>
      </w:r>
    </w:p>
    <w:p>
      <w:pPr>
        <w:spacing w:after="0" w:line="218"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Absolute level of interest rates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Shape of the yield curve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Liability balance mix</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Securities lending spreads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FX volatility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Equity markets levels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Competition and price compression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Productivity agenda</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…impact timing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274"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summary, we have to…</w:t>
      </w:r>
    </w:p>
    <w:p>
      <w:pPr>
        <w:spacing w:after="0" w:line="212"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Expand internationally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Execute on new coverage models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Global Corporate Bank</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Cross-TSS customer segments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Increase penetration of key client segments and grow share of wallet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Aggressively manage pricing and expenses in commoditizing products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Focus on new product innovation and sales of higher margin products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Execute Bank of New York transition and Tri-State conversion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MARCH 6, 2007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COMMERCIAL BANKING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Todd Maclin,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2821305" cy="2832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21305" cy="28321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5831840" cy="30613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831840"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Over 30,000 clients and 70,000 middle market prospects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Highly granular and diversified loan portfolio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Commercial Banking footprint</w:t>
      </w:r>
    </w:p>
    <w:p>
      <w:pPr>
        <w:spacing w:after="0" w:line="212"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Presence in 14 of the 15 top MSAs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#1 in 5 states with average market penetration of 48%</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15 out-of-footprint offices (4 added during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831840" cy="32848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831840"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($mm)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2006</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2005</w:t>
            </w:r>
          </w:p>
        </w:tc>
        <w:tc>
          <w:tcPr>
            <w:tcW w:w="4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O/(U)</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3,800</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3,488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ind w:left="420"/>
              <w:spacing w:after="0"/>
              <w:rPr>
                <w:sz w:val="20"/>
                <w:szCs w:val="20"/>
                <w:color w:val="auto"/>
              </w:rPr>
            </w:pPr>
            <w:r>
              <w:rPr>
                <w:rFonts w:ascii="Arial" w:cs="Arial" w:eastAsia="Arial" w:hAnsi="Arial"/>
                <w:sz w:val="18"/>
                <w:szCs w:val="18"/>
                <w:color w:val="auto"/>
              </w:rPr>
              <w:t>Middle Market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2,535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2,358</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Mid-Corporate Banking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ind w:left="420"/>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434</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60" w:type="dxa"/>
            <w:vAlign w:val="bottom"/>
            <w:gridSpan w:val="4"/>
          </w:tcPr>
          <w:p>
            <w:pPr>
              <w:spacing w:after="0"/>
              <w:rPr>
                <w:sz w:val="20"/>
                <w:szCs w:val="20"/>
                <w:color w:val="auto"/>
              </w:rPr>
            </w:pPr>
            <w:r>
              <w:rPr>
                <w:rFonts w:ascii="Arial" w:cs="Arial" w:eastAsia="Arial" w:hAnsi="Arial"/>
                <w:sz w:val="18"/>
                <w:szCs w:val="18"/>
                <w:color w:val="auto"/>
              </w:rPr>
              <w:t>Credit Costs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73</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1,979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1,856</w:t>
            </w: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1,010</w:t>
            </w:r>
          </w:p>
        </w:tc>
        <w:tc>
          <w:tcPr>
            <w:tcW w:w="3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951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 xml:space="preserve">Key Statistics </w:t>
            </w:r>
            <w:r>
              <w:rPr>
                <w:rFonts w:ascii="Arial" w:cs="Arial" w:eastAsia="Arial" w:hAnsi="Arial"/>
                <w:sz w:val="18"/>
                <w:szCs w:val="18"/>
                <w:u w:val="single" w:color="auto"/>
                <w:color w:val="auto"/>
              </w:rPr>
              <w:t>($</w:t>
            </w:r>
            <w:r>
              <w:rPr>
                <w:rFonts w:ascii="Arial" w:cs="Arial" w:eastAsia="Arial" w:hAnsi="Arial"/>
                <w:sz w:val="18"/>
                <w:szCs w:val="18"/>
                <w:color w:val="auto"/>
              </w:rPr>
              <w:t>B)</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Borders>
              <w:top w:val="single" w:sz="8" w:color="auto"/>
            </w:tcBorders>
            <w:gridSpan w:val="2"/>
          </w:tcPr>
          <w:p>
            <w:pPr>
              <w:spacing w:after="0" w:line="217" w:lineRule="exact"/>
              <w:rPr>
                <w:sz w:val="20"/>
                <w:szCs w:val="20"/>
                <w:color w:val="auto"/>
              </w:rPr>
            </w:pPr>
            <w:r>
              <w:rPr>
                <w:rFonts w:ascii="Arial" w:cs="Arial" w:eastAsia="Arial" w:hAnsi="Arial"/>
                <w:sz w:val="18"/>
                <w:szCs w:val="18"/>
                <w:color w:val="auto"/>
              </w:rPr>
              <w:t>ROE</w:t>
            </w:r>
            <w:r>
              <w:rPr>
                <w:rFonts w:ascii="Arial" w:cs="Arial" w:eastAsia="Arial" w:hAnsi="Arial"/>
                <w:sz w:val="22"/>
                <w:szCs w:val="22"/>
                <w:color w:val="auto"/>
                <w:vertAlign w:val="superscript"/>
              </w:rPr>
              <w:t>1</w:t>
            </w:r>
          </w:p>
        </w:tc>
        <w:tc>
          <w:tcPr>
            <w:tcW w:w="7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28%</w:t>
            </w: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Overhead Ratio</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Net Charge-off Rate</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0.05%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IB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Avg. Loans &amp; Leases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48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Avg. Liability Balances</w:t>
            </w:r>
            <w:r>
              <w:rPr>
                <w:rFonts w:ascii="Arial" w:cs="Arial" w:eastAsia="Arial" w:hAnsi="Arial"/>
                <w:sz w:val="22"/>
                <w:szCs w:val="22"/>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ectPr>
          <w:pgSz w:w="11900" w:h="16838" w:orient="portrait"/>
          <w:cols w:equalWidth="0" w:num="1">
            <w:col w:w="11420"/>
          </w:cols>
          <w:pgMar w:left="240" w:top="280"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Reflects allocated capital of $3.4B in 2005 and $5.7B in 2006</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Includes deposits and deposits swept to on-balance sheet liabilities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Loan Pricing Corp 12/31/06; FY2006 results.</w:t>
      </w:r>
    </w:p>
    <w:p>
      <w:pPr>
        <w:spacing w:after="0" w:line="200" w:lineRule="exact"/>
        <w:rPr>
          <w:sz w:val="20"/>
          <w:szCs w:val="20"/>
          <w:color w:val="auto"/>
        </w:rPr>
      </w:pPr>
    </w:p>
    <w:p>
      <w:pPr>
        <w:sectPr>
          <w:pgSz w:w="11900" w:h="16838" w:orient="portrait"/>
          <w:cols w:equalWidth="0" w:num="2">
            <w:col w:w="60" w:space="400"/>
            <w:col w:w="10960"/>
          </w:cols>
          <w:pgMar w:left="240" w:top="28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2006 Highlights</w:t>
      </w:r>
    </w:p>
    <w:p>
      <w:pPr>
        <w:spacing w:after="0" w:line="212" w:lineRule="exact"/>
        <w:rPr>
          <w:sz w:val="20"/>
          <w:szCs w:val="20"/>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Record revenue of $3.8B</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65% of revenue is non-lending</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Double-digit loan and liability balance growth</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Record gross IB revenue of $716MM, up 30% YoY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Surpassed 50% overhead target - 4Q06 at 48%</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8 consecutive quarters of loan growth and NPL ratio below 1%</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#2 Large Middle Market Lender</w:t>
      </w:r>
      <w:r>
        <w:rPr>
          <w:rFonts w:ascii="Arial" w:cs="Arial" w:eastAsia="Arial" w:hAnsi="Arial"/>
          <w:sz w:val="22"/>
          <w:szCs w:val="22"/>
          <w:color w:val="auto"/>
          <w:vertAlign w:val="superscript"/>
        </w:rPr>
        <w:t>3</w:t>
      </w:r>
    </w:p>
    <w:p>
      <w:pPr>
        <w:spacing w:after="0" w:line="44" w:lineRule="exact"/>
        <w:rPr>
          <w:rFonts w:ascii="Arial" w:cs="Arial" w:eastAsia="Arial" w:hAnsi="Arial"/>
          <w:sz w:val="18"/>
          <w:szCs w:val="18"/>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#2 Traditional Middle Market Lender</w:t>
      </w:r>
      <w:r>
        <w:rPr>
          <w:rFonts w:ascii="Arial" w:cs="Arial" w:eastAsia="Arial" w:hAnsi="Arial"/>
          <w:sz w:val="22"/>
          <w:szCs w:val="22"/>
          <w:color w:val="auto"/>
          <w:vertAlign w:val="superscript"/>
        </w:rPr>
        <w:t>3</w:t>
      </w:r>
    </w:p>
    <w:p>
      <w:pPr>
        <w:spacing w:after="0" w:line="30" w:lineRule="exact"/>
        <w:rPr>
          <w:rFonts w:ascii="Arial" w:cs="Arial" w:eastAsia="Arial" w:hAnsi="Arial"/>
          <w:sz w:val="18"/>
          <w:szCs w:val="18"/>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#2 Asset-Based Lender</w:t>
      </w:r>
      <w:r>
        <w:rPr>
          <w:rFonts w:ascii="Arial" w:cs="Arial" w:eastAsia="Arial" w:hAnsi="Arial"/>
          <w:sz w:val="22"/>
          <w:szCs w:val="22"/>
          <w:color w:val="auto"/>
          <w:vertAlign w:val="superscript"/>
        </w:rPr>
        <w:t>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Strong competitive position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Revenue growth</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3533140" cy="20751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53314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auto"/>
        </w:rPr>
        <w:t>Noninterest revenue growth</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3387725" cy="19723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8772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Operating leverage</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3618865" cy="3944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618865" cy="3944620"/>
                    </a:xfrm>
                    <a:prstGeom prst="rect">
                      <a:avLst/>
                    </a:prstGeom>
                    <a:noFill/>
                  </pic:spPr>
                </pic:pic>
              </a:graphicData>
            </a:graphic>
          </wp:anchor>
        </w:drawing>
      </w:r>
    </w:p>
    <w:p>
      <w:pPr>
        <w:sectPr>
          <w:pgSz w:w="11900" w:h="16838" w:orient="portrait"/>
          <w:cols w:equalWidth="0" w:num="1">
            <w:col w:w="11420"/>
          </w:cols>
          <w:pgMar w:left="240" w:top="28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All growth rates are YoY</w:t>
      </w:r>
    </w:p>
    <w:p>
      <w:pPr>
        <w:spacing w:after="0" w:line="203" w:lineRule="auto"/>
        <w:rPr>
          <w:sz w:val="20"/>
          <w:szCs w:val="20"/>
          <w:color w:val="auto"/>
        </w:rPr>
      </w:pPr>
      <w:r>
        <w:rPr>
          <w:rFonts w:ascii="Arial" w:cs="Arial" w:eastAsia="Arial" w:hAnsi="Arial"/>
          <w:sz w:val="18"/>
          <w:szCs w:val="18"/>
          <w:color w:val="auto"/>
        </w:rPr>
        <w:t>Operating Leverage is defined as YoY growth rate in revenue less YoY growth rate in expenses</w:t>
      </w:r>
    </w:p>
    <w:p>
      <w:pPr>
        <w:ind w:right="40"/>
        <w:spacing w:after="0" w:line="238" w:lineRule="auto"/>
        <w:rPr>
          <w:sz w:val="20"/>
          <w:szCs w:val="20"/>
          <w:color w:val="auto"/>
        </w:rPr>
      </w:pPr>
      <w:r>
        <w:rPr>
          <w:rFonts w:ascii="Arial" w:cs="Arial" w:eastAsia="Arial" w:hAnsi="Arial"/>
          <w:sz w:val="18"/>
          <w:szCs w:val="18"/>
          <w:color w:val="auto"/>
        </w:rPr>
        <w:t>Peer median includes comparable commercial segments at BAC, C, CMA, FITB, NCC, PNC, STI, USB, WB, WFC, ZION; acquisitions impacted the YoY results for PNC, WB, WFC and ZION</w:t>
      </w:r>
    </w:p>
    <w:p>
      <w:pPr>
        <w:spacing w:after="0" w:line="129" w:lineRule="exact"/>
        <w:rPr>
          <w:sz w:val="20"/>
          <w:szCs w:val="20"/>
          <w:color w:val="auto"/>
        </w:rPr>
      </w:pPr>
    </w:p>
    <w:p>
      <w:pPr>
        <w:sectPr>
          <w:pgSz w:w="11900" w:h="16838" w:orient="portrait"/>
          <w:cols w:equalWidth="0" w:num="2">
            <w:col w:w="60" w:space="400"/>
            <w:col w:w="10960"/>
          </w:cols>
          <w:pgMar w:left="240" w:top="280" w:right="239" w:bottom="0" w:gutter="0" w:footer="0" w:header="0"/>
          <w:type w:val="continuous"/>
        </w:sect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Strong competitive position in 2006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Loan growth</w:t>
      </w:r>
      <w:r>
        <w:rPr>
          <w:rFonts w:ascii="Arial" w:cs="Arial" w:eastAsia="Arial" w:hAnsi="Arial"/>
          <w:sz w:val="22"/>
          <w:szCs w:val="22"/>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3473450" cy="18268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7345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Liability balance growth</w:t>
      </w:r>
      <w:r>
        <w:rPr>
          <w:rFonts w:ascii="Arial" w:cs="Arial" w:eastAsia="Arial" w:hAnsi="Arial"/>
          <w:sz w:val="22"/>
          <w:szCs w:val="22"/>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3498850" cy="18522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9885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Loan/deposit ratio</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Rank</w:t>
            </w:r>
          </w:p>
        </w:tc>
        <w:tc>
          <w:tcPr>
            <w:tcW w:w="540" w:type="dxa"/>
            <w:vAlign w:val="bottom"/>
          </w:tcPr>
          <w:p>
            <w:pPr>
              <w:spacing w:after="0"/>
              <w:rPr>
                <w:sz w:val="14"/>
                <w:szCs w:val="14"/>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Peer</w:t>
            </w:r>
          </w:p>
        </w:tc>
        <w:tc>
          <w:tcPr>
            <w:tcW w:w="5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4Q06 Ratio</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2"/>
              </w:rPr>
              <w:t>Chase CB</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ZION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USB</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PNC</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WB</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CMA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WFC</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NCC</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STI</w:t>
            </w:r>
          </w:p>
        </w:tc>
        <w:tc>
          <w:tcPr>
            <w:tcW w:w="5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Peer Median</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969010</wp:posOffset>
            </wp:positionV>
            <wp:extent cx="6000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1998345" cy="660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998345" cy="66040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In 4Q06, BNY transaction added $2.3B in loans and $1.2B in liability balances</w:t>
      </w:r>
    </w:p>
    <w:p>
      <w:pPr>
        <w:spacing w:after="0" w:line="203" w:lineRule="auto"/>
        <w:rPr>
          <w:sz w:val="20"/>
          <w:szCs w:val="20"/>
          <w:color w:val="auto"/>
        </w:rPr>
      </w:pPr>
      <w:r>
        <w:rPr>
          <w:rFonts w:ascii="Arial" w:cs="Arial" w:eastAsia="Arial" w:hAnsi="Arial"/>
          <w:sz w:val="18"/>
          <w:szCs w:val="18"/>
          <w:color w:val="auto"/>
        </w:rPr>
        <w:t>All growth rates are YoY</w:t>
      </w:r>
    </w:p>
    <w:p>
      <w:pPr>
        <w:ind w:right="40"/>
        <w:spacing w:after="0" w:line="238" w:lineRule="auto"/>
        <w:rPr>
          <w:sz w:val="20"/>
          <w:szCs w:val="20"/>
          <w:color w:val="auto"/>
        </w:rPr>
      </w:pPr>
      <w:r>
        <w:rPr>
          <w:rFonts w:ascii="Arial" w:cs="Arial" w:eastAsia="Arial" w:hAnsi="Arial"/>
          <w:sz w:val="18"/>
          <w:szCs w:val="18"/>
          <w:color w:val="auto"/>
        </w:rPr>
        <w:t>Peer median includes comparable commercial segments at BAC, C, CMA, FITB, NCC, PNC, STI, USB, WB, WFC, ZION; acquisitions impacted the YoY results for PNC, WB, WFC and ZION</w:t>
      </w:r>
    </w:p>
    <w:p>
      <w:pPr>
        <w:spacing w:after="0" w:line="129" w:lineRule="exact"/>
        <w:rPr>
          <w:sz w:val="20"/>
          <w:szCs w:val="20"/>
          <w:color w:val="auto"/>
        </w:rPr>
      </w:pPr>
    </w:p>
    <w:p>
      <w:pPr>
        <w:sectPr>
          <w:pgSz w:w="11900" w:h="16838" w:orient="portrait"/>
          <w:cols w:equalWidth="0" w:num="2">
            <w:col w:w="60" w:space="400"/>
            <w:col w:w="1096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Strong competitive position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charge-off ratio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576320" cy="2701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57632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NPL/loans ratio</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3892550</wp:posOffset>
            </wp:positionV>
            <wp:extent cx="6000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3644900" cy="3593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644900" cy="359346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NPL – Nonperforming Loans</w:t>
      </w:r>
    </w:p>
    <w:p>
      <w:pPr>
        <w:ind w:right="40"/>
        <w:spacing w:after="0" w:line="238" w:lineRule="auto"/>
        <w:rPr>
          <w:sz w:val="20"/>
          <w:szCs w:val="20"/>
          <w:color w:val="auto"/>
        </w:rPr>
      </w:pPr>
      <w:r>
        <w:rPr>
          <w:rFonts w:ascii="Arial" w:cs="Arial" w:eastAsia="Arial" w:hAnsi="Arial"/>
          <w:sz w:val="18"/>
          <w:szCs w:val="18"/>
          <w:color w:val="auto"/>
        </w:rPr>
        <w:t>Peer median includes comparable commercial segments at BAC, C, CMA, FITB, NCC, PNC, STI, USB, WB, WFC, ZION; acquisitions impacted the YoY results for PNC, WB, WFC and ZION</w:t>
      </w:r>
    </w:p>
    <w:p>
      <w:pPr>
        <w:spacing w:after="0" w:line="129" w:lineRule="exact"/>
        <w:rPr>
          <w:sz w:val="20"/>
          <w:szCs w:val="20"/>
          <w:color w:val="auto"/>
        </w:rPr>
      </w:pPr>
    </w:p>
    <w:p>
      <w:pPr>
        <w:sectPr>
          <w:pgSz w:w="11900" w:h="16838" w:orient="portrait"/>
          <w:cols w:equalWidth="0" w:num="2">
            <w:col w:w="60" w:space="400"/>
            <w:col w:w="1096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Since last year’s Investor Day…</w:t>
            </w:r>
          </w:p>
        </w:tc>
        <w:tc>
          <w:tcPr>
            <w:tcW w:w="5240" w:type="dxa"/>
            <w:vAlign w:val="bottom"/>
          </w:tcPr>
          <w:p>
            <w:pPr>
              <w:spacing w:after="0"/>
              <w:rPr>
                <w:sz w:val="19"/>
                <w:szCs w:val="19"/>
                <w:color w:val="auto"/>
              </w:rPr>
            </w:pPr>
          </w:p>
        </w:tc>
      </w:tr>
      <w:tr>
        <w:trPr>
          <w:trHeight w:val="412"/>
        </w:trPr>
        <w:tc>
          <w:tcPr>
            <w:tcW w:w="6180" w:type="dxa"/>
            <w:vAlign w:val="bottom"/>
          </w:tcPr>
          <w:p>
            <w:pPr>
              <w:spacing w:after="0"/>
              <w:rPr>
                <w:sz w:val="20"/>
                <w:szCs w:val="20"/>
                <w:color w:val="auto"/>
              </w:rPr>
            </w:pPr>
            <w:r>
              <w:rPr>
                <w:rFonts w:ascii="Arial" w:cs="Arial" w:eastAsia="Arial" w:hAnsi="Arial"/>
                <w:sz w:val="18"/>
                <w:szCs w:val="18"/>
                <w:color w:val="auto"/>
              </w:rPr>
              <w:t>Last year’s goal</w:t>
            </w:r>
          </w:p>
        </w:tc>
        <w:tc>
          <w:tcPr>
            <w:tcW w:w="5240" w:type="dxa"/>
            <w:vAlign w:val="bottom"/>
          </w:tcPr>
          <w:p>
            <w:pPr>
              <w:ind w:left="3880"/>
              <w:spacing w:after="0"/>
              <w:rPr>
                <w:sz w:val="20"/>
                <w:szCs w:val="20"/>
                <w:color w:val="auto"/>
              </w:rPr>
            </w:pPr>
            <w:r>
              <w:rPr>
                <w:rFonts w:ascii="Arial" w:cs="Arial" w:eastAsia="Arial" w:hAnsi="Arial"/>
                <w:sz w:val="18"/>
                <w:szCs w:val="18"/>
                <w:color w:val="auto"/>
              </w:rPr>
              <w:t>Our 2006</w:t>
            </w:r>
          </w:p>
        </w:tc>
      </w:tr>
      <w:tr>
        <w:trPr>
          <w:trHeight w:val="223"/>
        </w:trPr>
        <w:tc>
          <w:tcPr>
            <w:tcW w:w="618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performance</w:t>
            </w: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0060"/>
        <w:spacing w:after="0"/>
        <w:tabs>
          <w:tab w:leader="none" w:pos="10320" w:val="left"/>
        </w:tabs>
        <w:rPr>
          <w:sz w:val="20"/>
          <w:szCs w:val="20"/>
          <w:color w:val="auto"/>
        </w:rPr>
      </w:pPr>
      <w:r>
        <w:rPr>
          <w:rFonts w:ascii="Arial" w:cs="Arial" w:eastAsia="Arial" w:hAnsi="Arial"/>
          <w:sz w:val="16"/>
          <w:szCs w:val="16"/>
          <w:color w:val="auto"/>
        </w:rPr>
        <w:t>•</w:t>
        <w:tab/>
        <w:t>Converted 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3807460" cy="6946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07460" cy="694690"/>
                    </a:xfrm>
                    <a:prstGeom prst="rect">
                      <a:avLst/>
                    </a:prstGeom>
                    <a:noFill/>
                  </pic:spPr>
                </pic:pic>
              </a:graphicData>
            </a:graphic>
          </wp:anchor>
        </w:drawing>
      </w:r>
    </w:p>
    <w:p>
      <w:pPr>
        <w:spacing w:after="0" w:line="18"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prospects to</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clients</w:t>
      </w:r>
    </w:p>
    <w:p>
      <w:pPr>
        <w:spacing w:after="0" w:line="84" w:lineRule="exact"/>
        <w:rPr>
          <w:sz w:val="20"/>
          <w:szCs w:val="20"/>
          <w:color w:val="auto"/>
        </w:rPr>
      </w:pPr>
    </w:p>
    <w:p>
      <w:pPr>
        <w:ind w:left="10060"/>
        <w:spacing w:after="0"/>
        <w:tabs>
          <w:tab w:leader="none" w:pos="10320" w:val="left"/>
        </w:tabs>
        <w:rPr>
          <w:sz w:val="20"/>
          <w:szCs w:val="20"/>
          <w:color w:val="auto"/>
        </w:rPr>
      </w:pPr>
      <w:r>
        <w:rPr>
          <w:rFonts w:ascii="Arial" w:cs="Arial" w:eastAsia="Arial" w:hAnsi="Arial"/>
          <w:sz w:val="18"/>
          <w:szCs w:val="18"/>
          <w:color w:val="auto"/>
        </w:rPr>
        <w:t>•</w:t>
        <w:tab/>
        <w:t>Won 70% of</w:t>
      </w:r>
    </w:p>
    <w:p>
      <w:pPr>
        <w:spacing w:after="0" w:line="15"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deals pitched</w:t>
      </w:r>
    </w:p>
    <w:p>
      <w:pPr>
        <w:spacing w:after="0" w:line="107" w:lineRule="exact"/>
        <w:rPr>
          <w:sz w:val="20"/>
          <w:szCs w:val="20"/>
          <w:color w:val="auto"/>
        </w:rPr>
      </w:pPr>
    </w:p>
    <w:p>
      <w:pPr>
        <w:ind w:left="10060"/>
        <w:spacing w:after="0"/>
        <w:tabs>
          <w:tab w:leader="none" w:pos="10320" w:val="left"/>
        </w:tabs>
        <w:rPr>
          <w:sz w:val="20"/>
          <w:szCs w:val="20"/>
          <w:color w:val="auto"/>
        </w:rPr>
      </w:pPr>
      <w:r>
        <w:rPr>
          <w:rFonts w:ascii="Arial" w:cs="Arial" w:eastAsia="Arial" w:hAnsi="Arial"/>
          <w:sz w:val="16"/>
          <w:szCs w:val="16"/>
          <w:color w:val="auto"/>
        </w:rPr>
        <w:t>•</w:t>
        <w:tab/>
        <w:t>Targeted sales</w:t>
      </w:r>
    </w:p>
    <w:p>
      <w:pPr>
        <w:spacing w:after="0" w:line="38"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effort to</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accelerate</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client</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10060"/>
        <w:spacing w:after="0"/>
        <w:tabs>
          <w:tab w:leader="none" w:pos="10320" w:val="left"/>
        </w:tabs>
        <w:rPr>
          <w:sz w:val="20"/>
          <w:szCs w:val="20"/>
          <w:color w:val="auto"/>
        </w:rPr>
      </w:pPr>
      <w:r>
        <w:rPr>
          <w:rFonts w:ascii="Arial" w:cs="Arial" w:eastAsia="Arial" w:hAnsi="Arial"/>
          <w:sz w:val="18"/>
          <w:szCs w:val="18"/>
          <w:color w:val="auto"/>
        </w:rPr>
        <w:t>•</w:t>
        <w:tab/>
        <w:t>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3824605" cy="6858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824605" cy="685800"/>
                    </a:xfrm>
                    <a:prstGeom prst="rect">
                      <a:avLst/>
                    </a:prstGeom>
                    <a:noFill/>
                  </pic:spPr>
                </pic:pic>
              </a:graphicData>
            </a:graphic>
          </wp:anchor>
        </w:drawing>
      </w:r>
    </w:p>
    <w:p>
      <w:pPr>
        <w:ind w:left="10380"/>
        <w:spacing w:after="0"/>
        <w:rPr>
          <w:sz w:val="20"/>
          <w:szCs w:val="20"/>
          <w:color w:val="auto"/>
        </w:rPr>
      </w:pPr>
      <w:r>
        <w:rPr>
          <w:rFonts w:ascii="Arial" w:cs="Arial" w:eastAsia="Arial" w:hAnsi="Arial"/>
          <w:sz w:val="18"/>
          <w:szCs w:val="18"/>
          <w:color w:val="auto"/>
        </w:rPr>
        <w:t>Investment</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Banking</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revenue up</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30%</w:t>
      </w:r>
    </w:p>
    <w:p>
      <w:pPr>
        <w:spacing w:after="0" w:line="84" w:lineRule="exact"/>
        <w:rPr>
          <w:sz w:val="20"/>
          <w:szCs w:val="20"/>
          <w:color w:val="auto"/>
        </w:rPr>
      </w:pPr>
    </w:p>
    <w:p>
      <w:pPr>
        <w:ind w:left="10060"/>
        <w:spacing w:after="0"/>
        <w:tabs>
          <w:tab w:leader="none" w:pos="10320" w:val="left"/>
        </w:tabs>
        <w:rPr>
          <w:sz w:val="20"/>
          <w:szCs w:val="20"/>
          <w:color w:val="auto"/>
        </w:rPr>
      </w:pPr>
      <w:r>
        <w:rPr>
          <w:rFonts w:ascii="Arial" w:cs="Arial" w:eastAsia="Arial" w:hAnsi="Arial"/>
          <w:sz w:val="18"/>
          <w:szCs w:val="18"/>
          <w:color w:val="auto"/>
        </w:rPr>
        <w:t>•</w:t>
        <w:tab/>
        <w:t>Treasury</w:t>
      </w:r>
    </w:p>
    <w:p>
      <w:pPr>
        <w:spacing w:after="0" w:line="15"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Services</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revenue up</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10060"/>
        <w:spacing w:after="0"/>
        <w:tabs>
          <w:tab w:leader="none" w:pos="10320" w:val="left"/>
        </w:tabs>
        <w:rPr>
          <w:sz w:val="20"/>
          <w:szCs w:val="20"/>
          <w:color w:val="auto"/>
        </w:rPr>
      </w:pPr>
      <w:r>
        <w:rPr>
          <w:rFonts w:ascii="Arial" w:cs="Arial" w:eastAsia="Arial" w:hAnsi="Arial"/>
          <w:sz w:val="18"/>
          <w:szCs w:val="18"/>
          <w:color w:val="auto"/>
        </w:rPr>
        <w:t>•</w:t>
        <w:tab/>
        <w:t>Improved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3824605" cy="6946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24605" cy="694690"/>
                    </a:xfrm>
                    <a:prstGeom prst="rect">
                      <a:avLst/>
                    </a:prstGeom>
                    <a:noFill/>
                  </pic:spPr>
                </pic:pic>
              </a:graphicData>
            </a:graphic>
          </wp:anchor>
        </w:drawing>
      </w:r>
    </w:p>
    <w:p>
      <w:pPr>
        <w:ind w:left="10380"/>
        <w:spacing w:after="0"/>
        <w:rPr>
          <w:sz w:val="20"/>
          <w:szCs w:val="20"/>
          <w:color w:val="auto"/>
        </w:rPr>
      </w:pPr>
      <w:r>
        <w:rPr>
          <w:rFonts w:ascii="Arial" w:cs="Arial" w:eastAsia="Arial" w:hAnsi="Arial"/>
          <w:sz w:val="16"/>
          <w:szCs w:val="16"/>
          <w:color w:val="auto"/>
        </w:rPr>
        <w:t>market share</w:t>
      </w:r>
    </w:p>
    <w:p>
      <w:pPr>
        <w:spacing w:after="0" w:line="32"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in</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Syndications,</w:t>
      </w:r>
    </w:p>
    <w:p>
      <w:pPr>
        <w:spacing w:after="0" w:line="32"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High Yield</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Debt, Equity</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&amp; Equity-</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Related and</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M&amp;A</w:t>
      </w:r>
      <w:r>
        <w:rPr>
          <w:rFonts w:ascii="Arial" w:cs="Arial" w:eastAsia="Arial" w:hAnsi="Arial"/>
          <w:sz w:val="22"/>
          <w:szCs w:val="22"/>
          <w:color w:val="auto"/>
          <w:vertAlign w:val="superscript"/>
        </w:rPr>
        <w:t>1</w:t>
      </w:r>
    </w:p>
    <w:p>
      <w:pPr>
        <w:spacing w:after="0" w:line="39" w:lineRule="exact"/>
        <w:rPr>
          <w:sz w:val="20"/>
          <w:szCs w:val="20"/>
          <w:color w:val="auto"/>
        </w:rPr>
      </w:pPr>
    </w:p>
    <w:p>
      <w:pPr>
        <w:ind w:left="10060"/>
        <w:spacing w:after="0"/>
        <w:tabs>
          <w:tab w:leader="none" w:pos="10320" w:val="left"/>
        </w:tabs>
        <w:rPr>
          <w:sz w:val="20"/>
          <w:szCs w:val="20"/>
          <w:color w:val="auto"/>
        </w:rPr>
      </w:pPr>
      <w:r>
        <w:rPr>
          <w:rFonts w:ascii="Arial" w:cs="Arial" w:eastAsia="Arial" w:hAnsi="Arial"/>
          <w:sz w:val="18"/>
          <w:szCs w:val="18"/>
          <w:color w:val="auto"/>
        </w:rPr>
        <w:t>•</w:t>
        <w:tab/>
        <w:t>Expanded</w:t>
      </w:r>
    </w:p>
    <w:p>
      <w:pPr>
        <w:spacing w:after="0" w:line="14"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client</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coverage in</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out-of-</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footprint</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markets</w:t>
      </w:r>
    </w:p>
    <w:p>
      <w:pPr>
        <w:spacing w:after="0" w:line="84" w:lineRule="exact"/>
        <w:rPr>
          <w:sz w:val="20"/>
          <w:szCs w:val="20"/>
          <w:color w:val="auto"/>
        </w:rPr>
      </w:pPr>
    </w:p>
    <w:p>
      <w:pPr>
        <w:ind w:left="10060"/>
        <w:spacing w:after="0"/>
        <w:tabs>
          <w:tab w:leader="none" w:pos="10320" w:val="left"/>
        </w:tabs>
        <w:rPr>
          <w:sz w:val="20"/>
          <w:szCs w:val="20"/>
          <w:color w:val="auto"/>
        </w:rPr>
      </w:pPr>
      <w:r>
        <w:rPr>
          <w:rFonts w:ascii="Arial" w:cs="Arial" w:eastAsia="Arial" w:hAnsi="Arial"/>
          <w:sz w:val="18"/>
          <w:szCs w:val="18"/>
          <w:color w:val="auto"/>
        </w:rPr>
        <w:t>•</w:t>
        <w:tab/>
        <w:t>Grew TS</w:t>
      </w:r>
    </w:p>
    <w:p>
      <w:pPr>
        <w:spacing w:after="0" w:line="15"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product</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revenue by</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10060"/>
        <w:spacing w:after="0"/>
        <w:tabs>
          <w:tab w:leader="none" w:pos="10320" w:val="left"/>
        </w:tabs>
        <w:rPr>
          <w:sz w:val="20"/>
          <w:szCs w:val="20"/>
          <w:color w:val="auto"/>
        </w:rPr>
      </w:pPr>
      <w:r>
        <w:rPr>
          <w:rFonts w:ascii="Arial" w:cs="Arial" w:eastAsia="Arial" w:hAnsi="Arial"/>
          <w:sz w:val="16"/>
          <w:szCs w:val="16"/>
          <w:color w:val="auto"/>
        </w:rPr>
        <w:t>•</w:t>
        <w:tab/>
        <w:t>Sales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3833495" cy="6858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33495" cy="685800"/>
                    </a:xfrm>
                    <a:prstGeom prst="rect">
                      <a:avLst/>
                    </a:prstGeom>
                    <a:noFill/>
                  </pic:spPr>
                </pic:pic>
              </a:graphicData>
            </a:graphic>
          </wp:anchor>
        </w:drawing>
      </w:r>
    </w:p>
    <w:p>
      <w:pPr>
        <w:spacing w:after="0" w:line="18"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for all bankers</w:t>
      </w:r>
    </w:p>
    <w:p>
      <w:pPr>
        <w:spacing w:after="0" w:line="32"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and line</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managers</w:t>
      </w:r>
    </w:p>
    <w:p>
      <w:pPr>
        <w:spacing w:after="0" w:line="84" w:lineRule="exact"/>
        <w:rPr>
          <w:sz w:val="20"/>
          <w:szCs w:val="20"/>
          <w:color w:val="auto"/>
        </w:rPr>
      </w:pPr>
    </w:p>
    <w:p>
      <w:pPr>
        <w:ind w:left="10060"/>
        <w:spacing w:after="0"/>
        <w:tabs>
          <w:tab w:leader="none" w:pos="10320" w:val="left"/>
        </w:tabs>
        <w:rPr>
          <w:sz w:val="20"/>
          <w:szCs w:val="20"/>
          <w:color w:val="auto"/>
        </w:rPr>
      </w:pPr>
      <w:r>
        <w:rPr>
          <w:rFonts w:ascii="Arial" w:cs="Arial" w:eastAsia="Arial" w:hAnsi="Arial"/>
          <w:sz w:val="18"/>
          <w:szCs w:val="18"/>
          <w:color w:val="auto"/>
        </w:rPr>
        <w:t>•</w:t>
        <w:tab/>
        <w:t>Intensive TS</w:t>
      </w:r>
    </w:p>
    <w:p>
      <w:pPr>
        <w:spacing w:after="0" w:line="15"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and IB</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product</w:t>
      </w:r>
    </w:p>
    <w:p>
      <w:pPr>
        <w:spacing w:after="0" w:line="9"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training for all</w:t>
      </w:r>
    </w:p>
    <w:p>
      <w:pPr>
        <w:spacing w:after="0" w:line="32"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bankers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60007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9"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1"/>
          <w:szCs w:val="11"/>
          <w:color w:val="auto"/>
        </w:rPr>
      </w:pPr>
      <w:r>
        <w:rPr>
          <w:rFonts w:ascii="Arial" w:cs="Arial" w:eastAsia="Arial" w:hAnsi="Arial"/>
          <w:sz w:val="18"/>
          <w:szCs w:val="18"/>
          <w:color w:val="auto"/>
        </w:rPr>
        <w:t>Thomson Financial - Data is based on companies with annual sales of $100mm to $2.5B</w:t>
      </w:r>
    </w:p>
    <w:p>
      <w:pPr>
        <w:spacing w:after="0" w:line="14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Since last year’s Investor Day...</w:t>
      </w:r>
    </w:p>
    <w:p>
      <w:pPr>
        <w:spacing w:after="0" w:line="212" w:lineRule="exact"/>
        <w:rPr>
          <w:sz w:val="20"/>
          <w:szCs w:val="20"/>
          <w:color w:val="auto"/>
        </w:rPr>
      </w:pPr>
    </w:p>
    <w:p>
      <w:pPr>
        <w:ind w:left="9920" w:right="600" w:hanging="9912"/>
        <w:spacing w:after="0" w:line="370" w:lineRule="auto"/>
        <w:tabs>
          <w:tab w:leader="none" w:pos="9900" w:val="left"/>
        </w:tabs>
        <w:rPr>
          <w:sz w:val="20"/>
          <w:szCs w:val="20"/>
          <w:color w:val="auto"/>
        </w:rPr>
      </w:pPr>
      <w:r>
        <w:rPr>
          <w:rFonts w:ascii="Arial" w:cs="Arial" w:eastAsia="Arial" w:hAnsi="Arial"/>
          <w:sz w:val="18"/>
          <w:szCs w:val="18"/>
          <w:color w:val="auto"/>
        </w:rPr>
        <w:t>Last year’s goal</w:t>
      </w:r>
      <w:r>
        <w:rPr>
          <w:sz w:val="20"/>
          <w:szCs w:val="20"/>
          <w:color w:val="auto"/>
        </w:rPr>
        <w:tab/>
      </w:r>
      <w:r>
        <w:rPr>
          <w:rFonts w:ascii="Arial" w:cs="Arial" w:eastAsia="Arial" w:hAnsi="Arial"/>
          <w:sz w:val="15"/>
          <w:szCs w:val="15"/>
          <w:color w:val="auto"/>
        </w:rPr>
        <w:t>Our 2006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9920"/>
        <w:spacing w:after="0"/>
        <w:tabs>
          <w:tab w:leader="none" w:pos="10180" w:val="left"/>
        </w:tabs>
        <w:rPr>
          <w:sz w:val="20"/>
          <w:szCs w:val="20"/>
          <w:color w:val="auto"/>
        </w:rPr>
      </w:pPr>
      <w:r>
        <w:rPr>
          <w:rFonts w:ascii="Arial" w:cs="Arial" w:eastAsia="Arial" w:hAnsi="Arial"/>
          <w:sz w:val="18"/>
          <w:szCs w:val="18"/>
          <w:color w:val="auto"/>
        </w:rPr>
        <w:t>•</w:t>
        <w:tab/>
        <w:t>Net charge-off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3867785" cy="6858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67785" cy="685800"/>
                    </a:xfrm>
                    <a:prstGeom prst="rect">
                      <a:avLst/>
                    </a:prstGeom>
                    <a:noFill/>
                  </pic:spPr>
                </pic:pic>
              </a:graphicData>
            </a:graphic>
          </wp:anchor>
        </w:drawing>
      </w:r>
    </w:p>
    <w:p>
      <w:pPr>
        <w:ind w:left="10240"/>
        <w:spacing w:after="0"/>
        <w:rPr>
          <w:sz w:val="20"/>
          <w:szCs w:val="20"/>
          <w:color w:val="auto"/>
        </w:rPr>
      </w:pPr>
      <w:r>
        <w:rPr>
          <w:rFonts w:ascii="Arial" w:cs="Arial" w:eastAsia="Arial" w:hAnsi="Arial"/>
          <w:sz w:val="18"/>
          <w:szCs w:val="18"/>
          <w:color w:val="auto"/>
        </w:rPr>
        <w:t>ratio of 0.05%,</w:t>
      </w:r>
    </w:p>
    <w:p>
      <w:pPr>
        <w:spacing w:after="0" w:line="9"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under the peer</w:t>
      </w:r>
    </w:p>
    <w:p>
      <w:pPr>
        <w:spacing w:after="0" w:line="9"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median of</w:t>
      </w:r>
    </w:p>
    <w:p>
      <w:pPr>
        <w:spacing w:after="0" w:line="9"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0.12%</w:t>
      </w:r>
    </w:p>
    <w:p>
      <w:pPr>
        <w:spacing w:after="0" w:line="84" w:lineRule="exact"/>
        <w:rPr>
          <w:sz w:val="20"/>
          <w:szCs w:val="20"/>
          <w:color w:val="auto"/>
        </w:rPr>
      </w:pPr>
    </w:p>
    <w:p>
      <w:pPr>
        <w:ind w:left="9920"/>
        <w:spacing w:after="0"/>
        <w:tabs>
          <w:tab w:leader="none" w:pos="10180" w:val="left"/>
        </w:tabs>
        <w:rPr>
          <w:sz w:val="20"/>
          <w:szCs w:val="20"/>
          <w:color w:val="auto"/>
        </w:rPr>
      </w:pPr>
      <w:r>
        <w:rPr>
          <w:rFonts w:ascii="Arial" w:cs="Arial" w:eastAsia="Arial" w:hAnsi="Arial"/>
          <w:sz w:val="18"/>
          <w:szCs w:val="18"/>
          <w:color w:val="auto"/>
        </w:rPr>
        <w:t>•</w:t>
        <w:tab/>
        <w:t>Over $3B in</w:t>
      </w:r>
    </w:p>
    <w:p>
      <w:pPr>
        <w:spacing w:after="0" w:line="15"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managed exits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9920"/>
        <w:spacing w:after="0"/>
        <w:tabs>
          <w:tab w:leader="none" w:pos="10180" w:val="left"/>
        </w:tabs>
        <w:rPr>
          <w:sz w:val="20"/>
          <w:szCs w:val="20"/>
          <w:color w:val="auto"/>
        </w:rPr>
      </w:pPr>
      <w:r>
        <w:rPr>
          <w:rFonts w:ascii="Arial" w:cs="Arial" w:eastAsia="Arial" w:hAnsi="Arial"/>
          <w:sz w:val="18"/>
          <w:szCs w:val="18"/>
          <w:color w:val="auto"/>
        </w:rPr>
        <w:t>•</w:t>
        <w:tab/>
        <w:t>Leveraging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3867785" cy="1037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67785" cy="1037590"/>
                    </a:xfrm>
                    <a:prstGeom prst="rect">
                      <a:avLst/>
                    </a:prstGeom>
                    <a:noFill/>
                  </pic:spPr>
                </pic:pic>
              </a:graphicData>
            </a:graphic>
          </wp:anchor>
        </w:drawing>
      </w:r>
    </w:p>
    <w:p>
      <w:pPr>
        <w:ind w:left="10240"/>
        <w:spacing w:after="0"/>
        <w:rPr>
          <w:sz w:val="20"/>
          <w:szCs w:val="20"/>
          <w:color w:val="auto"/>
        </w:rPr>
      </w:pPr>
      <w:r>
        <w:rPr>
          <w:rFonts w:ascii="Arial" w:cs="Arial" w:eastAsia="Arial" w:hAnsi="Arial"/>
          <w:sz w:val="16"/>
          <w:szCs w:val="16"/>
          <w:color w:val="auto"/>
        </w:rPr>
        <w:t>market research</w:t>
      </w:r>
    </w:p>
    <w:p>
      <w:pPr>
        <w:spacing w:after="0" w:line="32"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to make</w:t>
      </w:r>
    </w:p>
    <w:p>
      <w:pPr>
        <w:spacing w:after="0" w:line="9"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business</w:t>
      </w:r>
    </w:p>
    <w:p>
      <w:pPr>
        <w:spacing w:after="0" w:line="9"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decisions</w:t>
      </w:r>
    </w:p>
    <w:p>
      <w:pPr>
        <w:spacing w:after="0" w:line="84" w:lineRule="exact"/>
        <w:rPr>
          <w:sz w:val="20"/>
          <w:szCs w:val="20"/>
          <w:color w:val="auto"/>
        </w:rPr>
      </w:pPr>
    </w:p>
    <w:p>
      <w:pPr>
        <w:ind w:left="9920"/>
        <w:spacing w:after="0"/>
        <w:tabs>
          <w:tab w:leader="none" w:pos="10180" w:val="left"/>
        </w:tabs>
        <w:rPr>
          <w:sz w:val="20"/>
          <w:szCs w:val="20"/>
          <w:color w:val="auto"/>
        </w:rPr>
      </w:pPr>
      <w:r>
        <w:rPr>
          <w:rFonts w:ascii="Arial" w:cs="Arial" w:eastAsia="Arial" w:hAnsi="Arial"/>
          <w:sz w:val="18"/>
          <w:szCs w:val="18"/>
          <w:color w:val="auto"/>
        </w:rPr>
        <w:t>•</w:t>
        <w:tab/>
        <w:t>Enhancing</w:t>
      </w:r>
    </w:p>
    <w:p>
      <w:pPr>
        <w:spacing w:after="0" w:line="15"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banker tools for</w:t>
      </w:r>
    </w:p>
    <w:p>
      <w:pPr>
        <w:spacing w:after="0" w:line="32"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sales process</w:t>
      </w:r>
    </w:p>
    <w:p>
      <w:pPr>
        <w:spacing w:after="0" w:line="84" w:lineRule="exact"/>
        <w:rPr>
          <w:sz w:val="20"/>
          <w:szCs w:val="20"/>
          <w:color w:val="auto"/>
        </w:rPr>
      </w:pPr>
    </w:p>
    <w:p>
      <w:pPr>
        <w:ind w:left="9920"/>
        <w:spacing w:after="0"/>
        <w:tabs>
          <w:tab w:leader="none" w:pos="10180" w:val="left"/>
        </w:tabs>
        <w:rPr>
          <w:sz w:val="20"/>
          <w:szCs w:val="20"/>
          <w:color w:val="auto"/>
        </w:rPr>
      </w:pPr>
      <w:r>
        <w:rPr>
          <w:rFonts w:ascii="Arial" w:cs="Arial" w:eastAsia="Arial" w:hAnsi="Arial"/>
          <w:sz w:val="18"/>
          <w:szCs w:val="18"/>
          <w:color w:val="auto"/>
        </w:rPr>
        <w:t>•</w:t>
        <w:tab/>
        <w:t>Delegated</w:t>
      </w:r>
    </w:p>
    <w:p>
      <w:pPr>
        <w:spacing w:after="0" w:line="15"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prospect model</w:t>
      </w:r>
    </w:p>
    <w:p>
      <w:pPr>
        <w:spacing w:after="0" w:line="32"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pilot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9920"/>
        <w:spacing w:after="0"/>
        <w:tabs>
          <w:tab w:leader="none" w:pos="10180" w:val="left"/>
        </w:tabs>
        <w:rPr>
          <w:sz w:val="20"/>
          <w:szCs w:val="20"/>
          <w:color w:val="auto"/>
        </w:rPr>
      </w:pPr>
      <w:r>
        <w:rPr>
          <w:rFonts w:ascii="Arial" w:cs="Arial" w:eastAsia="Arial" w:hAnsi="Arial"/>
          <w:sz w:val="18"/>
          <w:szCs w:val="18"/>
          <w:color w:val="auto"/>
        </w:rPr>
        <w:t>•</w:t>
        <w:tab/>
        <w:t>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3867785" cy="10293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67785" cy="1029335"/>
                    </a:xfrm>
                    <a:prstGeom prst="rect">
                      <a:avLst/>
                    </a:prstGeom>
                    <a:noFill/>
                  </pic:spPr>
                </pic:pic>
              </a:graphicData>
            </a:graphic>
          </wp:anchor>
        </w:drawing>
      </w:r>
    </w:p>
    <w:p>
      <w:pPr>
        <w:ind w:left="10240"/>
        <w:spacing w:after="0"/>
        <w:rPr>
          <w:sz w:val="20"/>
          <w:szCs w:val="20"/>
          <w:color w:val="auto"/>
        </w:rPr>
      </w:pPr>
      <w:r>
        <w:rPr>
          <w:rFonts w:ascii="Arial" w:cs="Arial" w:eastAsia="Arial" w:hAnsi="Arial"/>
          <w:sz w:val="18"/>
          <w:szCs w:val="18"/>
          <w:color w:val="auto"/>
        </w:rPr>
        <w:t>representation</w:t>
      </w:r>
    </w:p>
    <w:p>
      <w:pPr>
        <w:spacing w:after="0" w:line="9"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of women and</w:t>
      </w:r>
    </w:p>
    <w:p>
      <w:pPr>
        <w:spacing w:after="0" w:line="9"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people of color</w:t>
      </w:r>
    </w:p>
    <w:p>
      <w:pPr>
        <w:spacing w:after="0" w:line="32"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in senior roles</w:t>
      </w:r>
    </w:p>
    <w:p>
      <w:pPr>
        <w:spacing w:after="0" w:line="84" w:lineRule="exact"/>
        <w:rPr>
          <w:sz w:val="20"/>
          <w:szCs w:val="20"/>
          <w:color w:val="auto"/>
        </w:rPr>
      </w:pPr>
    </w:p>
    <w:p>
      <w:pPr>
        <w:ind w:left="9920"/>
        <w:spacing w:after="0"/>
        <w:tabs>
          <w:tab w:leader="none" w:pos="10180" w:val="left"/>
        </w:tabs>
        <w:rPr>
          <w:sz w:val="20"/>
          <w:szCs w:val="20"/>
          <w:color w:val="auto"/>
        </w:rPr>
      </w:pPr>
      <w:r>
        <w:rPr>
          <w:rFonts w:ascii="Arial" w:cs="Arial" w:eastAsia="Arial" w:hAnsi="Arial"/>
          <w:sz w:val="16"/>
          <w:szCs w:val="16"/>
          <w:color w:val="auto"/>
        </w:rPr>
        <w:t>•</w:t>
        <w:tab/>
        <w:t>Retained 95% of</w:t>
      </w:r>
    </w:p>
    <w:p>
      <w:pPr>
        <w:spacing w:after="0" w:line="38"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top-rated</w:t>
      </w:r>
    </w:p>
    <w:p>
      <w:pPr>
        <w:spacing w:after="0" w:line="9"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diverse talent</w:t>
      </w:r>
    </w:p>
    <w:p>
      <w:pPr>
        <w:spacing w:after="0" w:line="84" w:lineRule="exact"/>
        <w:rPr>
          <w:sz w:val="20"/>
          <w:szCs w:val="20"/>
          <w:color w:val="auto"/>
        </w:rPr>
      </w:pPr>
    </w:p>
    <w:p>
      <w:pPr>
        <w:ind w:left="9920"/>
        <w:spacing w:after="0"/>
        <w:tabs>
          <w:tab w:leader="none" w:pos="10180" w:val="left"/>
        </w:tabs>
        <w:rPr>
          <w:sz w:val="20"/>
          <w:szCs w:val="20"/>
          <w:color w:val="auto"/>
        </w:rPr>
      </w:pPr>
      <w:r>
        <w:rPr>
          <w:rFonts w:ascii="Arial" w:cs="Arial" w:eastAsia="Arial" w:hAnsi="Arial"/>
          <w:sz w:val="18"/>
          <w:szCs w:val="18"/>
          <w:color w:val="auto"/>
        </w:rPr>
        <w:t>•</w:t>
        <w:tab/>
        <w:t>Conducted</w:t>
      </w:r>
    </w:p>
    <w:p>
      <w:pPr>
        <w:spacing w:after="0" w:line="15"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leadership</w:t>
      </w:r>
    </w:p>
    <w:p>
      <w:pPr>
        <w:spacing w:after="0" w:line="9"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training for</w:t>
      </w:r>
    </w:p>
    <w:p>
      <w:pPr>
        <w:spacing w:after="0" w:line="9"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senior and</w:t>
      </w:r>
    </w:p>
    <w:p>
      <w:pPr>
        <w:spacing w:after="0" w:line="9"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middle</w:t>
      </w:r>
    </w:p>
    <w:p>
      <w:pPr>
        <w:spacing w:after="0" w:line="9"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9920"/>
        <w:spacing w:after="0"/>
        <w:tabs>
          <w:tab w:leader="none" w:pos="10180" w:val="left"/>
        </w:tabs>
        <w:rPr>
          <w:sz w:val="20"/>
          <w:szCs w:val="20"/>
          <w:color w:val="auto"/>
        </w:rPr>
      </w:pPr>
      <w:r>
        <w:rPr>
          <w:rFonts w:ascii="Arial" w:cs="Arial" w:eastAsia="Arial" w:hAnsi="Arial"/>
          <w:sz w:val="16"/>
          <w:szCs w:val="16"/>
          <w:color w:val="auto"/>
        </w:rPr>
        <w:t>•</w:t>
        <w:tab/>
        <w:t>4Q06 overhead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6686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668655"/>
                    </a:xfrm>
                    <a:prstGeom prst="rect">
                      <a:avLst/>
                    </a:prstGeom>
                    <a:noFill/>
                  </pic:spPr>
                </pic:pic>
              </a:graphicData>
            </a:graphic>
          </wp:anchor>
        </w:drawing>
      </w:r>
    </w:p>
    <w:p>
      <w:pPr>
        <w:spacing w:after="0" w:line="18"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ratio of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920"/>
        <w:spacing w:after="0"/>
        <w:tabs>
          <w:tab w:leader="none" w:pos="10180" w:val="left"/>
        </w:tabs>
        <w:rPr>
          <w:sz w:val="20"/>
          <w:szCs w:val="20"/>
          <w:color w:val="auto"/>
        </w:rPr>
      </w:pPr>
      <w:r>
        <w:rPr>
          <w:rFonts w:ascii="Arial" w:cs="Arial" w:eastAsia="Arial" w:hAnsi="Arial"/>
          <w:sz w:val="16"/>
          <w:szCs w:val="16"/>
          <w:color w:val="auto"/>
        </w:rPr>
        <w:t>•</w:t>
        <w:tab/>
        <w:t>Integrated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3867785" cy="660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67785" cy="660400"/>
                    </a:xfrm>
                    <a:prstGeom prst="rect">
                      <a:avLst/>
                    </a:prstGeom>
                    <a:noFill/>
                  </pic:spPr>
                </pic:pic>
              </a:graphicData>
            </a:graphic>
          </wp:anchor>
        </w:drawing>
      </w:r>
    </w:p>
    <w:p>
      <w:pPr>
        <w:spacing w:after="0" w:line="18"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of New York</w:t>
      </w:r>
    </w:p>
    <w:p>
      <w:pPr>
        <w:spacing w:after="0" w:line="9"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Middle Market</w:t>
      </w:r>
    </w:p>
    <w:p>
      <w:pPr>
        <w:spacing w:after="0" w:line="9"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and Real Estate</w:t>
      </w:r>
    </w:p>
    <w:p>
      <w:pPr>
        <w:spacing w:after="0" w:line="32"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businesses</w:t>
      </w:r>
    </w:p>
    <w:p>
      <w:pPr>
        <w:spacing w:after="0" w:line="84" w:lineRule="exact"/>
        <w:rPr>
          <w:sz w:val="20"/>
          <w:szCs w:val="20"/>
          <w:color w:val="auto"/>
        </w:rPr>
      </w:pPr>
    </w:p>
    <w:p>
      <w:pPr>
        <w:ind w:left="9920"/>
        <w:spacing w:after="0"/>
        <w:tabs>
          <w:tab w:leader="none" w:pos="10180" w:val="left"/>
        </w:tabs>
        <w:rPr>
          <w:sz w:val="20"/>
          <w:szCs w:val="20"/>
          <w:color w:val="auto"/>
        </w:rPr>
      </w:pPr>
      <w:r>
        <w:rPr>
          <w:rFonts w:ascii="Arial" w:cs="Arial" w:eastAsia="Arial" w:hAnsi="Arial"/>
          <w:sz w:val="18"/>
          <w:szCs w:val="18"/>
          <w:color w:val="auto"/>
        </w:rPr>
        <w:t>•</w:t>
        <w:tab/>
        <w:t>Reorganized</w:t>
      </w:r>
    </w:p>
    <w:p>
      <w:pPr>
        <w:spacing w:after="0" w:line="15"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Real Estate</w:t>
      </w:r>
    </w:p>
    <w:p>
      <w:pPr>
        <w:spacing w:after="0" w:line="9"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segment</w:t>
      </w:r>
    </w:p>
    <w:p>
      <w:pPr>
        <w:spacing w:after="0" w:line="84" w:lineRule="exact"/>
        <w:rPr>
          <w:sz w:val="20"/>
          <w:szCs w:val="20"/>
          <w:color w:val="auto"/>
        </w:rPr>
      </w:pPr>
    </w:p>
    <w:p>
      <w:pPr>
        <w:ind w:left="9920"/>
        <w:spacing w:after="0"/>
        <w:tabs>
          <w:tab w:leader="none" w:pos="10180" w:val="left"/>
        </w:tabs>
        <w:rPr>
          <w:sz w:val="20"/>
          <w:szCs w:val="20"/>
          <w:color w:val="auto"/>
        </w:rPr>
      </w:pPr>
      <w:r>
        <w:rPr>
          <w:rFonts w:ascii="Arial" w:cs="Arial" w:eastAsia="Arial" w:hAnsi="Arial"/>
          <w:sz w:val="18"/>
          <w:szCs w:val="18"/>
          <w:color w:val="auto"/>
        </w:rPr>
        <w:t>•</w:t>
        <w:tab/>
        <w:t>Created Chase</w:t>
      </w:r>
    </w:p>
    <w:p>
      <w:pPr>
        <w:spacing w:after="0" w:line="15"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Capital Corp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performance target: 45% overhead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Overhead ratio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31902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831840"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hanging="332"/>
        <w:spacing w:after="0"/>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Overhead target of 45% will require both revenue growth and expense discipline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Manage expense: reinvest expense efficiencies in front-line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Strive to achieve in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Achieving our target: 2007 priorities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Maintain the momentum</w:t>
      </w:r>
    </w:p>
    <w:p>
      <w:pPr>
        <w:spacing w:after="0" w:line="212" w:lineRule="exact"/>
        <w:rPr>
          <w:sz w:val="20"/>
          <w:szCs w:val="20"/>
          <w:color w:val="auto"/>
        </w:rPr>
      </w:pPr>
    </w:p>
    <w:p>
      <w:pPr>
        <w:ind w:left="340" w:hanging="332"/>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Deepen client relationships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Expand market share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Enhance product and service offerings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Opportunistically invest as credit markets tighten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Actively manage credit exposure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Continue to raise the bar on talent development and performance measurement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Optimize the value of differentiation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Deepen client relationships: deliver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10795</wp:posOffset>
            </wp:positionV>
            <wp:extent cx="5831840" cy="25901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83184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Deepen client relationships: Treasury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TS revenue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687445" cy="21697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68744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2006 TS revenue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2126615" cy="21697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2661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40" w:hanging="332"/>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Broad platform of cash management capabilities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High penetration of client base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62% of clients broadly leverage 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Opportunity to cross-sell more TS products to 38% of clients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Deepen client relationships: Investment Banking</w:t>
      </w:r>
    </w:p>
    <w:p>
      <w:pPr>
        <w:spacing w:after="0" w:line="90" w:lineRule="exact"/>
        <w:rPr>
          <w:sz w:val="20"/>
          <w:szCs w:val="20"/>
          <w:color w:val="auto"/>
        </w:rPr>
      </w:pPr>
    </w:p>
    <w:p>
      <w:pPr>
        <w:ind w:left="340" w:hanging="332"/>
        <w:spacing w:after="0"/>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World-class investment banking platform</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Nearly doubled number of first-time IB product users in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Opportunity: only 1,000 clients fully leverage our IB platform today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Gross IB revenue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45281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831840" cy="4528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Deepen client relationships: International</w:t>
      </w:r>
    </w:p>
    <w:p>
      <w:pPr>
        <w:spacing w:after="0" w:line="90" w:lineRule="exact"/>
        <w:rPr>
          <w:sz w:val="20"/>
          <w:szCs w:val="20"/>
          <w:color w:val="auto"/>
        </w:rPr>
      </w:pPr>
    </w:p>
    <w:p>
      <w:pPr>
        <w:ind w:left="340" w:hanging="332"/>
        <w:spacing w:after="0"/>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World-class international platform</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15-20% of commercial clients require international capabilities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Approximately 1,200 of our clients utilize our international platform today, double the number from last year</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2007 expansion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Leverage multi-currency platform in Europe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Expand coverage to India, Singapore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Add headcount to keep pace with growth</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Enhance online FX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Middle Market int’l revenue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696335" cy="254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69633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Expand market share: prospect conversion</w:t>
      </w:r>
    </w:p>
    <w:p>
      <w:pPr>
        <w:spacing w:after="0" w:line="9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Increasing prospect conversion velocity</w:t>
      </w:r>
    </w:p>
    <w:p>
      <w:pPr>
        <w:spacing w:after="0" w:line="9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Targeted sales effort to accelerate client acquisition</w:t>
      </w:r>
    </w:p>
    <w:p>
      <w:pPr>
        <w:spacing w:after="0" w:line="9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Implemented tools, scorecard, incentive programs and marketing initiatives</w:t>
      </w:r>
    </w:p>
    <w:p>
      <w:pPr>
        <w:spacing w:after="0" w:line="9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Have over 70,000 Middle Market prospects</w:t>
      </w:r>
    </w:p>
    <w:p>
      <w:pPr>
        <w:spacing w:after="0" w:line="9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Active measurement drives results</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6620" w:type="dxa"/>
            <w:vAlign w:val="bottom"/>
          </w:tcPr>
          <w:p>
            <w:pPr>
              <w:ind w:left="200"/>
              <w:spacing w:after="0"/>
              <w:rPr>
                <w:sz w:val="20"/>
                <w:szCs w:val="20"/>
                <w:color w:val="auto"/>
              </w:rPr>
            </w:pPr>
            <w:r>
              <w:rPr>
                <w:rFonts w:ascii="Arial" w:cs="Arial" w:eastAsia="Arial" w:hAnsi="Arial"/>
                <w:sz w:val="18"/>
                <w:szCs w:val="18"/>
                <w:color w:val="auto"/>
              </w:rPr>
              <w:t>Over the last 12 months:</w:t>
            </w:r>
          </w:p>
        </w:tc>
        <w:tc>
          <w:tcPr>
            <w:tcW w:w="3880" w:type="dxa"/>
            <w:vAlign w:val="bottom"/>
          </w:tcPr>
          <w:p>
            <w:pPr>
              <w:spacing w:after="0"/>
              <w:rPr>
                <w:sz w:val="19"/>
                <w:szCs w:val="19"/>
                <w:color w:val="auto"/>
              </w:rPr>
            </w:pPr>
          </w:p>
        </w:tc>
      </w:tr>
      <w:tr>
        <w:trPr>
          <w:trHeight w:val="205"/>
        </w:trPr>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Calls to Middle Market customers and prospects</w:t>
            </w:r>
          </w:p>
        </w:tc>
        <w:tc>
          <w:tcPr>
            <w:tcW w:w="3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&gt;125,000</w:t>
            </w:r>
          </w:p>
        </w:tc>
      </w:tr>
      <w:tr>
        <w:trPr>
          <w:trHeight w:val="216"/>
        </w:trPr>
        <w:tc>
          <w:tcPr>
            <w:tcW w:w="1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Pitches to Middle Market customers and prospects</w:t>
            </w:r>
          </w:p>
        </w:tc>
        <w:tc>
          <w:tcPr>
            <w:tcW w:w="3880" w:type="dxa"/>
            <w:vAlign w:val="bottom"/>
          </w:tcPr>
          <w:p>
            <w:pPr>
              <w:jc w:val="right"/>
              <w:ind w:right="52"/>
              <w:spacing w:after="0"/>
              <w:rPr>
                <w:sz w:val="20"/>
                <w:szCs w:val="20"/>
                <w:color w:val="auto"/>
              </w:rPr>
            </w:pPr>
            <w:r>
              <w:rPr>
                <w:rFonts w:ascii="Arial" w:cs="Arial" w:eastAsia="Arial" w:hAnsi="Arial"/>
                <w:sz w:val="18"/>
                <w:szCs w:val="18"/>
                <w:color w:val="auto"/>
              </w:rPr>
              <w:t>&gt;25,000</w:t>
            </w:r>
          </w:p>
        </w:tc>
      </w:tr>
      <w:tr>
        <w:trPr>
          <w:trHeight w:val="216"/>
        </w:trPr>
        <w:tc>
          <w:tcPr>
            <w:tcW w:w="1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Deals won of total pitched</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Expand market share: $10-50mm segment</w:t>
      </w:r>
    </w:p>
    <w:p>
      <w:pPr>
        <w:spacing w:after="0" w:line="90" w:lineRule="exact"/>
        <w:rPr>
          <w:sz w:val="20"/>
          <w:szCs w:val="20"/>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Aligned with Business Banking (RFS) to fully cover market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Streamlined credit approval process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Targeted products and services to meet client needs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Focused marketing efforts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Middle market companies by size</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3490595" cy="24612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9059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1"/>
          <w:szCs w:val="11"/>
          <w:color w:val="auto"/>
        </w:rPr>
      </w:pPr>
      <w:r>
        <w:rPr>
          <w:rFonts w:ascii="Arial" w:cs="Arial" w:eastAsia="Arial" w:hAnsi="Arial"/>
          <w:sz w:val="18"/>
          <w:szCs w:val="18"/>
          <w:color w:val="auto"/>
        </w:rPr>
        <w:t>Source: Dunn and Bradstreet; based on annual sales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$ 10-50mm segment facts</w:t>
      </w:r>
    </w:p>
    <w:p>
      <w:pPr>
        <w:spacing w:after="0" w:line="90" w:lineRule="exact"/>
        <w:rPr>
          <w:sz w:val="20"/>
          <w:szCs w:val="20"/>
          <w:color w:val="auto"/>
        </w:rPr>
      </w:pPr>
    </w:p>
    <w:p>
      <w:pPr>
        <w:ind w:left="340" w:hanging="332"/>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Over 120,000 companies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Over 50,000 in our footprint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37% penetration in our footprint, lead bank for one-third of companies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Enhance product &amp; service offerings: Treasury Services</w:t>
      </w:r>
    </w:p>
    <w:p>
      <w:pPr>
        <w:spacing w:after="0" w:line="90" w:lineRule="exact"/>
        <w:rPr>
          <w:sz w:val="20"/>
          <w:szCs w:val="20"/>
          <w:color w:val="auto"/>
        </w:rPr>
      </w:pPr>
    </w:p>
    <w:p>
      <w:pPr>
        <w:ind w:left="340" w:hanging="332"/>
        <w:spacing w:after="0"/>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Product innovation is changing commercial bank landscape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Cutting edge solutions and online capabilities improve margin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Commercial card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Image cash letter</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IDD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Technology enhancements simplify customer banking processes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Continual focus to improve on-boarding, service, and overall customer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542030" cy="24955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54203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Opportunistically invest as credit markets tighten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environment</w:t>
      </w:r>
    </w:p>
    <w:p>
      <w:pPr>
        <w:spacing w:after="0" w:line="90" w:lineRule="exact"/>
        <w:rPr>
          <w:sz w:val="20"/>
          <w:szCs w:val="20"/>
          <w:color w:val="auto"/>
        </w:rPr>
      </w:pPr>
    </w:p>
    <w:p>
      <w:pPr>
        <w:ind w:left="340" w:hanging="332"/>
        <w:spacing w:after="0"/>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Rapidly changing landscape of capital providers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World-class JPMC relationships with alternative capital sources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Scale and expertise to serve as a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Our response</w:t>
      </w:r>
    </w:p>
    <w:p>
      <w:pPr>
        <w:spacing w:after="0" w:line="90" w:lineRule="exact"/>
        <w:rPr>
          <w:sz w:val="20"/>
          <w:szCs w:val="20"/>
          <w:color w:val="auto"/>
        </w:rPr>
      </w:pPr>
    </w:p>
    <w:p>
      <w:pPr>
        <w:ind w:left="340" w:hanging="332"/>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Established Chase Capital Corporation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Alternative sources of financing for middle market companies: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Mezzanine</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Second lien</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Preferred equity</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Strong deal pipeline from existing customers/prospect base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Investing to broaden our private placement capabilities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Actively manage credit exposure</w:t>
      </w:r>
    </w:p>
    <w:p>
      <w:pPr>
        <w:spacing w:after="0" w:line="90"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Diverse, granular portfolio</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Maintain high credit standards despite aggressive competition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Lowest real estate concentration among commercial banking peers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Dynamic portfolio management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Over $3B in managed exits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2006 Middle Market loans by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027045" cy="24180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02704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2006 CB loans by industry</w:t>
            </w:r>
          </w:p>
        </w:tc>
        <w:tc>
          <w:tcPr>
            <w:tcW w:w="3420" w:type="dxa"/>
            <w:vAlign w:val="bottom"/>
          </w:tcPr>
          <w:p>
            <w:pPr>
              <w:spacing w:after="0"/>
              <w:rPr>
                <w:sz w:val="19"/>
                <w:szCs w:val="19"/>
                <w:color w:val="auto"/>
              </w:rPr>
            </w:pPr>
          </w:p>
        </w:tc>
      </w:tr>
      <w:tr>
        <w:trPr>
          <w:trHeight w:val="205"/>
        </w:trPr>
        <w:tc>
          <w:tcPr>
            <w:tcW w:w="9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20" w:type="dxa"/>
            <w:vAlign w:val="bottom"/>
          </w:tcPr>
          <w:p>
            <w:pPr>
              <w:spacing w:after="0"/>
              <w:rPr>
                <w:sz w:val="18"/>
                <w:szCs w:val="18"/>
                <w:color w:val="auto"/>
              </w:rPr>
            </w:pPr>
          </w:p>
        </w:tc>
        <w:tc>
          <w:tcPr>
            <w:tcW w:w="6160" w:type="dxa"/>
            <w:vAlign w:val="bottom"/>
          </w:tcPr>
          <w:p>
            <w:pPr>
              <w:ind w:left="440"/>
              <w:spacing w:after="0"/>
              <w:rPr>
                <w:sz w:val="20"/>
                <w:szCs w:val="20"/>
                <w:color w:val="auto"/>
              </w:rPr>
            </w:pPr>
            <w:r>
              <w:rPr>
                <w:rFonts w:ascii="Arial" w:cs="Arial" w:eastAsia="Arial" w:hAnsi="Arial"/>
                <w:sz w:val="18"/>
                <w:szCs w:val="18"/>
                <w:i w:val="1"/>
                <w:iCs w:val="1"/>
                <w:color w:val="auto"/>
              </w:rPr>
              <w:t>Real estate construction</w:t>
            </w:r>
          </w:p>
        </w:tc>
        <w:tc>
          <w:tcPr>
            <w:tcW w:w="3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Owner occupied</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0" w:type="dxa"/>
            <w:vAlign w:val="bottom"/>
          </w:tcPr>
          <w:p>
            <w:pPr>
              <w:spacing w:after="0"/>
              <w:rPr>
                <w:sz w:val="18"/>
                <w:szCs w:val="18"/>
                <w:color w:val="auto"/>
              </w:rPr>
            </w:pPr>
          </w:p>
        </w:tc>
        <w:tc>
          <w:tcPr>
            <w:tcW w:w="6160" w:type="dxa"/>
            <w:vAlign w:val="bottom"/>
          </w:tcPr>
          <w:p>
            <w:pPr>
              <w:ind w:left="440"/>
              <w:spacing w:after="0"/>
              <w:rPr>
                <w:sz w:val="20"/>
                <w:szCs w:val="20"/>
                <w:color w:val="auto"/>
              </w:rPr>
            </w:pPr>
            <w:r>
              <w:rPr>
                <w:rFonts w:ascii="Arial" w:cs="Arial" w:eastAsia="Arial" w:hAnsi="Arial"/>
                <w:sz w:val="18"/>
                <w:szCs w:val="18"/>
                <w:i w:val="1"/>
                <w:iCs w:val="1"/>
                <w:color w:val="auto"/>
              </w:rPr>
              <w:t>Other secured</w:t>
            </w:r>
          </w:p>
        </w:tc>
        <w:tc>
          <w:tcPr>
            <w:tcW w:w="3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Unsecured real estate</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Consumer products &amp; retail consumer svcs.</w:t>
            </w:r>
          </w:p>
        </w:tc>
        <w:tc>
          <w:tcPr>
            <w:tcW w:w="3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Oil &amp; gas</w:t>
            </w:r>
          </w:p>
        </w:tc>
        <w:tc>
          <w:tcPr>
            <w:tcW w:w="3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State &amp; municipal government</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Building materials and construction</w:t>
            </w:r>
          </w:p>
        </w:tc>
        <w:tc>
          <w:tcPr>
            <w:tcW w:w="3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Machinery &amp; eqpt. manufacturing</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Banks &amp; finance companies</w:t>
            </w:r>
          </w:p>
        </w:tc>
        <w:tc>
          <w:tcPr>
            <w:tcW w:w="3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Metals &amp; mining</w:t>
            </w:r>
          </w:p>
        </w:tc>
        <w:tc>
          <w:tcPr>
            <w:tcW w:w="3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Agriculture &amp; paper manufacturing</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Media</w:t>
            </w:r>
          </w:p>
        </w:tc>
        <w:tc>
          <w:tcPr>
            <w:tcW w:w="3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93"/>
        </w:trPr>
        <w:tc>
          <w:tcPr>
            <w:tcW w:w="92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diversified</w:t>
            </w:r>
            <w:r>
              <w:rPr>
                <w:rFonts w:ascii="Arial" w:cs="Arial" w:eastAsia="Arial" w:hAnsi="Arial"/>
                <w:sz w:val="22"/>
                <w:szCs w:val="22"/>
                <w:color w:val="auto"/>
                <w:vertAlign w:val="superscript"/>
              </w:rPr>
              <w:t>1</w:t>
            </w:r>
          </w:p>
        </w:tc>
        <w:tc>
          <w:tcPr>
            <w:tcW w:w="342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007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98"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1"/>
          <w:szCs w:val="11"/>
          <w:color w:val="auto"/>
        </w:rPr>
      </w:pPr>
      <w:r>
        <w:rPr>
          <w:rFonts w:ascii="Arial" w:cs="Arial" w:eastAsia="Arial" w:hAnsi="Arial"/>
          <w:sz w:val="18"/>
          <w:szCs w:val="18"/>
          <w:color w:val="auto"/>
        </w:rPr>
        <w:t>Other diversified includes various industries with less than 3% concentration</w:t>
      </w:r>
    </w:p>
    <w:p>
      <w:pPr>
        <w:spacing w:after="0" w:line="14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Continue to raise the bar: talent development &amp; performance measurement</w:t>
      </w:r>
    </w:p>
    <w:p>
      <w:pPr>
        <w:spacing w:after="0" w:line="90"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Hiring and training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Product and sales training for bankers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Service professional training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Strong Chase brand creates front-line hiring momentum</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Inclusive diverse workplace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Management accountability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New and improved National Banker Scorecard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Measured by banker and market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Tracks calling, conversions, expanded and lost business, and pipeline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Conclusions &amp; takeaways</w:t>
      </w:r>
    </w:p>
    <w:p>
      <w:pPr>
        <w:spacing w:after="0" w:line="90"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Maintain the momentum from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Deepen customer relationships and increase prospect conversion velocity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Deliver the message of differentiation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Manage through 2007 headwinds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Inverted yield curve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Deteriorating credit cycle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Loan spread compression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Shift to lower margin liability products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2007 Outlook</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Business growth with competitive environment and rate pressure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Credit costs moving toward more normal levels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MARCH 6,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RETAIL FINANCIAL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Charlie Scharf,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749425" cy="1803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Agenda</w:t>
      </w:r>
    </w:p>
    <w:p>
      <w:pPr>
        <w:spacing w:after="0" w:line="90"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2006 results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Business updates &amp; priorities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Performance targets &amp; 2007 outlook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RFS 2006 performance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 mm)</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2005</w:t>
            </w:r>
          </w:p>
        </w:tc>
        <w:tc>
          <w:tcPr>
            <w:tcW w:w="6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O/(U)</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14,825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14,830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Credit Costs</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4"/>
            <w:vMerge w:val="restart"/>
          </w:tcPr>
          <w:p>
            <w:pPr>
              <w:ind w:left="4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gridSpan w:val="4"/>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3,213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3,427</w:t>
            </w:r>
          </w:p>
        </w:tc>
        <w:tc>
          <w:tcPr>
            <w:tcW w:w="6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3"/>
        </w:trPr>
        <w:tc>
          <w:tcPr>
            <w:tcW w:w="460" w:type="dxa"/>
            <w:vAlign w:val="bottom"/>
          </w:tcPr>
          <w:p>
            <w:pPr>
              <w:spacing w:after="0"/>
              <w:rPr>
                <w:sz w:val="23"/>
                <w:szCs w:val="23"/>
                <w:color w:val="auto"/>
              </w:rPr>
            </w:pPr>
          </w:p>
        </w:tc>
        <w:tc>
          <w:tcPr>
            <w:tcW w:w="6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Key Statistics</w:t>
            </w:r>
          </w:p>
        </w:tc>
        <w:tc>
          <w:tcPr>
            <w:tcW w:w="4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Borders>
              <w:top w:val="single" w:sz="8" w:color="auto"/>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Target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28 -30%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40" w:type="dxa"/>
            <w:vAlign w:val="bottom"/>
            <w:gridSpan w:val="3"/>
          </w:tcPr>
          <w:p>
            <w:pPr>
              <w:spacing w:after="0" w:line="217" w:lineRule="exact"/>
              <w:rPr>
                <w:sz w:val="20"/>
                <w:szCs w:val="20"/>
                <w:color w:val="auto"/>
              </w:rPr>
            </w:pPr>
            <w:r>
              <w:rPr>
                <w:rFonts w:ascii="Arial" w:cs="Arial" w:eastAsia="Arial" w:hAnsi="Arial"/>
                <w:sz w:val="18"/>
                <w:szCs w:val="18"/>
                <w:color w:val="auto"/>
              </w:rPr>
              <w:t>ROTE</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Overhead Ratio (ex. CDI)</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1"/>
          <w:szCs w:val="11"/>
          <w:color w:val="auto"/>
        </w:rPr>
      </w:pPr>
      <w:r>
        <w:rPr>
          <w:rFonts w:ascii="Arial" w:cs="Arial" w:eastAsia="Arial" w:hAnsi="Arial"/>
          <w:sz w:val="18"/>
          <w:szCs w:val="18"/>
          <w:color w:val="auto"/>
        </w:rPr>
        <w:t>Return on Tangible Common Equity is defined as return on common stockholders’ equity net of goodwill and core deposit intangibles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Items impacting YoY variance</w:t>
      </w:r>
    </w:p>
    <w:p>
      <w:pPr>
        <w:spacing w:after="0" w:line="90"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Portfolio losses of $215mm in 2006 &amp; $150mm in 2005</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MSR model adjustment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Katrina special reserve in 2005</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Bank of New York acquisition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Sale of insurance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Segment performance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 ($mm)</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O/(U)</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Regional Banking</w:t>
            </w:r>
          </w:p>
        </w:tc>
        <w:tc>
          <w:tcPr>
            <w:tcW w:w="15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$2,884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$2,780</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Mortgage Banking</w:t>
            </w: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(17)</w:t>
            </w:r>
          </w:p>
        </w:tc>
        <w:tc>
          <w:tcPr>
            <w:tcW w:w="500" w:type="dxa"/>
            <w:vAlign w:val="bottom"/>
          </w:tcPr>
          <w:p>
            <w:pPr>
              <w:jc w:val="right"/>
              <w:spacing w:after="0"/>
              <w:rPr>
                <w:sz w:val="20"/>
                <w:szCs w:val="20"/>
                <w:color w:val="auto"/>
              </w:rPr>
            </w:pPr>
            <w:r>
              <w:rPr>
                <w:rFonts w:ascii="Arial" w:cs="Arial" w:eastAsia="Arial" w:hAnsi="Arial"/>
                <w:sz w:val="18"/>
                <w:szCs w:val="18"/>
                <w:color w:val="auto"/>
              </w:rPr>
              <w:t>379</w:t>
            </w:r>
          </w:p>
        </w:tc>
        <w:tc>
          <w:tcPr>
            <w:tcW w:w="6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Auto Finance</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Total Net Income</w:t>
            </w: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3,213</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3,427</w:t>
            </w:r>
          </w:p>
        </w:tc>
        <w:tc>
          <w:tcPr>
            <w:tcW w:w="6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$ 214)</w:t>
            </w:r>
          </w:p>
        </w:tc>
        <w:tc>
          <w:tcPr>
            <w:tcW w:w="0" w:type="dxa"/>
            <w:vAlign w:val="bottom"/>
          </w:tcPr>
          <w:p>
            <w:pPr>
              <w:spacing w:after="0"/>
              <w:rPr>
                <w:sz w:val="1"/>
                <w:szCs w:val="1"/>
                <w:color w:val="auto"/>
              </w:rPr>
            </w:pPr>
          </w:p>
        </w:tc>
      </w:tr>
      <w:tr>
        <w:trPr>
          <w:trHeight w:val="273"/>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Key Statistics</w:t>
            </w:r>
          </w:p>
        </w:tc>
        <w:tc>
          <w:tcPr>
            <w:tcW w:w="46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Target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Regional Banking</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ROE</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27%</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ROTE</w:t>
            </w:r>
            <w:r>
              <w:rPr>
                <w:rFonts w:ascii="Arial" w:cs="Arial" w:eastAsia="Arial" w:hAnsi="Arial"/>
                <w:sz w:val="22"/>
                <w:szCs w:val="22"/>
                <w:color w:val="auto"/>
                <w:vertAlign w:val="superscript"/>
              </w:rPr>
              <w:t>1</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38%</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Overhead Ratio (ex. CDI)</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53%</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Mortgage Banking ROE</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NM</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Auto Finance ROE</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14%</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1"/>
          <w:szCs w:val="11"/>
          <w:color w:val="auto"/>
        </w:rPr>
      </w:pPr>
      <w:r>
        <w:rPr>
          <w:rFonts w:ascii="Arial" w:cs="Arial" w:eastAsia="Arial" w:hAnsi="Arial"/>
          <w:sz w:val="18"/>
          <w:szCs w:val="18"/>
          <w:color w:val="auto"/>
        </w:rPr>
        <w:t>Return on Tangible Common Equity is defined as return on common stockholders’ equity net of goodwill and core deposit intangibles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Segment summary</w:t>
      </w:r>
    </w:p>
    <w:p>
      <w:pPr>
        <w:spacing w:after="0" w:line="90"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Regional Banking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Good results through difficult environment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Mortgage Banking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Competitive production environment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Disappointing servicing results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Auto Finance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Good progress, great credit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priorities</w:t>
      </w:r>
    </w:p>
    <w:p>
      <w:pPr>
        <w:spacing w:after="0" w:line="90" w:lineRule="exact"/>
        <w:rPr>
          <w:sz w:val="20"/>
          <w:szCs w:val="20"/>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Move towards targeted returns and margin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Achieve reasonable revenue growth</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Always make necessary long term investments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Manage risks and returns through all economic environments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28"/>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Home Lending – integral part of JPMC</w:t>
            </w:r>
          </w:p>
        </w:tc>
        <w:tc>
          <w:tcPr>
            <w:tcW w:w="9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9"/>
        </w:trPr>
        <w:tc>
          <w:tcPr>
            <w:tcW w:w="3720" w:type="dxa"/>
            <w:vAlign w:val="bottom"/>
            <w:gridSpan w:val="2"/>
          </w:tcPr>
          <w:p>
            <w:pPr>
              <w:spacing w:after="0"/>
              <w:rPr>
                <w:sz w:val="20"/>
                <w:szCs w:val="20"/>
                <w:color w:val="auto"/>
              </w:rPr>
            </w:pPr>
            <w:r>
              <w:rPr>
                <w:rFonts w:ascii="Arial" w:cs="Arial" w:eastAsia="Arial" w:hAnsi="Arial"/>
                <w:sz w:val="18"/>
                <w:szCs w:val="18"/>
                <w:color w:val="auto"/>
              </w:rPr>
              <w:t>2,459 Loan Officers</w:t>
            </w:r>
          </w:p>
        </w:tc>
        <w:tc>
          <w:tcPr>
            <w:tcW w:w="3760" w:type="dxa"/>
            <w:vAlign w:val="bottom"/>
            <w:gridSpan w:val="2"/>
          </w:tcPr>
          <w:p>
            <w:pPr>
              <w:ind w:left="740"/>
              <w:spacing w:after="0"/>
              <w:rPr>
                <w:sz w:val="20"/>
                <w:szCs w:val="20"/>
                <w:color w:val="auto"/>
              </w:rPr>
            </w:pPr>
            <w:r>
              <w:rPr>
                <w:rFonts w:ascii="Arial" w:cs="Arial" w:eastAsia="Arial" w:hAnsi="Arial"/>
                <w:sz w:val="18"/>
                <w:szCs w:val="18"/>
                <w:b w:val="1"/>
                <w:bCs w:val="1"/>
                <w:color w:val="auto"/>
              </w:rPr>
              <w:t>Home Lending</w:t>
            </w:r>
          </w:p>
        </w:tc>
        <w:tc>
          <w:tcPr>
            <w:tcW w:w="2980" w:type="dxa"/>
            <w:vAlign w:val="bottom"/>
            <w:gridSpan w:val="2"/>
          </w:tcPr>
          <w:p>
            <w:pPr>
              <w:ind w:left="1100"/>
              <w:spacing w:after="0"/>
              <w:rPr>
                <w:sz w:val="20"/>
                <w:szCs w:val="20"/>
                <w:color w:val="auto"/>
              </w:rPr>
            </w:pPr>
            <w:r>
              <w:rPr>
                <w:rFonts w:ascii="Arial" w:cs="Arial" w:eastAsia="Arial" w:hAnsi="Arial"/>
                <w:sz w:val="18"/>
                <w:szCs w:val="18"/>
                <w:color w:val="auto"/>
              </w:rPr>
              <w:t>Mortgage Bank P&amp;L</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ind w:left="100"/>
              <w:spacing w:after="0"/>
              <w:rPr>
                <w:sz w:val="20"/>
                <w:szCs w:val="20"/>
                <w:color w:val="auto"/>
              </w:rPr>
            </w:pPr>
            <w:r>
              <w:rPr>
                <w:rFonts w:ascii="Arial" w:cs="Arial" w:eastAsia="Arial" w:hAnsi="Arial"/>
                <w:sz w:val="18"/>
                <w:szCs w:val="18"/>
                <w:color w:val="auto"/>
              </w:rPr>
              <w:t>20% of production</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Salesforce management</w:t>
            </w:r>
          </w:p>
        </w:tc>
        <w:tc>
          <w:tcPr>
            <w:tcW w:w="1260" w:type="dxa"/>
            <w:vAlign w:val="bottom"/>
          </w:tcPr>
          <w:p>
            <w:pPr>
              <w:ind w:left="1100"/>
              <w:spacing w:after="0"/>
              <w:rPr>
                <w:sz w:val="20"/>
                <w:szCs w:val="20"/>
                <w:color w:val="auto"/>
              </w:rPr>
            </w:pPr>
            <w:r>
              <w:rPr>
                <w:rFonts w:ascii="Arial" w:cs="Arial" w:eastAsia="Arial" w:hAnsi="Arial"/>
                <w:sz w:val="18"/>
                <w:szCs w:val="18"/>
                <w:color w:val="auto"/>
              </w:rPr>
              <w:t>•</w:t>
            </w:r>
          </w:p>
        </w:tc>
        <w:tc>
          <w:tcPr>
            <w:tcW w:w="1720" w:type="dxa"/>
            <w:vAlign w:val="bottom"/>
          </w:tcPr>
          <w:p>
            <w:pPr>
              <w:ind w:left="120"/>
              <w:spacing w:after="0"/>
              <w:rPr>
                <w:sz w:val="20"/>
                <w:szCs w:val="20"/>
                <w:color w:val="auto"/>
              </w:rPr>
            </w:pPr>
            <w:r>
              <w:rPr>
                <w:rFonts w:ascii="Arial" w:cs="Arial" w:eastAsia="Arial" w:hAnsi="Arial"/>
                <w:sz w:val="18"/>
                <w:szCs w:val="18"/>
                <w:color w:val="auto"/>
              </w:rPr>
              <w:t>Production</w:t>
            </w:r>
          </w:p>
        </w:tc>
      </w:tr>
      <w:tr>
        <w:trPr>
          <w:trHeight w:val="297"/>
        </w:trPr>
        <w:tc>
          <w:tcPr>
            <w:tcW w:w="3720" w:type="dxa"/>
            <w:vAlign w:val="bottom"/>
            <w:gridSpan w:val="2"/>
          </w:tcPr>
          <w:p>
            <w:pPr>
              <w:spacing w:after="0"/>
              <w:rPr>
                <w:sz w:val="20"/>
                <w:szCs w:val="20"/>
                <w:color w:val="auto"/>
              </w:rPr>
            </w:pPr>
            <w:r>
              <w:rPr>
                <w:rFonts w:ascii="Arial" w:cs="Arial" w:eastAsia="Arial" w:hAnsi="Arial"/>
                <w:sz w:val="18"/>
                <w:szCs w:val="18"/>
                <w:color w:val="auto"/>
              </w:rPr>
              <w:t>3,079 Bank Branches</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Operations</w:t>
            </w:r>
          </w:p>
        </w:tc>
        <w:tc>
          <w:tcPr>
            <w:tcW w:w="1260" w:type="dxa"/>
            <w:vAlign w:val="bottom"/>
          </w:tcPr>
          <w:p>
            <w:pPr>
              <w:ind w:left="1100"/>
              <w:spacing w:after="0"/>
              <w:rPr>
                <w:sz w:val="20"/>
                <w:szCs w:val="20"/>
                <w:color w:val="auto"/>
              </w:rPr>
            </w:pPr>
            <w:r>
              <w:rPr>
                <w:rFonts w:ascii="Arial" w:cs="Arial" w:eastAsia="Arial" w:hAnsi="Arial"/>
                <w:sz w:val="18"/>
                <w:szCs w:val="18"/>
                <w:color w:val="auto"/>
              </w:rPr>
              <w:t>•</w:t>
            </w:r>
          </w:p>
        </w:tc>
        <w:tc>
          <w:tcPr>
            <w:tcW w:w="1720" w:type="dxa"/>
            <w:vAlign w:val="bottom"/>
          </w:tcPr>
          <w:p>
            <w:pPr>
              <w:ind w:left="120"/>
              <w:spacing w:after="0"/>
              <w:rPr>
                <w:sz w:val="20"/>
                <w:szCs w:val="20"/>
                <w:color w:val="auto"/>
              </w:rPr>
            </w:pPr>
            <w:r>
              <w:rPr>
                <w:rFonts w:ascii="Arial" w:cs="Arial" w:eastAsia="Arial" w:hAnsi="Arial"/>
                <w:sz w:val="18"/>
                <w:szCs w:val="18"/>
                <w:color w:val="auto"/>
              </w:rPr>
              <w:t>Servicing</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ind w:left="100"/>
              <w:spacing w:after="0"/>
              <w:rPr>
                <w:sz w:val="20"/>
                <w:szCs w:val="20"/>
                <w:color w:val="auto"/>
              </w:rPr>
            </w:pPr>
            <w:r>
              <w:rPr>
                <w:rFonts w:ascii="Arial" w:cs="Arial" w:eastAsia="Arial" w:hAnsi="Arial"/>
                <w:sz w:val="18"/>
                <w:szCs w:val="18"/>
                <w:color w:val="auto"/>
              </w:rPr>
              <w:t>20% of production</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Servicing</w:t>
            </w:r>
          </w:p>
        </w:tc>
        <w:tc>
          <w:tcPr>
            <w:tcW w:w="2980" w:type="dxa"/>
            <w:vAlign w:val="bottom"/>
            <w:gridSpan w:val="2"/>
          </w:tcPr>
          <w:p>
            <w:pPr>
              <w:ind w:left="1100"/>
              <w:spacing w:after="0"/>
              <w:rPr>
                <w:sz w:val="20"/>
                <w:szCs w:val="20"/>
                <w:color w:val="auto"/>
              </w:rPr>
            </w:pPr>
            <w:r>
              <w:rPr>
                <w:rFonts w:ascii="Arial" w:cs="Arial" w:eastAsia="Arial" w:hAnsi="Arial"/>
                <w:sz w:val="18"/>
                <w:szCs w:val="18"/>
                <w:color w:val="auto"/>
              </w:rPr>
              <w:t>Regional Banking</w:t>
            </w:r>
          </w:p>
        </w:tc>
      </w:tr>
      <w:tr>
        <w:trPr>
          <w:trHeight w:val="297"/>
        </w:trPr>
        <w:tc>
          <w:tcPr>
            <w:tcW w:w="3720" w:type="dxa"/>
            <w:vAlign w:val="bottom"/>
            <w:gridSpan w:val="2"/>
          </w:tcPr>
          <w:p>
            <w:pPr>
              <w:spacing w:after="0"/>
              <w:rPr>
                <w:sz w:val="20"/>
                <w:szCs w:val="20"/>
                <w:color w:val="auto"/>
              </w:rPr>
            </w:pPr>
            <w:r>
              <w:rPr>
                <w:rFonts w:ascii="Arial" w:cs="Arial" w:eastAsia="Arial" w:hAnsi="Arial"/>
                <w:sz w:val="18"/>
                <w:szCs w:val="18"/>
                <w:color w:val="auto"/>
              </w:rPr>
              <w:t>•   33% of HE balances</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Collections</w:t>
            </w:r>
          </w:p>
        </w:tc>
        <w:tc>
          <w:tcPr>
            <w:tcW w:w="1260" w:type="dxa"/>
            <w:vAlign w:val="bottom"/>
          </w:tcPr>
          <w:p>
            <w:pPr>
              <w:ind w:left="1100"/>
              <w:spacing w:after="0"/>
              <w:rPr>
                <w:sz w:val="20"/>
                <w:szCs w:val="20"/>
                <w:color w:val="auto"/>
              </w:rPr>
            </w:pPr>
            <w:r>
              <w:rPr>
                <w:rFonts w:ascii="Arial" w:cs="Arial" w:eastAsia="Arial" w:hAnsi="Arial"/>
                <w:sz w:val="18"/>
                <w:szCs w:val="18"/>
                <w:color w:val="auto"/>
              </w:rPr>
              <w:t>•</w:t>
            </w:r>
          </w:p>
        </w:tc>
        <w:tc>
          <w:tcPr>
            <w:tcW w:w="1720" w:type="dxa"/>
            <w:vAlign w:val="bottom"/>
          </w:tcPr>
          <w:p>
            <w:pPr>
              <w:ind w:left="120"/>
              <w:spacing w:after="0"/>
              <w:rPr>
                <w:sz w:val="20"/>
                <w:szCs w:val="20"/>
                <w:color w:val="auto"/>
              </w:rPr>
            </w:pPr>
            <w:r>
              <w:rPr>
                <w:rFonts w:ascii="Arial" w:cs="Arial" w:eastAsia="Arial" w:hAnsi="Arial"/>
                <w:sz w:val="18"/>
                <w:szCs w:val="18"/>
                <w:color w:val="auto"/>
                <w:w w:val="91"/>
              </w:rPr>
              <w:t>Home Equity portfolio</w:t>
            </w:r>
          </w:p>
        </w:tc>
      </w:tr>
      <w:tr>
        <w:trPr>
          <w:trHeight w:val="297"/>
        </w:trPr>
        <w:tc>
          <w:tcPr>
            <w:tcW w:w="3720" w:type="dxa"/>
            <w:vAlign w:val="bottom"/>
            <w:gridSpan w:val="2"/>
          </w:tcPr>
          <w:p>
            <w:pPr>
              <w:spacing w:after="0"/>
              <w:rPr>
                <w:sz w:val="20"/>
                <w:szCs w:val="20"/>
                <w:color w:val="auto"/>
              </w:rPr>
            </w:pPr>
            <w:r>
              <w:rPr>
                <w:rFonts w:ascii="Arial" w:cs="Arial" w:eastAsia="Arial" w:hAnsi="Arial"/>
                <w:sz w:val="18"/>
                <w:szCs w:val="18"/>
                <w:color w:val="auto"/>
              </w:rPr>
              <w:t>Direct Channels</w:t>
            </w:r>
          </w:p>
        </w:tc>
        <w:tc>
          <w:tcPr>
            <w:tcW w:w="3760" w:type="dxa"/>
            <w:vAlign w:val="bottom"/>
            <w:gridSpan w:val="2"/>
          </w:tcPr>
          <w:p>
            <w:pPr>
              <w:ind w:left="740"/>
              <w:spacing w:after="0"/>
              <w:rPr>
                <w:sz w:val="20"/>
                <w:szCs w:val="20"/>
                <w:color w:val="auto"/>
              </w:rPr>
            </w:pPr>
            <w:r>
              <w:rPr>
                <w:rFonts w:ascii="Arial" w:cs="Arial" w:eastAsia="Arial" w:hAnsi="Arial"/>
                <w:sz w:val="18"/>
                <w:szCs w:val="18"/>
                <w:b w:val="1"/>
                <w:bCs w:val="1"/>
                <w:color w:val="auto"/>
              </w:rPr>
              <w:t>IB Partnership</w:t>
            </w:r>
          </w:p>
        </w:tc>
        <w:tc>
          <w:tcPr>
            <w:tcW w:w="1260" w:type="dxa"/>
            <w:vAlign w:val="bottom"/>
          </w:tcPr>
          <w:p>
            <w:pPr>
              <w:ind w:left="1100"/>
              <w:spacing w:after="0"/>
              <w:rPr>
                <w:sz w:val="20"/>
                <w:szCs w:val="20"/>
                <w:color w:val="auto"/>
              </w:rPr>
            </w:pPr>
            <w:r>
              <w:rPr>
                <w:rFonts w:ascii="Arial" w:cs="Arial" w:eastAsia="Arial" w:hAnsi="Arial"/>
                <w:sz w:val="18"/>
                <w:szCs w:val="18"/>
                <w:color w:val="auto"/>
              </w:rPr>
              <w:t>•</w:t>
            </w:r>
          </w:p>
        </w:tc>
        <w:tc>
          <w:tcPr>
            <w:tcW w:w="1720" w:type="dxa"/>
            <w:vAlign w:val="bottom"/>
          </w:tcPr>
          <w:p>
            <w:pPr>
              <w:ind w:left="120"/>
              <w:spacing w:after="0"/>
              <w:rPr>
                <w:sz w:val="20"/>
                <w:szCs w:val="20"/>
                <w:color w:val="auto"/>
              </w:rPr>
            </w:pPr>
            <w:r>
              <w:rPr>
                <w:rFonts w:ascii="Arial" w:cs="Arial" w:eastAsia="Arial" w:hAnsi="Arial"/>
                <w:sz w:val="18"/>
                <w:szCs w:val="18"/>
                <w:color w:val="auto"/>
              </w:rPr>
              <w:t>Sub-prime portfolio</w:t>
            </w:r>
          </w:p>
        </w:tc>
      </w:tr>
      <w:tr>
        <w:trPr>
          <w:trHeight w:val="297"/>
        </w:trPr>
        <w:tc>
          <w:tcPr>
            <w:tcW w:w="180" w:type="dxa"/>
            <w:vAlign w:val="bottom"/>
          </w:tcPr>
          <w:p>
            <w:pPr>
              <w:spacing w:after="0"/>
              <w:rPr>
                <w:sz w:val="24"/>
                <w:szCs w:val="24"/>
                <w:color w:val="auto"/>
              </w:rPr>
            </w:pPr>
          </w:p>
        </w:tc>
        <w:tc>
          <w:tcPr>
            <w:tcW w:w="3540" w:type="dxa"/>
            <w:vAlign w:val="bottom"/>
          </w:tcPr>
          <w:p>
            <w:pPr>
              <w:ind w:left="260"/>
              <w:spacing w:after="0"/>
              <w:rPr>
                <w:sz w:val="20"/>
                <w:szCs w:val="20"/>
                <w:color w:val="auto"/>
              </w:rPr>
            </w:pPr>
            <w:r>
              <w:rPr>
                <w:rFonts w:ascii="Arial" w:cs="Arial" w:eastAsia="Arial" w:hAnsi="Arial"/>
                <w:sz w:val="18"/>
                <w:szCs w:val="18"/>
                <w:color w:val="auto"/>
              </w:rPr>
              <w:t>- Telephone</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Product development</w:t>
            </w:r>
          </w:p>
        </w:tc>
        <w:tc>
          <w:tcPr>
            <w:tcW w:w="2980" w:type="dxa"/>
            <w:vAlign w:val="bottom"/>
            <w:gridSpan w:val="2"/>
          </w:tcPr>
          <w:p>
            <w:pPr>
              <w:ind w:left="1100"/>
              <w:spacing w:after="0"/>
              <w:rPr>
                <w:sz w:val="20"/>
                <w:szCs w:val="20"/>
                <w:color w:val="auto"/>
              </w:rPr>
            </w:pPr>
            <w:r>
              <w:rPr>
                <w:rFonts w:ascii="Arial" w:cs="Arial" w:eastAsia="Arial" w:hAnsi="Arial"/>
                <w:sz w:val="18"/>
                <w:szCs w:val="18"/>
                <w:color w:val="auto"/>
              </w:rPr>
              <w:t>Investment Bank</w:t>
            </w:r>
          </w:p>
        </w:tc>
      </w:tr>
      <w:tr>
        <w:trPr>
          <w:trHeight w:val="297"/>
        </w:trPr>
        <w:tc>
          <w:tcPr>
            <w:tcW w:w="180" w:type="dxa"/>
            <w:vAlign w:val="bottom"/>
          </w:tcPr>
          <w:p>
            <w:pPr>
              <w:spacing w:after="0"/>
              <w:rPr>
                <w:sz w:val="24"/>
                <w:szCs w:val="24"/>
                <w:color w:val="auto"/>
              </w:rPr>
            </w:pPr>
          </w:p>
        </w:tc>
        <w:tc>
          <w:tcPr>
            <w:tcW w:w="3540" w:type="dxa"/>
            <w:vAlign w:val="bottom"/>
          </w:tcPr>
          <w:p>
            <w:pPr>
              <w:ind w:left="260"/>
              <w:spacing w:after="0"/>
              <w:rPr>
                <w:sz w:val="20"/>
                <w:szCs w:val="20"/>
                <w:color w:val="auto"/>
              </w:rPr>
            </w:pPr>
            <w:r>
              <w:rPr>
                <w:rFonts w:ascii="Arial" w:cs="Arial" w:eastAsia="Arial" w:hAnsi="Arial"/>
                <w:sz w:val="18"/>
                <w:szCs w:val="18"/>
                <w:color w:val="auto"/>
              </w:rPr>
              <w:t>- Direct mail</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Pricing</w:t>
            </w:r>
          </w:p>
        </w:tc>
        <w:tc>
          <w:tcPr>
            <w:tcW w:w="1260" w:type="dxa"/>
            <w:vAlign w:val="bottom"/>
          </w:tcPr>
          <w:p>
            <w:pPr>
              <w:ind w:left="1100"/>
              <w:spacing w:after="0"/>
              <w:rPr>
                <w:sz w:val="20"/>
                <w:szCs w:val="20"/>
                <w:color w:val="auto"/>
              </w:rPr>
            </w:pPr>
            <w:r>
              <w:rPr>
                <w:rFonts w:ascii="Arial" w:cs="Arial" w:eastAsia="Arial" w:hAnsi="Arial"/>
                <w:sz w:val="18"/>
                <w:szCs w:val="18"/>
                <w:color w:val="auto"/>
              </w:rPr>
              <w:t>•</w:t>
            </w:r>
          </w:p>
        </w:tc>
        <w:tc>
          <w:tcPr>
            <w:tcW w:w="1720" w:type="dxa"/>
            <w:vAlign w:val="bottom"/>
          </w:tcPr>
          <w:p>
            <w:pPr>
              <w:ind w:left="120"/>
              <w:spacing w:after="0"/>
              <w:rPr>
                <w:sz w:val="20"/>
                <w:szCs w:val="20"/>
                <w:color w:val="auto"/>
              </w:rPr>
            </w:pPr>
            <w:r>
              <w:rPr>
                <w:rFonts w:ascii="Arial" w:cs="Arial" w:eastAsia="Arial" w:hAnsi="Arial"/>
                <w:sz w:val="18"/>
                <w:szCs w:val="18"/>
                <w:color w:val="auto"/>
              </w:rPr>
              <w:t>Distribution profit</w:t>
            </w:r>
          </w:p>
        </w:tc>
      </w:tr>
      <w:tr>
        <w:trPr>
          <w:trHeight w:val="297"/>
        </w:trPr>
        <w:tc>
          <w:tcPr>
            <w:tcW w:w="180" w:type="dxa"/>
            <w:vAlign w:val="bottom"/>
          </w:tcPr>
          <w:p>
            <w:pPr>
              <w:spacing w:after="0"/>
              <w:rPr>
                <w:sz w:val="24"/>
                <w:szCs w:val="24"/>
                <w:color w:val="auto"/>
              </w:rPr>
            </w:pPr>
          </w:p>
        </w:tc>
        <w:tc>
          <w:tcPr>
            <w:tcW w:w="3540" w:type="dxa"/>
            <w:vAlign w:val="bottom"/>
          </w:tcPr>
          <w:p>
            <w:pPr>
              <w:ind w:left="260"/>
              <w:spacing w:after="0"/>
              <w:rPr>
                <w:sz w:val="20"/>
                <w:szCs w:val="20"/>
                <w:color w:val="auto"/>
              </w:rPr>
            </w:pPr>
            <w:r>
              <w:rPr>
                <w:rFonts w:ascii="Arial" w:cs="Arial" w:eastAsia="Arial" w:hAnsi="Arial"/>
                <w:sz w:val="18"/>
                <w:szCs w:val="18"/>
                <w:color w:val="auto"/>
              </w:rPr>
              <w:t>- Internet</w:t>
            </w:r>
          </w:p>
        </w:tc>
        <w:tc>
          <w:tcPr>
            <w:tcW w:w="3760" w:type="dxa"/>
            <w:vAlign w:val="bottom"/>
            <w:gridSpan w:val="2"/>
          </w:tcPr>
          <w:p>
            <w:pPr>
              <w:ind w:left="740"/>
              <w:spacing w:after="0"/>
              <w:rPr>
                <w:sz w:val="20"/>
                <w:szCs w:val="20"/>
                <w:color w:val="auto"/>
              </w:rPr>
            </w:pPr>
            <w:r>
              <w:rPr>
                <w:rFonts w:ascii="Arial" w:cs="Arial" w:eastAsia="Arial" w:hAnsi="Arial"/>
                <w:sz w:val="18"/>
                <w:szCs w:val="18"/>
                <w:color w:val="auto"/>
              </w:rPr>
              <w:t>•   Sell or hold decision</w:t>
            </w:r>
          </w:p>
        </w:tc>
        <w:tc>
          <w:tcPr>
            <w:tcW w:w="2980" w:type="dxa"/>
            <w:vAlign w:val="bottom"/>
            <w:gridSpan w:val="2"/>
          </w:tcPr>
          <w:p>
            <w:pPr>
              <w:ind w:left="1100"/>
              <w:spacing w:after="0"/>
              <w:rPr>
                <w:sz w:val="20"/>
                <w:szCs w:val="20"/>
                <w:color w:val="auto"/>
              </w:rPr>
            </w:pPr>
            <w:r>
              <w:rPr>
                <w:rFonts w:ascii="Arial" w:cs="Arial" w:eastAsia="Arial" w:hAnsi="Arial"/>
                <w:sz w:val="18"/>
                <w:szCs w:val="18"/>
                <w:color w:val="auto"/>
                <w:w w:val="94"/>
              </w:rPr>
              <w:t>JPM investment portfolio</w:t>
            </w:r>
          </w:p>
        </w:tc>
      </w:tr>
      <w:tr>
        <w:trPr>
          <w:trHeight w:val="297"/>
        </w:trPr>
        <w:tc>
          <w:tcPr>
            <w:tcW w:w="3720" w:type="dxa"/>
            <w:vAlign w:val="bottom"/>
            <w:gridSpan w:val="2"/>
          </w:tcPr>
          <w:p>
            <w:pPr>
              <w:spacing w:after="0"/>
              <w:rPr>
                <w:sz w:val="20"/>
                <w:szCs w:val="20"/>
                <w:color w:val="auto"/>
              </w:rPr>
            </w:pPr>
            <w:r>
              <w:rPr>
                <w:rFonts w:ascii="Arial" w:cs="Arial" w:eastAsia="Arial" w:hAnsi="Arial"/>
                <w:sz w:val="18"/>
                <w:szCs w:val="18"/>
                <w:color w:val="auto"/>
              </w:rPr>
              <w:t>Broker</w:t>
            </w:r>
          </w:p>
        </w:tc>
        <w:tc>
          <w:tcPr>
            <w:tcW w:w="900" w:type="dxa"/>
            <w:vAlign w:val="bottom"/>
          </w:tcPr>
          <w:p>
            <w:pPr>
              <w:ind w:left="740"/>
              <w:spacing w:after="0"/>
              <w:rPr>
                <w:sz w:val="20"/>
                <w:szCs w:val="20"/>
                <w:color w:val="auto"/>
              </w:rPr>
            </w:pPr>
            <w:r>
              <w:rPr>
                <w:rFonts w:ascii="Arial" w:cs="Arial" w:eastAsia="Arial" w:hAnsi="Arial"/>
                <w:sz w:val="18"/>
                <w:szCs w:val="18"/>
                <w:color w:val="auto"/>
              </w:rPr>
              <w:t>•</w:t>
            </w:r>
          </w:p>
        </w:tc>
        <w:tc>
          <w:tcPr>
            <w:tcW w:w="2860" w:type="dxa"/>
            <w:vAlign w:val="bottom"/>
          </w:tcPr>
          <w:p>
            <w:pPr>
              <w:ind w:left="120"/>
              <w:spacing w:after="0"/>
              <w:rPr>
                <w:sz w:val="20"/>
                <w:szCs w:val="20"/>
                <w:color w:val="auto"/>
              </w:rPr>
            </w:pPr>
            <w:r>
              <w:rPr>
                <w:rFonts w:ascii="Arial" w:cs="Arial" w:eastAsia="Arial" w:hAnsi="Arial"/>
                <w:sz w:val="18"/>
                <w:szCs w:val="18"/>
                <w:color w:val="auto"/>
              </w:rPr>
              <w:t>Distribution</w:t>
            </w:r>
          </w:p>
        </w:tc>
        <w:tc>
          <w:tcPr>
            <w:tcW w:w="1260" w:type="dxa"/>
            <w:vAlign w:val="bottom"/>
          </w:tcPr>
          <w:p>
            <w:pPr>
              <w:ind w:left="1100"/>
              <w:spacing w:after="0"/>
              <w:rPr>
                <w:sz w:val="20"/>
                <w:szCs w:val="20"/>
                <w:color w:val="auto"/>
              </w:rPr>
            </w:pPr>
            <w:r>
              <w:rPr>
                <w:rFonts w:ascii="Arial" w:cs="Arial" w:eastAsia="Arial" w:hAnsi="Arial"/>
                <w:sz w:val="18"/>
                <w:szCs w:val="18"/>
                <w:color w:val="auto"/>
              </w:rPr>
              <w:t>•</w:t>
            </w:r>
          </w:p>
        </w:tc>
        <w:tc>
          <w:tcPr>
            <w:tcW w:w="1720" w:type="dxa"/>
            <w:vAlign w:val="bottom"/>
          </w:tcPr>
          <w:p>
            <w:pPr>
              <w:ind w:left="120"/>
              <w:spacing w:after="0"/>
              <w:rPr>
                <w:sz w:val="20"/>
                <w:szCs w:val="20"/>
                <w:color w:val="auto"/>
              </w:rPr>
            </w:pPr>
            <w:r>
              <w:rPr>
                <w:rFonts w:ascii="Arial" w:cs="Arial" w:eastAsia="Arial" w:hAnsi="Arial"/>
                <w:sz w:val="18"/>
                <w:szCs w:val="18"/>
                <w:color w:val="auto"/>
              </w:rPr>
              <w:t>Prime Mortgage</w:t>
            </w:r>
          </w:p>
        </w:tc>
      </w:tr>
      <w:tr>
        <w:trPr>
          <w:trHeight w:val="297"/>
        </w:trPr>
        <w:tc>
          <w:tcPr>
            <w:tcW w:w="3720" w:type="dxa"/>
            <w:vAlign w:val="bottom"/>
            <w:gridSpan w:val="2"/>
          </w:tcPr>
          <w:p>
            <w:pPr>
              <w:spacing w:after="0"/>
              <w:rPr>
                <w:sz w:val="20"/>
                <w:szCs w:val="20"/>
                <w:color w:val="auto"/>
              </w:rPr>
            </w:pPr>
            <w:r>
              <w:rPr>
                <w:rFonts w:ascii="Arial" w:cs="Arial" w:eastAsia="Arial" w:hAnsi="Arial"/>
                <w:sz w:val="18"/>
                <w:szCs w:val="18"/>
                <w:color w:val="auto"/>
              </w:rPr>
              <w:t>Correspondent</w:t>
            </w:r>
          </w:p>
        </w:tc>
        <w:tc>
          <w:tcPr>
            <w:tcW w:w="9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-2021840</wp:posOffset>
            </wp:positionV>
            <wp:extent cx="488950" cy="30441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88950" cy="30441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-2021840</wp:posOffset>
            </wp:positionV>
            <wp:extent cx="488950" cy="30441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88950" cy="3044190"/>
                    </a:xfrm>
                    <a:prstGeom prst="rect">
                      <a:avLst/>
                    </a:prstGeom>
                    <a:noFill/>
                  </pic:spPr>
                </pic:pic>
              </a:graphicData>
            </a:graphic>
          </wp:anchor>
        </w:drawing>
      </w:r>
    </w:p>
    <w:p>
      <w:pPr>
        <w:spacing w:after="0" w:line="55" w:lineRule="exact"/>
        <w:rPr>
          <w:sz w:val="20"/>
          <w:szCs w:val="20"/>
          <w:color w:val="auto"/>
        </w:rPr>
      </w:pPr>
    </w:p>
    <w:p>
      <w:pPr>
        <w:ind w:left="280" w:hanging="272"/>
        <w:spacing w:after="0"/>
        <w:tabs>
          <w:tab w:leader="none" w:pos="2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60% of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Note: Excludes CNT Flow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Home Lending – 2006 priorities</w:t>
      </w:r>
    </w:p>
    <w:p>
      <w:pPr>
        <w:spacing w:after="0" w:line="90" w:lineRule="exact"/>
        <w:rPr>
          <w:sz w:val="20"/>
          <w:szCs w:val="20"/>
          <w:color w:val="auto"/>
        </w:rPr>
      </w:pPr>
    </w:p>
    <w:p>
      <w:pPr>
        <w:ind w:left="340" w:hanging="332"/>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Deeper understanding of MSR asset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Upgrading infrastructure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Move toward high-margin products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Grow purchase market share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Reduce excess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Home Lending – upgrading infrastructure</w:t>
      </w:r>
    </w:p>
    <w:p>
      <w:pPr>
        <w:spacing w:after="0" w:line="209" w:lineRule="exact"/>
        <w:rPr>
          <w:sz w:val="20"/>
          <w:szCs w:val="20"/>
          <w:color w:val="auto"/>
        </w:rPr>
      </w:pPr>
    </w:p>
    <w:p>
      <w:pPr>
        <w:ind w:left="940"/>
        <w:spacing w:after="0"/>
        <w:tabs>
          <w:tab w:leader="none" w:pos="3680" w:val="left"/>
          <w:tab w:leader="none" w:pos="6300" w:val="left"/>
          <w:tab w:leader="none" w:pos="8900" w:val="left"/>
        </w:tabs>
        <w:rPr>
          <w:sz w:val="20"/>
          <w:szCs w:val="20"/>
          <w:color w:val="auto"/>
        </w:rPr>
      </w:pPr>
      <w:r>
        <w:rPr>
          <w:rFonts w:ascii="Arial" w:cs="Arial" w:eastAsia="Arial" w:hAnsi="Arial"/>
          <w:sz w:val="14"/>
          <w:szCs w:val="14"/>
          <w:color w:val="auto"/>
        </w:rPr>
        <w:t>1H06</w:t>
      </w:r>
      <w:r>
        <w:rPr>
          <w:sz w:val="20"/>
          <w:szCs w:val="20"/>
          <w:color w:val="auto"/>
        </w:rPr>
        <w:tab/>
      </w:r>
      <w:r>
        <w:rPr>
          <w:rFonts w:ascii="Arial" w:cs="Arial" w:eastAsia="Arial" w:hAnsi="Arial"/>
          <w:sz w:val="14"/>
          <w:szCs w:val="14"/>
          <w:color w:val="auto"/>
        </w:rPr>
        <w:t>2H06</w:t>
      </w:r>
      <w:r>
        <w:rPr>
          <w:sz w:val="20"/>
          <w:szCs w:val="20"/>
          <w:color w:val="auto"/>
        </w:rPr>
        <w:tab/>
      </w:r>
      <w:r>
        <w:rPr>
          <w:rFonts w:ascii="Arial" w:cs="Arial" w:eastAsia="Arial" w:hAnsi="Arial"/>
          <w:sz w:val="14"/>
          <w:szCs w:val="14"/>
          <w:color w:val="auto"/>
        </w:rPr>
        <w:t>2007</w:t>
      </w:r>
      <w:r>
        <w:rPr>
          <w:sz w:val="20"/>
          <w:szCs w:val="20"/>
          <w:color w:val="auto"/>
        </w:rPr>
        <w:tab/>
      </w:r>
      <w:r>
        <w:rPr>
          <w:rFonts w:ascii="Arial" w:cs="Arial" w:eastAsia="Arial" w:hAnsi="Arial"/>
          <w:sz w:val="12"/>
          <w:szCs w:val="12"/>
          <w:color w:val="auto"/>
        </w:rPr>
        <w:t>2008 &amp;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7620</wp:posOffset>
            </wp:positionV>
            <wp:extent cx="324167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4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80" w:type="dxa"/>
            <w:vAlign w:val="bottom"/>
            <w:gridSpan w:val="2"/>
          </w:tcPr>
          <w:p>
            <w:pPr>
              <w:spacing w:after="0" w:line="182" w:lineRule="exact"/>
              <w:rPr>
                <w:sz w:val="20"/>
                <w:szCs w:val="20"/>
                <w:color w:val="auto"/>
              </w:rPr>
            </w:pPr>
            <w:r>
              <w:rPr>
                <w:rFonts w:ascii="Arial" w:cs="Arial" w:eastAsia="Arial" w:hAnsi="Arial"/>
                <w:sz w:val="18"/>
                <w:szCs w:val="18"/>
                <w:color w:val="auto"/>
              </w:rPr>
              <w:t>Mortgage   •   Loan delivery system (capital</w:t>
            </w:r>
          </w:p>
        </w:tc>
        <w:tc>
          <w:tcPr>
            <w:tcW w:w="120" w:type="dxa"/>
            <w:vAlign w:val="bottom"/>
          </w:tcPr>
          <w:p>
            <w:pPr>
              <w:spacing w:after="0"/>
              <w:rPr>
                <w:sz w:val="15"/>
                <w:szCs w:val="15"/>
                <w:color w:val="auto"/>
              </w:rPr>
            </w:pPr>
          </w:p>
        </w:tc>
        <w:tc>
          <w:tcPr>
            <w:tcW w:w="1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2340" w:type="dxa"/>
            <w:vAlign w:val="bottom"/>
          </w:tcPr>
          <w:p>
            <w:pPr>
              <w:ind w:left="120"/>
              <w:spacing w:after="0" w:line="182" w:lineRule="exact"/>
              <w:rPr>
                <w:sz w:val="20"/>
                <w:szCs w:val="20"/>
                <w:color w:val="auto"/>
              </w:rPr>
            </w:pPr>
            <w:r>
              <w:rPr>
                <w:rFonts w:ascii="Arial" w:cs="Arial" w:eastAsia="Arial" w:hAnsi="Arial"/>
                <w:sz w:val="18"/>
                <w:szCs w:val="18"/>
                <w:color w:val="auto"/>
              </w:rPr>
              <w:t>Trade management system</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2640" w:type="dxa"/>
            <w:vAlign w:val="bottom"/>
          </w:tcPr>
          <w:p>
            <w:pPr>
              <w:ind w:left="320"/>
              <w:spacing w:after="0"/>
              <w:rPr>
                <w:sz w:val="20"/>
                <w:szCs w:val="20"/>
                <w:color w:val="auto"/>
              </w:rPr>
            </w:pPr>
            <w:r>
              <w:rPr>
                <w:rFonts w:ascii="Arial" w:cs="Arial" w:eastAsia="Arial" w:hAnsi="Arial"/>
                <w:sz w:val="18"/>
                <w:szCs w:val="18"/>
                <w:color w:val="auto"/>
              </w:rPr>
              <w:t>markets)</w:t>
            </w:r>
          </w:p>
        </w:tc>
        <w:tc>
          <w:tcPr>
            <w:tcW w:w="120" w:type="dxa"/>
            <w:vAlign w:val="bottom"/>
          </w:tcPr>
          <w:p>
            <w:pPr>
              <w:spacing w:after="0"/>
              <w:rPr>
                <w:sz w:val="19"/>
                <w:szCs w:val="19"/>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(capital markets)</w:t>
            </w:r>
          </w:p>
        </w:tc>
        <w:tc>
          <w:tcPr>
            <w:tcW w:w="0" w:type="dxa"/>
            <w:vAlign w:val="bottom"/>
          </w:tcPr>
          <w:p>
            <w:pPr>
              <w:spacing w:after="0"/>
              <w:rPr>
                <w:sz w:val="1"/>
                <w:szCs w:val="1"/>
                <w:color w:val="auto"/>
              </w:rPr>
            </w:pPr>
          </w:p>
        </w:tc>
      </w:tr>
      <w:tr>
        <w:trPr>
          <w:trHeight w:val="527"/>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Home</w:t>
            </w:r>
          </w:p>
        </w:tc>
        <w:tc>
          <w:tcPr>
            <w:tcW w:w="1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ind w:left="120"/>
              <w:spacing w:after="0"/>
              <w:rPr>
                <w:sz w:val="20"/>
                <w:szCs w:val="20"/>
                <w:color w:val="auto"/>
              </w:rPr>
            </w:pPr>
            <w:r>
              <w:rPr>
                <w:rFonts w:ascii="Arial" w:cs="Arial" w:eastAsia="Arial" w:hAnsi="Arial"/>
                <w:sz w:val="18"/>
                <w:szCs w:val="18"/>
                <w:color w:val="auto"/>
              </w:rPr>
              <w:t>Marketing analytics tool</w:t>
            </w:r>
          </w:p>
        </w:tc>
        <w:tc>
          <w:tcPr>
            <w:tcW w:w="0" w:type="dxa"/>
            <w:vAlign w:val="bottom"/>
          </w:tcPr>
          <w:p>
            <w:pPr>
              <w:spacing w:after="0"/>
              <w:rPr>
                <w:sz w:val="1"/>
                <w:szCs w:val="1"/>
                <w:color w:val="auto"/>
              </w:rPr>
            </w:pPr>
          </w:p>
        </w:tc>
      </w:tr>
      <w:tr>
        <w:trPr>
          <w:trHeight w:val="210"/>
        </w:trPr>
        <w:tc>
          <w:tcPr>
            <w:tcW w:w="3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Servicing</w:t>
            </w:r>
          </w:p>
        </w:tc>
        <w:tc>
          <w:tcPr>
            <w:tcW w:w="1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ind w:left="120"/>
              <w:spacing w:after="0"/>
              <w:rPr>
                <w:sz w:val="20"/>
                <w:szCs w:val="20"/>
                <w:color w:val="auto"/>
              </w:rPr>
            </w:pPr>
            <w:r>
              <w:rPr>
                <w:rFonts w:ascii="Arial" w:cs="Arial" w:eastAsia="Arial" w:hAnsi="Arial"/>
                <w:sz w:val="18"/>
                <w:szCs w:val="18"/>
                <w:color w:val="auto"/>
                <w:w w:val="93"/>
              </w:rPr>
              <w:t>Blackberry origination access</w:t>
            </w:r>
          </w:p>
        </w:tc>
        <w:tc>
          <w:tcPr>
            <w:tcW w:w="0" w:type="dxa"/>
            <w:vAlign w:val="bottom"/>
          </w:tcPr>
          <w:p>
            <w:pPr>
              <w:spacing w:after="0"/>
              <w:rPr>
                <w:sz w:val="1"/>
                <w:szCs w:val="1"/>
                <w:color w:val="auto"/>
              </w:rPr>
            </w:pPr>
          </w:p>
        </w:tc>
      </w:tr>
      <w:tr>
        <w:trPr>
          <w:trHeight w:val="216"/>
        </w:trPr>
        <w:tc>
          <w:tcPr>
            <w:tcW w:w="3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
        <w:spacing w:after="0"/>
        <w:tabs>
          <w:tab w:leader="none" w:pos="265" w:val="left"/>
          <w:tab w:leader="none" w:pos="2585" w:val="left"/>
          <w:tab w:leader="none" w:pos="2865" w:val="left"/>
        </w:tabs>
        <w:rPr>
          <w:sz w:val="20"/>
          <w:szCs w:val="20"/>
          <w:color w:val="auto"/>
        </w:rPr>
      </w:pPr>
      <w:r>
        <w:rPr>
          <w:rFonts w:ascii="Arial" w:cs="Arial" w:eastAsia="Arial" w:hAnsi="Arial"/>
          <w:sz w:val="18"/>
          <w:szCs w:val="18"/>
          <w:color w:val="auto"/>
        </w:rPr>
        <w:t>•</w:t>
        <w:tab/>
        <w:t>Retail loan origination system</w:t>
        <w:tab/>
        <w:t>•</w:t>
      </w:r>
      <w:r>
        <w:rPr>
          <w:sz w:val="20"/>
          <w:szCs w:val="20"/>
          <w:color w:val="auto"/>
        </w:rPr>
        <w:tab/>
      </w:r>
      <w:r>
        <w:rPr>
          <w:rFonts w:ascii="Arial" w:cs="Arial" w:eastAsia="Arial" w:hAnsi="Arial"/>
          <w:sz w:val="15"/>
          <w:szCs w:val="15"/>
          <w:color w:val="auto"/>
        </w:rPr>
        <w:t>Operational data store</w:t>
      </w:r>
    </w:p>
    <w:p>
      <w:pPr>
        <w:spacing w:after="0" w:line="306" w:lineRule="exact"/>
        <w:rPr>
          <w:sz w:val="20"/>
          <w:szCs w:val="20"/>
          <w:color w:val="auto"/>
        </w:rPr>
      </w:pPr>
    </w:p>
    <w:p>
      <w:pPr>
        <w:ind w:left="325" w:right="2920" w:hanging="325"/>
        <w:spacing w:after="0" w:line="258" w:lineRule="auto"/>
        <w:tabs>
          <w:tab w:leader="none" w:pos="27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Wholesale loan origination system</w:t>
      </w:r>
    </w:p>
    <w:p>
      <w:pPr>
        <w:spacing w:after="0" w:line="1" w:lineRule="exact"/>
        <w:rPr>
          <w:sz w:val="20"/>
          <w:szCs w:val="20"/>
          <w:color w:val="auto"/>
        </w:rPr>
      </w:pPr>
    </w:p>
    <w:p>
      <w:pPr>
        <w:ind w:left="5"/>
        <w:spacing w:after="0"/>
        <w:tabs>
          <w:tab w:leader="none" w:pos="265" w:val="left"/>
          <w:tab w:leader="none" w:pos="2585" w:val="left"/>
          <w:tab w:leader="none" w:pos="2865" w:val="left"/>
        </w:tabs>
        <w:rPr>
          <w:sz w:val="20"/>
          <w:szCs w:val="20"/>
          <w:color w:val="auto"/>
        </w:rPr>
      </w:pPr>
      <w:r>
        <w:rPr>
          <w:rFonts w:ascii="Arial" w:cs="Arial" w:eastAsia="Arial" w:hAnsi="Arial"/>
          <w:sz w:val="18"/>
          <w:szCs w:val="18"/>
          <w:color w:val="auto"/>
        </w:rPr>
        <w:t>•</w:t>
        <w:tab/>
        <w:t>Wholesale loan origination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Retail loan origination system</w:t>
      </w:r>
    </w:p>
    <w:p>
      <w:pPr>
        <w:spacing w:after="0" w:line="15" w:lineRule="exact"/>
        <w:rPr>
          <w:sz w:val="20"/>
          <w:szCs w:val="20"/>
          <w:color w:val="auto"/>
        </w:rPr>
      </w:pPr>
    </w:p>
    <w:p>
      <w:pPr>
        <w:ind w:left="325"/>
        <w:spacing w:after="0"/>
        <w:rPr>
          <w:sz w:val="20"/>
          <w:szCs w:val="20"/>
          <w:color w:val="auto"/>
        </w:rPr>
      </w:pPr>
      <w:r>
        <w:rPr>
          <w:rFonts w:ascii="Arial" w:cs="Arial" w:eastAsia="Arial" w:hAnsi="Arial"/>
          <w:sz w:val="18"/>
          <w:szCs w:val="18"/>
          <w:color w:val="auto"/>
        </w:rPr>
        <w:t>system</w:t>
      </w:r>
    </w:p>
    <w:p>
      <w:pPr>
        <w:spacing w:after="0" w:line="84" w:lineRule="exact"/>
        <w:rPr>
          <w:sz w:val="20"/>
          <w:szCs w:val="20"/>
          <w:color w:val="auto"/>
        </w:rPr>
      </w:pPr>
    </w:p>
    <w:p>
      <w:pPr>
        <w:ind w:left="5"/>
        <w:spacing w:after="0"/>
        <w:tabs>
          <w:tab w:leader="none" w:pos="265" w:val="left"/>
        </w:tabs>
        <w:rPr>
          <w:sz w:val="20"/>
          <w:szCs w:val="20"/>
          <w:color w:val="auto"/>
        </w:rPr>
      </w:pPr>
      <w:r>
        <w:rPr>
          <w:rFonts w:ascii="Arial" w:cs="Arial" w:eastAsia="Arial" w:hAnsi="Arial"/>
          <w:sz w:val="18"/>
          <w:szCs w:val="18"/>
          <w:color w:val="auto"/>
        </w:rPr>
        <w:t>•</w:t>
        <w:tab/>
        <w:t>Customized pre- approved HE</w:t>
      </w:r>
    </w:p>
    <w:p>
      <w:pPr>
        <w:spacing w:after="0" w:line="15" w:lineRule="exact"/>
        <w:rPr>
          <w:sz w:val="20"/>
          <w:szCs w:val="20"/>
          <w:color w:val="auto"/>
        </w:rPr>
      </w:pPr>
    </w:p>
    <w:p>
      <w:pPr>
        <w:ind w:left="325"/>
        <w:spacing w:after="0"/>
        <w:rPr>
          <w:sz w:val="20"/>
          <w:szCs w:val="20"/>
          <w:color w:val="auto"/>
        </w:rPr>
      </w:pPr>
      <w:r>
        <w:rPr>
          <w:rFonts w:ascii="Arial" w:cs="Arial" w:eastAsia="Arial" w:hAnsi="Arial"/>
          <w:sz w:val="18"/>
          <w:szCs w:val="18"/>
          <w:color w:val="auto"/>
        </w:rPr>
        <w:t>offering in branches</w:t>
      </w:r>
    </w:p>
    <w:p>
      <w:pPr>
        <w:spacing w:after="0" w:line="16" w:lineRule="exact"/>
        <w:rPr>
          <w:sz w:val="20"/>
          <w:szCs w:val="20"/>
          <w:color w:val="auto"/>
        </w:rPr>
      </w:pPr>
    </w:p>
    <w:p>
      <w:pPr>
        <w:ind w:left="5"/>
        <w:spacing w:after="0"/>
        <w:tabs>
          <w:tab w:leader="none" w:pos="265" w:val="left"/>
          <w:tab w:leader="none" w:pos="2585" w:val="left"/>
          <w:tab w:leader="none" w:pos="2865" w:val="left"/>
        </w:tabs>
        <w:rPr>
          <w:sz w:val="20"/>
          <w:szCs w:val="20"/>
          <w:color w:val="auto"/>
        </w:rPr>
      </w:pPr>
      <w:r>
        <w:rPr>
          <w:rFonts w:ascii="Arial" w:cs="Arial" w:eastAsia="Arial" w:hAnsi="Arial"/>
          <w:sz w:val="18"/>
          <w:szCs w:val="18"/>
          <w:color w:val="auto"/>
        </w:rPr>
        <w:t>•</w:t>
        <w:tab/>
        <w:t>BNY platform consolidation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Mortgage servicing platform</w:t>
      </w:r>
    </w:p>
    <w:p>
      <w:pPr>
        <w:spacing w:after="0" w:line="564" w:lineRule="exact"/>
        <w:rPr>
          <w:sz w:val="20"/>
          <w:szCs w:val="20"/>
          <w:color w:val="auto"/>
        </w:rPr>
      </w:pPr>
    </w:p>
    <w:p>
      <w:pPr>
        <w:sectPr>
          <w:pgSz w:w="11900" w:h="16838" w:orient="portrait"/>
          <w:cols w:equalWidth="0" w:num="2">
            <w:col w:w="6200" w:space="115"/>
            <w:col w:w="5105"/>
          </w:cols>
          <w:pgMar w:left="240" w:top="280" w:right="239" w:bottom="1440" w:gutter="0" w:footer="0" w:header="0"/>
          <w:type w:val="continuous"/>
        </w:sectPr>
      </w:pPr>
    </w:p>
    <w:p>
      <w:pPr>
        <w:spacing w:after="0" w:line="79"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280" w:right="23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Home Lending – Mortgage Banking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Production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0" w:type="dxa"/>
            <w:vAlign w:val="bottom"/>
            <w:gridSpan w:val="8"/>
          </w:tcPr>
          <w:p>
            <w:pPr>
              <w:jc w:val="right"/>
              <w:ind w:right="420"/>
              <w:spacing w:after="0"/>
              <w:rPr>
                <w:sz w:val="20"/>
                <w:szCs w:val="20"/>
                <w:color w:val="auto"/>
              </w:rPr>
            </w:pPr>
            <w:r>
              <w:rPr>
                <w:rFonts w:ascii="Arial" w:cs="Arial" w:eastAsia="Arial" w:hAnsi="Arial"/>
                <w:sz w:val="14"/>
                <w:szCs w:val="14"/>
                <w:color w:val="auto"/>
              </w:rPr>
              <w:t>Production sold $(B)</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right"/>
              <w:ind w:right="197"/>
              <w:spacing w:after="0"/>
              <w:rPr>
                <w:sz w:val="20"/>
                <w:szCs w:val="20"/>
                <w:color w:val="auto"/>
              </w:rPr>
            </w:pPr>
            <w:r>
              <w:rPr>
                <w:rFonts w:ascii="Arial" w:cs="Arial" w:eastAsia="Arial" w:hAnsi="Arial"/>
                <w:sz w:val="14"/>
                <w:szCs w:val="14"/>
                <w:color w:val="auto"/>
                <w:w w:val="82"/>
              </w:rPr>
              <w:t>Revenue (bps)</w:t>
            </w:r>
          </w:p>
        </w:tc>
        <w:tc>
          <w:tcPr>
            <w:tcW w:w="180" w:type="dxa"/>
            <w:vAlign w:val="bottom"/>
          </w:tcPr>
          <w:p>
            <w:pPr>
              <w:spacing w:after="0"/>
              <w:rPr>
                <w:sz w:val="14"/>
                <w:szCs w:val="14"/>
                <w:color w:val="auto"/>
              </w:rPr>
            </w:pPr>
          </w:p>
        </w:tc>
        <w:tc>
          <w:tcPr>
            <w:tcW w:w="1800" w:type="dxa"/>
            <w:vAlign w:val="bottom"/>
            <w:gridSpan w:val="8"/>
          </w:tcPr>
          <w:p>
            <w:pPr>
              <w:jc w:val="right"/>
              <w:ind w:right="180"/>
              <w:spacing w:after="0"/>
              <w:rPr>
                <w:sz w:val="20"/>
                <w:szCs w:val="20"/>
                <w:color w:val="auto"/>
              </w:rPr>
            </w:pPr>
            <w:r>
              <w:rPr>
                <w:rFonts w:ascii="Arial" w:cs="Arial" w:eastAsia="Arial" w:hAnsi="Arial"/>
                <w:sz w:val="14"/>
                <w:szCs w:val="14"/>
                <w:color w:val="auto"/>
                <w:w w:val="94"/>
              </w:rPr>
              <w:t>Production revenue $( mm)</w:t>
            </w: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2006</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2005</w:t>
            </w: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w w:val="76"/>
              </w:rPr>
              <w:t>2006</w:t>
            </w:r>
          </w:p>
        </w:tc>
        <w:tc>
          <w:tcPr>
            <w:tcW w:w="64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color w:val="auto"/>
              </w:rPr>
              <w:t>2005</w:t>
            </w: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1"/>
              </w:rPr>
              <w:t>Change</w:t>
            </w:r>
          </w:p>
        </w:tc>
        <w:tc>
          <w:tcPr>
            <w:tcW w:w="180" w:type="dxa"/>
            <w:vAlign w:val="bottom"/>
          </w:tcPr>
          <w:p>
            <w:pPr>
              <w:spacing w:after="0"/>
              <w:rPr>
                <w:sz w:val="12"/>
                <w:szCs w:val="12"/>
                <w:color w:val="auto"/>
              </w:rPr>
            </w:pPr>
          </w:p>
        </w:tc>
        <w:tc>
          <w:tcPr>
            <w:tcW w:w="42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2006</w:t>
            </w:r>
          </w:p>
        </w:tc>
        <w:tc>
          <w:tcPr>
            <w:tcW w:w="62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2005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Change</w:t>
            </w:r>
          </w:p>
        </w:tc>
        <w:tc>
          <w:tcPr>
            <w:tcW w:w="6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40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Prime</w:t>
            </w:r>
          </w:p>
        </w:tc>
        <w:tc>
          <w:tcPr>
            <w:tcW w:w="210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8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color w:val="auto"/>
              </w:rPr>
              <w:t>Conforming &amp; Jumbo</w:t>
            </w:r>
          </w:p>
        </w:tc>
        <w:tc>
          <w:tcPr>
            <w:tcW w:w="260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$53.1</w:t>
            </w:r>
          </w:p>
        </w:tc>
        <w:tc>
          <w:tcPr>
            <w:tcW w:w="5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$64.5</w:t>
            </w:r>
          </w:p>
        </w:tc>
        <w:tc>
          <w:tcPr>
            <w:tcW w:w="800" w:type="dxa"/>
            <w:vAlign w:val="bottom"/>
            <w:tcBorders>
              <w:top w:val="single" w:sz="8" w:color="CCEEFF"/>
            </w:tcBorders>
            <w:gridSpan w:val="4"/>
          </w:tcPr>
          <w:p>
            <w:pPr>
              <w:jc w:val="right"/>
              <w:ind w:right="100"/>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Alt-A</w:t>
            </w:r>
          </w:p>
        </w:tc>
        <w:tc>
          <w:tcPr>
            <w:tcW w:w="2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80" w:type="dxa"/>
            <w:vAlign w:val="bottom"/>
            <w:gridSpan w:val="3"/>
          </w:tcPr>
          <w:p>
            <w:pPr>
              <w:ind w:left="20"/>
              <w:spacing w:after="0"/>
              <w:rPr>
                <w:sz w:val="20"/>
                <w:szCs w:val="20"/>
                <w:color w:val="auto"/>
              </w:rPr>
            </w:pPr>
            <w:r>
              <w:rPr>
                <w:rFonts w:ascii="Arial" w:cs="Arial" w:eastAsia="Arial" w:hAnsi="Arial"/>
                <w:sz w:val="18"/>
                <w:szCs w:val="18"/>
                <w:color w:val="auto"/>
              </w:rPr>
              <w:t>Gov’t &amp; Other</w:t>
            </w:r>
          </w:p>
        </w:tc>
        <w:tc>
          <w:tcPr>
            <w:tcW w:w="2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Subtotal</w:t>
            </w:r>
          </w:p>
        </w:tc>
        <w:tc>
          <w:tcPr>
            <w:tcW w:w="2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(6.8)</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$ 640</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$ 670</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176"/>
        </w:trPr>
        <w:tc>
          <w:tcPr>
            <w:tcW w:w="20" w:type="dxa"/>
            <w:vAlign w:val="bottom"/>
          </w:tcPr>
          <w:p>
            <w:pPr>
              <w:spacing w:after="0"/>
              <w:rPr>
                <w:sz w:val="15"/>
                <w:szCs w:val="15"/>
                <w:color w:val="auto"/>
              </w:rPr>
            </w:pPr>
          </w:p>
        </w:tc>
        <w:tc>
          <w:tcPr>
            <w:tcW w:w="4080" w:type="dxa"/>
            <w:vAlign w:val="bottom"/>
            <w:gridSpan w:val="4"/>
          </w:tcPr>
          <w:p>
            <w:pPr>
              <w:spacing w:after="0" w:line="176" w:lineRule="exact"/>
              <w:rPr>
                <w:sz w:val="20"/>
                <w:szCs w:val="20"/>
                <w:color w:val="auto"/>
              </w:rPr>
            </w:pPr>
            <w:r>
              <w:rPr>
                <w:rFonts w:ascii="Arial" w:cs="Arial" w:eastAsia="Arial" w:hAnsi="Arial"/>
                <w:sz w:val="18"/>
                <w:szCs w:val="18"/>
                <w:color w:val="auto"/>
              </w:rPr>
              <w:t>Subprime¹</w:t>
            </w:r>
          </w:p>
        </w:tc>
        <w:tc>
          <w:tcPr>
            <w:tcW w:w="260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auto"/>
              </w:rPr>
              <w:t>11.5</w:t>
            </w:r>
          </w:p>
        </w:tc>
        <w:tc>
          <w:tcPr>
            <w:tcW w:w="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9.7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160" w:type="dxa"/>
            <w:vAlign w:val="bottom"/>
          </w:tcPr>
          <w:p>
            <w:pPr>
              <w:spacing w:after="0"/>
              <w:rPr>
                <w:sz w:val="15"/>
                <w:szCs w:val="15"/>
                <w:color w:val="auto"/>
              </w:rPr>
            </w:pPr>
          </w:p>
        </w:tc>
        <w:tc>
          <w:tcPr>
            <w:tcW w:w="380" w:type="dxa"/>
            <w:vAlign w:val="bottom"/>
            <w:gridSpan w:val="3"/>
          </w:tcPr>
          <w:p>
            <w:pPr>
              <w:jc w:val="right"/>
              <w:ind w:right="20"/>
              <w:spacing w:after="0" w:line="176" w:lineRule="exact"/>
              <w:rPr>
                <w:sz w:val="20"/>
                <w:szCs w:val="20"/>
                <w:color w:val="auto"/>
              </w:rPr>
            </w:pPr>
            <w:r>
              <w:rPr>
                <w:rFonts w:ascii="Arial" w:cs="Arial" w:eastAsia="Arial" w:hAnsi="Arial"/>
                <w:sz w:val="18"/>
                <w:szCs w:val="18"/>
                <w:color w:val="auto"/>
              </w:rPr>
              <w:t>168</w:t>
            </w:r>
          </w:p>
        </w:tc>
        <w:tc>
          <w:tcPr>
            <w:tcW w:w="640" w:type="dxa"/>
            <w:vAlign w:val="bottom"/>
            <w:gridSpan w:val="3"/>
          </w:tcPr>
          <w:p>
            <w:pPr>
              <w:jc w:val="right"/>
              <w:ind w:right="200"/>
              <w:spacing w:after="0" w:line="176" w:lineRule="exact"/>
              <w:rPr>
                <w:sz w:val="20"/>
                <w:szCs w:val="20"/>
                <w:color w:val="auto"/>
              </w:rPr>
            </w:pPr>
            <w:r>
              <w:rPr>
                <w:rFonts w:ascii="Arial" w:cs="Arial" w:eastAsia="Arial" w:hAnsi="Arial"/>
                <w:sz w:val="18"/>
                <w:szCs w:val="18"/>
                <w:color w:val="auto"/>
              </w:rPr>
              <w:t>77</w:t>
            </w:r>
          </w:p>
        </w:tc>
        <w:tc>
          <w:tcPr>
            <w:tcW w:w="420" w:type="dxa"/>
            <w:vAlign w:val="bottom"/>
          </w:tcPr>
          <w:p>
            <w:pPr>
              <w:jc w:val="right"/>
              <w:spacing w:after="0" w:line="176" w:lineRule="exact"/>
              <w:rPr>
                <w:sz w:val="20"/>
                <w:szCs w:val="20"/>
                <w:color w:val="auto"/>
              </w:rPr>
            </w:pPr>
            <w:r>
              <w:rPr>
                <w:rFonts w:ascii="Arial" w:cs="Arial" w:eastAsia="Arial" w:hAnsi="Arial"/>
                <w:sz w:val="18"/>
                <w:szCs w:val="18"/>
                <w:color w:val="auto"/>
              </w:rPr>
              <w:t>91</w:t>
            </w:r>
          </w:p>
        </w:tc>
        <w:tc>
          <w:tcPr>
            <w:tcW w:w="6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193</w:t>
            </w:r>
          </w:p>
        </w:tc>
        <w:tc>
          <w:tcPr>
            <w:tcW w:w="70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auto"/>
              </w:rPr>
              <w:t>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8"/>
                <w:szCs w:val="18"/>
                <w:color w:val="auto"/>
              </w:rPr>
              <w:t>119</w:t>
            </w:r>
          </w:p>
        </w:tc>
        <w:tc>
          <w:tcPr>
            <w:tcW w:w="60" w:type="dxa"/>
            <w:vAlign w:val="bottom"/>
          </w:tcPr>
          <w:p>
            <w:pPr>
              <w:spacing w:after="0"/>
              <w:rPr>
                <w:sz w:val="15"/>
                <w:szCs w:val="15"/>
                <w:color w:val="auto"/>
              </w:rPr>
            </w:pPr>
          </w:p>
        </w:tc>
      </w:tr>
      <w:tr>
        <w:trPr>
          <w:trHeight w:val="28"/>
        </w:trPr>
        <w:tc>
          <w:tcPr>
            <w:tcW w:w="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(5.0)</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$ 833</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$ 744</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r>
      <w:tr>
        <w:trPr>
          <w:trHeight w:val="115"/>
        </w:trPr>
        <w:tc>
          <w:tcPr>
            <w:tcW w:w="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1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100"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Includes sub-prime mortgage loans transferred to Regional Banking</w:t>
      </w:r>
    </w:p>
    <w:p>
      <w:pPr>
        <w:spacing w:after="0" w:line="90"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 2006, 31% of production came from “high-margin” loans vs. 22% in 2005 (high-margin loans include Alt-A, sub-prime and government loans)</w:t>
      </w:r>
    </w:p>
    <w:p>
      <w:pPr>
        <w:spacing w:after="0" w:line="18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Home Lending - Investment Bank partnership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Mortgages sold to or jointly originated with Investment Bank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($B)</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r>
      <w:tr>
        <w:trPr>
          <w:trHeight w:val="210"/>
        </w:trPr>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Prime</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$18.4</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$14.0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$ 1.6</w:t>
            </w:r>
          </w:p>
        </w:tc>
      </w:tr>
      <w:tr>
        <w:trPr>
          <w:trHeight w:val="216"/>
        </w:trPr>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Subprime</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r>
      <w:tr>
        <w:trPr>
          <w:trHeight w:val="216"/>
        </w:trPr>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$23.5</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$14.0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$ 1.6</w:t>
            </w:r>
          </w:p>
        </w:tc>
      </w:tr>
      <w:tr>
        <w:trPr>
          <w:trHeight w:val="216"/>
        </w:trPr>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Joint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19.4</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4.3</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r>
      <w:tr>
        <w:trPr>
          <w:trHeight w:val="216"/>
        </w:trPr>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42.9</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18.3</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$ 1.6</w:t>
            </w:r>
          </w:p>
        </w:tc>
      </w:tr>
      <w:tr>
        <w:trPr>
          <w:trHeight w:val="4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Capital markets integration</w:t>
            </w:r>
          </w:p>
        </w:tc>
        <w:tc>
          <w:tcPr>
            <w:tcW w:w="4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97"/>
        </w:trPr>
        <w:tc>
          <w:tcPr>
            <w:tcW w:w="8600" w:type="dxa"/>
            <w:vAlign w:val="bottom"/>
            <w:gridSpan w:val="3"/>
          </w:tcPr>
          <w:p>
            <w:pPr>
              <w:spacing w:after="0"/>
              <w:rPr>
                <w:sz w:val="20"/>
                <w:szCs w:val="20"/>
                <w:color w:val="auto"/>
              </w:rPr>
            </w:pPr>
            <w:r>
              <w:rPr>
                <w:rFonts w:ascii="Arial" w:cs="Arial" w:eastAsia="Arial" w:hAnsi="Arial"/>
                <w:sz w:val="18"/>
                <w:szCs w:val="18"/>
                <w:color w:val="auto"/>
              </w:rPr>
              <w:t>•   End-to-end economics</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9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0" w:type="dxa"/>
            <w:vAlign w:val="bottom"/>
            <w:gridSpan w:val="2"/>
          </w:tcPr>
          <w:p>
            <w:pPr>
              <w:ind w:left="140"/>
              <w:spacing w:after="0"/>
              <w:rPr>
                <w:sz w:val="20"/>
                <w:szCs w:val="20"/>
                <w:color w:val="auto"/>
              </w:rPr>
            </w:pPr>
            <w:r>
              <w:rPr>
                <w:rFonts w:ascii="Arial" w:cs="Arial" w:eastAsia="Arial" w:hAnsi="Arial"/>
                <w:sz w:val="18"/>
                <w:szCs w:val="18"/>
                <w:color w:val="auto"/>
              </w:rPr>
              <w:t>Product expansion</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5"/>
        </w:trPr>
        <w:tc>
          <w:tcPr>
            <w:tcW w:w="8600" w:type="dxa"/>
            <w:vAlign w:val="bottom"/>
            <w:gridSpan w:val="3"/>
          </w:tcPr>
          <w:p>
            <w:pPr>
              <w:spacing w:after="0"/>
              <w:rPr>
                <w:sz w:val="20"/>
                <w:szCs w:val="20"/>
                <w:color w:val="auto"/>
              </w:rPr>
            </w:pPr>
            <w:r>
              <w:rPr>
                <w:rFonts w:ascii="Arial" w:cs="Arial" w:eastAsia="Arial" w:hAnsi="Arial"/>
                <w:sz w:val="18"/>
                <w:szCs w:val="18"/>
                <w:color w:val="auto"/>
              </w:rPr>
              <w:t>2007 JPMORGAN CHASE INVESTOR DAY</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49425" cy="1803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Home Lending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firmwide opportunity</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ROE</w:t>
            </w: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Mortgage Banking</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$ 400mm-$600mm</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7"/>
              </w:rPr>
              <w:t>20%-30%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Home Equity/Subprime portfolio</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$800mm</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w w:val="87"/>
              </w:rPr>
              <w:t>18%-20%</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Prime portfolio</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Investment Bank</w:t>
            </w:r>
          </w:p>
        </w:tc>
        <w:tc>
          <w:tcPr>
            <w:tcW w:w="13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8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($B)</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$1.2B -$ 1.5B+</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bl>
    <w:p>
      <w:pPr>
        <w:spacing w:after="0" w:line="86" w:lineRule="exact"/>
        <w:rPr>
          <w:sz w:val="20"/>
          <w:szCs w:val="20"/>
          <w:color w:val="auto"/>
        </w:rPr>
      </w:pPr>
    </w:p>
    <w:p>
      <w:pPr>
        <w:ind w:right="8140" w:firstLine="8"/>
        <w:spacing w:after="0" w:line="525" w:lineRule="auto"/>
        <w:tabs>
          <w:tab w:leader="none" w:pos="32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Earnings potential is significant to JPMC 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49425" cy="1803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Home Lending priorities</w:t>
      </w:r>
    </w:p>
    <w:p>
      <w:pPr>
        <w:spacing w:after="0" w:line="90" w:lineRule="exact"/>
        <w:rPr>
          <w:sz w:val="20"/>
          <w:szCs w:val="20"/>
          <w:color w:val="auto"/>
        </w:rPr>
      </w:pPr>
    </w:p>
    <w:p>
      <w:pPr>
        <w:ind w:left="340" w:hanging="332"/>
        <w:spacing w:after="0"/>
        <w:tabs>
          <w:tab w:leader="none" w:pos="3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Long-term importance of Home Lending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Mortgage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Home Equity</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Prime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Sub-prime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Leverage all parts of JPMC</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Improve underlying infrastructure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Achieve best-in-class cost structure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Grow share through difficult industry environments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9"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Auto Finance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income and ROE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721735" cy="239268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721735"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Production volume &amp; ROA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730625" cy="2324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730625"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Focus on returns over growth</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Transition from super prime to full spectrum lender</w:t>
      </w:r>
    </w:p>
    <w:p>
      <w:pPr>
        <w:spacing w:after="0" w:line="207"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 of Production</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Prime</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Near Prime</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17%</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Sub-prime</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Regional Banking - 2006 priorities</w:t>
      </w:r>
    </w:p>
    <w:p>
      <w:pPr>
        <w:spacing w:after="0" w:line="90" w:lineRule="exact"/>
        <w:rPr>
          <w:sz w:val="20"/>
          <w:szCs w:val="20"/>
          <w:color w:val="auto"/>
        </w:rPr>
      </w:pPr>
    </w:p>
    <w:p>
      <w:pPr>
        <w:ind w:left="340" w:hanging="332"/>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Tri-state conversion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Build out salesforce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Open 150 - 200 new branches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Retrofit/Rebrand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Reduce excess expense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Growth</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Core checking accounts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Cross-sell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Home Lending</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Credit Card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While managing margin through the rate cycle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Priorities - salesforce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Quarterly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4493895" cy="44081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493895" cy="440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hanging="332"/>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Adding sales specialists and bankers in new &amp; existing branches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Loan officers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Investment sales reps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Business bankers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Optimizing support staff in the branches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Approximately 13% reduction in same-store tellers since 12/31/04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Priorities - growing customer base organically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checking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017135" cy="31299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017135"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Actions taken</w:t>
      </w:r>
    </w:p>
    <w:p>
      <w:pPr>
        <w:spacing w:after="0" w:line="90" w:lineRule="exact"/>
        <w:rPr>
          <w:sz w:val="20"/>
          <w:szCs w:val="20"/>
          <w:color w:val="auto"/>
        </w:rPr>
      </w:pPr>
    </w:p>
    <w:p>
      <w:pPr>
        <w:ind w:left="340" w:hanging="332"/>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Changed compensation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Extended hours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Updated products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Sales campaigns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Competitive pricing</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Added &amp; refurbished branches &amp; ATMs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Added salesforce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Improved technology</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Sales and service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Priorities - growth in cross-sell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Credit cards (# units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456305" cy="18954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5630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Mortgage &amp; Home Equity sales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456305" cy="17494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5630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Highlights</w:t>
      </w:r>
    </w:p>
    <w:p>
      <w:pPr>
        <w:spacing w:after="0" w:line="90" w:lineRule="exact"/>
        <w:rPr>
          <w:sz w:val="20"/>
          <w:szCs w:val="20"/>
          <w:color w:val="auto"/>
        </w:rPr>
      </w:pPr>
    </w:p>
    <w:p>
      <w:pPr>
        <w:ind w:left="340" w:hanging="332"/>
        <w:spacing w:after="0"/>
        <w:tabs>
          <w:tab w:leader="none" w:pos="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Deepening customer relationship</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Same store production: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Credit card sales up 52%</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Mortgage sales up 17%</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Investment sales up 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Investment sales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3456305" cy="19640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45630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Managing margin through the cycle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Regional Banking - deposit mix and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4124960" cy="36017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124960" cy="360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$mm</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0"/>
              </w:rPr>
              <w:t>bps</w:t>
            </w:r>
          </w:p>
        </w:tc>
      </w:tr>
      <w:tr>
        <w:trPr>
          <w:trHeight w:val="210"/>
        </w:trPr>
        <w:tc>
          <w:tcPr>
            <w:tcW w:w="46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2005 Net Interest Margin</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$8,531</w:t>
            </w: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Lending</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7"/>
              </w:rPr>
              <w:t>(15)</w:t>
            </w:r>
          </w:p>
        </w:tc>
      </w:tr>
      <w:tr>
        <w:trPr>
          <w:trHeight w:val="216"/>
        </w:trPr>
        <w:tc>
          <w:tcPr>
            <w:tcW w:w="46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320" w:type="dxa"/>
            <w:vAlign w:val="bottom"/>
            <w:gridSpan w:val="2"/>
          </w:tcPr>
          <w:p>
            <w:pPr>
              <w:ind w:left="440"/>
              <w:spacing w:after="0" w:line="217" w:lineRule="exact"/>
              <w:rPr>
                <w:sz w:val="20"/>
                <w:szCs w:val="20"/>
                <w:color w:val="auto"/>
              </w:rPr>
            </w:pPr>
            <w:r>
              <w:rPr>
                <w:rFonts w:ascii="Arial" w:cs="Arial" w:eastAsia="Arial" w:hAnsi="Arial"/>
                <w:sz w:val="18"/>
                <w:szCs w:val="18"/>
                <w:color w:val="auto"/>
              </w:rPr>
              <w:t>Account growth</w:t>
            </w:r>
            <w:r>
              <w:rPr>
                <w:rFonts w:ascii="Arial" w:cs="Arial" w:eastAsia="Arial" w:hAnsi="Arial"/>
                <w:sz w:val="22"/>
                <w:szCs w:val="22"/>
                <w:color w:val="auto"/>
                <w:vertAlign w:val="superscript"/>
              </w:rPr>
              <w:t>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472</w:t>
            </w:r>
          </w:p>
        </w:tc>
        <w:tc>
          <w:tcPr>
            <w:tcW w:w="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Avg. account balance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w:t>
            </w:r>
          </w:p>
        </w:tc>
      </w:tr>
      <w:tr>
        <w:trPr>
          <w:trHeight w:val="216"/>
        </w:trPr>
        <w:tc>
          <w:tcPr>
            <w:tcW w:w="460" w:type="dxa"/>
            <w:vAlign w:val="bottom"/>
          </w:tcPr>
          <w:p>
            <w:pPr>
              <w:spacing w:after="0"/>
              <w:rPr>
                <w:sz w:val="18"/>
                <w:szCs w:val="18"/>
                <w:color w:val="auto"/>
              </w:rPr>
            </w:pPr>
          </w:p>
        </w:tc>
        <w:tc>
          <w:tcPr>
            <w:tcW w:w="9320" w:type="dxa"/>
            <w:vAlign w:val="bottom"/>
            <w:gridSpan w:val="2"/>
          </w:tcPr>
          <w:p>
            <w:pPr>
              <w:ind w:left="440"/>
              <w:spacing w:after="0"/>
              <w:rPr>
                <w:sz w:val="20"/>
                <w:szCs w:val="20"/>
                <w:color w:val="auto"/>
              </w:rPr>
            </w:pPr>
            <w:r>
              <w:rPr>
                <w:rFonts w:ascii="Arial" w:cs="Arial" w:eastAsia="Arial" w:hAnsi="Arial"/>
                <w:sz w:val="18"/>
                <w:szCs w:val="18"/>
                <w:color w:val="auto"/>
              </w:rPr>
              <w:t>Mix &amp; migration</w:t>
            </w: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7"/>
              </w:rPr>
              <w:t>(12)</w:t>
            </w:r>
          </w:p>
        </w:tc>
      </w:tr>
      <w:tr>
        <w:trPr>
          <w:trHeight w:val="216"/>
        </w:trPr>
        <w:tc>
          <w:tcPr>
            <w:tcW w:w="460" w:type="dxa"/>
            <w:vAlign w:val="bottom"/>
          </w:tcPr>
          <w:p>
            <w:pPr>
              <w:spacing w:after="0"/>
              <w:rPr>
                <w:sz w:val="18"/>
                <w:szCs w:val="18"/>
                <w:color w:val="auto"/>
              </w:rPr>
            </w:pPr>
          </w:p>
        </w:tc>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Spreads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21"/>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20" w:type="dxa"/>
            <w:vAlign w:val="bottom"/>
          </w:tcPr>
          <w:p>
            <w:pPr>
              <w:ind w:left="380"/>
              <w:spacing w:after="0"/>
              <w:rPr>
                <w:sz w:val="20"/>
                <w:szCs w:val="20"/>
                <w:color w:val="auto"/>
              </w:rPr>
            </w:pPr>
            <w:r>
              <w:rPr>
                <w:rFonts w:ascii="Arial" w:cs="Arial" w:eastAsia="Arial" w:hAnsi="Arial"/>
                <w:sz w:val="18"/>
                <w:szCs w:val="18"/>
                <w:color w:val="auto"/>
              </w:rPr>
              <w:t>Subtotal - deposits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299</w:t>
            </w:r>
          </w:p>
        </w:tc>
        <w:tc>
          <w:tcPr>
            <w:tcW w:w="3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8"/>
        </w:trPr>
        <w:tc>
          <w:tcPr>
            <w:tcW w:w="46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9320" w:type="dxa"/>
            <w:vAlign w:val="bottom"/>
            <w:gridSpan w:val="2"/>
          </w:tcPr>
          <w:p>
            <w:pPr>
              <w:ind w:left="440"/>
              <w:spacing w:after="0"/>
              <w:rPr>
                <w:sz w:val="20"/>
                <w:szCs w:val="20"/>
                <w:color w:val="auto"/>
              </w:rPr>
            </w:pPr>
            <w:r>
              <w:rPr>
                <w:rFonts w:ascii="Arial" w:cs="Arial" w:eastAsia="Arial" w:hAnsi="Arial"/>
                <w:sz w:val="18"/>
                <w:szCs w:val="18"/>
                <w:color w:val="auto"/>
              </w:rPr>
              <w:t>Total Variance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2006 Net Interest Margin</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8,768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42"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1"/>
          <w:szCs w:val="11"/>
          <w:color w:val="auto"/>
        </w:rPr>
      </w:pPr>
      <w:r>
        <w:rPr>
          <w:rFonts w:ascii="Arial" w:cs="Arial" w:eastAsia="Arial" w:hAnsi="Arial"/>
          <w:sz w:val="18"/>
          <w:szCs w:val="18"/>
          <w:color w:val="auto"/>
        </w:rPr>
        <w:t>Deposit growth rate excludes Bank of New York balances</w:t>
      </w:r>
    </w:p>
    <w:p>
      <w:pPr>
        <w:ind w:left="460" w:hanging="452"/>
        <w:spacing w:after="0" w:line="203" w:lineRule="auto"/>
        <w:tabs>
          <w:tab w:leader="none" w:pos="460" w:val="left"/>
        </w:tabs>
        <w:numPr>
          <w:ilvl w:val="0"/>
          <w:numId w:val="162"/>
        </w:numPr>
        <w:rPr>
          <w:rFonts w:ascii="Arial" w:cs="Arial" w:eastAsia="Arial" w:hAnsi="Arial"/>
          <w:sz w:val="11"/>
          <w:szCs w:val="11"/>
          <w:color w:val="auto"/>
        </w:rPr>
      </w:pPr>
      <w:r>
        <w:rPr>
          <w:rFonts w:ascii="Arial" w:cs="Arial" w:eastAsia="Arial" w:hAnsi="Arial"/>
          <w:sz w:val="18"/>
          <w:szCs w:val="18"/>
          <w:color w:val="auto"/>
        </w:rPr>
        <w:t>2006 Deposit mix includes Bank of New York balances</w:t>
      </w:r>
    </w:p>
    <w:p>
      <w:pPr>
        <w:ind w:left="460" w:hanging="452"/>
        <w:spacing w:after="0"/>
        <w:tabs>
          <w:tab w:leader="none" w:pos="460" w:val="left"/>
        </w:tabs>
        <w:numPr>
          <w:ilvl w:val="0"/>
          <w:numId w:val="163"/>
        </w:numPr>
        <w:rPr>
          <w:rFonts w:ascii="Arial" w:cs="Arial" w:eastAsia="Arial" w:hAnsi="Arial"/>
          <w:sz w:val="11"/>
          <w:szCs w:val="11"/>
          <w:color w:val="auto"/>
        </w:rPr>
      </w:pPr>
      <w:r>
        <w:rPr>
          <w:rFonts w:ascii="Arial" w:cs="Arial" w:eastAsia="Arial" w:hAnsi="Arial"/>
          <w:sz w:val="18"/>
          <w:szCs w:val="18"/>
          <w:color w:val="auto"/>
        </w:rPr>
        <w:t>Account growth includes Bank of New York</w:t>
      </w:r>
    </w:p>
    <w:p>
      <w:pPr>
        <w:spacing w:after="0" w:line="13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Managing deposit margin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Deposit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150939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83184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0" w:hanging="332"/>
        <w:spacing w:after="0"/>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Manage customer dollars in total to optimize economics as balances shift between investment alternatives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Actively introduce new products to meet changing customer needs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CD-only households and balances are consistent with prior year levels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Narrower product spreads are creating ongoing pressure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Market-based pricing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Competitive in markets where appropriate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Regional Banking - 2006 priorities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do</w:t>
      </w:r>
    </w:p>
    <w:p>
      <w:pPr>
        <w:spacing w:after="0" w:line="90" w:lineRule="exact"/>
        <w:rPr>
          <w:sz w:val="20"/>
          <w:szCs w:val="20"/>
          <w:color w:val="auto"/>
        </w:rPr>
      </w:pPr>
    </w:p>
    <w:p>
      <w:pPr>
        <w:ind w:left="340" w:hanging="332"/>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Tri-State conversion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Build out salesforce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Open 150 -200 new branches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Retrofit/Rebrand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Reduce excess expense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Growth</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Core checking accounts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Cross-sell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Home Lending</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Investment sales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Credit card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Completed</w:t>
      </w:r>
    </w:p>
    <w:p>
      <w:pPr>
        <w:spacing w:after="0" w:line="90" w:lineRule="exact"/>
        <w:rPr>
          <w:sz w:val="20"/>
          <w:szCs w:val="20"/>
          <w:color w:val="auto"/>
        </w:rPr>
      </w:pPr>
    </w:p>
    <w:p>
      <w:pPr>
        <w:ind w:left="340" w:hanging="332"/>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Completed on 9/16/2006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Added over 900 salespeople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Added 125 branches &amp; BNY (339)</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Completed Bank One rebranding</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Completed merger saves</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Checking accounts grew 14%</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Branch cross-sell</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Home Lending grew 4%</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Investment sales grew 34%</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Credit cards grew 74%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While managing margin through the rate cycle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Priorities - new branches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16376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831840"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40" w:hanging="332"/>
        <w:spacing w:after="0"/>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Total portfolio - more than 50% are less than 2 years old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Track branches on vintage basis - each vintage shows improvement</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New build P&amp;L:</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Expense includes: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Branch salaries, benefits, and incentives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Real estate and/or lease expense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Fraud/operating losses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Technology (phones, PCs, etc)</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Incremental product costs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Revenue excludes: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Private Client Services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Private Banking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Middle Market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Transfers-in of existing customer relationships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Priorities - new branches profitability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Pretax profits on new builds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368290" cy="25044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368290"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0" w:hanging="332"/>
        <w:spacing w:after="0"/>
        <w:tabs>
          <w:tab w:leader="none" w:pos="3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New build pretax impact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2004 - $(36)mm</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2005 - $(33)mm</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2006 - $(40)mm</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Expense increase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2004 to 2005 - $89mm</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2005 to 2006 - $163mm</w:t>
      </w:r>
    </w:p>
    <w:p>
      <w:pPr>
        <w:spacing w:after="0" w:line="90" w:lineRule="exact"/>
        <w:rPr>
          <w:sz w:val="20"/>
          <w:szCs w:val="20"/>
          <w:color w:val="auto"/>
        </w:rPr>
      </w:pPr>
    </w:p>
    <w:p>
      <w:pPr>
        <w:ind w:right="1880" w:firstLine="1874"/>
        <w:spacing w:after="0" w:line="440" w:lineRule="auto"/>
        <w:rPr>
          <w:sz w:val="20"/>
          <w:szCs w:val="20"/>
          <w:color w:val="auto"/>
        </w:rPr>
      </w:pPr>
      <w:r>
        <w:rPr>
          <w:rFonts w:ascii="Arial" w:cs="Arial" w:eastAsia="Arial" w:hAnsi="Arial"/>
          <w:sz w:val="18"/>
          <w:szCs w:val="18"/>
          <w:color w:val="auto"/>
        </w:rPr>
        <w:t>Non-deposit related revenue contributes 15% for mature branches, while it contributes 25% for a new branch 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749425" cy="1803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of New York integration schedule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1Q07</w:t>
            </w:r>
          </w:p>
        </w:tc>
        <w:tc>
          <w:tcPr>
            <w:tcW w:w="3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99"/>
              </w:rPr>
              <w:t>2Q07</w:t>
            </w:r>
          </w:p>
        </w:tc>
        <w:tc>
          <w:tcPr>
            <w:tcW w:w="3300" w:type="dxa"/>
            <w:vAlign w:val="bottom"/>
          </w:tcPr>
          <w:p>
            <w:pPr>
              <w:spacing w:after="0"/>
              <w:rPr>
                <w:sz w:val="15"/>
                <w:szCs w:val="15"/>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b w:val="1"/>
                <w:bCs w:val="1"/>
                <w:color w:val="auto"/>
                <w:w w:val="99"/>
              </w:rPr>
              <w:t>3Q07</w:t>
            </w:r>
          </w:p>
        </w:tc>
        <w:tc>
          <w:tcPr>
            <w:tcW w:w="3160" w:type="dxa"/>
            <w:vAlign w:val="bottom"/>
          </w:tcPr>
          <w:p>
            <w:pPr>
              <w:spacing w:after="0"/>
              <w:rPr>
                <w:sz w:val="15"/>
                <w:szCs w:val="15"/>
                <w:color w:val="auto"/>
              </w:rPr>
            </w:pPr>
          </w:p>
        </w:tc>
      </w:tr>
      <w:tr>
        <w:trPr>
          <w:trHeight w:val="209"/>
        </w:trPr>
        <w:tc>
          <w:tcPr>
            <w:tcW w:w="3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640" w:type="dxa"/>
            <w:vAlign w:val="bottom"/>
          </w:tcPr>
          <w:p>
            <w:pPr>
              <w:ind w:left="60"/>
              <w:spacing w:after="0" w:line="202" w:lineRule="exact"/>
              <w:rPr>
                <w:sz w:val="20"/>
                <w:szCs w:val="20"/>
                <w:color w:val="auto"/>
              </w:rPr>
            </w:pPr>
            <w:r>
              <w:rPr>
                <w:rFonts w:ascii="Arial" w:cs="Arial" w:eastAsia="Arial" w:hAnsi="Arial"/>
                <w:sz w:val="18"/>
                <w:szCs w:val="18"/>
                <w:color w:val="auto"/>
              </w:rPr>
              <w:t>Extend branch hours</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Job family mapping</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Branch P&amp;L roll-out</w:t>
            </w:r>
          </w:p>
        </w:tc>
      </w:tr>
      <w:tr>
        <w:trPr>
          <w:trHeight w:val="316"/>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Training</w:t>
            </w: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Salesforce growth</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160" w:type="dxa"/>
            <w:vAlign w:val="bottom"/>
          </w:tcPr>
          <w:p>
            <w:pPr>
              <w:ind w:left="40"/>
              <w:spacing w:after="0"/>
              <w:rPr>
                <w:sz w:val="20"/>
                <w:szCs w:val="20"/>
                <w:color w:val="auto"/>
              </w:rPr>
            </w:pPr>
            <w:r>
              <w:rPr>
                <w:rFonts w:ascii="Arial" w:cs="Arial" w:eastAsia="Arial" w:hAnsi="Arial"/>
                <w:sz w:val="18"/>
                <w:szCs w:val="18"/>
                <w:color w:val="auto"/>
              </w:rPr>
              <w:t>Sales management processes</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System conversions</w:t>
            </w: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Rebranding</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160" w:type="dxa"/>
            <w:vAlign w:val="bottom"/>
          </w:tcPr>
          <w:p>
            <w:pPr>
              <w:ind w:left="40"/>
              <w:spacing w:after="0"/>
              <w:rPr>
                <w:sz w:val="20"/>
                <w:szCs w:val="20"/>
                <w:color w:val="auto"/>
              </w:rPr>
            </w:pPr>
            <w:r>
              <w:rPr>
                <w:rFonts w:ascii="Arial" w:cs="Arial" w:eastAsia="Arial" w:hAnsi="Arial"/>
                <w:sz w:val="18"/>
                <w:szCs w:val="18"/>
                <w:color w:val="auto"/>
              </w:rPr>
              <w:t>Branch consolidations begin</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Sales campaigns</w:t>
            </w: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Credit card/Debit card reissue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Retrofit</w:t>
            </w: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Compensation changes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of New York opportunity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Average branch comparisons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Profitability</w:t>
            </w:r>
          </w:p>
        </w:tc>
        <w:tc>
          <w:tcPr>
            <w:tcW w:w="100" w:type="dxa"/>
            <w:vAlign w:val="bottom"/>
          </w:tcPr>
          <w:p>
            <w:pPr>
              <w:spacing w:after="0"/>
              <w:rPr>
                <w:sz w:val="15"/>
                <w:szCs w:val="15"/>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Chase vs. BNY</w:t>
            </w:r>
          </w:p>
        </w:tc>
      </w:tr>
      <w:tr>
        <w:trPr>
          <w:trHeight w:val="209"/>
        </w:trPr>
        <w:tc>
          <w:tcPr>
            <w:tcW w:w="466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1.8x higher</w:t>
            </w:r>
          </w:p>
        </w:tc>
        <w:tc>
          <w:tcPr>
            <w:tcW w:w="20" w:type="dxa"/>
            <w:vAlign w:val="bottom"/>
          </w:tcPr>
          <w:p>
            <w:pPr>
              <w:spacing w:after="0"/>
              <w:rPr>
                <w:sz w:val="18"/>
                <w:szCs w:val="18"/>
                <w:color w:val="auto"/>
              </w:rPr>
            </w:pPr>
          </w:p>
        </w:tc>
      </w:tr>
      <w:tr>
        <w:trPr>
          <w:trHeight w:val="289"/>
        </w:trPr>
        <w:tc>
          <w:tcPr>
            <w:tcW w:w="4660" w:type="dxa"/>
            <w:vAlign w:val="bottom"/>
          </w:tcPr>
          <w:p>
            <w:pPr>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1.5x higher</w:t>
            </w:r>
          </w:p>
        </w:tc>
      </w:tr>
      <w:tr>
        <w:trPr>
          <w:trHeight w:val="408"/>
        </w:trPr>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National sales</w:t>
            </w:r>
          </w:p>
        </w:tc>
      </w:tr>
      <w:tr>
        <w:trPr>
          <w:trHeight w:val="181"/>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Production statistics</w:t>
            </w:r>
          </w:p>
        </w:tc>
        <w:tc>
          <w:tcPr>
            <w:tcW w:w="100" w:type="dxa"/>
            <w:vAlign w:val="bottom"/>
          </w:tcPr>
          <w:p>
            <w:pPr>
              <w:spacing w:after="0"/>
              <w:rPr>
                <w:sz w:val="15"/>
                <w:szCs w:val="15"/>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(per branch)</w:t>
            </w:r>
          </w:p>
        </w:tc>
      </w:tr>
      <w:tr>
        <w:trPr>
          <w:trHeight w:val="209"/>
        </w:trPr>
        <w:tc>
          <w:tcPr>
            <w:tcW w:w="4660" w:type="dxa"/>
            <w:vAlign w:val="bottom"/>
          </w:tcPr>
          <w:p>
            <w:pPr>
              <w:spacing w:after="0" w:line="202" w:lineRule="exact"/>
              <w:rPr>
                <w:sz w:val="20"/>
                <w:szCs w:val="20"/>
                <w:color w:val="auto"/>
              </w:rPr>
            </w:pPr>
            <w:r>
              <w:rPr>
                <w:rFonts w:ascii="Arial" w:cs="Arial" w:eastAsia="Arial" w:hAnsi="Arial"/>
                <w:sz w:val="18"/>
                <w:szCs w:val="18"/>
                <w:color w:val="auto"/>
              </w:rPr>
              <w:t>Checking growth (#)</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5x higher</w:t>
            </w:r>
          </w:p>
        </w:tc>
        <w:tc>
          <w:tcPr>
            <w:tcW w:w="20" w:type="dxa"/>
            <w:vAlign w:val="bottom"/>
          </w:tcPr>
          <w:p>
            <w:pPr>
              <w:spacing w:after="0"/>
              <w:rPr>
                <w:sz w:val="18"/>
                <w:szCs w:val="18"/>
                <w:color w:val="auto"/>
              </w:rPr>
            </w:pPr>
          </w:p>
        </w:tc>
      </w:tr>
      <w:tr>
        <w:trPr>
          <w:trHeight w:val="316"/>
        </w:trPr>
        <w:tc>
          <w:tcPr>
            <w:tcW w:w="4660" w:type="dxa"/>
            <w:vAlign w:val="bottom"/>
          </w:tcPr>
          <w:p>
            <w:pPr>
              <w:spacing w:after="0"/>
              <w:rPr>
                <w:sz w:val="20"/>
                <w:szCs w:val="20"/>
                <w:color w:val="auto"/>
              </w:rPr>
            </w:pPr>
            <w:r>
              <w:rPr>
                <w:rFonts w:ascii="Arial" w:cs="Arial" w:eastAsia="Arial" w:hAnsi="Arial"/>
                <w:sz w:val="18"/>
                <w:szCs w:val="18"/>
                <w:color w:val="auto"/>
              </w:rPr>
              <w:t>Investment sales</w:t>
            </w:r>
          </w:p>
        </w:tc>
        <w:tc>
          <w:tcPr>
            <w:tcW w:w="1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6x higher</w:t>
            </w:r>
          </w:p>
        </w:tc>
      </w:tr>
      <w:tr>
        <w:trPr>
          <w:trHeight w:val="324"/>
        </w:trPr>
        <w:tc>
          <w:tcPr>
            <w:tcW w:w="4660" w:type="dxa"/>
            <w:vAlign w:val="bottom"/>
          </w:tcPr>
          <w:p>
            <w:pPr>
              <w:spacing w:after="0"/>
              <w:rPr>
                <w:sz w:val="20"/>
                <w:szCs w:val="20"/>
                <w:color w:val="auto"/>
              </w:rPr>
            </w:pPr>
            <w:r>
              <w:rPr>
                <w:rFonts w:ascii="Arial" w:cs="Arial" w:eastAsia="Arial" w:hAnsi="Arial"/>
                <w:sz w:val="18"/>
                <w:szCs w:val="18"/>
                <w:color w:val="auto"/>
              </w:rPr>
              <w:t>Credit cards</w:t>
            </w:r>
          </w:p>
        </w:tc>
        <w:tc>
          <w:tcPr>
            <w:tcW w:w="1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17x higher</w:t>
            </w:r>
          </w:p>
        </w:tc>
      </w:tr>
      <w:tr>
        <w:trPr>
          <w:trHeight w:val="324"/>
        </w:trPr>
        <w:tc>
          <w:tcPr>
            <w:tcW w:w="4660" w:type="dxa"/>
            <w:vAlign w:val="bottom"/>
          </w:tcPr>
          <w:p>
            <w:pPr>
              <w:spacing w:after="0"/>
              <w:rPr>
                <w:sz w:val="20"/>
                <w:szCs w:val="20"/>
                <w:color w:val="auto"/>
              </w:rPr>
            </w:pPr>
            <w:r>
              <w:rPr>
                <w:rFonts w:ascii="Arial" w:cs="Arial" w:eastAsia="Arial" w:hAnsi="Arial"/>
                <w:sz w:val="18"/>
                <w:szCs w:val="18"/>
                <w:color w:val="auto"/>
              </w:rPr>
              <w:t>Home Equity</w:t>
            </w:r>
          </w:p>
        </w:tc>
        <w:tc>
          <w:tcPr>
            <w:tcW w:w="1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10x higher</w:t>
            </w:r>
          </w:p>
        </w:tc>
      </w:tr>
      <w:tr>
        <w:trPr>
          <w:trHeight w:val="324"/>
        </w:trPr>
        <w:tc>
          <w:tcPr>
            <w:tcW w:w="4660" w:type="dxa"/>
            <w:vAlign w:val="bottom"/>
          </w:tcPr>
          <w:p>
            <w:pPr>
              <w:spacing w:after="0"/>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18x higher</w:t>
            </w:r>
          </w:p>
        </w:tc>
      </w:tr>
    </w:tbl>
    <w:p>
      <w:pPr>
        <w:spacing w:after="0" w:line="156" w:lineRule="exact"/>
        <w:rPr>
          <w:sz w:val="20"/>
          <w:szCs w:val="20"/>
          <w:color w:val="auto"/>
        </w:rPr>
      </w:pPr>
    </w:p>
    <w:p>
      <w:pPr>
        <w:ind w:right="1340"/>
        <w:spacing w:after="0" w:line="440" w:lineRule="auto"/>
        <w:rPr>
          <w:sz w:val="20"/>
          <w:szCs w:val="20"/>
          <w:color w:val="auto"/>
        </w:rPr>
      </w:pPr>
      <w:r>
        <w:rPr>
          <w:rFonts w:ascii="Arial" w:cs="Arial" w:eastAsia="Arial" w:hAnsi="Arial"/>
          <w:sz w:val="18"/>
          <w:szCs w:val="18"/>
          <w:color w:val="auto"/>
        </w:rPr>
        <w:t>Note: Bank of New York reflects 4Q annualized for comparison purposes 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749425" cy="1803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+10 points higher pretax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2">
            <w:col w:w="6500" w:space="720"/>
            <w:col w:w="4200"/>
          </w:cols>
          <w:pgMar w:left="240" w:top="280"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Regional Banking - 2007 priorities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Constantly improving execution</w:t>
      </w:r>
    </w:p>
    <w:p>
      <w:pPr>
        <w:spacing w:after="0" w:line="90" w:lineRule="exact"/>
        <w:rPr>
          <w:sz w:val="20"/>
          <w:szCs w:val="20"/>
          <w:color w:val="auto"/>
        </w:rPr>
      </w:pPr>
    </w:p>
    <w:p>
      <w:pPr>
        <w:ind w:left="340" w:hanging="332"/>
        <w:spacing w:after="0"/>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Bank of New York conversion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Systems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Merger integration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Build out salesforce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Open 125 - 150 new branches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Retrofit/Rebrand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Reduce excess expense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Growth</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Core checking accounts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Cross-sell</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Home Lending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Credit card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Added priorities</w:t>
      </w:r>
    </w:p>
    <w:p>
      <w:pPr>
        <w:spacing w:after="0" w:line="90" w:lineRule="exact"/>
        <w:rPr>
          <w:sz w:val="20"/>
          <w:szCs w:val="20"/>
          <w:color w:val="auto"/>
        </w:rPr>
      </w:pPr>
    </w:p>
    <w:p>
      <w:pPr>
        <w:ind w:left="340" w:hanging="332"/>
        <w:spacing w:after="0"/>
        <w:tabs>
          <w:tab w:leader="none" w:pos="3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Segment focus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Entry level consumer</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Mass market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Affluent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Students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Multi-cultural</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While managing margin through the rate cycle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Comments on credit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charge-off rates by business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right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Approximate</w:t>
            </w:r>
          </w:p>
        </w:tc>
      </w:tr>
      <w:tr>
        <w:trPr>
          <w:trHeight w:val="161"/>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820" w:type="dxa"/>
            <w:vAlign w:val="bottom"/>
            <w:gridSpan w:val="2"/>
          </w:tcPr>
          <w:p>
            <w:pPr>
              <w:jc w:val="center"/>
              <w:ind w:left="255"/>
              <w:spacing w:after="0"/>
              <w:rPr>
                <w:sz w:val="20"/>
                <w:szCs w:val="20"/>
                <w:color w:val="auto"/>
              </w:rPr>
            </w:pPr>
            <w:r>
              <w:rPr>
                <w:rFonts w:ascii="Arial" w:cs="Arial" w:eastAsia="Arial" w:hAnsi="Arial"/>
                <w:sz w:val="14"/>
                <w:szCs w:val="14"/>
                <w:b w:val="1"/>
                <w:bCs w:val="1"/>
                <w:color w:val="auto"/>
                <w:w w:val="89"/>
              </w:rPr>
              <w:t>2006</w:t>
            </w:r>
          </w:p>
        </w:tc>
        <w:tc>
          <w:tcPr>
            <w:tcW w:w="3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7"/>
              </w:rPr>
              <w:t>4Q05</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4Q06</w:t>
            </w:r>
          </w:p>
        </w:tc>
        <w:tc>
          <w:tcPr>
            <w:tcW w:w="220" w:type="dxa"/>
            <w:vAlign w:val="bottom"/>
          </w:tcPr>
          <w:p>
            <w:pPr>
              <w:spacing w:after="0"/>
              <w:rPr>
                <w:sz w:val="14"/>
                <w:szCs w:val="14"/>
                <w:color w:val="auto"/>
              </w:rPr>
            </w:pPr>
          </w:p>
        </w:tc>
        <w:tc>
          <w:tcPr>
            <w:tcW w:w="128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through the Cycle</w:t>
            </w:r>
          </w:p>
        </w:tc>
      </w:tr>
      <w:tr>
        <w:trPr>
          <w:trHeight w:val="217"/>
        </w:trPr>
        <w:tc>
          <w:tcPr>
            <w:tcW w:w="68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Retail Financial Services</w:t>
            </w:r>
          </w:p>
        </w:tc>
        <w:tc>
          <w:tcPr>
            <w:tcW w:w="460" w:type="dxa"/>
            <w:vAlign w:val="bottom"/>
            <w:tcBorders>
              <w:top w:val="single" w:sz="8" w:color="auto"/>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right w:val="single" w:sz="8" w:color="auto"/>
            </w:tcBorders>
            <w:shd w:val="clear" w:color="auto" w:fill="CCEEFF"/>
          </w:tcPr>
          <w:p>
            <w:pPr>
              <w:spacing w:after="0"/>
              <w:rPr>
                <w:sz w:val="18"/>
                <w:szCs w:val="18"/>
                <w:color w:val="auto"/>
              </w:rPr>
            </w:pPr>
          </w:p>
        </w:tc>
      </w:tr>
      <w:tr>
        <w:trPr>
          <w:trHeight w:val="216"/>
        </w:trPr>
        <w:tc>
          <w:tcPr>
            <w:tcW w:w="6840" w:type="dxa"/>
            <w:vAlign w:val="bottom"/>
            <w:gridSpan w:val="3"/>
          </w:tcPr>
          <w:p>
            <w:pPr>
              <w:ind w:left="540"/>
              <w:spacing w:after="0" w:line="217" w:lineRule="exact"/>
              <w:rPr>
                <w:sz w:val="20"/>
                <w:szCs w:val="20"/>
                <w:color w:val="auto"/>
              </w:rPr>
            </w:pPr>
            <w:r>
              <w:rPr>
                <w:rFonts w:ascii="Arial" w:cs="Arial" w:eastAsia="Arial" w:hAnsi="Arial"/>
                <w:sz w:val="18"/>
                <w:szCs w:val="18"/>
                <w:color w:val="auto"/>
              </w:rPr>
              <w:t>Home Equity</w:t>
            </w:r>
            <w:r>
              <w:rPr>
                <w:rFonts w:ascii="Arial" w:cs="Arial" w:eastAsia="Arial" w:hAnsi="Arial"/>
                <w:sz w:val="22"/>
                <w:szCs w:val="22"/>
                <w:color w:val="auto"/>
                <w:vertAlign w:val="superscript"/>
              </w:rPr>
              <w:t>1</w:t>
            </w: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0.20%</w:t>
            </w:r>
          </w:p>
        </w:tc>
        <w:tc>
          <w:tcPr>
            <w:tcW w:w="820" w:type="dxa"/>
            <w:vAlign w:val="bottom"/>
            <w:gridSpan w:val="2"/>
          </w:tcPr>
          <w:p>
            <w:pPr>
              <w:jc w:val="center"/>
              <w:ind w:left="255"/>
              <w:spacing w:after="0"/>
              <w:rPr>
                <w:sz w:val="20"/>
                <w:szCs w:val="20"/>
                <w:color w:val="auto"/>
              </w:rPr>
            </w:pPr>
            <w:r>
              <w:rPr>
                <w:rFonts w:ascii="Arial" w:cs="Arial" w:eastAsia="Arial" w:hAnsi="Arial"/>
                <w:sz w:val="18"/>
                <w:szCs w:val="18"/>
                <w:color w:val="auto"/>
                <w:w w:val="86"/>
              </w:rPr>
              <w:t>0.18%</w:t>
            </w:r>
          </w:p>
        </w:tc>
        <w:tc>
          <w:tcPr>
            <w:tcW w:w="80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0.23%</w:t>
            </w:r>
          </w:p>
        </w:tc>
        <w:tc>
          <w:tcPr>
            <w:tcW w:w="1000" w:type="dxa"/>
            <w:vAlign w:val="bottom"/>
            <w:tcBorders>
              <w:right w:val="single" w:sz="8" w:color="auto"/>
            </w:tcBorders>
            <w:gridSpan w:val="5"/>
          </w:tcPr>
          <w:p>
            <w:pPr>
              <w:jc w:val="right"/>
              <w:ind w:right="200"/>
              <w:spacing w:after="0"/>
              <w:rPr>
                <w:sz w:val="20"/>
                <w:szCs w:val="20"/>
                <w:color w:val="auto"/>
              </w:rPr>
            </w:pPr>
            <w:r>
              <w:rPr>
                <w:rFonts w:ascii="Arial" w:cs="Arial" w:eastAsia="Arial" w:hAnsi="Arial"/>
                <w:sz w:val="18"/>
                <w:szCs w:val="18"/>
                <w:color w:val="auto"/>
              </w:rPr>
              <w:t>0.24%</w:t>
            </w:r>
          </w:p>
        </w:tc>
        <w:tc>
          <w:tcPr>
            <w:tcW w:w="1500" w:type="dxa"/>
            <w:vAlign w:val="bottom"/>
            <w:tcBorders>
              <w:right w:val="single" w:sz="8" w:color="auto"/>
            </w:tcBorders>
            <w:gridSpan w:val="4"/>
          </w:tcPr>
          <w:p>
            <w:pPr>
              <w:jc w:val="center"/>
              <w:ind w:left="134"/>
              <w:spacing w:after="0"/>
              <w:rPr>
                <w:sz w:val="20"/>
                <w:szCs w:val="20"/>
                <w:color w:val="auto"/>
              </w:rPr>
            </w:pPr>
            <w:r>
              <w:rPr>
                <w:rFonts w:ascii="Arial" w:cs="Arial" w:eastAsia="Arial" w:hAnsi="Arial"/>
                <w:sz w:val="18"/>
                <w:szCs w:val="18"/>
                <w:color w:val="auto"/>
                <w:w w:val="86"/>
              </w:rPr>
              <w:t>0.30%</w:t>
            </w:r>
          </w:p>
        </w:tc>
      </w:tr>
      <w:tr>
        <w:trPr>
          <w:trHeight w:val="216"/>
        </w:trPr>
        <w:tc>
          <w:tcPr>
            <w:tcW w:w="68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Mortgage</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0.06%</w:t>
            </w:r>
          </w:p>
        </w:tc>
        <w:tc>
          <w:tcPr>
            <w:tcW w:w="820" w:type="dxa"/>
            <w:vAlign w:val="bottom"/>
            <w:gridSpan w:val="2"/>
            <w:shd w:val="clear" w:color="auto" w:fill="CCEEFF"/>
          </w:tcPr>
          <w:p>
            <w:pPr>
              <w:jc w:val="center"/>
              <w:ind w:left="255"/>
              <w:spacing w:after="0"/>
              <w:rPr>
                <w:sz w:val="20"/>
                <w:szCs w:val="20"/>
                <w:color w:val="auto"/>
              </w:rPr>
            </w:pPr>
            <w:r>
              <w:rPr>
                <w:rFonts w:ascii="Arial" w:cs="Arial" w:eastAsia="Arial" w:hAnsi="Arial"/>
                <w:sz w:val="18"/>
                <w:szCs w:val="18"/>
                <w:color w:val="auto"/>
                <w:w w:val="86"/>
              </w:rPr>
              <w:t>0.12%</w:t>
            </w:r>
          </w:p>
        </w:tc>
        <w:tc>
          <w:tcPr>
            <w:tcW w:w="80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0.04%</w:t>
            </w:r>
          </w:p>
        </w:tc>
        <w:tc>
          <w:tcPr>
            <w:tcW w:w="1000" w:type="dxa"/>
            <w:vAlign w:val="bottom"/>
            <w:tcBorders>
              <w:right w:val="single" w:sz="8" w:color="auto"/>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0.20%</w:t>
            </w:r>
          </w:p>
        </w:tc>
        <w:tc>
          <w:tcPr>
            <w:tcW w:w="1500" w:type="dxa"/>
            <w:vAlign w:val="bottom"/>
            <w:tcBorders>
              <w:right w:val="single" w:sz="8" w:color="auto"/>
            </w:tcBorders>
            <w:gridSpan w:val="4"/>
            <w:shd w:val="clear" w:color="auto" w:fill="CCEEFF"/>
          </w:tcPr>
          <w:p>
            <w:pPr>
              <w:jc w:val="center"/>
              <w:ind w:left="134"/>
              <w:spacing w:after="0"/>
              <w:rPr>
                <w:sz w:val="20"/>
                <w:szCs w:val="20"/>
                <w:color w:val="auto"/>
              </w:rPr>
            </w:pPr>
            <w:r>
              <w:rPr>
                <w:rFonts w:ascii="Arial" w:cs="Arial" w:eastAsia="Arial" w:hAnsi="Arial"/>
                <w:sz w:val="18"/>
                <w:szCs w:val="18"/>
                <w:color w:val="auto"/>
                <w:w w:val="86"/>
              </w:rPr>
              <w:t>0.42%</w:t>
            </w:r>
          </w:p>
        </w:tc>
      </w:tr>
      <w:tr>
        <w:trPr>
          <w:trHeight w:val="216"/>
        </w:trPr>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Prime Mortgage</w:t>
            </w: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0.02%</w:t>
            </w:r>
          </w:p>
        </w:tc>
        <w:tc>
          <w:tcPr>
            <w:tcW w:w="820" w:type="dxa"/>
            <w:vAlign w:val="bottom"/>
            <w:gridSpan w:val="2"/>
          </w:tcPr>
          <w:p>
            <w:pPr>
              <w:jc w:val="center"/>
              <w:ind w:left="255"/>
              <w:spacing w:after="0"/>
              <w:rPr>
                <w:sz w:val="20"/>
                <w:szCs w:val="20"/>
                <w:color w:val="auto"/>
              </w:rPr>
            </w:pPr>
            <w:r>
              <w:rPr>
                <w:rFonts w:ascii="Arial" w:cs="Arial" w:eastAsia="Arial" w:hAnsi="Arial"/>
                <w:sz w:val="18"/>
                <w:szCs w:val="18"/>
                <w:color w:val="auto"/>
                <w:w w:val="86"/>
              </w:rPr>
              <w:t>0.04%</w:t>
            </w:r>
          </w:p>
        </w:tc>
        <w:tc>
          <w:tcPr>
            <w:tcW w:w="80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0.02%</w:t>
            </w:r>
          </w:p>
        </w:tc>
        <w:tc>
          <w:tcPr>
            <w:tcW w:w="1000" w:type="dxa"/>
            <w:vAlign w:val="bottom"/>
            <w:tcBorders>
              <w:right w:val="single" w:sz="8" w:color="auto"/>
            </w:tcBorders>
            <w:gridSpan w:val="5"/>
          </w:tcPr>
          <w:p>
            <w:pPr>
              <w:jc w:val="right"/>
              <w:ind w:right="200"/>
              <w:spacing w:after="0"/>
              <w:rPr>
                <w:sz w:val="20"/>
                <w:szCs w:val="20"/>
                <w:color w:val="auto"/>
              </w:rPr>
            </w:pPr>
            <w:r>
              <w:rPr>
                <w:rFonts w:ascii="Arial" w:cs="Arial" w:eastAsia="Arial" w:hAnsi="Arial"/>
                <w:sz w:val="18"/>
                <w:szCs w:val="18"/>
                <w:color w:val="auto"/>
              </w:rPr>
              <w:t>0.06%</w:t>
            </w:r>
          </w:p>
        </w:tc>
        <w:tc>
          <w:tcPr>
            <w:tcW w:w="1500" w:type="dxa"/>
            <w:vAlign w:val="bottom"/>
            <w:tcBorders>
              <w:right w:val="single" w:sz="8" w:color="auto"/>
            </w:tcBorders>
            <w:gridSpan w:val="4"/>
          </w:tcPr>
          <w:p>
            <w:pPr>
              <w:jc w:val="center"/>
              <w:ind w:left="134"/>
              <w:spacing w:after="0"/>
              <w:rPr>
                <w:sz w:val="20"/>
                <w:szCs w:val="20"/>
                <w:color w:val="auto"/>
              </w:rPr>
            </w:pPr>
            <w:r>
              <w:rPr>
                <w:rFonts w:ascii="Arial" w:cs="Arial" w:eastAsia="Arial" w:hAnsi="Arial"/>
                <w:sz w:val="18"/>
                <w:szCs w:val="18"/>
                <w:color w:val="auto"/>
                <w:w w:val="86"/>
              </w:rPr>
              <w:t>0.08%</w:t>
            </w:r>
          </w:p>
        </w:tc>
      </w:tr>
      <w:tr>
        <w:trPr>
          <w:trHeight w:val="216"/>
        </w:trPr>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Sub-Prime Mortgage</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0.16%</w:t>
            </w:r>
          </w:p>
        </w:tc>
        <w:tc>
          <w:tcPr>
            <w:tcW w:w="820" w:type="dxa"/>
            <w:vAlign w:val="bottom"/>
            <w:gridSpan w:val="2"/>
            <w:shd w:val="clear" w:color="auto" w:fill="CCEEFF"/>
          </w:tcPr>
          <w:p>
            <w:pPr>
              <w:jc w:val="center"/>
              <w:ind w:left="255"/>
              <w:spacing w:after="0"/>
              <w:rPr>
                <w:sz w:val="20"/>
                <w:szCs w:val="20"/>
                <w:color w:val="auto"/>
              </w:rPr>
            </w:pPr>
            <w:r>
              <w:rPr>
                <w:rFonts w:ascii="Arial" w:cs="Arial" w:eastAsia="Arial" w:hAnsi="Arial"/>
                <w:sz w:val="18"/>
                <w:szCs w:val="18"/>
                <w:color w:val="auto"/>
                <w:w w:val="86"/>
              </w:rPr>
              <w:t>0.31%</w:t>
            </w:r>
          </w:p>
        </w:tc>
        <w:tc>
          <w:tcPr>
            <w:tcW w:w="80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0.11%</w:t>
            </w:r>
          </w:p>
        </w:tc>
        <w:tc>
          <w:tcPr>
            <w:tcW w:w="1000" w:type="dxa"/>
            <w:vAlign w:val="bottom"/>
            <w:tcBorders>
              <w:right w:val="single" w:sz="8" w:color="auto"/>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0.61%</w:t>
            </w:r>
          </w:p>
        </w:tc>
        <w:tc>
          <w:tcPr>
            <w:tcW w:w="1500" w:type="dxa"/>
            <w:vAlign w:val="bottom"/>
            <w:tcBorders>
              <w:right w:val="single" w:sz="8" w:color="auto"/>
            </w:tcBorders>
            <w:gridSpan w:val="4"/>
            <w:shd w:val="clear" w:color="auto" w:fill="CCEEFF"/>
          </w:tcPr>
          <w:p>
            <w:pPr>
              <w:jc w:val="center"/>
              <w:ind w:left="134"/>
              <w:spacing w:after="0"/>
              <w:rPr>
                <w:sz w:val="20"/>
                <w:szCs w:val="20"/>
                <w:color w:val="auto"/>
              </w:rPr>
            </w:pPr>
            <w:r>
              <w:rPr>
                <w:rFonts w:ascii="Arial" w:cs="Arial" w:eastAsia="Arial" w:hAnsi="Arial"/>
                <w:sz w:val="18"/>
                <w:szCs w:val="18"/>
                <w:color w:val="auto"/>
                <w:w w:val="86"/>
              </w:rPr>
              <w:t>1.00%</w:t>
            </w:r>
          </w:p>
        </w:tc>
      </w:tr>
      <w:tr>
        <w:trPr>
          <w:trHeight w:val="216"/>
        </w:trPr>
        <w:tc>
          <w:tcPr>
            <w:tcW w:w="6840" w:type="dxa"/>
            <w:vAlign w:val="bottom"/>
            <w:gridSpan w:val="3"/>
          </w:tcPr>
          <w:p>
            <w:pPr>
              <w:ind w:left="540"/>
              <w:spacing w:after="0"/>
              <w:rPr>
                <w:sz w:val="20"/>
                <w:szCs w:val="20"/>
                <w:color w:val="auto"/>
              </w:rPr>
            </w:pPr>
            <w:r>
              <w:rPr>
                <w:rFonts w:ascii="Arial" w:cs="Arial" w:eastAsia="Arial" w:hAnsi="Arial"/>
                <w:sz w:val="18"/>
                <w:szCs w:val="18"/>
                <w:color w:val="auto"/>
              </w:rPr>
              <w:t>Auto Finance</w:t>
            </w: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0.54%</w:t>
            </w:r>
          </w:p>
        </w:tc>
        <w:tc>
          <w:tcPr>
            <w:tcW w:w="820" w:type="dxa"/>
            <w:vAlign w:val="bottom"/>
            <w:gridSpan w:val="2"/>
          </w:tcPr>
          <w:p>
            <w:pPr>
              <w:jc w:val="center"/>
              <w:ind w:left="255"/>
              <w:spacing w:after="0"/>
              <w:rPr>
                <w:sz w:val="20"/>
                <w:szCs w:val="20"/>
                <w:color w:val="auto"/>
              </w:rPr>
            </w:pPr>
            <w:r>
              <w:rPr>
                <w:rFonts w:ascii="Arial" w:cs="Arial" w:eastAsia="Arial" w:hAnsi="Arial"/>
                <w:sz w:val="18"/>
                <w:szCs w:val="18"/>
                <w:color w:val="auto"/>
                <w:w w:val="86"/>
              </w:rPr>
              <w:t>0.56%</w:t>
            </w:r>
          </w:p>
        </w:tc>
        <w:tc>
          <w:tcPr>
            <w:tcW w:w="80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0.66%</w:t>
            </w:r>
          </w:p>
        </w:tc>
        <w:tc>
          <w:tcPr>
            <w:tcW w:w="1000" w:type="dxa"/>
            <w:vAlign w:val="bottom"/>
            <w:tcBorders>
              <w:right w:val="single" w:sz="8" w:color="auto"/>
            </w:tcBorders>
            <w:gridSpan w:val="5"/>
          </w:tcPr>
          <w:p>
            <w:pPr>
              <w:jc w:val="right"/>
              <w:ind w:right="200"/>
              <w:spacing w:after="0"/>
              <w:rPr>
                <w:sz w:val="20"/>
                <w:szCs w:val="20"/>
                <w:color w:val="auto"/>
              </w:rPr>
            </w:pPr>
            <w:r>
              <w:rPr>
                <w:rFonts w:ascii="Arial" w:cs="Arial" w:eastAsia="Arial" w:hAnsi="Arial"/>
                <w:sz w:val="18"/>
                <w:szCs w:val="18"/>
                <w:color w:val="auto"/>
              </w:rPr>
              <w:t>0.75%</w:t>
            </w:r>
          </w:p>
        </w:tc>
        <w:tc>
          <w:tcPr>
            <w:tcW w:w="1500" w:type="dxa"/>
            <w:vAlign w:val="bottom"/>
            <w:tcBorders>
              <w:right w:val="single" w:sz="8" w:color="auto"/>
            </w:tcBorders>
            <w:gridSpan w:val="4"/>
          </w:tcPr>
          <w:p>
            <w:pPr>
              <w:jc w:val="center"/>
              <w:ind w:left="134"/>
              <w:spacing w:after="0"/>
              <w:rPr>
                <w:sz w:val="20"/>
                <w:szCs w:val="20"/>
                <w:color w:val="auto"/>
              </w:rPr>
            </w:pPr>
            <w:r>
              <w:rPr>
                <w:rFonts w:ascii="Arial" w:cs="Arial" w:eastAsia="Arial" w:hAnsi="Arial"/>
                <w:sz w:val="18"/>
                <w:szCs w:val="18"/>
                <w:color w:val="auto"/>
                <w:w w:val="86"/>
              </w:rPr>
              <w:t>0.75%</w:t>
            </w:r>
          </w:p>
        </w:tc>
      </w:tr>
      <w:tr>
        <w:trPr>
          <w:trHeight w:val="216"/>
        </w:trPr>
        <w:tc>
          <w:tcPr>
            <w:tcW w:w="68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Business Banking</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0.80%</w:t>
            </w:r>
          </w:p>
        </w:tc>
        <w:tc>
          <w:tcPr>
            <w:tcW w:w="820" w:type="dxa"/>
            <w:vAlign w:val="bottom"/>
            <w:tcBorders>
              <w:bottom w:val="single" w:sz="8" w:color="CCEEFF"/>
            </w:tcBorders>
            <w:gridSpan w:val="2"/>
            <w:shd w:val="clear" w:color="auto" w:fill="CCEEFF"/>
          </w:tcPr>
          <w:p>
            <w:pPr>
              <w:jc w:val="center"/>
              <w:ind w:left="255"/>
              <w:spacing w:after="0"/>
              <w:rPr>
                <w:sz w:val="20"/>
                <w:szCs w:val="20"/>
                <w:color w:val="auto"/>
              </w:rPr>
            </w:pPr>
            <w:r>
              <w:rPr>
                <w:rFonts w:ascii="Arial" w:cs="Arial" w:eastAsia="Arial" w:hAnsi="Arial"/>
                <w:sz w:val="18"/>
                <w:szCs w:val="18"/>
                <w:color w:val="auto"/>
                <w:w w:val="86"/>
              </w:rPr>
              <w:t>0.69%</w:t>
            </w:r>
          </w:p>
        </w:tc>
        <w:tc>
          <w:tcPr>
            <w:tcW w:w="800" w:type="dxa"/>
            <w:vAlign w:val="bottom"/>
            <w:tcBorders>
              <w:bottom w:val="single" w:sz="8" w:color="CCEEFF"/>
            </w:tcBorders>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1.01%</w:t>
            </w:r>
          </w:p>
        </w:tc>
        <w:tc>
          <w:tcPr>
            <w:tcW w:w="1000" w:type="dxa"/>
            <w:vAlign w:val="bottom"/>
            <w:tcBorders>
              <w:bottom w:val="single" w:sz="8" w:color="CCEEFF"/>
              <w:right w:val="single" w:sz="8" w:color="auto"/>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500" w:type="dxa"/>
            <w:vAlign w:val="bottom"/>
            <w:tcBorders>
              <w:bottom w:val="single" w:sz="8" w:color="auto"/>
              <w:right w:val="single" w:sz="8" w:color="auto"/>
            </w:tcBorders>
            <w:gridSpan w:val="4"/>
            <w:shd w:val="clear" w:color="auto" w:fill="CCEEFF"/>
          </w:tcPr>
          <w:p>
            <w:pPr>
              <w:jc w:val="center"/>
              <w:ind w:left="134"/>
              <w:spacing w:after="0"/>
              <w:rPr>
                <w:sz w:val="20"/>
                <w:szCs w:val="20"/>
                <w:color w:val="auto"/>
              </w:rPr>
            </w:pPr>
            <w:r>
              <w:rPr>
                <w:rFonts w:ascii="Arial" w:cs="Arial" w:eastAsia="Arial" w:hAnsi="Arial"/>
                <w:sz w:val="18"/>
                <w:szCs w:val="18"/>
                <w:color w:val="auto"/>
                <w:w w:val="86"/>
              </w:rPr>
              <w:t>1.30%</w:t>
            </w:r>
          </w:p>
        </w:tc>
      </w:tr>
      <w:tr>
        <w:trPr>
          <w:trHeight w:val="345"/>
        </w:trPr>
        <w:tc>
          <w:tcPr>
            <w:tcW w:w="92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($mm)</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2005</w:t>
            </w:r>
          </w:p>
        </w:tc>
        <w:tc>
          <w:tcPr>
            <w:tcW w:w="920" w:type="dxa"/>
            <w:vAlign w:val="bottom"/>
          </w:tcPr>
          <w:p>
            <w:pPr>
              <w:spacing w:after="0"/>
              <w:rPr>
                <w:sz w:val="24"/>
                <w:szCs w:val="24"/>
                <w:color w:val="auto"/>
              </w:rPr>
            </w:pPr>
          </w:p>
        </w:tc>
      </w:tr>
      <w:tr>
        <w:trPr>
          <w:trHeight w:val="210"/>
        </w:trPr>
        <w:tc>
          <w:tcPr>
            <w:tcW w:w="9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Change in allowance for credit losses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152</w:t>
            </w:r>
          </w:p>
        </w:tc>
        <w:tc>
          <w:tcPr>
            <w:tcW w:w="92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costs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$561</w:t>
            </w: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920" w:type="dxa"/>
            <w:vAlign w:val="bottom"/>
          </w:tcPr>
          <w:p>
            <w:pPr>
              <w:spacing w:after="0"/>
              <w:rPr>
                <w:sz w:val="18"/>
                <w:szCs w:val="18"/>
                <w:color w:val="auto"/>
              </w:rPr>
            </w:pPr>
          </w:p>
        </w:tc>
      </w:tr>
      <w:tr>
        <w:trPr>
          <w:trHeight w:val="358"/>
        </w:trPr>
        <w:tc>
          <w:tcPr>
            <w:tcW w:w="920" w:type="dxa"/>
            <w:vAlign w:val="bottom"/>
          </w:tcPr>
          <w:p>
            <w:pPr>
              <w:spacing w:after="0"/>
              <w:rPr>
                <w:sz w:val="24"/>
                <w:szCs w:val="24"/>
                <w:color w:val="auto"/>
              </w:rPr>
            </w:pPr>
          </w:p>
        </w:tc>
        <w:tc>
          <w:tcPr>
            <w:tcW w:w="5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Allowance for loan losses/loans</w:t>
            </w: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12/31/06</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Financial Services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920" w:type="dxa"/>
            <w:vAlign w:val="bottom"/>
          </w:tcPr>
          <w:p>
            <w:pPr>
              <w:spacing w:after="0"/>
              <w:rPr>
                <w:sz w:val="18"/>
                <w:szCs w:val="18"/>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r>
    </w:tbl>
    <w:p>
      <w:pPr>
        <w:spacing w:after="0" w:line="73" w:lineRule="exact"/>
        <w:rPr>
          <w:sz w:val="20"/>
          <w:szCs w:val="20"/>
          <w:color w:val="auto"/>
        </w:rPr>
      </w:pPr>
    </w:p>
    <w:p>
      <w:pPr>
        <w:ind w:left="460" w:right="460" w:hanging="452"/>
        <w:spacing w:after="0" w:line="314" w:lineRule="auto"/>
        <w:tabs>
          <w:tab w:leader="none" w:pos="460" w:val="left"/>
        </w:tabs>
        <w:numPr>
          <w:ilvl w:val="0"/>
          <w:numId w:val="171"/>
        </w:numPr>
        <w:rPr>
          <w:rFonts w:ascii="Arial" w:cs="Arial" w:eastAsia="Arial" w:hAnsi="Arial"/>
          <w:sz w:val="11"/>
          <w:szCs w:val="11"/>
          <w:color w:val="auto"/>
        </w:rPr>
      </w:pPr>
      <w:r>
        <w:rPr>
          <w:rFonts w:ascii="Arial" w:cs="Arial" w:eastAsia="Arial" w:hAnsi="Arial"/>
          <w:sz w:val="16"/>
          <w:szCs w:val="16"/>
          <w:color w:val="auto"/>
        </w:rPr>
        <w:t>Includes, beginning in 4Q06, a minimal amount of sub-prime home equity loans and lines of credit, which had been previously included in sub-prime mortgage; the through-the-cycle net charge-off rate has been modified to reflect the additional loans and lines of credit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Consumer 30-day delinquency trends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Prime mortgage</w:t>
      </w:r>
      <w:r>
        <w:rPr>
          <w:rFonts w:ascii="Arial" w:cs="Arial" w:eastAsia="Arial" w:hAnsi="Arial"/>
          <w:sz w:val="22"/>
          <w:szCs w:val="22"/>
          <w:color w:val="auto"/>
          <w:vertAlign w:val="superscript"/>
        </w:rPr>
        <w:t>¹</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3422015" cy="14579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2201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Sub-prime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576320" cy="1551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57632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Home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3464560" cy="15005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6456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Prime and sub-prime auto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1932305</wp:posOffset>
            </wp:positionV>
            <wp:extent cx="60007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3738880" cy="16205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73888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Note: Owned Portfolio basis</w:t>
      </w:r>
    </w:p>
    <w:p>
      <w:pPr>
        <w:spacing w:after="0" w:line="90"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Delinquency rate excludes government guaranteed mortgages</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Consumer sub-prime lending</w:t>
      </w:r>
      <w:r>
        <w:rPr>
          <w:rFonts w:ascii="Arial" w:cs="Arial" w:eastAsia="Arial" w:hAnsi="Arial"/>
          <w:sz w:val="22"/>
          <w:szCs w:val="22"/>
          <w:color w:val="auto"/>
          <w:vertAlign w:val="superscript"/>
        </w:rPr>
        <w:t>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2006 EOP outstandings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4793615" cy="20326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79361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2006 EOP outstandings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4004945" cy="170688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004945"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Operate in a limited way in sub-prime space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Established limits for Auto, Card and Real Estate which are reviewed annually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Mortgage is the majority of sub-prime portfolio, but exposure is being reduced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Sold most of 2006 sub-prime vintage production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4Q06 sub-prime mortgage portfolio of $13.2B includes $4.5B of loans classified as held-for-sale; expected to be sold in 1H07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0007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420"/>
          </w:cols>
          <w:pgMar w:left="240" w:top="307"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Designated as sub-prime at origination</w:t>
      </w:r>
    </w:p>
    <w:p>
      <w:pPr>
        <w:spacing w:after="0"/>
        <w:rPr>
          <w:sz w:val="20"/>
          <w:szCs w:val="20"/>
          <w:color w:val="auto"/>
        </w:rPr>
      </w:pPr>
      <w:r>
        <w:rPr>
          <w:rFonts w:ascii="Arial" w:cs="Arial" w:eastAsia="Arial" w:hAnsi="Arial"/>
          <w:sz w:val="15"/>
          <w:szCs w:val="15"/>
          <w:color w:val="auto"/>
        </w:rPr>
        <w:t>Includes $153B of managed credit card loans and $214B of owned retail loans</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Includes $144B of managed credit card loans and $206B of owned retail loans</w:t>
      </w:r>
    </w:p>
    <w:p>
      <w:pPr>
        <w:spacing w:after="0" w:line="207" w:lineRule="auto"/>
        <w:rPr>
          <w:sz w:val="20"/>
          <w:szCs w:val="20"/>
          <w:color w:val="auto"/>
        </w:rPr>
      </w:pPr>
      <w:r>
        <w:rPr>
          <w:rFonts w:ascii="Arial" w:cs="Arial" w:eastAsia="Arial" w:hAnsi="Arial"/>
          <w:sz w:val="18"/>
          <w:szCs w:val="18"/>
          <w:color w:val="auto"/>
        </w:rPr>
        <w:t>Includes $4.5B of loans classified as held-for-sale</w:t>
      </w:r>
    </w:p>
    <w:p>
      <w:pPr>
        <w:spacing w:after="0"/>
        <w:rPr>
          <w:sz w:val="20"/>
          <w:szCs w:val="20"/>
          <w:color w:val="auto"/>
        </w:rPr>
      </w:pPr>
      <w:r>
        <w:rPr>
          <w:rFonts w:ascii="Arial" w:cs="Arial" w:eastAsia="Arial" w:hAnsi="Arial"/>
          <w:sz w:val="18"/>
          <w:szCs w:val="18"/>
          <w:color w:val="auto"/>
        </w:rPr>
        <w:t>Includes $4.3B of loans classified as held-for-sale</w:t>
      </w:r>
    </w:p>
    <w:p>
      <w:pPr>
        <w:spacing w:after="0" w:line="130" w:lineRule="exact"/>
        <w:rPr>
          <w:sz w:val="20"/>
          <w:szCs w:val="20"/>
          <w:color w:val="auto"/>
        </w:rPr>
      </w:pPr>
    </w:p>
    <w:p>
      <w:pPr>
        <w:sectPr>
          <w:pgSz w:w="11900" w:h="16838" w:orient="portrait"/>
          <w:cols w:equalWidth="0" w:num="2">
            <w:col w:w="60" w:space="400"/>
            <w:col w:w="10960"/>
          </w:cols>
          <w:pgMar w:left="240" w:top="307" w:right="239" w:bottom="1440" w:gutter="0" w:footer="0" w:header="0"/>
          <w:type w:val="continuous"/>
        </w:sect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07" w:right="239" w:bottom="1440" w:gutter="0" w:footer="0" w:header="0"/>
          <w:type w:val="continuous"/>
        </w:sectPr>
      </w:pPr>
    </w:p>
    <w:bookmarkStart w:id="168" w:name="page169"/>
    <w:bookmarkEnd w:id="1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Home Equity Risk Profile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Home Equity as of year-end 2006</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3961765" cy="29845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961765"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hanging="332"/>
        <w:spacing w:after="0"/>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$21B of higher risk home equity portfolio, or 10% of total retail portfolio</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highest risk segment with FICO scores below 650 and LTV’s greater than 90% is only 2% of the home equity portfolio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Sub-Prime Mortgage Risk Profile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Sub-Prime Mortgage as of year-end 2006</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4570730" cy="27698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570730"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hanging="332"/>
        <w:spacing w:after="0"/>
        <w:tabs>
          <w:tab w:leader="none" w:pos="3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Sub-prime mortgage loss severities have begun to increase and 2006 vintage delinquency is higher than 2005 and 2004 at similar loan ages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$5B of higher-risk sub-prime mortgage, or 2% of total retail portfolio</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highest risk segment with FICO scores below 600 and LTV’s greater than 90% is only 2% of the sub-prime mortgage portfolio</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negative amortization mortgages, option ARMs or 50-year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Retail Financial Services – roadmap to target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31840" cy="27870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831840" cy="278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targets and 2007 outlook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Performance targets</w:t>
      </w:r>
    </w:p>
    <w:p>
      <w:pPr>
        <w:spacing w:after="0" w:line="90" w:lineRule="exact"/>
        <w:rPr>
          <w:sz w:val="20"/>
          <w:szCs w:val="20"/>
          <w:color w:val="auto"/>
        </w:rPr>
      </w:pPr>
    </w:p>
    <w:p>
      <w:pPr>
        <w:ind w:left="340" w:hanging="332"/>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Retail Financial Services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28-30% ROE with volatility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Strive to achieve by end of 2007</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50% Overhead Ratio (excl. CDI)</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Pressure from ramp-up in new builds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Regional Banking – 50% overhead ratio (excl. CDI)</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Mortgage Banking – 20%-30% ROE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Auto Finance – 15% ROE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2007 outlook</w:t>
      </w:r>
    </w:p>
    <w:p>
      <w:pPr>
        <w:spacing w:after="0" w:line="90" w:lineRule="exact"/>
        <w:rPr>
          <w:sz w:val="20"/>
          <w:szCs w:val="20"/>
          <w:color w:val="auto"/>
        </w:rPr>
      </w:pPr>
    </w:p>
    <w:p>
      <w:pPr>
        <w:ind w:left="340" w:hanging="332"/>
        <w:spacing w:after="0"/>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Net interest income up slightly from 4Q run-rate with balance growth offset by margin pressure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Noninterest revenue up from 4Q run-rate (adjusted for portfolio repositioning) driven by improved mortgage results and higher branch production</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Credit costs trend to more normal levels; continued weakness in sub-prime mortgage expected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Slight increase in expense from 4Q level with continued investment in build-out of distribution network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MARCH 6,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CORPORATE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Mike Cavanagh, CFO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Frank Bisignano, CAO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2821305" cy="2832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821305" cy="28321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($mm)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r>
      <w:tr>
        <w:trPr>
          <w:trHeight w:val="210"/>
        </w:trPr>
        <w:tc>
          <w:tcPr>
            <w:tcW w:w="960" w:type="dxa"/>
            <w:vAlign w:val="bottom"/>
            <w:tcBorders>
              <w:right w:val="single" w:sz="8" w:color="CCEEFF"/>
            </w:tcBorders>
          </w:tcPr>
          <w:p>
            <w:pPr>
              <w:spacing w:after="0"/>
              <w:rPr>
                <w:sz w:val="18"/>
                <w:szCs w:val="18"/>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Private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6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Treasury</w:t>
            </w:r>
          </w:p>
        </w:tc>
        <w:tc>
          <w:tcPr>
            <w:tcW w:w="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(560)</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(2,028)</w:t>
            </w:r>
          </w:p>
        </w:tc>
      </w:tr>
      <w:tr>
        <w:trPr>
          <w:trHeight w:val="216"/>
        </w:trPr>
        <w:tc>
          <w:tcPr>
            <w:tcW w:w="960" w:type="dxa"/>
            <w:vAlign w:val="bottom"/>
            <w:tcBorders>
              <w:right w:val="single" w:sz="8" w:color="CCEEFF"/>
            </w:tcBorders>
          </w:tcPr>
          <w:p>
            <w:pPr>
              <w:spacing w:after="0"/>
              <w:rPr>
                <w:sz w:val="18"/>
                <w:szCs w:val="18"/>
                <w:color w:val="auto"/>
              </w:rPr>
            </w:pPr>
          </w:p>
        </w:tc>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Corporate</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(2,128)</w:t>
            </w:r>
          </w:p>
        </w:tc>
      </w:tr>
      <w:tr>
        <w:trPr>
          <w:trHeight w:val="216"/>
        </w:trPr>
        <w:tc>
          <w:tcPr>
            <w:tcW w:w="960" w:type="dxa"/>
            <w:vAlign w:val="bottom"/>
          </w:tcPr>
          <w:p>
            <w:pPr>
              <w:spacing w:after="0"/>
              <w:rPr>
                <w:sz w:val="18"/>
                <w:szCs w:val="18"/>
                <w:color w:val="auto"/>
              </w:rPr>
            </w:pPr>
          </w:p>
        </w:tc>
        <w:tc>
          <w:tcPr>
            <w:tcW w:w="7980" w:type="dxa"/>
            <w:vAlign w:val="bottom"/>
          </w:tcPr>
          <w:p>
            <w:pPr>
              <w:ind w:left="400"/>
              <w:spacing w:after="0"/>
              <w:rPr>
                <w:sz w:val="20"/>
                <w:szCs w:val="20"/>
                <w:color w:val="auto"/>
              </w:rPr>
            </w:pPr>
            <w:r>
              <w:rPr>
                <w:rFonts w:ascii="Arial" w:cs="Arial" w:eastAsia="Arial" w:hAnsi="Arial"/>
                <w:sz w:val="18"/>
                <w:szCs w:val="18"/>
                <w:color w:val="auto"/>
              </w:rPr>
              <w:t>Merger Costs</w:t>
            </w:r>
          </w:p>
        </w:tc>
        <w:tc>
          <w:tcPr>
            <w:tcW w:w="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(189)</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(448)</w:t>
            </w:r>
          </w:p>
        </w:tc>
      </w:tr>
      <w:tr>
        <w:trPr>
          <w:trHeight w:val="216"/>
        </w:trPr>
        <w:tc>
          <w:tcPr>
            <w:tcW w:w="960" w:type="dxa"/>
            <w:vAlign w:val="bottom"/>
            <w:tcBorders>
              <w:right w:val="single" w:sz="8" w:color="CCEEFF"/>
            </w:tcBorders>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(3,783)</w:t>
            </w:r>
          </w:p>
        </w:tc>
      </w:tr>
      <w:tr>
        <w:trPr>
          <w:trHeight w:val="223"/>
        </w:trPr>
        <w:tc>
          <w:tcPr>
            <w:tcW w:w="960" w:type="dxa"/>
            <w:vAlign w:val="bottom"/>
          </w:tcPr>
          <w:p>
            <w:pPr>
              <w:spacing w:after="0"/>
              <w:rPr>
                <w:sz w:val="19"/>
                <w:szCs w:val="19"/>
                <w:color w:val="auto"/>
              </w:rPr>
            </w:pPr>
          </w:p>
        </w:tc>
        <w:tc>
          <w:tcPr>
            <w:tcW w:w="7980" w:type="dxa"/>
            <w:vAlign w:val="bottom"/>
          </w:tcPr>
          <w:p>
            <w:pPr>
              <w:spacing w:after="0" w:line="217" w:lineRule="exact"/>
              <w:rPr>
                <w:sz w:val="20"/>
                <w:szCs w:val="20"/>
                <w:color w:val="auto"/>
              </w:rPr>
            </w:pPr>
            <w:r>
              <w:rPr>
                <w:rFonts w:ascii="Arial" w:cs="Arial" w:eastAsia="Arial" w:hAnsi="Arial"/>
                <w:sz w:val="18"/>
                <w:szCs w:val="18"/>
                <w:color w:val="auto"/>
              </w:rPr>
              <w:t>Income from Discontinued Operations</w:t>
            </w:r>
            <w:r>
              <w:rPr>
                <w:rFonts w:ascii="Arial" w:cs="Arial" w:eastAsia="Arial" w:hAnsi="Arial"/>
                <w:sz w:val="22"/>
                <w:szCs w:val="22"/>
                <w:color w:val="auto"/>
                <w:vertAlign w:val="superscript"/>
              </w:rPr>
              <w:t>1</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9"/>
                <w:szCs w:val="19"/>
                <w:color w:val="auto"/>
              </w:rPr>
            </w:pPr>
          </w:p>
        </w:tc>
      </w:tr>
      <w:tr>
        <w:trPr>
          <w:trHeight w:val="216"/>
        </w:trPr>
        <w:tc>
          <w:tcPr>
            <w:tcW w:w="960" w:type="dxa"/>
            <w:vAlign w:val="bottom"/>
            <w:tcBorders>
              <w:right w:val="single" w:sz="8" w:color="CCEEFF"/>
            </w:tcBorders>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(3,554)</w:t>
            </w:r>
          </w:p>
        </w:tc>
      </w:tr>
      <w:tr>
        <w:trPr>
          <w:trHeight w:val="20"/>
        </w:trPr>
        <w:tc>
          <w:tcPr>
            <w:tcW w:w="9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73" w:lineRule="exact"/>
        <w:rPr>
          <w:sz w:val="20"/>
          <w:szCs w:val="20"/>
          <w:color w:val="auto"/>
        </w:rPr>
      </w:pPr>
    </w:p>
    <w:p>
      <w:pPr>
        <w:ind w:left="460" w:right="300" w:hanging="452"/>
        <w:spacing w:after="0" w:line="252" w:lineRule="auto"/>
        <w:tabs>
          <w:tab w:leader="none" w:pos="460" w:val="left"/>
        </w:tabs>
        <w:numPr>
          <w:ilvl w:val="0"/>
          <w:numId w:val="178"/>
        </w:numPr>
        <w:rPr>
          <w:rFonts w:ascii="Arial" w:cs="Arial" w:eastAsia="Arial" w:hAnsi="Arial"/>
          <w:sz w:val="11"/>
          <w:szCs w:val="11"/>
          <w:color w:val="auto"/>
        </w:rPr>
      </w:pPr>
      <w:r>
        <w:rPr>
          <w:rFonts w:ascii="Arial" w:cs="Arial" w:eastAsia="Arial" w:hAnsi="Arial"/>
          <w:sz w:val="18"/>
          <w:szCs w:val="18"/>
          <w:color w:val="auto"/>
        </w:rPr>
        <w:t>Discontinued operations include the income statement activity of selected corporate trust businesses sold to The Bank of New York on October 1, 2006. The fourth quarter of 2006 included an after-tax gain of $622 million related to the transaction.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Private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($mm)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2006</w:t>
            </w: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r>
      <w:tr>
        <w:trPr>
          <w:trHeight w:val="210"/>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Private Equity Gains</w:t>
            </w:r>
          </w:p>
        </w:tc>
        <w:tc>
          <w:tcPr>
            <w:tcW w:w="8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1,299</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1,691</w:t>
            </w:r>
          </w:p>
        </w:tc>
        <w:tc>
          <w:tcPr>
            <w:tcW w:w="1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EOP Private Equity Portfolio ($B)</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r>
      <w:tr>
        <w:trPr>
          <w:trHeight w:val="293"/>
        </w:trPr>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 xml:space="preserve">Private Equity as % of Common Equity less GW </w:t>
            </w:r>
            <w:r>
              <w:rPr>
                <w:rFonts w:ascii="Arial" w:cs="Arial" w:eastAsia="Arial" w:hAnsi="Arial"/>
                <w:sz w:val="22"/>
                <w:szCs w:val="22"/>
                <w:color w:val="auto"/>
                <w:vertAlign w:val="superscript"/>
              </w:rPr>
              <w:t>1</w:t>
            </w:r>
          </w:p>
        </w:tc>
        <w:tc>
          <w:tcPr>
            <w:tcW w:w="80" w:type="dxa"/>
            <w:vAlign w:val="bottom"/>
          </w:tcPr>
          <w:p>
            <w:pPr>
              <w:spacing w:after="0"/>
              <w:rPr>
                <w:sz w:val="24"/>
                <w:szCs w:val="2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32"/>
        </w:trPr>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7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9"/>
        </w:trPr>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1</w:t>
            </w:r>
          </w:p>
        </w:tc>
        <w:tc>
          <w:tcPr>
            <w:tcW w:w="8440" w:type="dxa"/>
            <w:vAlign w:val="bottom"/>
            <w:gridSpan w:val="3"/>
          </w:tcPr>
          <w:p>
            <w:pPr>
              <w:ind w:left="200"/>
              <w:spacing w:after="0"/>
              <w:rPr>
                <w:sz w:val="20"/>
                <w:szCs w:val="20"/>
                <w:color w:val="auto"/>
              </w:rPr>
            </w:pPr>
            <w:r>
              <w:rPr>
                <w:rFonts w:ascii="Arial" w:cs="Arial" w:eastAsia="Arial" w:hAnsi="Arial"/>
                <w:sz w:val="18"/>
                <w:szCs w:val="18"/>
                <w:color w:val="auto"/>
              </w:rPr>
              <w:t>Based on end-of-period balances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JPMP update</w:t>
      </w:r>
    </w:p>
    <w:p>
      <w:pPr>
        <w:spacing w:after="0" w:line="212" w:lineRule="exact"/>
        <w:rPr>
          <w:sz w:val="20"/>
          <w:szCs w:val="20"/>
          <w:color w:val="auto"/>
        </w:rPr>
      </w:pPr>
    </w:p>
    <w:p>
      <w:pPr>
        <w:ind w:left="340" w:hanging="332"/>
        <w:spacing w:after="0"/>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Spin off of JPMorgan Partners investment professionals completed on August 1, 2006</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h-JPMP professionals continue to manage JPM investments retained on our books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JPM has invested in new fund raised by h-JPMP professionals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OEP remains private equity investment arm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2007 Outlook</w:t>
      </w:r>
    </w:p>
    <w:p>
      <w:pPr>
        <w:spacing w:after="0" w:line="90" w:lineRule="exact"/>
        <w:rPr>
          <w:sz w:val="20"/>
          <w:szCs w:val="20"/>
          <w:color w:val="auto"/>
        </w:rPr>
      </w:pPr>
    </w:p>
    <w:p>
      <w:pPr>
        <w:ind w:left="340" w:hanging="332"/>
        <w:spacing w:after="0"/>
        <w:tabs>
          <w:tab w:leader="none" w:pos="3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Results will be market-driven and volatile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$1.3B in gains and $627mm in net income in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Private equity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039235" cy="206692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03923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Treasury and Corporate 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($mm)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4"/>
                <w:szCs w:val="14"/>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($ 560)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($ 2,028)</w:t>
            </w:r>
          </w:p>
        </w:tc>
      </w:tr>
      <w:tr>
        <w:trPr>
          <w:trHeight w:val="216"/>
        </w:trPr>
        <w:tc>
          <w:tcPr>
            <w:tcW w:w="920" w:type="dxa"/>
            <w:vAlign w:val="bottom"/>
          </w:tcPr>
          <w:p>
            <w:pPr>
              <w:spacing w:after="0"/>
              <w:rPr>
                <w:sz w:val="18"/>
                <w:szCs w:val="18"/>
                <w:color w:val="auto"/>
              </w:rPr>
            </w:pPr>
          </w:p>
        </w:tc>
        <w:tc>
          <w:tcPr>
            <w:tcW w:w="7860" w:type="dxa"/>
            <w:vAlign w:val="bottom"/>
          </w:tcPr>
          <w:p>
            <w:pPr>
              <w:ind w:left="440"/>
              <w:spacing w:after="0"/>
              <w:rPr>
                <w:sz w:val="20"/>
                <w:szCs w:val="20"/>
                <w:color w:val="auto"/>
              </w:rPr>
            </w:pPr>
            <w:r>
              <w:rPr>
                <w:rFonts w:ascii="Arial" w:cs="Arial" w:eastAsia="Arial" w:hAnsi="Arial"/>
                <w:sz w:val="18"/>
                <w:szCs w:val="18"/>
                <w:color w:val="auto"/>
              </w:rPr>
              <w:t>Corporate Other</w:t>
            </w: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5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(2,128)</w:t>
            </w:r>
          </w:p>
        </w:tc>
      </w:tr>
      <w:tr>
        <w:trPr>
          <w:trHeight w:val="216"/>
        </w:trPr>
        <w:tc>
          <w:tcPr>
            <w:tcW w:w="9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Net Income</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($ 391)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($ 4,156)</w:t>
            </w:r>
          </w:p>
        </w:tc>
      </w:tr>
      <w:tr>
        <w:trPr>
          <w:trHeight w:val="222"/>
        </w:trPr>
        <w:tc>
          <w:tcPr>
            <w:tcW w:w="9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Avg Treasury Investment Portfolio ($B)</w:t>
            </w:r>
          </w:p>
        </w:tc>
        <w:tc>
          <w:tcPr>
            <w:tcW w:w="460" w:type="dxa"/>
            <w:vAlign w:val="bottom"/>
          </w:tcPr>
          <w:p>
            <w:pPr>
              <w:jc w:val="right"/>
              <w:spacing w:after="0"/>
              <w:rPr>
                <w:sz w:val="20"/>
                <w:szCs w:val="20"/>
                <w:color w:val="auto"/>
              </w:rPr>
            </w:pPr>
            <w:r>
              <w:rPr>
                <w:rFonts w:ascii="Arial" w:cs="Arial" w:eastAsia="Arial" w:hAnsi="Arial"/>
                <w:sz w:val="18"/>
                <w:szCs w:val="18"/>
                <w:color w:val="auto"/>
                <w:w w:val="87"/>
              </w:rPr>
              <w:t>$ 63.4</w:t>
            </w: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   46.5</w:t>
            </w:r>
          </w:p>
        </w:tc>
        <w:tc>
          <w:tcPr>
            <w:tcW w:w="60" w:type="dxa"/>
            <w:vAlign w:val="bottom"/>
          </w:tcPr>
          <w:p>
            <w:pPr>
              <w:spacing w:after="0"/>
              <w:rPr>
                <w:sz w:val="19"/>
                <w:szCs w:val="19"/>
                <w:color w:val="auto"/>
              </w:rPr>
            </w:pPr>
          </w:p>
        </w:tc>
      </w:tr>
      <w:tr>
        <w:trPr>
          <w:trHeight w:val="451"/>
        </w:trPr>
        <w:tc>
          <w:tcPr>
            <w:tcW w:w="8780" w:type="dxa"/>
            <w:vAlign w:val="bottom"/>
            <w:gridSpan w:val="2"/>
          </w:tcPr>
          <w:p>
            <w:pPr>
              <w:spacing w:after="0"/>
              <w:rPr>
                <w:sz w:val="20"/>
                <w:szCs w:val="20"/>
                <w:color w:val="auto"/>
              </w:rPr>
            </w:pPr>
            <w:r>
              <w:rPr>
                <w:rFonts w:ascii="Arial" w:cs="Arial" w:eastAsia="Arial" w:hAnsi="Arial"/>
                <w:sz w:val="18"/>
                <w:szCs w:val="18"/>
                <w:color w:val="auto"/>
              </w:rPr>
              <w:t>Adjusted net income ($mm)</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3"/>
        </w:trPr>
        <w:tc>
          <w:tcPr>
            <w:tcW w:w="9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24"/>
                <w:szCs w:val="24"/>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4"/>
                <w:szCs w:val="24"/>
                <w:color w:val="auto"/>
              </w:rPr>
            </w:pPr>
          </w:p>
        </w:tc>
      </w:tr>
      <w:tr>
        <w:trPr>
          <w:trHeight w:val="210"/>
        </w:trPr>
        <w:tc>
          <w:tcPr>
            <w:tcW w:w="9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$ 391)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$ 4,156)</w:t>
            </w:r>
          </w:p>
        </w:tc>
      </w:tr>
      <w:tr>
        <w:trPr>
          <w:trHeight w:val="223"/>
        </w:trPr>
        <w:tc>
          <w:tcPr>
            <w:tcW w:w="920" w:type="dxa"/>
            <w:vAlign w:val="bottom"/>
          </w:tcPr>
          <w:p>
            <w:pPr>
              <w:spacing w:after="0"/>
              <w:rPr>
                <w:sz w:val="19"/>
                <w:szCs w:val="19"/>
                <w:color w:val="auto"/>
              </w:rPr>
            </w:pPr>
          </w:p>
        </w:tc>
        <w:tc>
          <w:tcPr>
            <w:tcW w:w="7860" w:type="dxa"/>
            <w:vAlign w:val="bottom"/>
          </w:tcPr>
          <w:p>
            <w:pPr>
              <w:ind w:left="440"/>
              <w:spacing w:after="0" w:line="223" w:lineRule="exact"/>
              <w:rPr>
                <w:sz w:val="20"/>
                <w:szCs w:val="20"/>
                <w:color w:val="auto"/>
              </w:rPr>
            </w:pPr>
            <w:r>
              <w:rPr>
                <w:rFonts w:ascii="Arial" w:cs="Arial" w:eastAsia="Arial" w:hAnsi="Arial"/>
                <w:sz w:val="18"/>
                <w:szCs w:val="18"/>
                <w:color w:val="auto"/>
              </w:rPr>
              <w:t>Adjustments (after tax)</w:t>
            </w:r>
            <w:r>
              <w:rPr>
                <w:rFonts w:ascii="Arial" w:cs="Arial" w:eastAsia="Arial" w:hAnsi="Arial"/>
                <w:sz w:val="22"/>
                <w:szCs w:val="22"/>
                <w:color w:val="auto"/>
                <w:vertAlign w:val="superscript"/>
              </w:rPr>
              <w:t>1</w:t>
            </w:r>
          </w:p>
        </w:tc>
        <w:tc>
          <w:tcPr>
            <w:tcW w:w="4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 benefits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860" w:type="dxa"/>
            <w:vAlign w:val="bottom"/>
          </w:tcPr>
          <w:p>
            <w:pPr>
              <w:ind w:left="880"/>
              <w:spacing w:after="0"/>
              <w:rPr>
                <w:sz w:val="20"/>
                <w:szCs w:val="20"/>
                <w:color w:val="auto"/>
              </w:rPr>
            </w:pPr>
            <w:r>
              <w:rPr>
                <w:rFonts w:ascii="Arial" w:cs="Arial" w:eastAsia="Arial" w:hAnsi="Arial"/>
                <w:sz w:val="18"/>
                <w:szCs w:val="18"/>
                <w:color w:val="auto"/>
              </w:rPr>
              <w:t>Material litigation insurance recoveries/(charges)</w:t>
            </w:r>
          </w:p>
        </w:tc>
        <w:tc>
          <w:tcPr>
            <w:tcW w:w="460" w:type="dxa"/>
            <w:vAlign w:val="bottom"/>
          </w:tcPr>
          <w:p>
            <w:pPr>
              <w:jc w:val="right"/>
              <w:spacing w:after="0"/>
              <w:rPr>
                <w:sz w:val="20"/>
                <w:szCs w:val="20"/>
                <w:color w:val="auto"/>
              </w:rPr>
            </w:pPr>
            <w:r>
              <w:rPr>
                <w:rFonts w:ascii="Arial" w:cs="Arial" w:eastAsia="Arial" w:hAnsi="Arial"/>
                <w:sz w:val="18"/>
                <w:szCs w:val="18"/>
                <w:color w:val="auto"/>
              </w:rPr>
              <w:t>317</w:t>
            </w:r>
          </w:p>
        </w:tc>
        <w:tc>
          <w:tcPr>
            <w:tcW w:w="5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(1,590)</w:t>
            </w:r>
          </w:p>
        </w:tc>
      </w:tr>
      <w:tr>
        <w:trPr>
          <w:trHeight w:val="216"/>
        </w:trPr>
        <w:tc>
          <w:tcPr>
            <w:tcW w:w="920" w:type="dxa"/>
            <w:vAlign w:val="bottom"/>
          </w:tcPr>
          <w:p>
            <w:pPr>
              <w:spacing w:after="0"/>
              <w:rPr>
                <w:sz w:val="18"/>
                <w:szCs w:val="18"/>
                <w:color w:val="auto"/>
              </w:rPr>
            </w:pPr>
          </w:p>
        </w:tc>
        <w:tc>
          <w:tcPr>
            <w:tcW w:w="7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Gain on BrownCo</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860" w:type="dxa"/>
            <w:vAlign w:val="bottom"/>
          </w:tcPr>
          <w:p>
            <w:pPr>
              <w:ind w:left="880"/>
              <w:spacing w:after="0"/>
              <w:rPr>
                <w:sz w:val="20"/>
                <w:szCs w:val="20"/>
                <w:color w:val="auto"/>
              </w:rPr>
            </w:pPr>
            <w:r>
              <w:rPr>
                <w:rFonts w:ascii="Arial" w:cs="Arial" w:eastAsia="Arial" w:hAnsi="Arial"/>
                <w:sz w:val="18"/>
                <w:szCs w:val="18"/>
                <w:color w:val="auto"/>
              </w:rPr>
              <w:t>Accelerated vesting of options</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20" w:type="dxa"/>
            <w:vAlign w:val="bottom"/>
          </w:tcPr>
          <w:p>
            <w:pPr>
              <w:spacing w:after="0"/>
              <w:rPr>
                <w:sz w:val="18"/>
                <w:szCs w:val="18"/>
                <w:color w:val="auto"/>
              </w:rPr>
            </w:pPr>
          </w:p>
        </w:tc>
        <w:tc>
          <w:tcPr>
            <w:tcW w:w="7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MasterCard IPO gain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7860" w:type="dxa"/>
            <w:vAlign w:val="bottom"/>
          </w:tcPr>
          <w:p>
            <w:pPr>
              <w:ind w:left="880"/>
              <w:spacing w:after="0"/>
              <w:rPr>
                <w:sz w:val="20"/>
                <w:szCs w:val="20"/>
                <w:color w:val="auto"/>
              </w:rPr>
            </w:pPr>
            <w:r>
              <w:rPr>
                <w:rFonts w:ascii="Arial" w:cs="Arial" w:eastAsia="Arial" w:hAnsi="Arial"/>
                <w:sz w:val="18"/>
                <w:szCs w:val="18"/>
                <w:color w:val="auto"/>
              </w:rPr>
              <w:t>Treasury securities gains/(losses)</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(384)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(921)</w:t>
            </w:r>
          </w:p>
        </w:tc>
      </w:tr>
      <w:tr>
        <w:trPr>
          <w:trHeight w:val="27"/>
        </w:trPr>
        <w:tc>
          <w:tcPr>
            <w:tcW w:w="9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$ 755)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$ 2,362)</w:t>
            </w:r>
          </w:p>
        </w:tc>
      </w:tr>
      <w:tr>
        <w:trPr>
          <w:trHeight w:val="20"/>
        </w:trPr>
        <w:tc>
          <w:tcPr>
            <w:tcW w:w="9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2007 Outlook</w:t>
      </w:r>
    </w:p>
    <w:p>
      <w:pPr>
        <w:spacing w:after="0" w:line="90" w:lineRule="exact"/>
        <w:rPr>
          <w:sz w:val="20"/>
          <w:szCs w:val="20"/>
          <w:color w:val="auto"/>
        </w:rPr>
      </w:pPr>
    </w:p>
    <w:p>
      <w:pPr>
        <w:ind w:left="340" w:hanging="332"/>
        <w:spacing w:after="0"/>
        <w:tabs>
          <w:tab w:leader="none" w:pos="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Combined net loss excluding Treasury portfolio repositioning and one-time items improved from ($2.4)B in 2005 to ($750)mm in 2006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Expect combined net loss to be $50mm - $100mm per quarter in 2007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4064635" cy="23412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064635"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strength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in billions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12/31/06</w:t>
            </w:r>
          </w:p>
        </w:tc>
        <w:tc>
          <w:tcPr>
            <w:tcW w:w="60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12/31/05</w:t>
            </w:r>
          </w:p>
        </w:tc>
        <w:tc>
          <w:tcPr>
            <w:tcW w:w="140" w:type="dxa"/>
            <w:vAlign w:val="bottom"/>
          </w:tcPr>
          <w:p>
            <w:pPr>
              <w:spacing w:after="0"/>
              <w:rPr>
                <w:sz w:val="14"/>
                <w:szCs w:val="14"/>
                <w:color w:val="auto"/>
              </w:rPr>
            </w:pPr>
          </w:p>
        </w:tc>
      </w:tr>
      <w:tr>
        <w:trPr>
          <w:trHeight w:val="210"/>
        </w:trPr>
        <w:tc>
          <w:tcPr>
            <w:tcW w:w="552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Tangible Common Equity</w:t>
            </w:r>
            <w:r>
              <w:rPr>
                <w:rFonts w:ascii="Arial" w:cs="Arial" w:eastAsia="Arial" w:hAnsi="Arial"/>
                <w:sz w:val="22"/>
                <w:szCs w:val="22"/>
                <w:color w:val="auto"/>
                <w:vertAlign w:val="superscript"/>
              </w:rPr>
              <w:t>1</w:t>
            </w:r>
          </w:p>
        </w:tc>
        <w:tc>
          <w:tcPr>
            <w:tcW w:w="242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Common Shareholder’s Equity less Goodwill</w:t>
            </w:r>
          </w:p>
        </w:tc>
        <w:tc>
          <w:tcPr>
            <w:tcW w:w="2420" w:type="dxa"/>
            <w:vAlign w:val="bottom"/>
            <w:gridSpan w:val="2"/>
          </w:tcPr>
          <w:p>
            <w:pPr>
              <w:ind w:left="23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70.6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242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Risk Weighted Assets</w:t>
            </w:r>
          </w:p>
        </w:tc>
        <w:tc>
          <w:tcPr>
            <w:tcW w:w="2420" w:type="dxa"/>
            <w:vAlign w:val="bottom"/>
            <w:gridSpan w:val="2"/>
          </w:tcPr>
          <w:p>
            <w:pPr>
              <w:ind w:left="23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935.9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850.6</w:t>
            </w:r>
          </w:p>
        </w:tc>
        <w:tc>
          <w:tcPr>
            <w:tcW w:w="140" w:type="dxa"/>
            <w:vAlign w:val="bottom"/>
          </w:tcPr>
          <w:p>
            <w:pPr>
              <w:spacing w:after="0"/>
              <w:rPr>
                <w:sz w:val="19"/>
                <w:szCs w:val="19"/>
                <w:color w:val="auto"/>
              </w:rPr>
            </w:pPr>
          </w:p>
        </w:tc>
      </w:tr>
      <w:tr>
        <w:trPr>
          <w:trHeight w:val="102"/>
        </w:trPr>
        <w:tc>
          <w:tcPr>
            <w:tcW w:w="55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Ratio</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Total Capital Ratio</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93"/>
        </w:trPr>
        <w:tc>
          <w:tcPr>
            <w:tcW w:w="5520" w:type="dxa"/>
            <w:vAlign w:val="bottom"/>
          </w:tcPr>
          <w:p>
            <w:pPr>
              <w:spacing w:after="0"/>
              <w:rPr>
                <w:sz w:val="20"/>
                <w:szCs w:val="20"/>
                <w:color w:val="auto"/>
              </w:rPr>
            </w:pPr>
            <w:r>
              <w:rPr>
                <w:rFonts w:ascii="Arial" w:cs="Arial" w:eastAsia="Arial" w:hAnsi="Arial"/>
                <w:sz w:val="18"/>
                <w:szCs w:val="18"/>
                <w:color w:val="auto"/>
              </w:rPr>
              <w:t>TCE/Managed RWA</w:t>
            </w:r>
            <w:r>
              <w:rPr>
                <w:rFonts w:ascii="Arial" w:cs="Arial" w:eastAsia="Arial" w:hAnsi="Arial"/>
                <w:sz w:val="22"/>
                <w:szCs w:val="22"/>
                <w:color w:val="auto"/>
                <w:vertAlign w:val="superscript"/>
              </w:rPr>
              <w:t>1</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32"/>
        </w:trPr>
        <w:tc>
          <w:tcPr>
            <w:tcW w:w="55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5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ROTCE – Continuing Ops.</w:t>
            </w:r>
            <w:r>
              <w:rPr>
                <w:rFonts w:ascii="Arial" w:cs="Arial" w:eastAsia="Arial" w:hAnsi="Arial"/>
                <w:sz w:val="22"/>
                <w:szCs w:val="22"/>
                <w:color w:val="auto"/>
                <w:vertAlign w:val="superscript"/>
              </w:rPr>
              <w:t>1,2</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93"/>
        </w:trPr>
        <w:tc>
          <w:tcPr>
            <w:tcW w:w="5520" w:type="dxa"/>
            <w:vAlign w:val="bottom"/>
          </w:tcPr>
          <w:p>
            <w:pPr>
              <w:spacing w:after="0"/>
              <w:rPr>
                <w:sz w:val="20"/>
                <w:szCs w:val="20"/>
                <w:color w:val="auto"/>
              </w:rPr>
            </w:pPr>
            <w:r>
              <w:rPr>
                <w:rFonts w:ascii="Arial" w:cs="Arial" w:eastAsia="Arial" w:hAnsi="Arial"/>
                <w:sz w:val="18"/>
                <w:szCs w:val="18"/>
                <w:color w:val="auto"/>
              </w:rPr>
              <w:t>ROE Net of Goodwill – Continuing Ops.</w:t>
            </w:r>
            <w:r>
              <w:rPr>
                <w:rFonts w:ascii="Arial" w:cs="Arial" w:eastAsia="Arial" w:hAnsi="Arial"/>
                <w:sz w:val="22"/>
                <w:szCs w:val="22"/>
                <w:color w:val="auto"/>
                <w:vertAlign w:val="superscript"/>
              </w:rPr>
              <w:t>2</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w:t>
            </w:r>
          </w:p>
        </w:tc>
      </w:tr>
    </w:tbl>
    <w:p>
      <w:pPr>
        <w:spacing w:after="0" w:line="54" w:lineRule="exact"/>
        <w:rPr>
          <w:sz w:val="20"/>
          <w:szCs w:val="20"/>
          <w:color w:val="auto"/>
        </w:rPr>
      </w:pPr>
    </w:p>
    <w:p>
      <w:pPr>
        <w:ind w:left="340" w:hanging="332"/>
        <w:spacing w:after="0"/>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Repurchased 90.7mm shares for $3.9B in 2006</w:t>
      </w:r>
      <w:r>
        <w:rPr>
          <w:rFonts w:ascii="Arial" w:cs="Arial" w:eastAsia="Arial" w:hAnsi="Arial"/>
          <w:sz w:val="22"/>
          <w:szCs w:val="22"/>
          <w:color w:val="auto"/>
          <w:vertAlign w:val="superscript"/>
        </w:rPr>
        <w:t>3</w:t>
      </w:r>
    </w:p>
    <w:p>
      <w:pPr>
        <w:ind w:left="460" w:hanging="452"/>
        <w:spacing w:after="0" w:line="281" w:lineRule="auto"/>
        <w:tabs>
          <w:tab w:leader="none" w:pos="460" w:val="left"/>
        </w:tabs>
        <w:numPr>
          <w:ilvl w:val="0"/>
          <w:numId w:val="183"/>
        </w:numPr>
        <w:rPr>
          <w:rFonts w:ascii="Arial" w:cs="Arial" w:eastAsia="Arial" w:hAnsi="Arial"/>
          <w:sz w:val="10"/>
          <w:szCs w:val="10"/>
          <w:color w:val="auto"/>
        </w:rPr>
      </w:pPr>
      <w:r>
        <w:rPr>
          <w:rFonts w:ascii="Arial" w:cs="Arial" w:eastAsia="Arial" w:hAnsi="Arial"/>
          <w:sz w:val="15"/>
          <w:szCs w:val="15"/>
          <w:color w:val="auto"/>
        </w:rPr>
        <w:t>Tangible Common Equity is defined as common stockholders’ equity less identifiable intangible assets (other than MSRs) and goodwill. ROTCE is based on this calculation of TCE. TCE as used in the TCE/Managed RWA ratio, which is used for purposes of a capital strength calculation, is defined as common stockholders’ equity plus a portion of junior subordinated notes (which have certain equity-like characteristics due to their subordinated and long-term nature) less identifiable intangible assets (other than MSRs) and goodwill. The latter definition of TCE is used by the firm and some analysts and creditors of the firm when analyzing the firm’s capital strength. The TCE measures used in this presentation are not necessarily comparable to similarly titled</w:t>
      </w:r>
    </w:p>
    <w:p>
      <w:pPr>
        <w:ind w:left="460"/>
        <w:spacing w:after="0" w:line="207" w:lineRule="auto"/>
        <w:rPr>
          <w:sz w:val="20"/>
          <w:szCs w:val="20"/>
          <w:color w:val="auto"/>
        </w:rPr>
      </w:pPr>
      <w:r>
        <w:rPr>
          <w:rFonts w:ascii="Arial" w:cs="Arial" w:eastAsia="Arial" w:hAnsi="Arial"/>
          <w:sz w:val="18"/>
          <w:szCs w:val="18"/>
          <w:color w:val="auto"/>
        </w:rPr>
        <w:t>measures provided by other firms due to differences in calculation methodologies.</w:t>
      </w:r>
    </w:p>
    <w:p>
      <w:pPr>
        <w:ind w:left="460" w:hanging="452"/>
        <w:spacing w:after="0" w:line="203" w:lineRule="auto"/>
        <w:tabs>
          <w:tab w:leader="none" w:pos="460" w:val="left"/>
        </w:tabs>
        <w:numPr>
          <w:ilvl w:val="0"/>
          <w:numId w:val="184"/>
        </w:numPr>
        <w:rPr>
          <w:rFonts w:ascii="Arial" w:cs="Arial" w:eastAsia="Arial" w:hAnsi="Arial"/>
          <w:sz w:val="11"/>
          <w:szCs w:val="11"/>
          <w:color w:val="auto"/>
        </w:rPr>
      </w:pPr>
      <w:r>
        <w:rPr>
          <w:rFonts w:ascii="Arial" w:cs="Arial" w:eastAsia="Arial" w:hAnsi="Arial"/>
          <w:sz w:val="18"/>
          <w:szCs w:val="18"/>
          <w:color w:val="auto"/>
        </w:rPr>
        <w:t>ROTCE and ROE Net of Goodwill for 2005 and 2006</w:t>
      </w:r>
    </w:p>
    <w:p>
      <w:pPr>
        <w:spacing w:after="0" w:line="1"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1"/>
          <w:szCs w:val="11"/>
          <w:color w:val="auto"/>
        </w:rPr>
      </w:pPr>
      <w:r>
        <w:rPr>
          <w:rFonts w:ascii="Arial" w:cs="Arial" w:eastAsia="Arial" w:hAnsi="Arial"/>
          <w:sz w:val="18"/>
          <w:szCs w:val="18"/>
          <w:color w:val="auto"/>
        </w:rPr>
        <w:t>There is $5.2B remaining capacity under the $ 8B March 2006 Board authorization as of 12/31/06</w:t>
      </w:r>
    </w:p>
    <w:p>
      <w:pPr>
        <w:spacing w:after="0" w:line="130"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Accounting developments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1Q07 Accounting items preview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45401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ind w:left="280" w:hanging="272"/>
        <w:spacing w:after="0"/>
        <w:tabs>
          <w:tab w:leader="none" w:pos="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FIN 48 – Uncertain taxes</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SFAS 157 – Fair value measurement</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EITF 02-3 nullification</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Firm’s nonperformance risk</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Private equity</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Transaction-related costs</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SFS 159 – Fair value option</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Retrospective elections</w:t>
      </w:r>
    </w:p>
    <w:p>
      <w:pPr>
        <w:spacing w:after="0" w:line="90" w:lineRule="exact"/>
        <w:rPr>
          <w:rFonts w:ascii="Arial" w:cs="Arial" w:eastAsia="Arial" w:hAnsi="Arial"/>
          <w:sz w:val="18"/>
          <w:szCs w:val="18"/>
          <w:color w:val="auto"/>
        </w:rPr>
      </w:pPr>
    </w:p>
    <w:p>
      <w:pPr>
        <w:ind w:left="620" w:hanging="288"/>
        <w:spacing w:after="0"/>
        <w:tabs>
          <w:tab w:leader="none" w:pos="6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Prospective elections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49425" cy="1803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40"/>
        <w:spacing w:after="0"/>
        <w:tabs>
          <w:tab w:leader="none" w:pos="1480" w:val="left"/>
        </w:tabs>
        <w:rPr>
          <w:sz w:val="20"/>
          <w:szCs w:val="20"/>
          <w:color w:val="auto"/>
        </w:rPr>
      </w:pPr>
      <w:r>
        <w:rPr>
          <w:rFonts w:ascii="Arial" w:cs="Arial" w:eastAsia="Arial" w:hAnsi="Arial"/>
          <w:sz w:val="14"/>
          <w:szCs w:val="14"/>
          <w:b w:val="1"/>
          <w:bCs w:val="1"/>
          <w:color w:val="auto"/>
        </w:rPr>
        <w:t>P&amp;L impact</w:t>
      </w:r>
      <w:r>
        <w:rPr>
          <w:sz w:val="20"/>
          <w:szCs w:val="20"/>
          <w:color w:val="auto"/>
        </w:rPr>
        <w:tab/>
      </w:r>
      <w:r>
        <w:rPr>
          <w:rFonts w:ascii="Arial" w:cs="Arial" w:eastAsia="Arial" w:hAnsi="Arial"/>
          <w:sz w:val="12"/>
          <w:szCs w:val="12"/>
          <w:b w:val="1"/>
          <w:bCs w:val="1"/>
          <w:color w:val="auto"/>
        </w:rPr>
        <w:t>Equity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165544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jc w:val="center"/>
        <w:ind w:left="-959"/>
        <w:spacing w:after="0"/>
        <w:rPr>
          <w:sz w:val="20"/>
          <w:szCs w:val="20"/>
          <w:color w:val="auto"/>
        </w:rPr>
      </w:pPr>
      <w:r>
        <w:rPr>
          <w:rFonts w:ascii="Arial" w:cs="Arial" w:eastAsia="Arial" w:hAnsi="Arial"/>
          <w:sz w:val="18"/>
          <w:szCs w:val="18"/>
          <w:color w:val="auto"/>
        </w:rPr>
        <w:t>~ $400mm</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 $250mm after tax</w:t>
      </w:r>
    </w:p>
    <w:p>
      <w:pPr>
        <w:spacing w:after="0" w:line="200" w:lineRule="exact"/>
        <w:rPr>
          <w:sz w:val="20"/>
          <w:szCs w:val="20"/>
          <w:color w:val="auto"/>
        </w:rPr>
      </w:pPr>
    </w:p>
    <w:p>
      <w:pPr>
        <w:spacing w:after="0" w:line="397"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Tbd</w:t>
      </w:r>
    </w:p>
    <w:p>
      <w:pPr>
        <w:spacing w:after="0" w:line="15"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Tbd</w:t>
      </w:r>
    </w:p>
    <w:p>
      <w:pPr>
        <w:spacing w:after="0" w:line="9"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auto"/>
        </w:rPr>
        <w:t>No net impact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Tbd</w:t>
      </w:r>
    </w:p>
    <w:p>
      <w:pPr>
        <w:ind w:left="360"/>
        <w:spacing w:after="0"/>
        <w:rPr>
          <w:sz w:val="20"/>
          <w:szCs w:val="20"/>
          <w:color w:val="auto"/>
        </w:rPr>
      </w:pPr>
      <w:r>
        <w:rPr>
          <w:rFonts w:ascii="Arial" w:cs="Arial" w:eastAsia="Arial" w:hAnsi="Arial"/>
          <w:sz w:val="18"/>
          <w:szCs w:val="18"/>
          <w:color w:val="auto"/>
        </w:rPr>
        <w:t>Tbd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8100" w:space="720"/>
            <w:col w:w="2600"/>
          </w:cols>
          <w:pgMar w:left="240" w:top="280"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Corporate – Real Estate and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($mm)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7"/>
              </w:rPr>
              <w:t>Central Technology</w:t>
            </w:r>
          </w:p>
        </w:tc>
      </w:tr>
      <w:tr>
        <w:trPr>
          <w:trHeight w:val="161"/>
        </w:trPr>
        <w:tc>
          <w:tcPr>
            <w:tcW w:w="96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4"/>
                <w:szCs w:val="14"/>
                <w:color w:val="auto"/>
              </w:rPr>
            </w:pPr>
          </w:p>
        </w:tc>
        <w:tc>
          <w:tcPr>
            <w:tcW w:w="13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&amp; Operations</w:t>
            </w:r>
          </w:p>
        </w:tc>
      </w:tr>
      <w:tr>
        <w:trPr>
          <w:trHeight w:val="142"/>
        </w:trPr>
        <w:tc>
          <w:tcPr>
            <w:tcW w:w="96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2006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96"/>
              </w:rPr>
              <w:t>2006</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2"/>
                <w:szCs w:val="12"/>
                <w:color w:val="auto"/>
              </w:rPr>
            </w:pPr>
          </w:p>
        </w:tc>
      </w:tr>
      <w:tr>
        <w:trPr>
          <w:trHeight w:val="210"/>
        </w:trPr>
        <w:tc>
          <w:tcPr>
            <w:tcW w:w="828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rPr>
              <w:t>Gross Expense</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2,638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2,605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4,235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4,460</w:t>
            </w:r>
          </w:p>
        </w:tc>
        <w:tc>
          <w:tcPr>
            <w:tcW w:w="60" w:type="dxa"/>
            <w:vAlign w:val="bottom"/>
            <w:shd w:val="clear" w:color="auto" w:fill="CCEEFF"/>
          </w:tcPr>
          <w:p>
            <w:pPr>
              <w:spacing w:after="0"/>
              <w:rPr>
                <w:sz w:val="18"/>
                <w:szCs w:val="18"/>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(2,381)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(2,334)</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(3,671)</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(3,593)</w:t>
            </w: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60" w:type="dxa"/>
            <w:vAlign w:val="bottom"/>
            <w:shd w:val="clear" w:color="auto" w:fill="CCEEFF"/>
          </w:tcPr>
          <w:p>
            <w:pPr>
              <w:spacing w:after="0"/>
              <w:rPr>
                <w:sz w:val="18"/>
                <w:szCs w:val="18"/>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7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73"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1"/>
          <w:szCs w:val="11"/>
          <w:color w:val="auto"/>
        </w:rPr>
      </w:pPr>
      <w:r>
        <w:rPr>
          <w:rFonts w:ascii="Arial" w:cs="Arial" w:eastAsia="Arial" w:hAnsi="Arial"/>
          <w:sz w:val="18"/>
          <w:szCs w:val="18"/>
          <w:color w:val="auto"/>
        </w:rPr>
        <w:t>Includes gains and losses on real estate dispositions and cost to carry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Real estate</w:t>
      </w:r>
    </w:p>
    <w:p>
      <w:pPr>
        <w:spacing w:after="0" w:line="90" w:lineRule="exact"/>
        <w:rPr>
          <w:sz w:val="20"/>
          <w:szCs w:val="20"/>
          <w:color w:val="auto"/>
        </w:rPr>
      </w:pPr>
    </w:p>
    <w:p>
      <w:pPr>
        <w:ind w:left="340" w:hanging="332"/>
        <w:spacing w:after="0"/>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Net reduction of 4mm sq. ft. from 71.4mm on 12/31/05 to 67.4mm on 12/31/06</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Shed 7mm sq. ft. of excess space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City consolidations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Pool sales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Invested in 3mm additional sq. ft. to support growth/infrastructure initiatives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Retail branches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Acquisitions (e.g., Bank of New York)</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Data centers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Central Technology &amp; Operations</w:t>
      </w:r>
    </w:p>
    <w:p>
      <w:pPr>
        <w:spacing w:after="0" w:line="90" w:lineRule="exact"/>
        <w:rPr>
          <w:sz w:val="20"/>
          <w:szCs w:val="20"/>
          <w:color w:val="auto"/>
        </w:rPr>
      </w:pPr>
    </w:p>
    <w:p>
      <w:pPr>
        <w:ind w:left="340" w:hanging="332"/>
        <w:spacing w:after="0"/>
        <w:tabs>
          <w:tab w:leader="none" w:pos="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Substantial reduction in expense and headcount while supporting volume growth and new business initiatives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Consolidated data centers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Reduced headcount by 1,900 (10%)</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Continued focus on infrastructure utilization and cost per FTE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2007 JPMORGAN CHASE INVESTOR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49425" cy="1803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749425" cy="18034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lvl w:ilvl="1">
      <w:lvlJc w:val="left"/>
      <w:lvlText w:val="•"/>
      <w:numFmt w:val="bullet"/>
      <w:start w:val="1"/>
    </w:lvl>
  </w:abstractNum>
  <w:abstractNum w:abstractNumId="2">
    <w:nsid w:val="7055A5F5"/>
    <w:multiLevelType w:val="hybridMultilevel"/>
    <w:lvl w:ilvl="0">
      <w:lvlJc w:val="left"/>
      <w:lvlText w:val="•"/>
      <w:numFmt w:val="bullet"/>
      <w:start w:val="1"/>
    </w:lvl>
    <w:lvl w:ilvl="1">
      <w:lvlJc w:val="left"/>
      <w:lvlText w:val="•"/>
      <w:numFmt w:val="bullet"/>
      <w:start w:val="1"/>
    </w:lvl>
  </w:abstractNum>
  <w:abstractNum w:abstractNumId="3">
    <w:nsid w:val="5FB8370B"/>
    <w:multiLevelType w:val="hybridMultilevel"/>
    <w:lvl w:ilvl="0">
      <w:lvlJc w:val="left"/>
      <w:lvlText w:val="1"/>
      <w:numFmt w:val="bullet"/>
      <w:start w:val="1"/>
    </w:lvl>
  </w:abstractNum>
  <w:abstractNum w:abstractNumId="4">
    <w:nsid w:val="50801EE1"/>
    <w:multiLevelType w:val="hybridMultilevel"/>
    <w:lvl w:ilvl="0">
      <w:lvlJc w:val="left"/>
      <w:lvlText w:val="#"/>
      <w:numFmt w:val="bullet"/>
      <w:start w:val="1"/>
    </w:lvl>
    <w:lvl w:ilvl="1">
      <w:lvlJc w:val="left"/>
      <w:lvlText w:val="•"/>
      <w:numFmt w:val="bullet"/>
      <w:start w:val="1"/>
    </w:lvl>
  </w:abstractNum>
  <w:abstractNum w:abstractNumId="5">
    <w:nsid w:val="488AC1A"/>
    <w:multiLevelType w:val="hybridMultilevel"/>
    <w:lvl w:ilvl="0">
      <w:lvlJc w:val="left"/>
      <w:lvlText w:val="•"/>
      <w:numFmt w:val="bullet"/>
      <w:start w:val="1"/>
    </w:lvl>
  </w:abstractNum>
  <w:abstractNum w:abstractNumId="6">
    <w:nsid w:val="5FB8011C"/>
    <w:multiLevelType w:val="hybridMultilevel"/>
    <w:lvl w:ilvl="0">
      <w:lvlJc w:val="left"/>
      <w:lvlText w:val="•"/>
      <w:numFmt w:val="bullet"/>
      <w:start w:val="1"/>
    </w:lvl>
    <w:lvl w:ilvl="1">
      <w:lvlJc w:val="left"/>
      <w:lvlText w:val="•"/>
      <w:numFmt w:val="bullet"/>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
      <w:numFmt w:val="bullet"/>
      <w:start w:val="1"/>
    </w:lvl>
  </w:abstractNum>
  <w:abstractNum w:abstractNumId="9">
    <w:nsid w:val="6FC75AF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6A5F7029"/>
    <w:multiLevelType w:val="hybridMultilevel"/>
    <w:lvl w:ilvl="0">
      <w:lvlJc w:val="left"/>
      <w:lvlText w:val="•"/>
      <w:numFmt w:val="bullet"/>
      <w:start w:val="1"/>
    </w:lvl>
  </w:abstractNum>
  <w:abstractNum w:abstractNumId="11">
    <w:nsid w:val="7D5E18F8"/>
    <w:multiLevelType w:val="hybridMultilevel"/>
    <w:lvl w:ilvl="0">
      <w:lvlJc w:val="left"/>
      <w:lvlText w:val="•"/>
      <w:numFmt w:val="bullet"/>
      <w:start w:val="1"/>
    </w:lvl>
    <w:lvl w:ilvl="1">
      <w:lvlJc w:val="left"/>
      <w:lvlText w:val="•"/>
      <w:numFmt w:val="bullet"/>
      <w:start w:val="1"/>
    </w:lvl>
  </w:abstractNum>
  <w:abstractNum w:abstractNumId="12">
    <w:nsid w:val="5F3534A4"/>
    <w:multiLevelType w:val="hybridMultilevel"/>
    <w:lvl w:ilvl="0">
      <w:lvlJc w:val="left"/>
      <w:lvlText w:val="•"/>
      <w:numFmt w:val="bullet"/>
      <w:start w:val="1"/>
    </w:lvl>
  </w:abstractNum>
  <w:abstractNum w:abstractNumId="13">
    <w:nsid w:val="73A1821B"/>
    <w:multiLevelType w:val="hybridMultilevel"/>
    <w:lvl w:ilvl="0">
      <w:lvlJc w:val="left"/>
      <w:lvlText w:val="•"/>
      <w:numFmt w:val="bullet"/>
      <w:start w:val="1"/>
    </w:lvl>
  </w:abstractNum>
  <w:abstractNum w:abstractNumId="14">
    <w:nsid w:val="7DE67713"/>
    <w:multiLevelType w:val="hybridMultilevel"/>
    <w:lvl w:ilvl="0">
      <w:lvlJc w:val="left"/>
      <w:lvlText w:val="1"/>
      <w:numFmt w:val="bullet"/>
      <w:start w:val="1"/>
    </w:lvl>
  </w:abstractNum>
  <w:abstractNum w:abstractNumId="15">
    <w:nsid w:val="555C55B5"/>
    <w:multiLevelType w:val="hybridMultilevel"/>
    <w:lvl w:ilvl="0">
      <w:lvlJc w:val="left"/>
      <w:lvlText w:val="1"/>
      <w:numFmt w:val="bullet"/>
      <w:start w:val="1"/>
    </w:lvl>
  </w:abstractNum>
  <w:abstractNum w:abstractNumId="16">
    <w:nsid w:val="3FA62ACA"/>
    <w:multiLevelType w:val="hybridMultilevel"/>
    <w:lvl w:ilvl="0">
      <w:lvlJc w:val="left"/>
      <w:lvlText w:val="•"/>
      <w:numFmt w:val="bullet"/>
      <w:start w:val="1"/>
    </w:lvl>
  </w:abstractNum>
  <w:abstractNum w:abstractNumId="17">
    <w:nsid w:val="14FCE74E"/>
    <w:multiLevelType w:val="hybridMultilevel"/>
    <w:lvl w:ilvl="0">
      <w:lvlJc w:val="left"/>
      <w:lvlText w:val="1"/>
      <w:numFmt w:val="bullet"/>
      <w:start w:val="1"/>
    </w:lvl>
  </w:abstractNum>
  <w:abstractNum w:abstractNumId="18">
    <w:nsid w:val="6A3DD3E8"/>
    <w:multiLevelType w:val="hybridMultilevel"/>
    <w:lvl w:ilvl="0">
      <w:lvlJc w:val="left"/>
      <w:lvlText w:val="•"/>
      <w:numFmt w:val="bullet"/>
      <w:start w:val="1"/>
    </w:lvl>
  </w:abstractNum>
  <w:abstractNum w:abstractNumId="19">
    <w:nsid w:val="71C91298"/>
    <w:multiLevelType w:val="hybridMultilevel"/>
    <w:lvl w:ilvl="0">
      <w:lvlJc w:val="left"/>
      <w:lvlText w:val="%1"/>
      <w:numFmt w:val="decimal"/>
      <w:start w:val="1"/>
    </w:lvl>
    <w:lvl w:ilvl="1">
      <w:lvlJc w:val="left"/>
      <w:lvlText w:val="•"/>
      <w:numFmt w:val="bullet"/>
      <w:start w:val="1"/>
    </w:lvl>
  </w:abstractNum>
  <w:abstractNum w:abstractNumId="20">
    <w:nsid w:val="9DAF632"/>
    <w:multiLevelType w:val="hybridMultilevel"/>
    <w:lvl w:ilvl="0">
      <w:lvlJc w:val="left"/>
      <w:lvlText w:val="2"/>
      <w:numFmt w:val="bullet"/>
      <w:start w:val="1"/>
    </w:lvl>
  </w:abstractNum>
  <w:abstractNum w:abstractNumId="21">
    <w:nsid w:val="53299938"/>
    <w:multiLevelType w:val="hybridMultilevel"/>
    <w:lvl w:ilvl="0">
      <w:lvlJc w:val="left"/>
      <w:lvlText w:val="3"/>
      <w:numFmt w:val="bullet"/>
      <w:start w:val="1"/>
    </w:lvl>
  </w:abstractNum>
  <w:abstractNum w:abstractNumId="22">
    <w:nsid w:val="1FBFE8E0"/>
    <w:multiLevelType w:val="hybridMultilevel"/>
    <w:lvl w:ilvl="0">
      <w:lvlJc w:val="left"/>
      <w:lvlText w:val="•"/>
      <w:numFmt w:val="bullet"/>
      <w:start w:val="1"/>
    </w:lvl>
  </w:abstractNum>
  <w:abstractNum w:abstractNumId="23">
    <w:nsid w:val="5092CA79"/>
    <w:multiLevelType w:val="hybridMultilevel"/>
    <w:lvl w:ilvl="0">
      <w:lvlJc w:val="left"/>
      <w:lvlText w:val="•"/>
      <w:numFmt w:val="bullet"/>
      <w:start w:val="1"/>
    </w:lvl>
  </w:abstractNum>
  <w:abstractNum w:abstractNumId="24">
    <w:nsid w:val="1D545C4D"/>
    <w:multiLevelType w:val="hybridMultilevel"/>
    <w:lvl w:ilvl="0">
      <w:lvlJc w:val="left"/>
      <w:lvlText w:val="1"/>
      <w:numFmt w:val="bullet"/>
      <w:start w:val="1"/>
    </w:lvl>
  </w:abstractNum>
  <w:abstractNum w:abstractNumId="25">
    <w:nsid w:val="59ADEA3D"/>
    <w:multiLevelType w:val="hybridMultilevel"/>
    <w:lvl w:ilvl="0">
      <w:lvlJc w:val="left"/>
      <w:lvlText w:val="•"/>
      <w:numFmt w:val="bullet"/>
      <w:start w:val="1"/>
    </w:lvl>
    <w:lvl w:ilvl="1">
      <w:lvlJc w:val="left"/>
      <w:lvlText w:val="•"/>
      <w:numFmt w:val="bullet"/>
      <w:start w:val="1"/>
    </w:lvl>
  </w:abstractNum>
  <w:abstractNum w:abstractNumId="26">
    <w:nsid w:val="288F1A34"/>
    <w:multiLevelType w:val="hybridMultilevel"/>
    <w:lvl w:ilvl="0">
      <w:lvlJc w:val="left"/>
      <w:lvlText w:val="•"/>
      <w:numFmt w:val="bullet"/>
      <w:start w:val="1"/>
    </w:lvl>
  </w:abstractNum>
  <w:abstractNum w:abstractNumId="27">
    <w:nsid w:val="2A155DBC"/>
    <w:multiLevelType w:val="hybridMultilevel"/>
    <w:lvl w:ilvl="0">
      <w:lvlJc w:val="left"/>
      <w:lvlText w:val="•"/>
      <w:numFmt w:val="bullet"/>
      <w:start w:val="1"/>
    </w:lvl>
  </w:abstractNum>
  <w:abstractNum w:abstractNumId="28">
    <w:nsid w:val="1D9F6E5F"/>
    <w:multiLevelType w:val="hybridMultilevel"/>
    <w:lvl w:ilvl="0">
      <w:lvlJc w:val="left"/>
      <w:lvlText w:val="•"/>
      <w:numFmt w:val="bullet"/>
      <w:start w:val="1"/>
    </w:lvl>
    <w:lvl w:ilvl="1">
      <w:lvlJc w:val="left"/>
      <w:lvlText w:val="•"/>
      <w:numFmt w:val="bullet"/>
      <w:start w:val="1"/>
    </w:lvl>
  </w:abstractNum>
  <w:abstractNum w:abstractNumId="29">
    <w:nsid w:val="97E1B4E"/>
    <w:multiLevelType w:val="hybridMultilevel"/>
    <w:lvl w:ilvl="0">
      <w:lvlJc w:val="left"/>
      <w:lvlText w:val="1"/>
      <w:numFmt w:val="bullet"/>
      <w:start w:val="1"/>
    </w:lvl>
  </w:abstractNum>
  <w:abstractNum w:abstractNumId="30">
    <w:nsid w:val="51088277"/>
    <w:multiLevelType w:val="hybridMultilevel"/>
    <w:lvl w:ilvl="0">
      <w:lvlJc w:val="left"/>
      <w:lvlText w:val="%1."/>
      <w:numFmt w:val="decimal"/>
      <w:start w:val="1"/>
    </w:lvl>
  </w:abstractNum>
  <w:abstractNum w:abstractNumId="31">
    <w:nsid w:val="1CA0C5FA"/>
    <w:multiLevelType w:val="hybridMultilevel"/>
    <w:lvl w:ilvl="0">
      <w:lvlJc w:val="left"/>
      <w:lvlText w:val="•"/>
      <w:numFmt w:val="bullet"/>
      <w:start w:val="1"/>
    </w:lvl>
    <w:lvl w:ilvl="1">
      <w:lvlJc w:val="left"/>
      <w:lvlText w:val="•"/>
      <w:numFmt w:val="bullet"/>
      <w:start w:val="1"/>
    </w:lvl>
  </w:abstractNum>
  <w:abstractNum w:abstractNumId="32">
    <w:nsid w:val="53584BCB"/>
    <w:multiLevelType w:val="hybridMultilevel"/>
    <w:lvl w:ilvl="0">
      <w:lvlJc w:val="left"/>
      <w:lvlText w:val="•"/>
      <w:numFmt w:val="bullet"/>
      <w:start w:val="1"/>
    </w:lvl>
  </w:abstractNum>
  <w:abstractNum w:abstractNumId="33">
    <w:nsid w:val="415E286C"/>
    <w:multiLevelType w:val="hybridMultilevel"/>
    <w:lvl w:ilvl="0">
      <w:lvlJc w:val="left"/>
      <w:lvlText w:val="•"/>
      <w:numFmt w:val="bullet"/>
      <w:start w:val="1"/>
    </w:lvl>
    <w:lvl w:ilvl="1">
      <w:lvlJc w:val="left"/>
      <w:lvlText w:val="•"/>
      <w:numFmt w:val="bullet"/>
      <w:start w:val="1"/>
    </w:lvl>
  </w:abstractNum>
  <w:abstractNum w:abstractNumId="34">
    <w:nsid w:val="7C58FD05"/>
    <w:multiLevelType w:val="hybridMultilevel"/>
    <w:lvl w:ilvl="0">
      <w:lvlJc w:val="left"/>
      <w:lvlText w:val="•"/>
      <w:numFmt w:val="bullet"/>
      <w:start w:val="1"/>
    </w:lvl>
  </w:abstractNum>
  <w:abstractNum w:abstractNumId="35">
    <w:nsid w:val="23D86AAC"/>
    <w:multiLevelType w:val="hybridMultilevel"/>
    <w:lvl w:ilvl="0">
      <w:lvlJc w:val="left"/>
      <w:lvlText w:val="•"/>
      <w:numFmt w:val="bullet"/>
      <w:start w:val="1"/>
    </w:lvl>
  </w:abstractNum>
  <w:abstractNum w:abstractNumId="36">
    <w:nsid w:val="45E6D486"/>
    <w:multiLevelType w:val="hybridMultilevel"/>
    <w:lvl w:ilvl="0">
      <w:lvlJc w:val="left"/>
      <w:lvlText w:val="•"/>
      <w:numFmt w:val="bullet"/>
      <w:start w:val="1"/>
    </w:lvl>
  </w:abstractNum>
  <w:abstractNum w:abstractNumId="37">
    <w:nsid w:val="5C10FE21"/>
    <w:multiLevelType w:val="hybridMultilevel"/>
    <w:lvl w:ilvl="0">
      <w:lvlJc w:val="left"/>
      <w:lvlText w:val="•"/>
      <w:numFmt w:val="bullet"/>
      <w:start w:val="1"/>
    </w:lvl>
  </w:abstractNum>
  <w:abstractNum w:abstractNumId="38">
    <w:nsid w:val="E7FFA2B"/>
    <w:multiLevelType w:val="hybridMultilevel"/>
    <w:lvl w:ilvl="0">
      <w:lvlJc w:val="left"/>
      <w:lvlText w:val="•"/>
      <w:numFmt w:val="bullet"/>
      <w:start w:val="1"/>
    </w:lvl>
    <w:lvl w:ilvl="1">
      <w:lvlJc w:val="left"/>
      <w:lvlText w:val="•"/>
      <w:numFmt w:val="bullet"/>
      <w:start w:val="1"/>
    </w:lvl>
  </w:abstractNum>
  <w:abstractNum w:abstractNumId="39">
    <w:nsid w:val="3C5991AA"/>
    <w:multiLevelType w:val="hybridMultilevel"/>
    <w:lvl w:ilvl="0">
      <w:lvlJc w:val="left"/>
      <w:lvlText w:val="•"/>
      <w:numFmt w:val="bullet"/>
      <w:start w:val="1"/>
    </w:lvl>
    <w:lvl w:ilvl="1">
      <w:lvlJc w:val="left"/>
      <w:lvlText w:val="•"/>
      <w:numFmt w:val="bullet"/>
      <w:start w:val="1"/>
    </w:lvl>
  </w:abstractNum>
  <w:abstractNum w:abstractNumId="40">
    <w:nsid w:val="4BD8591A"/>
    <w:multiLevelType w:val="hybridMultilevel"/>
    <w:lvl w:ilvl="0">
      <w:lvlJc w:val="left"/>
      <w:lvlText w:val="•"/>
      <w:numFmt w:val="bullet"/>
      <w:start w:val="1"/>
    </w:lvl>
    <w:lvl w:ilvl="1">
      <w:lvlJc w:val="left"/>
      <w:lvlText w:val="•"/>
      <w:numFmt w:val="bullet"/>
      <w:start w:val="1"/>
    </w:lvl>
  </w:abstractNum>
  <w:abstractNum w:abstractNumId="41">
    <w:nsid w:val="78DF6A55"/>
    <w:multiLevelType w:val="hybridMultilevel"/>
    <w:lvl w:ilvl="0">
      <w:lvlJc w:val="left"/>
      <w:lvlText w:val="1"/>
      <w:numFmt w:val="bullet"/>
      <w:start w:val="1"/>
    </w:lvl>
  </w:abstractNum>
  <w:abstractNum w:abstractNumId="42">
    <w:nsid w:val="39B7AAA2"/>
    <w:multiLevelType w:val="hybridMultilevel"/>
    <w:lvl w:ilvl="0">
      <w:lvlJc w:val="left"/>
      <w:lvlText w:val="2"/>
      <w:numFmt w:val="bullet"/>
      <w:start w:val="1"/>
    </w:lvl>
  </w:abstractNum>
  <w:abstractNum w:abstractNumId="43">
    <w:nsid w:val="2B0D8DBE"/>
    <w:multiLevelType w:val="hybridMultilevel"/>
    <w:lvl w:ilvl="0">
      <w:lvlJc w:val="left"/>
      <w:lvlText w:val="•"/>
      <w:numFmt w:val="bullet"/>
      <w:start w:val="1"/>
    </w:lvl>
    <w:lvl w:ilvl="1">
      <w:lvlJc w:val="left"/>
      <w:lvlText w:val="•"/>
      <w:numFmt w:val="bullet"/>
      <w:start w:val="1"/>
    </w:lvl>
  </w:abstractNum>
  <w:abstractNum w:abstractNumId="44">
    <w:nsid w:val="6C80EC70"/>
    <w:multiLevelType w:val="hybridMultilevel"/>
    <w:lvl w:ilvl="0">
      <w:lvlJc w:val="left"/>
      <w:lvlText w:val="•"/>
      <w:numFmt w:val="bullet"/>
      <w:start w:val="1"/>
    </w:lvl>
    <w:lvl w:ilvl="1">
      <w:lvlJc w:val="left"/>
      <w:lvlText w:val="•"/>
      <w:numFmt w:val="bullet"/>
      <w:start w:val="1"/>
    </w:lvl>
  </w:abstractNum>
  <w:abstractNum w:abstractNumId="45">
    <w:nsid w:val="379E21B5"/>
    <w:multiLevelType w:val="hybridMultilevel"/>
    <w:lvl w:ilvl="0">
      <w:lvlJc w:val="left"/>
      <w:lvlText w:val="•"/>
      <w:numFmt w:val="bullet"/>
      <w:start w:val="1"/>
    </w:lvl>
  </w:abstractNum>
  <w:abstractNum w:abstractNumId="46">
    <w:nsid w:val="69E373"/>
    <w:multiLevelType w:val="hybridMultilevel"/>
    <w:lvl w:ilvl="0">
      <w:lvlJc w:val="left"/>
      <w:lvlText w:val="•"/>
      <w:numFmt w:val="bullet"/>
      <w:start w:val="1"/>
    </w:lvl>
  </w:abstractNum>
  <w:abstractNum w:abstractNumId="47">
    <w:nsid w:val="2C27173B"/>
    <w:multiLevelType w:val="hybridMultilevel"/>
    <w:lvl w:ilvl="0">
      <w:lvlJc w:val="left"/>
      <w:lvlText w:val="•"/>
      <w:numFmt w:val="bullet"/>
      <w:start w:val="1"/>
    </w:lvl>
    <w:lvl w:ilvl="1">
      <w:lvlJc w:val="left"/>
      <w:lvlText w:val="•"/>
      <w:numFmt w:val="bullet"/>
      <w:start w:val="1"/>
    </w:lvl>
  </w:abstractNum>
  <w:abstractNum w:abstractNumId="48">
    <w:nsid w:val="4C9B0904"/>
    <w:multiLevelType w:val="hybridMultilevel"/>
    <w:lvl w:ilvl="0">
      <w:lvlJc w:val="left"/>
      <w:lvlText w:val="1"/>
      <w:numFmt w:val="bullet"/>
      <w:start w:val="1"/>
    </w:lvl>
  </w:abstractNum>
  <w:abstractNum w:abstractNumId="49">
    <w:nsid w:val="6AA7B75C"/>
    <w:multiLevelType w:val="hybridMultilevel"/>
    <w:lvl w:ilvl="0">
      <w:lvlJc w:val="left"/>
      <w:lvlText w:val="•"/>
      <w:numFmt w:val="bullet"/>
      <w:start w:val="1"/>
    </w:lvl>
    <w:lvl w:ilvl="1">
      <w:lvlJc w:val="left"/>
      <w:lvlText w:val="•"/>
      <w:numFmt w:val="bullet"/>
      <w:start w:val="1"/>
    </w:lvl>
  </w:abstractNum>
  <w:abstractNum w:abstractNumId="50">
    <w:nsid w:val="1DF029D3"/>
    <w:multiLevelType w:val="hybridMultilevel"/>
    <w:lvl w:ilvl="0">
      <w:lvlJc w:val="left"/>
      <w:lvlText w:val="•"/>
      <w:numFmt w:val="bullet"/>
      <w:start w:val="1"/>
    </w:lvl>
  </w:abstractNum>
  <w:abstractNum w:abstractNumId="51">
    <w:nsid w:val="5675FF36"/>
    <w:multiLevelType w:val="hybridMultilevel"/>
    <w:lvl w:ilvl="0">
      <w:lvlJc w:val="left"/>
      <w:lvlText w:val="•"/>
      <w:numFmt w:val="bullet"/>
      <w:start w:val="1"/>
    </w:lvl>
  </w:abstractNum>
  <w:abstractNum w:abstractNumId="52">
    <w:nsid w:val="3DD15094"/>
    <w:multiLevelType w:val="hybridMultilevel"/>
    <w:lvl w:ilvl="0">
      <w:lvlJc w:val="left"/>
      <w:lvlText w:val="1"/>
      <w:numFmt w:val="bullet"/>
      <w:start w:val="1"/>
    </w:lvl>
  </w:abstractNum>
  <w:abstractNum w:abstractNumId="53">
    <w:nsid w:val="3DB012B3"/>
    <w:multiLevelType w:val="hybridMultilevel"/>
    <w:lvl w:ilvl="0">
      <w:lvlJc w:val="left"/>
      <w:lvlText w:val="•"/>
      <w:numFmt w:val="bullet"/>
      <w:start w:val="1"/>
    </w:lvl>
  </w:abstractNum>
  <w:abstractNum w:abstractNumId="54">
    <w:nsid w:val="2708C9AF"/>
    <w:multiLevelType w:val="hybridMultilevel"/>
    <w:lvl w:ilvl="0">
      <w:lvlJc w:val="left"/>
      <w:lvlText w:val="1"/>
      <w:numFmt w:val="bullet"/>
      <w:start w:val="1"/>
    </w:lvl>
  </w:abstractNum>
  <w:abstractNum w:abstractNumId="55">
    <w:nsid w:val="5B25ACE2"/>
    <w:multiLevelType w:val="hybridMultilevel"/>
    <w:lvl w:ilvl="0">
      <w:lvlJc w:val="left"/>
      <w:lvlText w:val="•"/>
      <w:numFmt w:val="bullet"/>
      <w:start w:val="1"/>
    </w:lvl>
    <w:lvl w:ilvl="1">
      <w:lvlJc w:val="left"/>
      <w:lvlText w:val="•"/>
      <w:numFmt w:val="bullet"/>
      <w:start w:val="1"/>
    </w:lvl>
  </w:abstractNum>
  <w:abstractNum w:abstractNumId="56">
    <w:nsid w:val="175DFCF0"/>
    <w:multiLevelType w:val="hybridMultilevel"/>
    <w:lvl w:ilvl="0">
      <w:lvlJc w:val="left"/>
      <w:lvlText w:val="•"/>
      <w:numFmt w:val="bullet"/>
      <w:start w:val="1"/>
    </w:lvl>
    <w:lvl w:ilvl="1">
      <w:lvlJc w:val="left"/>
      <w:lvlText w:val="•"/>
      <w:numFmt w:val="bullet"/>
      <w:start w:val="1"/>
    </w:lvl>
  </w:abstractNum>
  <w:abstractNum w:abstractNumId="57">
    <w:nsid w:val="4F97E3E4"/>
    <w:multiLevelType w:val="hybridMultilevel"/>
    <w:lvl w:ilvl="0">
      <w:lvlJc w:val="left"/>
      <w:lvlText w:val="•"/>
      <w:numFmt w:val="bullet"/>
      <w:start w:val="1"/>
    </w:lvl>
    <w:lvl w:ilvl="1">
      <w:lvlJc w:val="left"/>
      <w:lvlText w:val="•"/>
      <w:numFmt w:val="bullet"/>
      <w:start w:val="1"/>
    </w:lvl>
  </w:abstractNum>
  <w:abstractNum w:abstractNumId="58">
    <w:nsid w:val="53B0A9E"/>
    <w:multiLevelType w:val="hybridMultilevel"/>
    <w:lvl w:ilvl="0">
      <w:lvlJc w:val="left"/>
      <w:lvlText w:val="•"/>
      <w:numFmt w:val="bullet"/>
      <w:start w:val="1"/>
    </w:lvl>
  </w:abstractNum>
  <w:abstractNum w:abstractNumId="59">
    <w:nsid w:val="34FD6B4F"/>
    <w:multiLevelType w:val="hybridMultilevel"/>
    <w:lvl w:ilvl="0">
      <w:lvlJc w:val="left"/>
      <w:lvlText w:val="•"/>
      <w:numFmt w:val="bullet"/>
      <w:start w:val="1"/>
    </w:lvl>
  </w:abstractNum>
  <w:abstractNum w:abstractNumId="60">
    <w:nsid w:val="5915FF32"/>
    <w:multiLevelType w:val="hybridMultilevel"/>
    <w:lvl w:ilvl="0">
      <w:lvlJc w:val="left"/>
      <w:lvlText w:val="•"/>
      <w:numFmt w:val="bullet"/>
      <w:start w:val="1"/>
    </w:lvl>
  </w:abstractNum>
  <w:abstractNum w:abstractNumId="61">
    <w:nsid w:val="56438D15"/>
    <w:multiLevelType w:val="hybridMultilevel"/>
    <w:lvl w:ilvl="0">
      <w:lvlJc w:val="left"/>
      <w:lvlText w:val="1"/>
      <w:numFmt w:val="bullet"/>
      <w:start w:val="1"/>
    </w:lvl>
  </w:abstractNum>
  <w:abstractNum w:abstractNumId="62">
    <w:nsid w:val="519E3149"/>
    <w:multiLevelType w:val="hybridMultilevel"/>
    <w:lvl w:ilvl="0">
      <w:lvlJc w:val="left"/>
      <w:lvlText w:val="•"/>
      <w:numFmt w:val="bullet"/>
      <w:start w:val="1"/>
    </w:lvl>
    <w:lvl w:ilvl="1">
      <w:lvlJc w:val="left"/>
      <w:lvlText w:val="•"/>
      <w:numFmt w:val="bullet"/>
      <w:start w:val="1"/>
    </w:lvl>
  </w:abstractNum>
  <w:abstractNum w:abstractNumId="63">
    <w:nsid w:val="2C6E4AFD"/>
    <w:multiLevelType w:val="hybridMultilevel"/>
    <w:lvl w:ilvl="0">
      <w:lvlJc w:val="left"/>
      <w:lvlText w:val="•"/>
      <w:numFmt w:val="bullet"/>
      <w:start w:val="1"/>
    </w:lvl>
  </w:abstractNum>
  <w:abstractNum w:abstractNumId="64">
    <w:nsid w:val="17A1B582"/>
    <w:multiLevelType w:val="hybridMultilevel"/>
    <w:lvl w:ilvl="0">
      <w:lvlJc w:val="left"/>
      <w:lvlText w:val="•"/>
      <w:numFmt w:val="bullet"/>
      <w:start w:val="1"/>
    </w:lvl>
    <w:lvl w:ilvl="1">
      <w:lvlJc w:val="left"/>
      <w:lvlText w:val="•"/>
      <w:numFmt w:val="bullet"/>
      <w:start w:val="1"/>
    </w:lvl>
  </w:abstractNum>
  <w:abstractNum w:abstractNumId="65">
    <w:nsid w:val="4DF72E4E"/>
    <w:multiLevelType w:val="hybridMultilevel"/>
    <w:lvl w:ilvl="0">
      <w:lvlJc w:val="left"/>
      <w:lvlText w:val="•"/>
      <w:numFmt w:val="bullet"/>
      <w:start w:val="1"/>
    </w:lvl>
  </w:abstractNum>
  <w:abstractNum w:abstractNumId="66">
    <w:nsid w:val="5046B5A9"/>
    <w:multiLevelType w:val="hybridMultilevel"/>
    <w:lvl w:ilvl="0">
      <w:lvlJc w:val="left"/>
      <w:lvlText w:val="•"/>
      <w:numFmt w:val="bullet"/>
      <w:start w:val="1"/>
    </w:lvl>
  </w:abstractNum>
  <w:abstractNum w:abstractNumId="67">
    <w:nsid w:val="5D888A08"/>
    <w:multiLevelType w:val="hybridMultilevel"/>
    <w:lvl w:ilvl="0">
      <w:lvlJc w:val="left"/>
      <w:lvlText w:val="•"/>
      <w:numFmt w:val="bullet"/>
      <w:start w:val="1"/>
    </w:lvl>
    <w:lvl w:ilvl="1">
      <w:lvlJc w:val="left"/>
      <w:lvlText w:val="•"/>
      <w:numFmt w:val="bullet"/>
      <w:start w:val="1"/>
    </w:lvl>
  </w:abstractNum>
  <w:abstractNum w:abstractNumId="68">
    <w:nsid w:val="2A082C7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9">
    <w:nsid w:val="5EC6AFD4"/>
    <w:multiLevelType w:val="hybridMultilevel"/>
    <w:lvl w:ilvl="0">
      <w:lvlJc w:val="left"/>
      <w:lvlText w:val="•"/>
      <w:numFmt w:val="bullet"/>
      <w:start w:val="1"/>
    </w:lvl>
    <w:lvl w:ilvl="1">
      <w:lvlJc w:val="left"/>
      <w:lvlText w:val="•"/>
      <w:numFmt w:val="bullet"/>
      <w:start w:val="1"/>
    </w:lvl>
  </w:abstractNum>
  <w:abstractNum w:abstractNumId="70">
    <w:nsid w:val="19E21BB2"/>
    <w:multiLevelType w:val="hybridMultilevel"/>
    <w:lvl w:ilvl="0">
      <w:lvlJc w:val="left"/>
      <w:lvlText w:val="•"/>
      <w:numFmt w:val="bullet"/>
      <w:start w:val="1"/>
    </w:lvl>
  </w:abstractNum>
  <w:abstractNum w:abstractNumId="71">
    <w:nsid w:val="75E0858A"/>
    <w:multiLevelType w:val="hybridMultilevel"/>
    <w:lvl w:ilvl="0">
      <w:lvlJc w:val="left"/>
      <w:lvlText w:val="•"/>
      <w:numFmt w:val="bullet"/>
      <w:start w:val="1"/>
    </w:lvl>
  </w:abstractNum>
  <w:abstractNum w:abstractNumId="72">
    <w:nsid w:val="57A61A29"/>
    <w:multiLevelType w:val="hybridMultilevel"/>
    <w:lvl w:ilvl="0">
      <w:lvlJc w:val="left"/>
      <w:lvlText w:val="•"/>
      <w:numFmt w:val="bullet"/>
      <w:start w:val="1"/>
    </w:lvl>
    <w:lvl w:ilvl="1">
      <w:lvlJc w:val="left"/>
      <w:lvlText w:val="•"/>
      <w:numFmt w:val="bullet"/>
      <w:start w:val="1"/>
    </w:lvl>
  </w:abstractNum>
  <w:abstractNum w:abstractNumId="73">
    <w:nsid w:val="5399C654"/>
    <w:multiLevelType w:val="hybridMultilevel"/>
    <w:lvl w:ilvl="0">
      <w:lvlJc w:val="left"/>
      <w:lvlText w:val="•"/>
      <w:numFmt w:val="bullet"/>
      <w:start w:val="1"/>
    </w:lvl>
    <w:lvl w:ilvl="1">
      <w:lvlJc w:val="left"/>
      <w:lvlText w:val="•"/>
      <w:numFmt w:val="bullet"/>
      <w:start w:val="1"/>
    </w:lvl>
  </w:abstractNum>
  <w:abstractNum w:abstractNumId="74">
    <w:nsid w:val="20EE1348"/>
    <w:multiLevelType w:val="hybridMultilevel"/>
    <w:lvl w:ilvl="0">
      <w:lvlJc w:val="left"/>
      <w:lvlText w:val="•"/>
      <w:numFmt w:val="bullet"/>
      <w:start w:val="1"/>
    </w:lvl>
    <w:lvl w:ilvl="1">
      <w:lvlJc w:val="left"/>
      <w:lvlText w:val="•"/>
      <w:numFmt w:val="bullet"/>
      <w:start w:val="1"/>
    </w:lvl>
  </w:abstractNum>
  <w:abstractNum w:abstractNumId="75">
    <w:nsid w:val="4427069A"/>
    <w:multiLevelType w:val="hybridMultilevel"/>
    <w:lvl w:ilvl="0">
      <w:lvlJc w:val="left"/>
      <w:lvlText w:val="•"/>
      <w:numFmt w:val="bullet"/>
      <w:start w:val="1"/>
    </w:lvl>
    <w:lvl w:ilvl="1">
      <w:lvlJc w:val="left"/>
      <w:lvlText w:val="•"/>
      <w:numFmt w:val="bullet"/>
      <w:start w:val="1"/>
    </w:lvl>
  </w:abstractNum>
  <w:abstractNum w:abstractNumId="76">
    <w:nsid w:val="B37E80A"/>
    <w:multiLevelType w:val="hybridMultilevel"/>
    <w:lvl w:ilvl="0">
      <w:lvlJc w:val="left"/>
      <w:lvlText w:val="1"/>
      <w:numFmt w:val="bullet"/>
      <w:start w:val="1"/>
    </w:lvl>
  </w:abstractNum>
  <w:abstractNum w:abstractNumId="77">
    <w:nsid w:val="2157F6BC"/>
    <w:multiLevelType w:val="hybridMultilevel"/>
    <w:lvl w:ilvl="0">
      <w:lvlJc w:val="left"/>
      <w:lvlText w:val="•"/>
      <w:numFmt w:val="bullet"/>
      <w:start w:val="1"/>
    </w:lvl>
  </w:abstractNum>
  <w:abstractNum w:abstractNumId="78">
    <w:nsid w:val="704E1DD5"/>
    <w:multiLevelType w:val="hybridMultilevel"/>
    <w:lvl w:ilvl="0">
      <w:lvlJc w:val="left"/>
      <w:lvlText w:val="•"/>
      <w:numFmt w:val="bullet"/>
      <w:start w:val="1"/>
    </w:lvl>
    <w:lvl w:ilvl="1">
      <w:lvlJc w:val="left"/>
      <w:lvlText w:val="•"/>
      <w:numFmt w:val="bullet"/>
      <w:start w:val="1"/>
    </w:lvl>
  </w:abstractNum>
  <w:abstractNum w:abstractNumId="79">
    <w:nsid w:val="57D2F10E"/>
    <w:multiLevelType w:val="hybridMultilevel"/>
    <w:lvl w:ilvl="0">
      <w:lvlJc w:val="left"/>
      <w:lvlText w:val="•"/>
      <w:numFmt w:val="bullet"/>
      <w:start w:val="1"/>
    </w:lvl>
  </w:abstractNum>
  <w:abstractNum w:abstractNumId="80">
    <w:nsid w:val="BFFAE18"/>
    <w:multiLevelType w:val="hybridMultilevel"/>
    <w:lvl w:ilvl="0">
      <w:lvlJc w:val="left"/>
      <w:lvlText w:val="•"/>
      <w:numFmt w:val="bullet"/>
      <w:start w:val="1"/>
    </w:lvl>
    <w:lvl w:ilvl="1">
      <w:lvlJc w:val="left"/>
      <w:lvlText w:val="•"/>
      <w:numFmt w:val="bullet"/>
      <w:start w:val="1"/>
    </w:lvl>
  </w:abstractNum>
  <w:abstractNum w:abstractNumId="81">
    <w:nsid w:val="E3E47A8"/>
    <w:multiLevelType w:val="hybridMultilevel"/>
    <w:lvl w:ilvl="0">
      <w:lvlJc w:val="left"/>
      <w:lvlText w:val="•"/>
      <w:numFmt w:val="bullet"/>
      <w:start w:val="1"/>
    </w:lvl>
  </w:abstractNum>
  <w:abstractNum w:abstractNumId="82">
    <w:nsid w:val="2E48F044"/>
    <w:multiLevelType w:val="hybridMultilevel"/>
    <w:lvl w:ilvl="0">
      <w:lvlJc w:val="left"/>
      <w:lvlText w:val="•"/>
      <w:numFmt w:val="bullet"/>
      <w:start w:val="1"/>
    </w:lvl>
    <w:lvl w:ilvl="1">
      <w:lvlJc w:val="left"/>
      <w:lvlText w:val="•"/>
      <w:numFmt w:val="bullet"/>
      <w:start w:val="1"/>
    </w:lvl>
  </w:abstractNum>
  <w:abstractNum w:abstractNumId="83">
    <w:nsid w:val="49D0FEAC"/>
    <w:multiLevelType w:val="hybridMultilevel"/>
    <w:lvl w:ilvl="0">
      <w:lvlJc w:val="left"/>
      <w:lvlText w:val="•"/>
      <w:numFmt w:val="bullet"/>
      <w:start w:val="1"/>
    </w:lvl>
    <w:lvl w:ilvl="1">
      <w:lvlJc w:val="left"/>
      <w:lvlText w:val="•"/>
      <w:numFmt w:val="bullet"/>
      <w:start w:val="1"/>
    </w:lvl>
  </w:abstractNum>
  <w:abstractNum w:abstractNumId="84">
    <w:nsid w:val="4BEE5A5B"/>
    <w:multiLevelType w:val="hybridMultilevel"/>
    <w:lvl w:ilvl="0">
      <w:lvlJc w:val="left"/>
      <w:lvlText w:val="•"/>
      <w:numFmt w:val="bullet"/>
      <w:start w:val="1"/>
    </w:lvl>
  </w:abstractNum>
  <w:abstractNum w:abstractNumId="85">
    <w:nsid w:val="5551B9F3"/>
    <w:multiLevelType w:val="hybridMultilevel"/>
    <w:lvl w:ilvl="0">
      <w:lvlJc w:val="left"/>
      <w:lvlText w:val="•"/>
      <w:numFmt w:val="bullet"/>
      <w:start w:val="1"/>
    </w:lvl>
  </w:abstractNum>
  <w:abstractNum w:abstractNumId="86">
    <w:nsid w:val="24F6AB8E"/>
    <w:multiLevelType w:val="hybridMultilevel"/>
    <w:lvl w:ilvl="0">
      <w:lvlJc w:val="left"/>
      <w:lvlText w:val="•"/>
      <w:numFmt w:val="bullet"/>
      <w:start w:val="1"/>
    </w:lvl>
  </w:abstractNum>
  <w:abstractNum w:abstractNumId="87">
    <w:nsid w:val="634C574C"/>
    <w:multiLevelType w:val="hybridMultilevel"/>
    <w:lvl w:ilvl="0">
      <w:lvlJc w:val="left"/>
      <w:lvlText w:val="•"/>
      <w:numFmt w:val="bullet"/>
      <w:start w:val="1"/>
    </w:lvl>
  </w:abstractNum>
  <w:abstractNum w:abstractNumId="88">
    <w:nsid w:val="24E99DD7"/>
    <w:multiLevelType w:val="hybridMultilevel"/>
    <w:lvl w:ilvl="0">
      <w:lvlJc w:val="left"/>
      <w:lvlText w:val="1"/>
      <w:numFmt w:val="bullet"/>
      <w:start w:val="1"/>
    </w:lvl>
  </w:abstractNum>
  <w:abstractNum w:abstractNumId="89">
    <w:nsid w:val="2A31B62D"/>
    <w:multiLevelType w:val="hybridMultilevel"/>
    <w:lvl w:ilvl="0">
      <w:lvlJc w:val="left"/>
      <w:lvlText w:val="•"/>
      <w:numFmt w:val="bullet"/>
      <w:start w:val="1"/>
    </w:lvl>
  </w:abstractNum>
  <w:abstractNum w:abstractNumId="90">
    <w:nsid w:val="1849C29B"/>
    <w:multiLevelType w:val="hybridMultilevel"/>
    <w:lvl w:ilvl="0">
      <w:lvlJc w:val="left"/>
      <w:lvlText w:val="1"/>
      <w:numFmt w:val="bullet"/>
      <w:start w:val="1"/>
    </w:lvl>
  </w:abstractNum>
  <w:abstractNum w:abstractNumId="91">
    <w:nsid w:val="7DFF9D09"/>
    <w:multiLevelType w:val="hybridMultilevel"/>
    <w:lvl w:ilvl="0">
      <w:lvlJc w:val="left"/>
      <w:lvlText w:val="1"/>
      <w:numFmt w:val="bullet"/>
      <w:start w:val="1"/>
    </w:lvl>
  </w:abstractNum>
  <w:abstractNum w:abstractNumId="92">
    <w:nsid w:val="754342"/>
    <w:multiLevelType w:val="hybridMultilevel"/>
    <w:lvl w:ilvl="0">
      <w:lvlJc w:val="left"/>
      <w:lvlText w:val="•"/>
      <w:numFmt w:val="bullet"/>
      <w:start w:val="1"/>
    </w:lvl>
  </w:abstractNum>
  <w:abstractNum w:abstractNumId="93">
    <w:nsid w:val="69E7F3E5"/>
    <w:multiLevelType w:val="hybridMultilevel"/>
    <w:lvl w:ilvl="0">
      <w:lvlJc w:val="left"/>
      <w:lvlText w:val="•"/>
      <w:numFmt w:val="bullet"/>
      <w:start w:val="1"/>
    </w:lvl>
  </w:abstractNum>
  <w:abstractNum w:abstractNumId="94">
    <w:nsid w:val="2A6DE806"/>
    <w:multiLevelType w:val="hybridMultilevel"/>
    <w:lvl w:ilvl="0">
      <w:lvlJc w:val="left"/>
      <w:lvlText w:val="•"/>
      <w:numFmt w:val="bullet"/>
      <w:start w:val="1"/>
    </w:lvl>
  </w:abstractNum>
  <w:abstractNum w:abstractNumId="95">
    <w:nsid w:val="1816F8C4"/>
    <w:multiLevelType w:val="hybridMultilevel"/>
    <w:lvl w:ilvl="0">
      <w:lvlJc w:val="left"/>
      <w:lvlText w:val="1"/>
      <w:numFmt w:val="bullet"/>
      <w:start w:val="1"/>
    </w:lvl>
  </w:abstractNum>
  <w:abstractNum w:abstractNumId="96">
    <w:nsid w:val="37DF2233"/>
    <w:multiLevelType w:val="hybridMultilevel"/>
    <w:lvl w:ilvl="0">
      <w:lvlJc w:val="left"/>
      <w:lvlText w:val="•"/>
      <w:numFmt w:val="bullet"/>
      <w:start w:val="1"/>
    </w:lvl>
    <w:lvl w:ilvl="1">
      <w:lvlJc w:val="left"/>
      <w:lvlText w:val="•"/>
      <w:numFmt w:val="bullet"/>
      <w:start w:val="1"/>
    </w:lvl>
  </w:abstractNum>
  <w:abstractNum w:abstractNumId="97">
    <w:nsid w:val="7AB49DAF"/>
    <w:multiLevelType w:val="hybridMultilevel"/>
    <w:lvl w:ilvl="0">
      <w:lvlJc w:val="left"/>
      <w:lvlText w:val="•"/>
      <w:numFmt w:val="bullet"/>
      <w:start w:val="1"/>
    </w:lvl>
  </w:abstractNum>
  <w:abstractNum w:abstractNumId="98">
    <w:nsid w:val="759F82CD"/>
    <w:multiLevelType w:val="hybridMultilevel"/>
    <w:lvl w:ilvl="0">
      <w:lvlJc w:val="left"/>
      <w:lvlText w:val="•"/>
      <w:numFmt w:val="bullet"/>
      <w:start w:val="1"/>
    </w:lvl>
  </w:abstractNum>
  <w:abstractNum w:abstractNumId="99">
    <w:nsid w:val="61E74EA3"/>
    <w:multiLevelType w:val="hybridMultilevel"/>
    <w:lvl w:ilvl="0">
      <w:lvlJc w:val="left"/>
      <w:lvlText w:val="•"/>
      <w:numFmt w:val="bullet"/>
      <w:start w:val="1"/>
    </w:lvl>
  </w:abstractNum>
  <w:abstractNum w:abstractNumId="100">
    <w:nsid w:val="597B4D84"/>
    <w:multiLevelType w:val="hybridMultilevel"/>
    <w:lvl w:ilvl="0">
      <w:lvlJc w:val="left"/>
      <w:lvlText w:val="•"/>
      <w:numFmt w:val="bullet"/>
      <w:start w:val="1"/>
    </w:lvl>
  </w:abstractNum>
  <w:abstractNum w:abstractNumId="101">
    <w:nsid w:val="F819E7F"/>
    <w:multiLevelType w:val="hybridMultilevel"/>
    <w:lvl w:ilvl="0">
      <w:lvlJc w:val="left"/>
      <w:lvlText w:val="•"/>
      <w:numFmt w:val="bullet"/>
      <w:start w:val="1"/>
    </w:lvl>
  </w:abstractNum>
  <w:abstractNum w:abstractNumId="102">
    <w:nsid w:val="57C7D42D"/>
    <w:multiLevelType w:val="hybridMultilevel"/>
    <w:lvl w:ilvl="0">
      <w:lvlJc w:val="left"/>
      <w:lvlText w:val="•"/>
      <w:numFmt w:val="bullet"/>
      <w:start w:val="1"/>
    </w:lvl>
  </w:abstractNum>
  <w:abstractNum w:abstractNumId="103">
    <w:nsid w:val="312167AD"/>
    <w:multiLevelType w:val="hybridMultilevel"/>
    <w:lvl w:ilvl="0">
      <w:lvlJc w:val="left"/>
      <w:lvlText w:val="•"/>
      <w:numFmt w:val="bullet"/>
      <w:start w:val="1"/>
    </w:lvl>
  </w:abstractNum>
  <w:abstractNum w:abstractNumId="104">
    <w:nsid w:val="631B64D4"/>
    <w:multiLevelType w:val="hybridMultilevel"/>
    <w:lvl w:ilvl="0">
      <w:lvlJc w:val="left"/>
      <w:lvlText w:val="•"/>
      <w:numFmt w:val="bullet"/>
      <w:start w:val="1"/>
    </w:lvl>
    <w:lvl w:ilvl="1">
      <w:lvlJc w:val="left"/>
      <w:lvlText w:val="•"/>
      <w:numFmt w:val="bullet"/>
      <w:start w:val="1"/>
    </w:lvl>
  </w:abstractNum>
  <w:abstractNum w:abstractNumId="105">
    <w:nsid w:val="78B5E776"/>
    <w:multiLevelType w:val="hybridMultilevel"/>
    <w:lvl w:ilvl="0">
      <w:lvlJc w:val="left"/>
      <w:lvlText w:val="•"/>
      <w:numFmt w:val="bullet"/>
      <w:start w:val="1"/>
    </w:lvl>
  </w:abstractNum>
  <w:abstractNum w:abstractNumId="106">
    <w:nsid w:val="75486E47"/>
    <w:multiLevelType w:val="hybridMultilevel"/>
    <w:lvl w:ilvl="0">
      <w:lvlJc w:val="left"/>
      <w:lvlText w:val="•"/>
      <w:numFmt w:val="bullet"/>
      <w:start w:val="1"/>
    </w:lvl>
    <w:lvl w:ilvl="1">
      <w:lvlJc w:val="left"/>
      <w:lvlText w:val="•"/>
      <w:numFmt w:val="bullet"/>
      <w:start w:val="1"/>
    </w:lvl>
  </w:abstractNum>
  <w:abstractNum w:abstractNumId="107">
    <w:nsid w:val="6E534CDE"/>
    <w:multiLevelType w:val="hybridMultilevel"/>
    <w:lvl w:ilvl="0">
      <w:lvlJc w:val="left"/>
      <w:lvlText w:val="•"/>
      <w:numFmt w:val="bullet"/>
      <w:start w:val="1"/>
    </w:lvl>
  </w:abstractNum>
  <w:abstractNum w:abstractNumId="108">
    <w:nsid w:val="1A0DDE32"/>
    <w:multiLevelType w:val="hybridMultilevel"/>
    <w:lvl w:ilvl="0">
      <w:lvlJc w:val="left"/>
      <w:lvlText w:val="•"/>
      <w:numFmt w:val="bullet"/>
      <w:start w:val="1"/>
    </w:lvl>
  </w:abstractNum>
  <w:abstractNum w:abstractNumId="109">
    <w:nsid w:val="65968C1C"/>
    <w:multiLevelType w:val="hybridMultilevel"/>
    <w:lvl w:ilvl="0">
      <w:lvlJc w:val="left"/>
      <w:lvlText w:val="•"/>
      <w:numFmt w:val="bullet"/>
      <w:start w:val="1"/>
    </w:lvl>
  </w:abstractNum>
  <w:abstractNum w:abstractNumId="110">
    <w:nsid w:val="46263DEC"/>
    <w:multiLevelType w:val="hybridMultilevel"/>
    <w:lvl w:ilvl="0">
      <w:lvlJc w:val="left"/>
      <w:lvlText w:val="•"/>
      <w:numFmt w:val="bullet"/>
      <w:start w:val="1"/>
    </w:lvl>
  </w:abstractNum>
  <w:abstractNum w:abstractNumId="111">
    <w:nsid w:val="260D8C4A"/>
    <w:multiLevelType w:val="hybridMultilevel"/>
    <w:lvl w:ilvl="0">
      <w:lvlJc w:val="left"/>
      <w:lvlText w:val="1"/>
      <w:numFmt w:val="bullet"/>
      <w:start w:val="1"/>
    </w:lvl>
  </w:abstractNum>
  <w:abstractNum w:abstractNumId="112">
    <w:nsid w:val="73D4D3C4"/>
    <w:multiLevelType w:val="hybridMultilevel"/>
    <w:lvl w:ilvl="0">
      <w:lvlJc w:val="left"/>
      <w:lvlText w:val="2"/>
      <w:numFmt w:val="bullet"/>
      <w:start w:val="1"/>
    </w:lvl>
  </w:abstractNum>
  <w:abstractNum w:abstractNumId="113">
    <w:nsid w:val="746F2E30"/>
    <w:multiLevelType w:val="hybridMultilevel"/>
    <w:lvl w:ilvl="0">
      <w:lvlJc w:val="left"/>
      <w:lvlText w:val="•"/>
      <w:numFmt w:val="bullet"/>
      <w:start w:val="1"/>
    </w:lvl>
  </w:abstractNum>
  <w:abstractNum w:abstractNumId="114">
    <w:nsid w:val="6FDE8AF6"/>
    <w:multiLevelType w:val="hybridMultilevel"/>
    <w:lvl w:ilvl="0">
      <w:lvlJc w:val="left"/>
      <w:lvlText w:val="•"/>
      <w:numFmt w:val="bullet"/>
      <w:start w:val="1"/>
    </w:lvl>
  </w:abstractNum>
  <w:abstractNum w:abstractNumId="115">
    <w:nsid w:val="3FC32E20"/>
    <w:multiLevelType w:val="hybridMultilevel"/>
    <w:lvl w:ilvl="0">
      <w:lvlJc w:val="left"/>
      <w:lvlText w:val="•"/>
      <w:numFmt w:val="bullet"/>
      <w:start w:val="1"/>
    </w:lvl>
  </w:abstractNum>
  <w:abstractNum w:abstractNumId="116">
    <w:nsid w:val="49C0E823"/>
    <w:multiLevelType w:val="hybridMultilevel"/>
    <w:lvl w:ilvl="0">
      <w:lvlJc w:val="left"/>
      <w:lvlText w:val="•"/>
      <w:numFmt w:val="bullet"/>
      <w:start w:val="1"/>
    </w:lvl>
  </w:abstractNum>
  <w:abstractNum w:abstractNumId="117">
    <w:nsid w:val="14D53685"/>
    <w:multiLevelType w:val="hybridMultilevel"/>
    <w:lvl w:ilvl="0">
      <w:lvlJc w:val="left"/>
      <w:lvlText w:val="•"/>
      <w:numFmt w:val="bullet"/>
      <w:start w:val="1"/>
    </w:lvl>
    <w:lvl w:ilvl="1">
      <w:lvlJc w:val="left"/>
      <w:lvlText w:val="•"/>
      <w:numFmt w:val="bullet"/>
      <w:start w:val="1"/>
    </w:lvl>
  </w:abstractNum>
  <w:abstractNum w:abstractNumId="118">
    <w:nsid w:val="230F856C"/>
    <w:multiLevelType w:val="hybridMultilevel"/>
    <w:lvl w:ilvl="0">
      <w:lvlJc w:val="left"/>
      <w:lvlText w:val="1"/>
      <w:numFmt w:val="bullet"/>
      <w:start w:val="1"/>
    </w:lvl>
  </w:abstractNum>
  <w:abstractNum w:abstractNumId="119">
    <w:nsid w:val="6EAA85FB"/>
    <w:multiLevelType w:val="hybridMultilevel"/>
    <w:lvl w:ilvl="0">
      <w:lvlJc w:val="left"/>
      <w:lvlText w:val="•"/>
      <w:numFmt w:val="bullet"/>
      <w:start w:val="1"/>
    </w:lvl>
    <w:lvl w:ilvl="1">
      <w:lvlJc w:val="left"/>
      <w:lvlText w:val="•"/>
      <w:numFmt w:val="bullet"/>
      <w:start w:val="1"/>
    </w:lvl>
  </w:abstractNum>
  <w:abstractNum w:abstractNumId="120">
    <w:nsid w:val="3F06ECB2"/>
    <w:multiLevelType w:val="hybridMultilevel"/>
    <w:lvl w:ilvl="0">
      <w:lvlJc w:val="left"/>
      <w:lvlText w:val="1"/>
      <w:numFmt w:val="bullet"/>
      <w:start w:val="1"/>
    </w:lvl>
  </w:abstractNum>
  <w:abstractNum w:abstractNumId="121">
    <w:nsid w:val="3B594807"/>
    <w:multiLevelType w:val="hybridMultilevel"/>
    <w:lvl w:ilvl="0">
      <w:lvlJc w:val="left"/>
      <w:lvlText w:val="•"/>
      <w:numFmt w:val="bullet"/>
      <w:start w:val="1"/>
    </w:lvl>
  </w:abstractNum>
  <w:abstractNum w:abstractNumId="122">
    <w:nsid w:val="6CAA2304"/>
    <w:multiLevelType w:val="hybridMultilevel"/>
    <w:lvl w:ilvl="0">
      <w:lvlJc w:val="left"/>
      <w:lvlText w:val="•"/>
      <w:numFmt w:val="bullet"/>
      <w:start w:val="1"/>
    </w:lvl>
    <w:lvl w:ilvl="1">
      <w:lvlJc w:val="left"/>
      <w:lvlText w:val="•"/>
      <w:numFmt w:val="bullet"/>
      <w:start w:val="1"/>
    </w:lvl>
  </w:abstractNum>
  <w:abstractNum w:abstractNumId="123">
    <w:nsid w:val="3F7C2FF4"/>
    <w:multiLevelType w:val="hybridMultilevel"/>
    <w:lvl w:ilvl="0">
      <w:lvlJc w:val="left"/>
      <w:lvlText w:val="•"/>
      <w:numFmt w:val="bullet"/>
      <w:start w:val="1"/>
    </w:lvl>
  </w:abstractNum>
  <w:abstractNum w:abstractNumId="124">
    <w:nsid w:val="25413BEC"/>
    <w:multiLevelType w:val="hybridMultilevel"/>
    <w:lvl w:ilvl="0">
      <w:lvlJc w:val="left"/>
      <w:lvlText w:val="•"/>
      <w:numFmt w:val="bullet"/>
      <w:start w:val="1"/>
    </w:lvl>
  </w:abstractNum>
  <w:abstractNum w:abstractNumId="125">
    <w:nsid w:val="17180B0B"/>
    <w:multiLevelType w:val="hybridMultilevel"/>
    <w:lvl w:ilvl="0">
      <w:lvlJc w:val="left"/>
      <w:lvlText w:val="•"/>
      <w:numFmt w:val="bullet"/>
      <w:start w:val="1"/>
    </w:lvl>
    <w:lvl w:ilvl="1">
      <w:lvlJc w:val="left"/>
      <w:lvlText w:val="•"/>
      <w:numFmt w:val="bullet"/>
      <w:start w:val="1"/>
    </w:lvl>
  </w:abstractNum>
  <w:abstractNum w:abstractNumId="126">
    <w:nsid w:val="579328B9"/>
    <w:multiLevelType w:val="hybridMultilevel"/>
    <w:lvl w:ilvl="0">
      <w:lvlJc w:val="left"/>
      <w:lvlText w:val="1"/>
      <w:numFmt w:val="bullet"/>
      <w:start w:val="1"/>
    </w:lvl>
  </w:abstractNum>
  <w:abstractNum w:abstractNumId="127">
    <w:nsid w:val="5D205E20"/>
    <w:multiLevelType w:val="hybridMultilevel"/>
    <w:lvl w:ilvl="0">
      <w:lvlJc w:val="left"/>
      <w:lvlText w:val="•"/>
      <w:numFmt w:val="bullet"/>
      <w:start w:val="1"/>
    </w:lvl>
    <w:lvl w:ilvl="1">
      <w:lvlJc w:val="left"/>
      <w:lvlText w:val="•"/>
      <w:numFmt w:val="bullet"/>
      <w:start w:val="1"/>
    </w:lvl>
  </w:abstractNum>
  <w:abstractNum w:abstractNumId="128">
    <w:nsid w:val="11CCA8BA"/>
    <w:multiLevelType w:val="hybridMultilevel"/>
    <w:lvl w:ilvl="0">
      <w:lvlJc w:val="left"/>
      <w:lvlText w:val="•"/>
      <w:numFmt w:val="bullet"/>
      <w:start w:val="1"/>
    </w:lvl>
  </w:abstractNum>
  <w:abstractNum w:abstractNumId="129">
    <w:nsid w:val="4D32AB86"/>
    <w:multiLevelType w:val="hybridMultilevel"/>
    <w:lvl w:ilvl="0">
      <w:lvlJc w:val="left"/>
      <w:lvlText w:val="•"/>
      <w:numFmt w:val="bullet"/>
      <w:start w:val="1"/>
    </w:lvl>
    <w:lvl w:ilvl="1">
      <w:lvlJc w:val="left"/>
      <w:lvlText w:val="•"/>
      <w:numFmt w:val="bullet"/>
      <w:start w:val="1"/>
    </w:lvl>
  </w:abstractNum>
  <w:abstractNum w:abstractNumId="130">
    <w:nsid w:val="3F07ACC3"/>
    <w:multiLevelType w:val="hybridMultilevel"/>
    <w:lvl w:ilvl="0">
      <w:lvlJc w:val="left"/>
      <w:lvlText w:val="•"/>
      <w:numFmt w:val="bullet"/>
      <w:start w:val="1"/>
    </w:lvl>
  </w:abstractNum>
  <w:abstractNum w:abstractNumId="131">
    <w:nsid w:val="6B47F63E"/>
    <w:multiLevelType w:val="hybridMultilevel"/>
    <w:lvl w:ilvl="0">
      <w:lvlJc w:val="left"/>
      <w:lvlText w:val="•"/>
      <w:numFmt w:val="bullet"/>
      <w:start w:val="1"/>
    </w:lvl>
    <w:lvl w:ilvl="1">
      <w:lvlJc w:val="left"/>
      <w:lvlText w:val="•"/>
      <w:numFmt w:val="bullet"/>
      <w:start w:val="1"/>
    </w:lvl>
  </w:abstractNum>
  <w:abstractNum w:abstractNumId="132">
    <w:nsid w:val="5CB44A05"/>
    <w:multiLevelType w:val="hybridMultilevel"/>
    <w:lvl w:ilvl="0">
      <w:lvlJc w:val="left"/>
      <w:lvlText w:val="•"/>
      <w:numFmt w:val="bullet"/>
      <w:start w:val="1"/>
    </w:lvl>
  </w:abstractNum>
  <w:abstractNum w:abstractNumId="133">
    <w:nsid w:val="16CF80F1"/>
    <w:multiLevelType w:val="hybridMultilevel"/>
    <w:lvl w:ilvl="0">
      <w:lvlJc w:val="left"/>
      <w:lvlText w:val="1"/>
      <w:numFmt w:val="bullet"/>
      <w:start w:val="1"/>
    </w:lvl>
  </w:abstractNum>
  <w:abstractNum w:abstractNumId="134">
    <w:nsid w:val="1C695DEC"/>
    <w:multiLevelType w:val="hybridMultilevel"/>
    <w:lvl w:ilvl="0">
      <w:lvlJc w:val="left"/>
      <w:lvlText w:val="•"/>
      <w:numFmt w:val="bullet"/>
      <w:start w:val="1"/>
    </w:lvl>
    <w:lvl w:ilvl="1">
      <w:lvlJc w:val="left"/>
      <w:lvlText w:val="•"/>
      <w:numFmt w:val="bullet"/>
      <w:start w:val="1"/>
    </w:lvl>
  </w:abstractNum>
  <w:abstractNum w:abstractNumId="135">
    <w:nsid w:val="3FCFAED9"/>
    <w:multiLevelType w:val="hybridMultilevel"/>
    <w:lvl w:ilvl="0">
      <w:lvlJc w:val="left"/>
      <w:lvlText w:val="•"/>
      <w:numFmt w:val="bullet"/>
      <w:start w:val="1"/>
    </w:lvl>
    <w:lvl w:ilvl="1">
      <w:lvlJc w:val="left"/>
      <w:lvlText w:val="•"/>
      <w:numFmt w:val="bullet"/>
      <w:start w:val="1"/>
    </w:lvl>
  </w:abstractNum>
  <w:abstractNum w:abstractNumId="136">
    <w:nsid w:val="F856867"/>
    <w:multiLevelType w:val="hybridMultilevel"/>
    <w:lvl w:ilvl="0">
      <w:lvlJc w:val="left"/>
      <w:lvlText w:val="•"/>
      <w:numFmt w:val="bullet"/>
      <w:start w:val="1"/>
    </w:lvl>
  </w:abstractNum>
  <w:abstractNum w:abstractNumId="137">
    <w:nsid w:val="11B1CC3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8">
    <w:nsid w:val="2E22FBB7"/>
    <w:multiLevelType w:val="hybridMultilevel"/>
    <w:lvl w:ilvl="0">
      <w:lvlJc w:val="left"/>
      <w:lvlText w:val="•"/>
      <w:numFmt w:val="bullet"/>
      <w:start w:val="1"/>
    </w:lvl>
    <w:lvl w:ilvl="1">
      <w:lvlJc w:val="left"/>
      <w:lvlText w:val="•"/>
      <w:numFmt w:val="bullet"/>
      <w:start w:val="1"/>
    </w:lvl>
  </w:abstractNum>
  <w:abstractNum w:abstractNumId="139">
    <w:nsid w:val="29934699"/>
    <w:multiLevelType w:val="hybridMultilevel"/>
    <w:lvl w:ilvl="0">
      <w:lvlJc w:val="left"/>
      <w:lvlText w:val="1"/>
      <w:numFmt w:val="bullet"/>
      <w:start w:val="1"/>
    </w:lvl>
  </w:abstractNum>
  <w:abstractNum w:abstractNumId="140">
    <w:nsid w:val="77485850"/>
    <w:multiLevelType w:val="hybridMultilevel"/>
    <w:lvl w:ilvl="0">
      <w:lvlJc w:val="left"/>
      <w:lvlText w:val="•"/>
      <w:numFmt w:val="bullet"/>
      <w:start w:val="1"/>
    </w:lvl>
    <w:lvl w:ilvl="1">
      <w:lvlJc w:val="left"/>
      <w:lvlText w:val="•"/>
      <w:numFmt w:val="bullet"/>
      <w:start w:val="1"/>
    </w:lvl>
  </w:abstractNum>
  <w:abstractNum w:abstractNumId="141">
    <w:nsid w:val="744939A3"/>
    <w:multiLevelType w:val="hybridMultilevel"/>
    <w:lvl w:ilvl="0">
      <w:lvlJc w:val="left"/>
      <w:lvlText w:val="•"/>
      <w:numFmt w:val="bullet"/>
      <w:start w:val="1"/>
    </w:lvl>
    <w:lvl w:ilvl="1">
      <w:lvlJc w:val="left"/>
      <w:lvlText w:val="•"/>
      <w:numFmt w:val="bullet"/>
      <w:start w:val="1"/>
    </w:lvl>
  </w:abstractNum>
  <w:abstractNum w:abstractNumId="142">
    <w:nsid w:val="4FA0D2E3"/>
    <w:multiLevelType w:val="hybridMultilevel"/>
    <w:lvl w:ilvl="0">
      <w:lvlJc w:val="left"/>
      <w:lvlText w:val="•"/>
      <w:numFmt w:val="bullet"/>
      <w:start w:val="1"/>
    </w:lvl>
  </w:abstractNum>
  <w:abstractNum w:abstractNumId="143">
    <w:nsid w:val="6B1D2C14"/>
    <w:multiLevelType w:val="hybridMultilevel"/>
    <w:lvl w:ilvl="0">
      <w:lvlJc w:val="left"/>
      <w:lvlText w:val="1"/>
      <w:numFmt w:val="bullet"/>
      <w:start w:val="1"/>
    </w:lvl>
  </w:abstractNum>
  <w:abstractNum w:abstractNumId="144">
    <w:nsid w:val="68B867D3"/>
    <w:multiLevelType w:val="hybridMultilevel"/>
    <w:lvl w:ilvl="0">
      <w:lvlJc w:val="left"/>
      <w:lvlText w:val="•"/>
      <w:numFmt w:val="bullet"/>
      <w:start w:val="1"/>
    </w:lvl>
  </w:abstractNum>
  <w:abstractNum w:abstractNumId="145">
    <w:nsid w:val="3F7F5DD9"/>
    <w:multiLevelType w:val="hybridMultilevel"/>
    <w:lvl w:ilvl="0">
      <w:lvlJc w:val="left"/>
      <w:lvlText w:val="1"/>
      <w:numFmt w:val="bullet"/>
      <w:start w:val="1"/>
    </w:lvl>
  </w:abstractNum>
  <w:abstractNum w:abstractNumId="146">
    <w:nsid w:val="2AE05A34"/>
    <w:multiLevelType w:val="hybridMultilevel"/>
    <w:lvl w:ilvl="0">
      <w:lvlJc w:val="left"/>
      <w:lvlText w:val="•"/>
      <w:numFmt w:val="bullet"/>
      <w:start w:val="1"/>
    </w:lvl>
    <w:lvl w:ilvl="1">
      <w:lvlJc w:val="left"/>
      <w:lvlText w:val="•"/>
      <w:numFmt w:val="bullet"/>
      <w:start w:val="1"/>
    </w:lvl>
  </w:abstractNum>
  <w:abstractNum w:abstractNumId="147">
    <w:nsid w:val="32794FF7"/>
    <w:multiLevelType w:val="hybridMultilevel"/>
    <w:lvl w:ilvl="0">
      <w:lvlJc w:val="left"/>
      <w:lvlText w:val="•"/>
      <w:numFmt w:val="bullet"/>
      <w:start w:val="1"/>
    </w:lvl>
  </w:abstractNum>
  <w:abstractNum w:abstractNumId="148">
    <w:nsid w:val="5454945E"/>
    <w:multiLevelType w:val="hybridMultilevel"/>
    <w:lvl w:ilvl="0">
      <w:lvlJc w:val="left"/>
      <w:lvlText w:val="•"/>
      <w:numFmt w:val="bullet"/>
      <w:start w:val="1"/>
    </w:lvl>
  </w:abstractNum>
  <w:abstractNum w:abstractNumId="149">
    <w:nsid w:val="4DEFDFA0"/>
    <w:multiLevelType w:val="hybridMultilevel"/>
    <w:lvl w:ilvl="0">
      <w:lvlJc w:val="left"/>
      <w:lvlText w:val="•"/>
      <w:numFmt w:val="bullet"/>
      <w:start w:val="1"/>
    </w:lvl>
  </w:abstractNum>
  <w:abstractNum w:abstractNumId="150">
    <w:nsid w:val="2123D5F2"/>
    <w:multiLevelType w:val="hybridMultilevel"/>
    <w:lvl w:ilvl="0">
      <w:lvlJc w:val="left"/>
      <w:lvlText w:val="•"/>
      <w:numFmt w:val="bullet"/>
      <w:start w:val="1"/>
    </w:lvl>
  </w:abstractNum>
  <w:abstractNum w:abstractNumId="151">
    <w:nsid w:val="135B8110"/>
    <w:multiLevelType w:val="hybridMultilevel"/>
    <w:lvl w:ilvl="0">
      <w:lvlJc w:val="left"/>
      <w:lvlText w:val="¹"/>
      <w:numFmt w:val="bullet"/>
      <w:start w:val="1"/>
    </w:lvl>
  </w:abstractNum>
  <w:abstractNum w:abstractNumId="152">
    <w:nsid w:val="94927A8"/>
    <w:multiLevelType w:val="hybridMultilevel"/>
    <w:lvl w:ilvl="0">
      <w:lvlJc w:val="left"/>
      <w:lvlText w:val="•"/>
      <w:numFmt w:val="bullet"/>
      <w:start w:val="1"/>
    </w:lvl>
  </w:abstractNum>
  <w:abstractNum w:abstractNumId="153">
    <w:nsid w:val="DCDF8F6"/>
    <w:multiLevelType w:val="hybridMultilevel"/>
    <w:lvl w:ilvl="0">
      <w:lvlJc w:val="left"/>
      <w:lvlText w:val="•"/>
      <w:numFmt w:val="bullet"/>
      <w:start w:val="1"/>
    </w:lvl>
  </w:abstractNum>
  <w:abstractNum w:abstractNumId="154">
    <w:nsid w:val="52D7B105"/>
    <w:multiLevelType w:val="hybridMultilevel"/>
    <w:lvl w:ilvl="0">
      <w:lvlJc w:val="left"/>
      <w:lvlText w:val="•"/>
      <w:numFmt w:val="bullet"/>
      <w:start w:val="1"/>
    </w:lvl>
    <w:lvl w:ilvl="1">
      <w:lvlJc w:val="left"/>
      <w:lvlText w:val="•"/>
      <w:numFmt w:val="bullet"/>
      <w:start w:val="1"/>
    </w:lvl>
  </w:abstractNum>
  <w:abstractNum w:abstractNumId="155">
    <w:nsid w:val="2E8A6394"/>
    <w:multiLevelType w:val="hybridMultilevel"/>
    <w:lvl w:ilvl="0">
      <w:lvlJc w:val="left"/>
      <w:lvlText w:val="•"/>
      <w:numFmt w:val="bullet"/>
      <w:start w:val="1"/>
    </w:lvl>
  </w:abstractNum>
  <w:abstractNum w:abstractNumId="156">
    <w:nsid w:val="24E6040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7">
    <w:nsid w:val="2A6AD9BE"/>
    <w:multiLevelType w:val="hybridMultilevel"/>
    <w:lvl w:ilvl="0">
      <w:lvlJc w:val="left"/>
      <w:lvlText w:val="•"/>
      <w:numFmt w:val="bullet"/>
      <w:start w:val="1"/>
    </w:lvl>
    <w:lvl w:ilvl="1">
      <w:lvlJc w:val="left"/>
      <w:lvlText w:val="•"/>
      <w:numFmt w:val="bullet"/>
      <w:start w:val="1"/>
    </w:lvl>
  </w:abstractNum>
  <w:abstractNum w:abstractNumId="158">
    <w:nsid w:val="BAAC1B4"/>
    <w:multiLevelType w:val="hybridMultilevel"/>
    <w:lvl w:ilvl="0">
      <w:lvlJc w:val="left"/>
      <w:lvlText w:val="•"/>
      <w:numFmt w:val="bullet"/>
      <w:start w:val="1"/>
    </w:lvl>
    <w:lvl w:ilvl="1">
      <w:lvlJc w:val="left"/>
      <w:lvlText w:val="•"/>
      <w:numFmt w:val="bullet"/>
      <w:start w:val="1"/>
    </w:lvl>
  </w:abstractNum>
  <w:abstractNum w:abstractNumId="159">
    <w:nsid w:val="36B2ACBC"/>
    <w:multiLevelType w:val="hybridMultilevel"/>
    <w:lvl w:ilvl="0">
      <w:lvlJc w:val="left"/>
      <w:lvlText w:val="•"/>
      <w:numFmt w:val="bullet"/>
      <w:start w:val="1"/>
    </w:lvl>
    <w:lvl w:ilvl="1">
      <w:lvlJc w:val="left"/>
      <w:lvlText w:val="•"/>
      <w:numFmt w:val="bullet"/>
      <w:start w:val="1"/>
    </w:lvl>
  </w:abstractNum>
  <w:abstractNum w:abstractNumId="160">
    <w:nsid w:val="779D8544"/>
    <w:multiLevelType w:val="hybridMultilevel"/>
    <w:lvl w:ilvl="0">
      <w:lvlJc w:val="left"/>
      <w:lvlText w:val="1"/>
      <w:numFmt w:val="bullet"/>
      <w:start w:val="1"/>
    </w:lvl>
  </w:abstractNum>
  <w:abstractNum w:abstractNumId="161">
    <w:nsid w:val="4AB26E78"/>
    <w:multiLevelType w:val="hybridMultilevel"/>
    <w:lvl w:ilvl="0">
      <w:lvlJc w:val="left"/>
      <w:lvlText w:val="2"/>
      <w:numFmt w:val="bullet"/>
      <w:start w:val="1"/>
    </w:lvl>
  </w:abstractNum>
  <w:abstractNum w:abstractNumId="162">
    <w:nsid w:val="21FAA2FA"/>
    <w:multiLevelType w:val="hybridMultilevel"/>
    <w:lvl w:ilvl="0">
      <w:lvlJc w:val="left"/>
      <w:lvlText w:val="3"/>
      <w:numFmt w:val="bullet"/>
      <w:start w:val="1"/>
    </w:lvl>
  </w:abstractNum>
  <w:abstractNum w:abstractNumId="163">
    <w:nsid w:val="5451CF49"/>
    <w:multiLevelType w:val="hybridMultilevel"/>
    <w:lvl w:ilvl="0">
      <w:lvlJc w:val="left"/>
      <w:lvlText w:val="•"/>
      <w:numFmt w:val="bullet"/>
      <w:start w:val="1"/>
    </w:lvl>
    <w:lvl w:ilvl="1">
      <w:lvlJc w:val="left"/>
      <w:lvlText w:val="•"/>
      <w:numFmt w:val="bullet"/>
      <w:start w:val="1"/>
    </w:lvl>
  </w:abstractNum>
  <w:abstractNum w:abstractNumId="164">
    <w:nsid w:val="6181EF6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5">
    <w:nsid w:val="3E6400E6"/>
    <w:multiLevelType w:val="hybridMultilevel"/>
    <w:lvl w:ilvl="0">
      <w:lvlJc w:val="left"/>
      <w:lvlText w:val="•"/>
      <w:numFmt w:val="bullet"/>
      <w:start w:val="1"/>
    </w:lvl>
    <w:lvl w:ilvl="1">
      <w:lvlJc w:val="left"/>
      <w:lvlText w:val="•"/>
      <w:numFmt w:val="bullet"/>
      <w:start w:val="1"/>
    </w:lvl>
  </w:abstractNum>
  <w:abstractNum w:abstractNumId="166">
    <w:nsid w:val="14217E2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7">
    <w:nsid w:val="710757D0"/>
    <w:multiLevelType w:val="hybridMultilevel"/>
    <w:lvl w:ilvl="0">
      <w:lvlJc w:val="left"/>
      <w:lvlText w:val="•"/>
      <w:numFmt w:val="bullet"/>
      <w:start w:val="1"/>
    </w:lvl>
    <w:lvl w:ilvl="1">
      <w:lvlJc w:val="left"/>
      <w:lvlText w:val="•"/>
      <w:numFmt w:val="bullet"/>
      <w:start w:val="1"/>
    </w:lvl>
  </w:abstractNum>
  <w:abstractNum w:abstractNumId="168">
    <w:nsid w:val="5015CD1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9">
    <w:nsid w:val="424479DA"/>
    <w:multiLevelType w:val="hybridMultilevel"/>
    <w:lvl w:ilvl="0">
      <w:lvlJc w:val="left"/>
      <w:lvlText w:val="•"/>
      <w:numFmt w:val="bullet"/>
      <w:start w:val="1"/>
    </w:lvl>
    <w:lvl w:ilvl="1">
      <w:lvlJc w:val="left"/>
      <w:lvlText w:val="•"/>
      <w:numFmt w:val="bullet"/>
      <w:start w:val="1"/>
    </w:lvl>
  </w:abstractNum>
  <w:abstractNum w:abstractNumId="170">
    <w:nsid w:val="1A9A9E69"/>
    <w:multiLevelType w:val="hybridMultilevel"/>
    <w:lvl w:ilvl="0">
      <w:lvlJc w:val="left"/>
      <w:lvlText w:val="1"/>
      <w:numFmt w:val="bullet"/>
      <w:start w:val="1"/>
    </w:lvl>
  </w:abstractNum>
  <w:abstractNum w:abstractNumId="171">
    <w:nsid w:val="475E256A"/>
    <w:multiLevelType w:val="hybridMultilevel"/>
    <w:lvl w:ilvl="0">
      <w:lvlJc w:val="left"/>
      <w:lvlText w:val="¹"/>
      <w:numFmt w:val="bullet"/>
      <w:start w:val="1"/>
    </w:lvl>
  </w:abstractNum>
  <w:abstractNum w:abstractNumId="172">
    <w:nsid w:val="368DB37E"/>
    <w:multiLevelType w:val="hybridMultilevel"/>
    <w:lvl w:ilvl="0">
      <w:lvlJc w:val="left"/>
      <w:lvlText w:val="•"/>
      <w:numFmt w:val="bullet"/>
      <w:start w:val="1"/>
    </w:lvl>
    <w:lvl w:ilvl="1">
      <w:lvlJc w:val="left"/>
      <w:lvlText w:val="•"/>
      <w:numFmt w:val="bullet"/>
      <w:start w:val="1"/>
    </w:lvl>
  </w:abstractNum>
  <w:abstractNum w:abstractNumId="173">
    <w:nsid w:val="6A3B714C"/>
    <w:multiLevelType w:val="hybridMultilevel"/>
    <w:lvl w:ilvl="0">
      <w:lvlJc w:val="left"/>
      <w:lvlText w:val="•"/>
      <w:numFmt w:val="bullet"/>
      <w:start w:val="1"/>
    </w:lvl>
  </w:abstractNum>
  <w:abstractNum w:abstractNumId="174">
    <w:nsid w:val="327B517E"/>
    <w:multiLevelType w:val="hybridMultilevel"/>
    <w:lvl w:ilvl="0">
      <w:lvlJc w:val="left"/>
      <w:lvlText w:val="•"/>
      <w:numFmt w:val="bullet"/>
      <w:start w:val="1"/>
    </w:lvl>
  </w:abstractNum>
  <w:abstractNum w:abstractNumId="175">
    <w:nsid w:val="1F461B5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6">
    <w:nsid w:val="29BACF25"/>
    <w:multiLevelType w:val="hybridMultilevel"/>
    <w:lvl w:ilvl="0">
      <w:lvlJc w:val="left"/>
      <w:lvlText w:val="•"/>
      <w:numFmt w:val="bullet"/>
      <w:start w:val="1"/>
    </w:lvl>
  </w:abstractNum>
  <w:abstractNum w:abstractNumId="177">
    <w:nsid w:val="5D5BABB3"/>
    <w:multiLevelType w:val="hybridMultilevel"/>
    <w:lvl w:ilvl="0">
      <w:lvlJc w:val="left"/>
      <w:lvlText w:val="1"/>
      <w:numFmt w:val="bullet"/>
      <w:start w:val="1"/>
    </w:lvl>
  </w:abstractNum>
  <w:abstractNum w:abstractNumId="178">
    <w:nsid w:val="51BF6B48"/>
    <w:multiLevelType w:val="hybridMultilevel"/>
    <w:lvl w:ilvl="0">
      <w:lvlJc w:val="left"/>
      <w:lvlText w:val="•"/>
      <w:numFmt w:val="bullet"/>
      <w:start w:val="1"/>
    </w:lvl>
    <w:lvl w:ilvl="1">
      <w:lvlJc w:val="left"/>
      <w:lvlText w:val="•"/>
      <w:numFmt w:val="bullet"/>
      <w:start w:val="1"/>
    </w:lvl>
  </w:abstractNum>
  <w:abstractNum w:abstractNumId="179">
    <w:nsid w:val="7E0F6384"/>
    <w:multiLevelType w:val="hybridMultilevel"/>
    <w:lvl w:ilvl="0">
      <w:lvlJc w:val="left"/>
      <w:lvlText w:val="•"/>
      <w:numFmt w:val="bullet"/>
      <w:start w:val="1"/>
    </w:lvl>
    <w:lvl w:ilvl="1">
      <w:lvlJc w:val="left"/>
      <w:lvlText w:val="•"/>
      <w:numFmt w:val="bullet"/>
      <w:start w:val="1"/>
    </w:lvl>
  </w:abstractNum>
  <w:abstractNum w:abstractNumId="180">
    <w:nsid w:val="2B4B8B53"/>
    <w:multiLevelType w:val="hybridMultilevel"/>
    <w:lvl w:ilvl="0">
      <w:lvlJc w:val="left"/>
      <w:lvlText w:val="•"/>
      <w:numFmt w:val="bullet"/>
      <w:start w:val="1"/>
    </w:lvl>
  </w:abstractNum>
  <w:abstractNum w:abstractNumId="181">
    <w:nsid w:val="72E3413A"/>
    <w:multiLevelType w:val="hybridMultilevel"/>
    <w:lvl w:ilvl="0">
      <w:lvlJc w:val="left"/>
      <w:lvlText w:val="•"/>
      <w:numFmt w:val="bullet"/>
      <w:start w:val="1"/>
    </w:lvl>
  </w:abstractNum>
  <w:abstractNum w:abstractNumId="182">
    <w:nsid w:val="116AE494"/>
    <w:multiLevelType w:val="hybridMultilevel"/>
    <w:lvl w:ilvl="0">
      <w:lvlJc w:val="left"/>
      <w:lvlText w:val="1"/>
      <w:numFmt w:val="bullet"/>
      <w:start w:val="1"/>
    </w:lvl>
  </w:abstractNum>
  <w:abstractNum w:abstractNumId="183">
    <w:nsid w:val="3494B2FB"/>
    <w:multiLevelType w:val="hybridMultilevel"/>
    <w:lvl w:ilvl="0">
      <w:lvlJc w:val="left"/>
      <w:lvlText w:val="2"/>
      <w:numFmt w:val="bullet"/>
      <w:start w:val="1"/>
    </w:lvl>
  </w:abstractNum>
  <w:abstractNum w:abstractNumId="184">
    <w:nsid w:val="B13A31"/>
    <w:multiLevelType w:val="hybridMultilevel"/>
    <w:lvl w:ilvl="0">
      <w:lvlJc w:val="left"/>
      <w:lvlText w:val="3"/>
      <w:numFmt w:val="bullet"/>
      <w:start w:val="1"/>
    </w:lvl>
  </w:abstractNum>
  <w:abstractNum w:abstractNumId="185">
    <w:nsid w:val="64429599"/>
    <w:multiLevelType w:val="hybridMultilevel"/>
    <w:lvl w:ilvl="0">
      <w:lvlJc w:val="left"/>
      <w:lvlText w:val="•"/>
      <w:numFmt w:val="bullet"/>
      <w:start w:val="1"/>
    </w:lvl>
    <w:lvl w:ilvl="1">
      <w:lvlJc w:val="left"/>
      <w:lvlText w:val="•"/>
      <w:numFmt w:val="bullet"/>
      <w:start w:val="1"/>
    </w:lvl>
  </w:abstractNum>
  <w:abstractNum w:abstractNumId="186">
    <w:nsid w:val="631F1690"/>
    <w:multiLevelType w:val="hybridMultilevel"/>
    <w:lvl w:ilvl="0">
      <w:lvlJc w:val="left"/>
      <w:lvlText w:val="1"/>
      <w:numFmt w:val="bullet"/>
      <w:start w:val="1"/>
    </w:lvl>
  </w:abstractNum>
  <w:abstractNum w:abstractNumId="187">
    <w:nsid w:val="25973E3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8">
    <w:nsid w:val="EAD6F57"/>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2019-12-12T22:18:38Z</dcterms:created>
  <dcterms:modified xsi:type="dcterms:W3CDTF">2019-12-12T22:18:38Z</dcterms:modified>
</cp:coreProperties>
</file>