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UNITED STATES</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Washington, D.C. 20549</w:t>
      </w:r>
    </w:p>
    <w:p>
      <w:pPr>
        <w:spacing w:after="0" w:line="167"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SCHEDULE 14A</w:t>
      </w:r>
    </w:p>
    <w:p>
      <w:pPr>
        <w:spacing w:after="0" w:line="167"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Proxy Statement Pursuant to Section 14(a) of the</w:t>
      </w:r>
    </w:p>
    <w:p>
      <w:pPr>
        <w:spacing w:after="0" w:line="32" w:lineRule="exact"/>
        <w:rPr>
          <w:sz w:val="24"/>
          <w:szCs w:val="24"/>
          <w:color w:val="auto"/>
        </w:rPr>
      </w:pPr>
    </w:p>
    <w:p>
      <w:pPr>
        <w:ind w:left="3740"/>
        <w:spacing w:after="0"/>
        <w:rPr>
          <w:sz w:val="20"/>
          <w:szCs w:val="20"/>
          <w:color w:val="auto"/>
        </w:rPr>
      </w:pPr>
      <w:r>
        <w:rPr>
          <w:rFonts w:ascii="Arial" w:cs="Arial" w:eastAsia="Arial" w:hAnsi="Arial"/>
          <w:sz w:val="16"/>
          <w:szCs w:val="16"/>
          <w:color w:val="auto"/>
        </w:rPr>
        <w:t>Securities Exchange Act of 1934 (Amendment No. )</w:t>
      </w:r>
    </w:p>
    <w:p>
      <w:pPr>
        <w:spacing w:after="0" w:line="187" w:lineRule="exact"/>
        <w:rPr>
          <w:sz w:val="24"/>
          <w:szCs w:val="24"/>
          <w:color w:val="auto"/>
        </w:rPr>
      </w:pPr>
    </w:p>
    <w:p>
      <w:pPr>
        <w:ind w:left="20"/>
        <w:spacing w:after="0" w:line="242" w:lineRule="exact"/>
        <w:tabs>
          <w:tab w:leader="none" w:pos="420" w:val="left"/>
          <w:tab w:leader="none" w:pos="524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100"/>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51" w:lineRule="exact"/>
        <w:rPr>
          <w:sz w:val="24"/>
          <w:szCs w:val="24"/>
          <w:color w:val="auto"/>
        </w:rPr>
      </w:pPr>
    </w:p>
    <w:p>
      <w:pPr>
        <w:ind w:left="540" w:hanging="437"/>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50" w:lineRule="exact"/>
        <w:rPr>
          <w:rFonts w:ascii="MS PGothic" w:cs="MS PGothic" w:eastAsia="MS PGothic" w:hAnsi="MS PGothic"/>
          <w:sz w:val="22"/>
          <w:szCs w:val="22"/>
          <w:color w:val="auto"/>
        </w:rPr>
      </w:pPr>
    </w:p>
    <w:p>
      <w:pPr>
        <w:ind w:left="540" w:hanging="437"/>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151" w:lineRule="exact"/>
        <w:rPr>
          <w:sz w:val="24"/>
          <w:szCs w:val="24"/>
          <w:color w:val="auto"/>
        </w:rPr>
      </w:pPr>
    </w:p>
    <w:p>
      <w:pPr>
        <w:ind w:left="540" w:hanging="437"/>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51" w:lineRule="exact"/>
        <w:rPr>
          <w:sz w:val="24"/>
          <w:szCs w:val="24"/>
          <w:color w:val="auto"/>
        </w:rPr>
      </w:pPr>
    </w:p>
    <w:p>
      <w:pPr>
        <w:ind w:left="540" w:hanging="437"/>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0" w:lineRule="exact"/>
        <w:rPr>
          <w:rFonts w:ascii="MS PGothic" w:cs="MS PGothic" w:eastAsia="MS PGothic" w:hAnsi="MS PGothic"/>
          <w:sz w:val="22"/>
          <w:szCs w:val="22"/>
          <w:color w:val="auto"/>
        </w:rPr>
      </w:pPr>
    </w:p>
    <w:p>
      <w:pPr>
        <w:ind w:left="540" w:hanging="437"/>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ind w:right="-1100"/>
        <w:spacing w:after="0"/>
        <w:rPr>
          <w:sz w:val="20"/>
          <w:szCs w:val="20"/>
          <w:color w:val="auto"/>
        </w:rPr>
      </w:pPr>
      <w:r>
        <w:rPr>
          <w:rFonts w:ascii="Arial" w:cs="Arial" w:eastAsia="Arial" w:hAnsi="Arial"/>
          <w:sz w:val="25"/>
          <w:szCs w:val="25"/>
          <w:color w:val="auto"/>
        </w:rPr>
        <w:t xml:space="preserve">JPMorgan Chase </w:t>
      </w:r>
      <w:r>
        <w:rPr>
          <w:rFonts w:ascii="Arial" w:cs="Arial" w:eastAsia="Arial" w:hAnsi="Arial"/>
          <w:sz w:val="21"/>
          <w:szCs w:val="21"/>
          <w:color w:val="auto"/>
        </w:rPr>
        <w:t>&amp;</w:t>
      </w:r>
      <w:r>
        <w:rPr>
          <w:rFonts w:ascii="Arial" w:cs="Arial" w:eastAsia="Arial" w:hAnsi="Arial"/>
          <w:sz w:val="25"/>
          <w:szCs w:val="25"/>
          <w:color w:val="auto"/>
        </w:rPr>
        <w:t xml:space="preserve"> Co</w:t>
      </w:r>
      <w:r>
        <w:rPr>
          <w:rFonts w:ascii="Arial" w:cs="Arial" w:eastAsia="Arial" w:hAnsi="Arial"/>
          <w:sz w:val="21"/>
          <w:szCs w:val="21"/>
          <w:color w:val="auto"/>
        </w:rPr>
        <w:t>.</w:t>
      </w:r>
    </w:p>
    <w:p>
      <w:pPr>
        <w:spacing w:after="0" w:line="60" w:lineRule="exact"/>
        <w:rPr>
          <w:sz w:val="24"/>
          <w:szCs w:val="24"/>
          <w:color w:val="auto"/>
        </w:rPr>
      </w:pPr>
    </w:p>
    <w:p>
      <w:pPr>
        <w:jc w:val="center"/>
        <w:ind w:right="-1100"/>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278"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51" w:lineRule="exact"/>
        <w:rPr>
          <w:sz w:val="24"/>
          <w:szCs w:val="24"/>
          <w:color w:val="auto"/>
        </w:rPr>
      </w:pPr>
    </w:p>
    <w:p>
      <w:pPr>
        <w:ind w:left="540" w:hanging="437"/>
        <w:spacing w:after="0"/>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151" w:lineRule="exact"/>
        <w:rPr>
          <w:sz w:val="24"/>
          <w:szCs w:val="24"/>
          <w:color w:val="auto"/>
        </w:rPr>
      </w:pPr>
    </w:p>
    <w:p>
      <w:pPr>
        <w:ind w:left="540" w:hanging="437"/>
        <w:spacing w:after="0"/>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540" w:hanging="437"/>
        <w:spacing w:after="0"/>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65"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9030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030970"/>
                    </a:xfrm>
                    <a:prstGeom prst="rect">
                      <a:avLst/>
                    </a:prstGeom>
                    <a:noFill/>
                  </pic:spPr>
                </pic:pic>
              </a:graphicData>
            </a:graphic>
          </wp:anchor>
        </w:drawing>
      </w:r>
    </w:p>
    <w:p>
      <w:pPr>
        <w:sectPr>
          <w:pgSz w:w="11900" w:h="16838" w:orient="portrait"/>
          <w:cols w:equalWidth="0" w:num="1">
            <w:col w:w="10139"/>
          </w:cols>
          <w:pgMar w:left="320" w:top="157"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JPMorgan Chase &amp; Co.</w:t>
      </w:r>
    </w:p>
    <w:p>
      <w:pPr>
        <w:spacing w:after="0" w:line="18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270 Park Avenue</w:t>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New York, New York 10017</w:t>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April 6, 2026</w:t>
      </w:r>
    </w:p>
    <w:p>
      <w:pPr>
        <w:spacing w:after="0" w:line="329" w:lineRule="exact"/>
        <w:rPr>
          <w:sz w:val="20"/>
          <w:szCs w:val="20"/>
          <w:color w:val="auto"/>
        </w:rPr>
      </w:pPr>
    </w:p>
    <w:p>
      <w:pPr>
        <w:ind w:left="5440"/>
        <w:spacing w:after="0"/>
        <w:rPr>
          <w:sz w:val="20"/>
          <w:szCs w:val="20"/>
          <w:color w:val="auto"/>
        </w:rPr>
      </w:pPr>
      <w:r>
        <w:rPr>
          <w:rFonts w:ascii="Arial" w:cs="Arial" w:eastAsia="Arial" w:hAnsi="Arial"/>
          <w:sz w:val="25"/>
          <w:szCs w:val="25"/>
          <w:color w:val="auto"/>
        </w:rPr>
        <w:t>Dear fellow shareholders,</w:t>
      </w:r>
    </w:p>
    <w:p>
      <w:pPr>
        <w:spacing w:after="0" w:line="54" w:lineRule="exact"/>
        <w:rPr>
          <w:sz w:val="20"/>
          <w:szCs w:val="20"/>
          <w:color w:val="auto"/>
        </w:rPr>
      </w:pPr>
    </w:p>
    <w:p>
      <w:pPr>
        <w:ind w:left="5440"/>
        <w:spacing w:after="0" w:line="285" w:lineRule="auto"/>
        <w:rPr>
          <w:sz w:val="20"/>
          <w:szCs w:val="20"/>
          <w:color w:val="auto"/>
        </w:rPr>
      </w:pPr>
      <w:r>
        <w:rPr>
          <w:rFonts w:ascii="Arial" w:cs="Arial" w:eastAsia="Arial" w:hAnsi="Arial"/>
          <w:sz w:val="18"/>
          <w:szCs w:val="18"/>
          <w:color w:val="auto"/>
        </w:rPr>
        <w:t>We are pleased to invite you to attend the annual meeting of shareholders to be held in a virtual meeting format, via the Internet, on May 19, 2026 at 10:00 a.m. Eastern Time. Shareholders are provided an opportunity to ask questions about topics of importance to the Firm’s business and affairs, to consider matters described in the proxy statement and to receive an update on the Firm’s activities and performance.</w:t>
      </w:r>
    </w:p>
    <w:p>
      <w:pPr>
        <w:spacing w:after="0" w:line="102" w:lineRule="exact"/>
        <w:rPr>
          <w:sz w:val="20"/>
          <w:szCs w:val="20"/>
          <w:color w:val="auto"/>
        </w:rPr>
      </w:pPr>
    </w:p>
    <w:p>
      <w:pPr>
        <w:ind w:left="5440" w:right="100"/>
        <w:spacing w:after="0" w:line="288" w:lineRule="auto"/>
        <w:rPr>
          <w:sz w:val="20"/>
          <w:szCs w:val="20"/>
          <w:color w:val="auto"/>
        </w:rPr>
      </w:pPr>
      <w:r>
        <w:rPr>
          <w:rFonts w:ascii="Arial" w:cs="Arial" w:eastAsia="Arial" w:hAnsi="Arial"/>
          <w:sz w:val="18"/>
          <w:szCs w:val="18"/>
          <w:color w:val="auto"/>
        </w:rPr>
        <w:t>We hope that you will participate in the meeting. We encourage you to designate the persons named as proxies on the proxy card to vote your shares even if you are planning to attend. This will ensure that your common stock is represented at the meeting.</w:t>
      </w:r>
    </w:p>
    <w:p>
      <w:pPr>
        <w:spacing w:after="0" w:line="100" w:lineRule="exact"/>
        <w:rPr>
          <w:sz w:val="20"/>
          <w:szCs w:val="20"/>
          <w:color w:val="auto"/>
        </w:rPr>
      </w:pPr>
    </w:p>
    <w:p>
      <w:pPr>
        <w:ind w:left="5440" w:right="40"/>
        <w:spacing w:after="0" w:line="294" w:lineRule="auto"/>
        <w:rPr>
          <w:sz w:val="20"/>
          <w:szCs w:val="20"/>
          <w:color w:val="auto"/>
        </w:rPr>
      </w:pPr>
      <w:r>
        <w:rPr>
          <w:rFonts w:ascii="Arial" w:cs="Arial" w:eastAsia="Arial" w:hAnsi="Arial"/>
          <w:sz w:val="18"/>
          <w:szCs w:val="18"/>
          <w:color w:val="auto"/>
        </w:rPr>
        <w:t>This proxy statement provides information on the matters to be voted on at the annual meeting, proxy voting and other information about how to participate. Please read it carefully. We look forward to your participation.</w:t>
      </w:r>
    </w:p>
    <w:p>
      <w:pPr>
        <w:spacing w:after="0" w:line="9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111760</wp:posOffset>
            </wp:positionV>
            <wp:extent cx="1714500" cy="796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8F5A39"/>
        </w:rPr>
        <w:t>James Dimon</w:t>
      </w:r>
    </w:p>
    <w:p>
      <w:pPr>
        <w:spacing w:after="0" w:line="4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1177290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100965</wp:posOffset>
            </wp:positionV>
            <wp:extent cx="12687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68730" cy="18034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760"/>
        <w:spacing w:after="0" w:line="270" w:lineRule="auto"/>
        <w:rPr>
          <w:sz w:val="20"/>
          <w:szCs w:val="20"/>
          <w:color w:val="auto"/>
        </w:rPr>
      </w:pPr>
      <w:r>
        <w:rPr>
          <w:rFonts w:ascii="Arial" w:cs="Arial" w:eastAsia="Arial" w:hAnsi="Arial"/>
          <w:sz w:val="52"/>
          <w:szCs w:val="52"/>
          <w:color w:val="auto"/>
        </w:rPr>
        <w:t>A letter from Stephen B. Burke, our Lead Independent Director</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April 6, 2026</w:t>
      </w:r>
    </w:p>
    <w:p>
      <w:pPr>
        <w:spacing w:after="0" w:line="311" w:lineRule="exact"/>
        <w:rPr>
          <w:sz w:val="20"/>
          <w:szCs w:val="20"/>
          <w:color w:val="auto"/>
        </w:rPr>
      </w:pPr>
    </w:p>
    <w:p>
      <w:pPr>
        <w:spacing w:after="0"/>
        <w:rPr>
          <w:sz w:val="20"/>
          <w:szCs w:val="20"/>
          <w:color w:val="auto"/>
        </w:rPr>
      </w:pPr>
      <w:r>
        <w:rPr>
          <w:rFonts w:ascii="Arial" w:cs="Arial" w:eastAsia="Arial" w:hAnsi="Arial"/>
          <w:sz w:val="40"/>
          <w:szCs w:val="40"/>
          <w:color w:val="8F5A39"/>
        </w:rPr>
        <w:t>Dear fellow shareholders,</w:t>
      </w:r>
    </w:p>
    <w:p>
      <w:pPr>
        <w:spacing w:after="0" w:line="3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With the upcoming 2026 Annual Meeting of Shareholders, I am pleased to share my perspective as your Lead Independent Director. Being your Lead Independent Director is an honor. I am fortunate to serve with a group of fellow directors who bring diverse skills, perspectives, and a shared commitment to advancing the interests of our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Record Financial Performance</w:t>
      </w:r>
    </w:p>
    <w:p>
      <w:pPr>
        <w:spacing w:after="0" w:line="86"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Building on years of disciplined investment and strategic decision-making, JPMorgan Chase &amp; Co. ("JPMorganChase" or the "Firm") delivered another year of outstanding financial results in 2025. The Firm achieved record managed revenue of $185.6 billion, net income of $57.0 billion, a return on equity of 17%, and a return on tangible common equity of 20% . These results reflect the strength of our market-leading businesses, our commitment to fortress balance sheet principles, and our continued focus on long-term value creation for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Leadership and Board Culture</w:t>
      </w:r>
    </w:p>
    <w:p>
      <w:pPr>
        <w:spacing w:after="0" w:line="86"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are especially fortunate to have Jamie Dimon continue to lead JPMorganChase as Chairman and CEO. Jamie’s vision, integrity, and commitment to our clients, communities, and employees have been instrumental in the Firm’s long-term success. The Board and I are deeply appreciative of his ongoing service.</w:t>
      </w:r>
    </w:p>
    <w:p>
      <w:pPr>
        <w:spacing w:after="0" w:line="11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We are proud of the Board’s strong culture—one that values independence, constructive interaction with management, and diversity of thought. Our independent directors meet separately at every regular Board meeting, allowing for candid discussion and effective oversight. Our directors bring a wide range of qualifications, backgrounds, perspectives, and tenure, and we regularly review and refresh committee assignments to best leverage these strengths. Earlier this year, we made several committee changes based on these factors: Ginni Rometty now serves as Chair of the Corporate Governance</w:t>
      </w:r>
    </w:p>
    <w:p>
      <w:pPr>
        <w:spacing w:after="0" w:line="2" w:lineRule="exact"/>
        <w:rPr>
          <w:sz w:val="20"/>
          <w:szCs w:val="20"/>
          <w:color w:val="auto"/>
        </w:rPr>
      </w:pPr>
    </w:p>
    <w:p>
      <w:pPr>
        <w:ind w:right="500" w:firstLine="8"/>
        <w:spacing w:after="0" w:line="321" w:lineRule="auto"/>
        <w:tabs>
          <w:tab w:leader="none" w:pos="153" w:val="left"/>
        </w:tabs>
        <w:numPr>
          <w:ilvl w:val="0"/>
          <w:numId w:val="6"/>
        </w:numPr>
        <w:rPr>
          <w:rFonts w:ascii="Arial" w:cs="Arial" w:eastAsia="Arial" w:hAnsi="Arial"/>
          <w:sz w:val="16"/>
          <w:szCs w:val="16"/>
          <w:color w:val="auto"/>
        </w:rPr>
      </w:pPr>
      <w:r>
        <w:rPr>
          <w:rFonts w:ascii="Arial" w:cs="Arial" w:eastAsia="Arial" w:hAnsi="Arial"/>
          <w:sz w:val="16"/>
          <w:szCs w:val="16"/>
          <w:color w:val="auto"/>
        </w:rPr>
        <w:t>Nominating Committee ("CGNC"), Alex Gorsky and Michele Buck have joined CGNC, and Brad Smith and Alicia Boler Davis have joined the Public Responsibility Committee.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Board Engagement, Oversight, and Succession Planning</w:t>
      </w:r>
    </w:p>
    <w:p>
      <w:pPr>
        <w:spacing w:after="0" w:line="8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Board meets at least eight times each year, with strong engagement and open access to senior management. Over the years, we have developed a deep understanding of the executive team and the culture that drives the Firm’s success. The Board exercises independence and oversight of management, providing guidance, support, and feedback so the Firm continues to deliver for shareholders.</w:t>
      </w:r>
    </w:p>
    <w:p>
      <w:pPr>
        <w:spacing w:after="0" w:line="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also maintains careful oversight of key investments and works closely with management on strategy, with a focus on investment discipline, strong shareholder returns, and capital strength. We are committed to making sure that the Firm’s long-term strategy is executed with a clear focus on value creation. We are actively engaged with management on emerging risks, regulatory developments, and geopolitical events. As we look ahead to 2026 and beyond, we remain acutely aware of the evolving risk landscape and the Firm’s responses. We are incredibly proud of how JPMorganChase continues to adapt and lead in a complex environment.</w:t>
      </w:r>
    </w:p>
    <w:p>
      <w:pPr>
        <w:spacing w:after="0" w:line="11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 prime example is the Security and Resiliency Initiative ("SRI"), which demonstrates the Firm’s unique ability to address global challenges. The SRI leverages our scale and reach, capital resources, and unrivaled expertise to make a significant impact for shareholders and communities alike. The Board is fully supportive of this initiative, which underscores JPMorganChase’s special place in the world and its enormous capacity to help solve critical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know that succession planning and oversight of succession planning is a top priority. It is a focus for us, and one about which I have spoken to many of our shareholders. We are committed to a successful CEO transition at the right time. Importantly, succession is not delegated to one person or one committee. The entire Board is involved with developing and assessing the senior executives who are potential CEO and Operating Committee candidates.</w:t>
      </w:r>
    </w:p>
    <w:p>
      <w:pPr>
        <w:spacing w:after="0" w:line="10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 hallmark of our Board’s approach is our direct engagement with senior management. At nearly every Board meeting, each Line of Business CEO and the COO participate and provide an unscripted “Since We Last Met” update, focusing on the most important issues, opportunities, and needs facing the Firm. These candid discussions keep the Board fully informed and able to provide effective oversight.</w:t>
      </w:r>
    </w:p>
    <w:p>
      <w:pPr>
        <w:spacing w:after="0" w:line="9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Beyond formal Board meetings, the directors host breakfasts, lunches, dinners, and other informal interactions with the Operating Committee and many other members of senior management. These meetings range from one-on-one sessions to small group and larger gatherings, offering unique opportunities to gain insights into our future leadership. Over the course of the year, our directors met with more than 100 senior managers, providing valuable opportunities to assess the Firm’s leadership pipeline and succession planning. These meetings also allow us to understand not only the business acumen and operational excellence of our future leaders, but also to focus intently on cultural continuity and the leadership qualities possessed by our management team.</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Board Composition and Transitions</w:t>
      </w:r>
    </w:p>
    <w:p>
      <w:pPr>
        <w:spacing w:after="0" w:line="8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 want to recognize the service of Todd Combs, who resigned from the Board in December 2025 to join the management team as head of the Strategic Investment Group within the Firm’s new Security and Resiliency Initiative. We thank Todd for his years of dedicated service and look forward to continuing to work with him in his new role.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Closing</w:t>
      </w:r>
    </w:p>
    <w:p>
      <w:pPr>
        <w:spacing w:after="0" w:line="8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behalf of the entire Board, I want to thank you for your continued support. We remain committed to serving the best interests of our shareholders. As I noted last year, we are driven to help senior management deliver results by, as J.P. Morgan himself put it, “doing first-class business in a first-class way.” We are proud of the Firm’s achievements in 2025 and look forward to building on this success into the future.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243840</wp:posOffset>
            </wp:positionV>
            <wp:extent cx="106299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8F5A39"/>
        </w:rPr>
        <w:t>Stephen B. Burke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846455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7" w:right="39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20"/>
        <w:spacing w:after="0" w:line="270" w:lineRule="auto"/>
        <w:rPr>
          <w:sz w:val="20"/>
          <w:szCs w:val="20"/>
          <w:color w:val="auto"/>
        </w:rPr>
      </w:pPr>
      <w:r>
        <w:rPr>
          <w:rFonts w:ascii="Arial" w:cs="Arial" w:eastAsia="Arial" w:hAnsi="Arial"/>
          <w:sz w:val="52"/>
          <w:szCs w:val="52"/>
          <w:color w:val="auto"/>
        </w:rPr>
        <w:t>Notice of 2026 annual meeting of shareholders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903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ectPr>
          <w:pgSz w:w="11900" w:h="16838" w:orient="portrait"/>
          <w:cols w:equalWidth="0" w:num="1">
            <w:col w:w="11140"/>
          </w:cols>
          <w:pgMar w:left="320" w:top="15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80"/>
        <w:spacing w:after="0"/>
        <w:rPr>
          <w:sz w:val="20"/>
          <w:szCs w:val="20"/>
          <w:color w:val="auto"/>
        </w:rPr>
      </w:pPr>
      <w:r>
        <w:rPr>
          <w:rFonts w:ascii="Arial" w:cs="Arial" w:eastAsia="Arial" w:hAnsi="Arial"/>
          <w:sz w:val="18"/>
          <w:szCs w:val="18"/>
          <w:color w:val="8F5A39"/>
        </w:rPr>
        <w:t>Date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Tuesday, May 19, 2026</w:t>
      </w:r>
    </w:p>
    <w:p>
      <w:pPr>
        <w:spacing w:after="0" w:line="200" w:lineRule="exact"/>
        <w:rPr>
          <w:sz w:val="20"/>
          <w:szCs w:val="20"/>
          <w:color w:val="auto"/>
        </w:rPr>
      </w:pP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color w:val="8F5A39"/>
        </w:rPr>
        <w:t>Time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10:00 a.m. Eastern Time</w:t>
      </w:r>
    </w:p>
    <w:p>
      <w:pPr>
        <w:spacing w:after="0" w:line="200" w:lineRule="exact"/>
        <w:rPr>
          <w:sz w:val="20"/>
          <w:szCs w:val="20"/>
          <w:color w:val="auto"/>
        </w:rPr>
      </w:pP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color w:val="8F5A39"/>
        </w:rPr>
        <w:t>Record date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March 20,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8F5A39"/>
        </w:rPr>
        <w:t>Access</w:t>
      </w:r>
    </w:p>
    <w:p>
      <w:pPr>
        <w:spacing w:after="0" w:line="32" w:lineRule="exact"/>
        <w:rPr>
          <w:sz w:val="20"/>
          <w:szCs w:val="20"/>
          <w:color w:val="auto"/>
        </w:rPr>
      </w:pPr>
    </w:p>
    <w:p>
      <w:pPr>
        <w:ind w:right="520"/>
        <w:spacing w:after="0" w:line="289" w:lineRule="auto"/>
        <w:rPr>
          <w:sz w:val="20"/>
          <w:szCs w:val="20"/>
          <w:color w:val="auto"/>
        </w:rPr>
      </w:pPr>
      <w:r>
        <w:rPr>
          <w:rFonts w:ascii="Arial" w:cs="Arial" w:eastAsia="Arial" w:hAnsi="Arial"/>
          <w:sz w:val="16"/>
          <w:szCs w:val="16"/>
          <w:color w:val="auto"/>
        </w:rPr>
        <w:t>The 2026 Annual Meeting of Shareholders will be held in a virtual meeting format, via the Internet. If you plan to participate in the virtual meeting, please see “Information about the annual meeting of shareholders.” Shareholders will be able to attend, vote and submit questions (both before, and for a portion of, the meeting) via the Internet and will be able to examine the shareholder list before the meeting. Shareholders may participate online by logging in at www.virtualshareholdermeeting.com/JPM2026.</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We encourage you to submit your proxy prior to the annual meeting.</w:t>
      </w:r>
    </w:p>
    <w:p>
      <w:pPr>
        <w:spacing w:after="0" w:line="623" w:lineRule="exact"/>
        <w:rPr>
          <w:sz w:val="20"/>
          <w:szCs w:val="20"/>
          <w:color w:val="auto"/>
        </w:rPr>
      </w:pPr>
    </w:p>
    <w:p>
      <w:pPr>
        <w:sectPr>
          <w:pgSz w:w="11900" w:h="16838" w:orient="portrait"/>
          <w:cols w:equalWidth="0" w:num="2">
            <w:col w:w="3380" w:space="720"/>
            <w:col w:w="7040"/>
          </w:cols>
          <w:pgMar w:left="320" w:top="157" w:right="4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8F5A39"/>
        </w:rPr>
        <w:t>Matters to be voted on</w:t>
      </w:r>
    </w:p>
    <w:p>
      <w:pPr>
        <w:spacing w:after="0" w:line="4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Election of directors</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Advisory resolution to approve executive compensation</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Ratification of PricewaterhouseCoopers LLP as our independent registered public accounting firm for 2026</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Shareholder proposals, if they are properly introduced at the meeting</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Any other matters that may properly be brought before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Reid R. Broda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April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color w:val="8F5A39"/>
        </w:rPr>
        <w:t>Your vote is important to us. Please vote promptly.</w:t>
      </w:r>
    </w:p>
    <w:p>
      <w:pPr>
        <w:spacing w:after="0" w:line="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JPMorgan Chase &amp; Co. uses the Securities and Exchange Commission (“SEC”) rule permitting companies to furnish proxy materials to their shareholders via the Internet. In accordance with this rule, on or about April 6, 2026, we sent to shareholders of record at the close of business on March 20, 2026, a Notice of Internet Availability of Proxy Materials (“Notice”), which includes instructions on how to access our 2026 Proxy Statement and 2025 Annual Report online, and how to vote online for the 2026 Annual Meeting of Shareholders.</w:t>
      </w:r>
    </w:p>
    <w:p>
      <w:pPr>
        <w:spacing w:after="0" w:line="99"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If you received a Notice and would like to receive a printed copy of our proxy materials, please follow the instructions for requesting such materials included in the Notice.</w:t>
      </w:r>
    </w:p>
    <w:p>
      <w:pPr>
        <w:spacing w:after="0" w:line="10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To be admitted to the annual meeting at www.virtualshareholdermeeting.com/JPM2026, you must enter the control number found on your proxy card, voting instruction form or Notice you previously received. See “Information about the annual meeting of shareholders” on page 94. Follow the instructions on the virtual meeting site to vote and ask questions before or during the meeting.</w:t>
      </w:r>
    </w:p>
    <w:p>
      <w:pPr>
        <w:spacing w:after="0" w:line="9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you hold your shares through a broker, your shares will not be voted unless (i) you provide voting instructions or (ii) the matter is one for which brokers have discretionary authority to vote. Of the matters to be voted on at the annual meeting, the only one for which brokers have discretionary authority to vote is Proposal 3, the ratification of the independent registered public accounting firm. See “What is the voting requirement to approve each of the proposals?” on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57"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52"/>
          <w:szCs w:val="52"/>
          <w:color w:val="auto"/>
        </w:rPr>
        <w:t>Table of contents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8F5A39"/>
        </w:rPr>
        <w:t>2026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3402965"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2965" cy="300355"/>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Corporate governance</w:t>
      </w:r>
    </w:p>
    <w:p>
      <w:pPr>
        <w:spacing w:after="0" w:line="357" w:lineRule="exact"/>
        <w:rPr>
          <w:sz w:val="20"/>
          <w:szCs w:val="20"/>
          <w:color w:val="auto"/>
        </w:rPr>
      </w:pPr>
    </w:p>
    <w:p>
      <w:pPr>
        <w:ind w:left="20"/>
        <w:spacing w:after="0"/>
        <w:rPr>
          <w:sz w:val="20"/>
          <w:szCs w:val="20"/>
          <w:color w:val="auto"/>
        </w:rPr>
      </w:pPr>
      <w:r>
        <w:rPr>
          <w:sz w:val="1"/>
          <w:szCs w:val="1"/>
          <w:color w:val="auto"/>
        </w:rPr>
        <w:drawing>
          <wp:inline distT="0" distB="0" distL="0" distR="0">
            <wp:extent cx="68580" cy="596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4"/>
          <w:szCs w:val="14"/>
          <w:color w:val="auto"/>
        </w:rPr>
        <w:t>  PROPOSAL 1:</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8F5A39"/>
        </w:rPr>
        <w:t>Election of directors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Key factors for shareholder consideration</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Director nominees</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Board governance</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Board oversight</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Engagement</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Director compensation</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3402965"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2965" cy="300355"/>
                    </a:xfrm>
                    <a:prstGeom prst="rect">
                      <a:avLst/>
                    </a:prstGeom>
                    <a:noFill/>
                  </pic:spPr>
                </pic:pic>
              </a:graphicData>
            </a:graphic>
          </wp:anchor>
        </w:drawing>
      </w:r>
    </w:p>
    <w:p>
      <w:pPr>
        <w:spacing w:after="0" w:line="3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Executive compensation</w:t>
      </w:r>
    </w:p>
    <w:p>
      <w:pPr>
        <w:spacing w:after="0" w:line="357" w:lineRule="exact"/>
        <w:rPr>
          <w:sz w:val="20"/>
          <w:szCs w:val="20"/>
          <w:color w:val="auto"/>
        </w:rPr>
      </w:pPr>
    </w:p>
    <w:p>
      <w:pPr>
        <w:ind w:left="20"/>
        <w:spacing w:after="0"/>
        <w:rPr>
          <w:sz w:val="20"/>
          <w:szCs w:val="20"/>
          <w:color w:val="auto"/>
        </w:rPr>
      </w:pPr>
      <w:r>
        <w:rPr>
          <w:sz w:val="1"/>
          <w:szCs w:val="1"/>
          <w:color w:val="auto"/>
        </w:rPr>
        <w:drawing>
          <wp:inline distT="0" distB="0" distL="0" distR="0">
            <wp:extent cx="68580" cy="596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4"/>
          <w:szCs w:val="14"/>
          <w:color w:val="auto"/>
        </w:rPr>
        <w:t>  PROPOSAL 2:</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8F5A39"/>
        </w:rPr>
        <w:t>Advisory resolution to approve</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8F5A39"/>
        </w:rPr>
        <w:t>executive compensation</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Compensation discussion and analysis</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Introduction &amp; overview</w:t>
      </w:r>
    </w:p>
    <w:p>
      <w:pPr>
        <w:spacing w:after="0" w:line="266" w:lineRule="exact"/>
        <w:rPr>
          <w:sz w:val="20"/>
          <w:szCs w:val="20"/>
          <w:color w:val="auto"/>
        </w:rPr>
      </w:pPr>
    </w:p>
    <w:p>
      <w:pPr>
        <w:ind w:left="520" w:hanging="152"/>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How we think about pay decisions</w:t>
      </w:r>
    </w:p>
    <w:p>
      <w:pPr>
        <w:spacing w:after="0" w:line="257" w:lineRule="exact"/>
        <w:rPr>
          <w:rFonts w:ascii="Arial" w:cs="Arial" w:eastAsia="Arial" w:hAnsi="Arial"/>
          <w:sz w:val="14"/>
          <w:szCs w:val="14"/>
          <w:color w:val="auto"/>
        </w:rPr>
      </w:pPr>
    </w:p>
    <w:p>
      <w:pPr>
        <w:ind w:left="520" w:hanging="152"/>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How we performed against our business strategy</w:t>
      </w:r>
    </w:p>
    <w:p>
      <w:pPr>
        <w:spacing w:after="0" w:line="257" w:lineRule="exact"/>
        <w:rPr>
          <w:rFonts w:ascii="Arial" w:cs="Arial" w:eastAsia="Arial" w:hAnsi="Arial"/>
          <w:sz w:val="14"/>
          <w:szCs w:val="14"/>
          <w:color w:val="auto"/>
        </w:rPr>
      </w:pPr>
    </w:p>
    <w:p>
      <w:pPr>
        <w:ind w:left="520" w:hanging="152"/>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How performance determined pay in 2025</w:t>
      </w:r>
    </w:p>
    <w:p>
      <w:pPr>
        <w:spacing w:after="0" w:line="280" w:lineRule="exact"/>
        <w:rPr>
          <w:sz w:val="20"/>
          <w:szCs w:val="20"/>
          <w:color w:val="auto"/>
        </w:rPr>
      </w:pPr>
    </w:p>
    <w:p>
      <w:pPr>
        <w:ind w:left="20" w:right="1220"/>
        <w:spacing w:after="0" w:line="286" w:lineRule="auto"/>
        <w:rPr>
          <w:sz w:val="20"/>
          <w:szCs w:val="20"/>
          <w:color w:val="auto"/>
        </w:rPr>
      </w:pPr>
      <w:r>
        <w:rPr>
          <w:rFonts w:ascii="Arial" w:cs="Arial" w:eastAsia="Arial" w:hAnsi="Arial"/>
          <w:sz w:val="16"/>
          <w:szCs w:val="16"/>
          <w:color w:val="auto"/>
        </w:rPr>
        <w:t>Compensation &amp; Management Development Committee report</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Executive compensation tables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Summary compensation table (SCT)</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II. 2025 Grants of plan-based awards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III. Outstanding equity awards at fiscal year-end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Pr>
          <w:p>
            <w:pPr>
              <w:jc w:val="right"/>
              <w:ind w:right="339"/>
              <w:spacing w:after="0"/>
              <w:rPr>
                <w:sz w:val="20"/>
                <w:szCs w:val="20"/>
                <w:color w:val="auto"/>
              </w:rPr>
            </w:pPr>
            <w:r>
              <w:rPr>
                <w:rFonts w:ascii="Arial" w:cs="Arial" w:eastAsia="Arial" w:hAnsi="Arial"/>
                <w:sz w:val="16"/>
                <w:szCs w:val="16"/>
                <w:b w:val="1"/>
                <w:bCs w:val="1"/>
                <w:color w:val="8F5A39"/>
              </w:rPr>
              <w:t>1</w:t>
            </w:r>
          </w:p>
        </w:tc>
        <w:tc>
          <w:tcPr>
            <w:tcW w:w="4900" w:type="dxa"/>
            <w:vAlign w:val="bottom"/>
          </w:tcPr>
          <w:p>
            <w:pPr>
              <w:ind w:left="360"/>
              <w:spacing w:after="0"/>
              <w:rPr>
                <w:sz w:val="20"/>
                <w:szCs w:val="20"/>
                <w:color w:val="auto"/>
              </w:rPr>
            </w:pPr>
            <w:r>
              <w:rPr>
                <w:rFonts w:ascii="Arial" w:cs="Arial" w:eastAsia="Arial" w:hAnsi="Arial"/>
                <w:sz w:val="16"/>
                <w:szCs w:val="16"/>
                <w:color w:val="auto"/>
              </w:rPr>
              <w:t>IV. 2025 Option exercises and stock vested table</w:t>
            </w:r>
          </w:p>
        </w:tc>
        <w:tc>
          <w:tcPr>
            <w:tcW w:w="4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410"/>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7</w:t>
            </w:r>
          </w:p>
        </w:tc>
        <w:tc>
          <w:tcPr>
            <w:tcW w:w="4900" w:type="dxa"/>
            <w:vAlign w:val="bottom"/>
          </w:tcPr>
          <w:p>
            <w:pPr>
              <w:ind w:left="360"/>
              <w:spacing w:after="0"/>
              <w:rPr>
                <w:sz w:val="20"/>
                <w:szCs w:val="20"/>
                <w:color w:val="auto"/>
              </w:rPr>
            </w:pPr>
            <w:r>
              <w:rPr>
                <w:rFonts w:ascii="Arial" w:cs="Arial" w:eastAsia="Arial" w:hAnsi="Arial"/>
                <w:sz w:val="16"/>
                <w:szCs w:val="16"/>
                <w:color w:val="auto"/>
              </w:rPr>
              <w:t>V. 2025 Pension benefits</w:t>
            </w:r>
          </w:p>
        </w:tc>
        <w:tc>
          <w:tcPr>
            <w:tcW w:w="4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62"/>
        </w:trPr>
        <w:tc>
          <w:tcPr>
            <w:tcW w:w="600" w:type="dxa"/>
            <w:vAlign w:val="bottom"/>
            <w:vMerge w:val="continue"/>
          </w:tcPr>
          <w:p>
            <w:pPr>
              <w:spacing w:after="0"/>
              <w:rPr>
                <w:sz w:val="5"/>
                <w:szCs w:val="5"/>
                <w:color w:val="auto"/>
              </w:rPr>
            </w:pPr>
          </w:p>
        </w:tc>
        <w:tc>
          <w:tcPr>
            <w:tcW w:w="4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600" w:type="dxa"/>
            <w:vAlign w:val="bottom"/>
          </w:tcPr>
          <w:p>
            <w:pPr>
              <w:spacing w:after="0"/>
              <w:rPr>
                <w:sz w:val="24"/>
                <w:szCs w:val="24"/>
                <w:color w:val="auto"/>
              </w:rPr>
            </w:pPr>
          </w:p>
        </w:tc>
        <w:tc>
          <w:tcPr>
            <w:tcW w:w="4900" w:type="dxa"/>
            <w:vAlign w:val="bottom"/>
          </w:tcPr>
          <w:p>
            <w:pPr>
              <w:ind w:left="360"/>
              <w:spacing w:after="0"/>
              <w:rPr>
                <w:sz w:val="20"/>
                <w:szCs w:val="20"/>
                <w:color w:val="auto"/>
              </w:rPr>
            </w:pPr>
            <w:r>
              <w:rPr>
                <w:rFonts w:ascii="Arial" w:cs="Arial" w:eastAsia="Arial" w:hAnsi="Arial"/>
                <w:sz w:val="16"/>
                <w:szCs w:val="16"/>
                <w:color w:val="auto"/>
              </w:rPr>
              <w:t>VI. 2025 Non-qualified deferred compensation</w:t>
            </w:r>
          </w:p>
        </w:tc>
        <w:tc>
          <w:tcPr>
            <w:tcW w:w="4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93"/>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8F5A39"/>
              </w:rPr>
              <w:t>7</w:t>
            </w:r>
          </w:p>
        </w:tc>
        <w:tc>
          <w:tcPr>
            <w:tcW w:w="4900" w:type="dxa"/>
            <w:vAlign w:val="bottom"/>
          </w:tcPr>
          <w:p>
            <w:pPr>
              <w:ind w:left="360"/>
              <w:spacing w:after="0"/>
              <w:rPr>
                <w:sz w:val="20"/>
                <w:szCs w:val="20"/>
                <w:color w:val="auto"/>
              </w:rPr>
            </w:pPr>
            <w:r>
              <w:rPr>
                <w:rFonts w:ascii="Arial" w:cs="Arial" w:eastAsia="Arial" w:hAnsi="Arial"/>
                <w:sz w:val="16"/>
                <w:szCs w:val="16"/>
                <w:color w:val="auto"/>
              </w:rPr>
              <w:t>VII. 2025 Potential payments upon termination or change in</w:t>
            </w:r>
          </w:p>
        </w:tc>
        <w:tc>
          <w:tcPr>
            <w:tcW w:w="4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5"/>
        </w:trPr>
        <w:tc>
          <w:tcPr>
            <w:tcW w:w="600" w:type="dxa"/>
            <w:vAlign w:val="bottom"/>
            <w:vMerge w:val="continue"/>
          </w:tcPr>
          <w:p>
            <w:pPr>
              <w:spacing w:after="0"/>
              <w:rPr>
                <w:sz w:val="18"/>
                <w:szCs w:val="18"/>
                <w:color w:val="auto"/>
              </w:rPr>
            </w:pPr>
          </w:p>
        </w:tc>
        <w:tc>
          <w:tcPr>
            <w:tcW w:w="4900" w:type="dxa"/>
            <w:vAlign w:val="bottom"/>
          </w:tcPr>
          <w:p>
            <w:pPr>
              <w:ind w:left="620"/>
              <w:spacing w:after="0"/>
              <w:rPr>
                <w:sz w:val="20"/>
                <w:szCs w:val="20"/>
                <w:color w:val="auto"/>
              </w:rPr>
            </w:pPr>
            <w:r>
              <w:rPr>
                <w:rFonts w:ascii="Arial" w:cs="Arial" w:eastAsia="Arial" w:hAnsi="Arial"/>
                <w:sz w:val="16"/>
                <w:szCs w:val="16"/>
                <w:color w:val="auto"/>
              </w:rPr>
              <w:t>control</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600" w:type="dxa"/>
            <w:vAlign w:val="bottom"/>
          </w:tcPr>
          <w:p>
            <w:pPr>
              <w:jc w:val="right"/>
              <w:ind w:right="339"/>
              <w:spacing w:after="0"/>
              <w:rPr>
                <w:sz w:val="20"/>
                <w:szCs w:val="20"/>
                <w:color w:val="auto"/>
              </w:rPr>
            </w:pPr>
            <w:r>
              <w:rPr>
                <w:rFonts w:ascii="Arial" w:cs="Arial" w:eastAsia="Arial" w:hAnsi="Arial"/>
                <w:sz w:val="16"/>
                <w:szCs w:val="16"/>
                <w:color w:val="auto"/>
              </w:rPr>
              <w:t>8</w:t>
            </w:r>
          </w:p>
        </w:tc>
        <w:tc>
          <w:tcPr>
            <w:tcW w:w="4900" w:type="dxa"/>
            <w:vAlign w:val="bottom"/>
          </w:tcPr>
          <w:p>
            <w:pPr>
              <w:ind w:left="20"/>
              <w:spacing w:after="0"/>
              <w:rPr>
                <w:sz w:val="20"/>
                <w:szCs w:val="20"/>
                <w:color w:val="auto"/>
              </w:rPr>
            </w:pPr>
            <w:r>
              <w:rPr>
                <w:rFonts w:ascii="Arial" w:cs="Arial" w:eastAsia="Arial" w:hAnsi="Arial"/>
                <w:sz w:val="16"/>
                <w:szCs w:val="16"/>
                <w:color w:val="auto"/>
              </w:rPr>
              <w:t>Pay versus Performance disclosure</w:t>
            </w:r>
          </w:p>
        </w:tc>
        <w:tc>
          <w:tcPr>
            <w:tcW w:w="46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418"/>
        </w:trPr>
        <w:tc>
          <w:tcPr>
            <w:tcW w:w="600" w:type="dxa"/>
            <w:vAlign w:val="bottom"/>
          </w:tcPr>
          <w:p>
            <w:pPr>
              <w:jc w:val="right"/>
              <w:ind w:right="339"/>
              <w:spacing w:after="0"/>
              <w:rPr>
                <w:sz w:val="20"/>
                <w:szCs w:val="20"/>
                <w:color w:val="auto"/>
              </w:rPr>
            </w:pPr>
            <w:r>
              <w:rPr>
                <w:rFonts w:ascii="Arial" w:cs="Arial" w:eastAsia="Arial" w:hAnsi="Arial"/>
                <w:sz w:val="16"/>
                <w:szCs w:val="16"/>
                <w:color w:val="auto"/>
              </w:rPr>
              <w:t>9</w:t>
            </w:r>
          </w:p>
        </w:tc>
        <w:tc>
          <w:tcPr>
            <w:tcW w:w="4900" w:type="dxa"/>
            <w:vAlign w:val="bottom"/>
          </w:tcPr>
          <w:p>
            <w:pPr>
              <w:ind w:left="20"/>
              <w:spacing w:after="0"/>
              <w:rPr>
                <w:sz w:val="20"/>
                <w:szCs w:val="20"/>
                <w:color w:val="auto"/>
              </w:rPr>
            </w:pPr>
            <w:r>
              <w:rPr>
                <w:rFonts w:ascii="Arial" w:cs="Arial" w:eastAsia="Arial" w:hAnsi="Arial"/>
                <w:sz w:val="16"/>
                <w:szCs w:val="16"/>
                <w:color w:val="auto"/>
              </w:rPr>
              <w:t>CEO pay ratio disclosure</w:t>
            </w:r>
          </w:p>
        </w:tc>
        <w:tc>
          <w:tcPr>
            <w:tcW w:w="46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418"/>
        </w:trPr>
        <w:tc>
          <w:tcPr>
            <w:tcW w:w="600" w:type="dxa"/>
            <w:vAlign w:val="bottom"/>
          </w:tcPr>
          <w:p>
            <w:pPr>
              <w:jc w:val="right"/>
              <w:ind w:right="339"/>
              <w:spacing w:after="0"/>
              <w:rPr>
                <w:sz w:val="20"/>
                <w:szCs w:val="20"/>
                <w:color w:val="auto"/>
              </w:rPr>
            </w:pPr>
            <w:r>
              <w:rPr>
                <w:rFonts w:ascii="Arial" w:cs="Arial" w:eastAsia="Arial" w:hAnsi="Arial"/>
                <w:sz w:val="16"/>
                <w:szCs w:val="16"/>
                <w:color w:val="auto"/>
                <w:w w:val="89"/>
              </w:rPr>
              <w:t>21</w:t>
            </w:r>
          </w:p>
        </w:tc>
        <w:tc>
          <w:tcPr>
            <w:tcW w:w="4900" w:type="dxa"/>
            <w:vAlign w:val="bottom"/>
          </w:tcPr>
          <w:p>
            <w:pPr>
              <w:ind w:left="20"/>
              <w:spacing w:after="0"/>
              <w:rPr>
                <w:sz w:val="20"/>
                <w:szCs w:val="20"/>
                <w:color w:val="auto"/>
              </w:rPr>
            </w:pPr>
            <w:r>
              <w:rPr>
                <w:rFonts w:ascii="Arial" w:cs="Arial" w:eastAsia="Arial" w:hAnsi="Arial"/>
                <w:sz w:val="16"/>
                <w:szCs w:val="16"/>
                <w:color w:val="auto"/>
              </w:rPr>
              <w:t>Security ownership of directors and executive officers</w:t>
            </w:r>
          </w:p>
        </w:tc>
        <w:tc>
          <w:tcPr>
            <w:tcW w:w="4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99"/>
        </w:trPr>
        <w:tc>
          <w:tcPr>
            <w:tcW w:w="600" w:type="dxa"/>
            <w:vAlign w:val="bottom"/>
          </w:tcPr>
          <w:p>
            <w:pPr>
              <w:jc w:val="right"/>
              <w:ind w:right="339"/>
              <w:spacing w:after="0"/>
              <w:rPr>
                <w:sz w:val="20"/>
                <w:szCs w:val="20"/>
                <w:color w:val="auto"/>
              </w:rPr>
            </w:pPr>
            <w:r>
              <w:rPr>
                <w:rFonts w:ascii="Arial" w:cs="Arial" w:eastAsia="Arial" w:hAnsi="Arial"/>
                <w:sz w:val="16"/>
                <w:szCs w:val="16"/>
                <w:color w:val="auto"/>
                <w:w w:val="89"/>
              </w:rPr>
              <w:t>28</w:t>
            </w:r>
          </w:p>
        </w:tc>
        <w:tc>
          <w:tcPr>
            <w:tcW w:w="4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30</w:t>
            </w:r>
          </w:p>
        </w:tc>
        <w:tc>
          <w:tcPr>
            <w:tcW w:w="4900" w:type="dxa"/>
            <w:vAlign w:val="bottom"/>
            <w:shd w:val="clear" w:color="auto" w:fill="F4EFE7"/>
          </w:tcPr>
          <w:p>
            <w:pPr>
              <w:ind w:left="20"/>
              <w:spacing w:after="0"/>
              <w:rPr>
                <w:sz w:val="20"/>
                <w:szCs w:val="20"/>
                <w:color w:val="auto"/>
              </w:rPr>
            </w:pPr>
            <w:r>
              <w:rPr>
                <w:rFonts w:ascii="Arial" w:cs="Arial" w:eastAsia="Arial" w:hAnsi="Arial"/>
                <w:sz w:val="16"/>
                <w:szCs w:val="16"/>
                <w:b w:val="1"/>
                <w:bCs w:val="1"/>
                <w:color w:val="auto"/>
              </w:rPr>
              <w:t>Audit matters</w:t>
            </w:r>
          </w:p>
        </w:tc>
        <w:tc>
          <w:tcPr>
            <w:tcW w:w="460" w:type="dxa"/>
            <w:vAlign w:val="bottom"/>
            <w:shd w:val="clear" w:color="auto" w:fill="F4EFE7"/>
          </w:tcPr>
          <w:p>
            <w:pPr>
              <w:jc w:val="right"/>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167"/>
        </w:trPr>
        <w:tc>
          <w:tcPr>
            <w:tcW w:w="600" w:type="dxa"/>
            <w:vAlign w:val="bottom"/>
            <w:vMerge w:val="continue"/>
          </w:tcPr>
          <w:p>
            <w:pPr>
              <w:spacing w:after="0"/>
              <w:rPr>
                <w:sz w:val="14"/>
                <w:szCs w:val="14"/>
                <w:color w:val="auto"/>
              </w:rPr>
            </w:pPr>
          </w:p>
        </w:tc>
        <w:tc>
          <w:tcPr>
            <w:tcW w:w="4900" w:type="dxa"/>
            <w:vAlign w:val="bottom"/>
            <w:shd w:val="clear" w:color="auto" w:fill="F4EFE7"/>
          </w:tcPr>
          <w:p>
            <w:pPr>
              <w:spacing w:after="0"/>
              <w:rPr>
                <w:sz w:val="14"/>
                <w:szCs w:val="14"/>
                <w:color w:val="auto"/>
              </w:rPr>
            </w:pPr>
          </w:p>
        </w:tc>
        <w:tc>
          <w:tcPr>
            <w:tcW w:w="460" w:type="dxa"/>
            <w:vAlign w:val="bottom"/>
            <w:shd w:val="clear" w:color="auto" w:fill="F4EFE7"/>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600" w:type="dxa"/>
            <w:vAlign w:val="bottom"/>
          </w:tcPr>
          <w:p>
            <w:pPr>
              <w:spacing w:after="0"/>
              <w:rPr>
                <w:sz w:val="6"/>
                <w:szCs w:val="6"/>
                <w:color w:val="auto"/>
              </w:rPr>
            </w:pPr>
          </w:p>
        </w:tc>
        <w:tc>
          <w:tcPr>
            <w:tcW w:w="4900" w:type="dxa"/>
            <w:vAlign w:val="bottom"/>
            <w:shd w:val="clear" w:color="auto" w:fill="F4EFE7"/>
          </w:tcPr>
          <w:p>
            <w:pPr>
              <w:spacing w:after="0"/>
              <w:rPr>
                <w:sz w:val="6"/>
                <w:szCs w:val="6"/>
                <w:color w:val="auto"/>
              </w:rPr>
            </w:pPr>
          </w:p>
        </w:tc>
        <w:tc>
          <w:tcPr>
            <w:tcW w:w="460" w:type="dxa"/>
            <w:vAlign w:val="bottom"/>
            <w:shd w:val="clear" w:color="auto" w:fill="F4EFE7"/>
          </w:tcPr>
          <w:p>
            <w:pPr>
              <w:spacing w:after="0"/>
              <w:rPr>
                <w:sz w:val="6"/>
                <w:szCs w:val="6"/>
                <w:color w:val="auto"/>
              </w:rPr>
            </w:pPr>
          </w:p>
        </w:tc>
        <w:tc>
          <w:tcPr>
            <w:tcW w:w="0" w:type="dxa"/>
            <w:vAlign w:val="bottom"/>
          </w:tcPr>
          <w:p>
            <w:pPr>
              <w:spacing w:after="0"/>
              <w:rPr>
                <w:sz w:val="1"/>
                <w:szCs w:val="1"/>
                <w:color w:val="auto"/>
              </w:rPr>
            </w:pPr>
          </w:p>
        </w:tc>
      </w:tr>
    </w:tbl>
    <w:p>
      <w:pPr>
        <w:ind w:left="620" w:hanging="611"/>
        <w:spacing w:after="0" w:line="185" w:lineRule="auto"/>
        <w:tabs>
          <w:tab w:leader="none" w:pos="620" w:val="left"/>
        </w:tabs>
        <w:numPr>
          <w:ilvl w:val="0"/>
          <w:numId w:val="9"/>
        </w:numPr>
        <w:rPr>
          <w:rFonts w:ascii="Arial" w:cs="Arial" w:eastAsia="Arial" w:hAnsi="Arial"/>
          <w:sz w:val="31"/>
          <w:szCs w:val="31"/>
          <w:color w:val="auto"/>
          <w:vertAlign w:val="subscript"/>
        </w:rPr>
      </w:pPr>
      <w:r>
        <w:rPr>
          <w:sz w:val="1"/>
          <w:szCs w:val="1"/>
          <w:color w:val="auto"/>
        </w:rPr>
        <w:drawing>
          <wp:inline distT="0" distB="0" distL="0" distR="0">
            <wp:extent cx="68580" cy="596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4"/>
          <w:szCs w:val="14"/>
          <w:color w:val="auto"/>
        </w:rPr>
        <w:t>  PROPOSAL 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34</w:t>
            </w:r>
          </w:p>
        </w:tc>
        <w:tc>
          <w:tcPr>
            <w:tcW w:w="4440" w:type="dxa"/>
            <w:vAlign w:val="bottom"/>
          </w:tcPr>
          <w:p>
            <w:pPr>
              <w:ind w:left="260"/>
              <w:spacing w:after="0"/>
              <w:rPr>
                <w:sz w:val="20"/>
                <w:szCs w:val="20"/>
                <w:color w:val="auto"/>
              </w:rPr>
            </w:pPr>
            <w:r>
              <w:rPr>
                <w:rFonts w:ascii="Arial" w:cs="Arial" w:eastAsia="Arial" w:hAnsi="Arial"/>
                <w:sz w:val="16"/>
                <w:szCs w:val="16"/>
                <w:b w:val="1"/>
                <w:bCs w:val="1"/>
                <w:color w:val="8F5A39"/>
              </w:rPr>
              <w:t>Ratification of independent registered public</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8F5A39"/>
              </w:rPr>
              <w:t>78</w:t>
            </w:r>
          </w:p>
        </w:tc>
        <w:tc>
          <w:tcPr>
            <w:tcW w:w="0" w:type="dxa"/>
            <w:vAlign w:val="bottom"/>
          </w:tcPr>
          <w:p>
            <w:pPr>
              <w:spacing w:after="0"/>
              <w:rPr>
                <w:sz w:val="1"/>
                <w:szCs w:val="1"/>
                <w:color w:val="auto"/>
              </w:rPr>
            </w:pPr>
          </w:p>
        </w:tc>
      </w:tr>
      <w:tr>
        <w:trPr>
          <w:trHeight w:val="120"/>
        </w:trPr>
        <w:tc>
          <w:tcPr>
            <w:tcW w:w="600" w:type="dxa"/>
            <w:vAlign w:val="bottom"/>
            <w:vMerge w:val="continue"/>
          </w:tcPr>
          <w:p>
            <w:pPr>
              <w:spacing w:after="0"/>
              <w:rPr>
                <w:sz w:val="10"/>
                <w:szCs w:val="10"/>
                <w:color w:val="auto"/>
              </w:rPr>
            </w:pPr>
          </w:p>
        </w:tc>
        <w:tc>
          <w:tcPr>
            <w:tcW w:w="4440" w:type="dxa"/>
            <w:vAlign w:val="bottom"/>
            <w:vMerge w:val="restart"/>
          </w:tcPr>
          <w:p>
            <w:pPr>
              <w:ind w:left="260"/>
              <w:spacing w:after="0"/>
              <w:rPr>
                <w:sz w:val="20"/>
                <w:szCs w:val="20"/>
                <w:color w:val="auto"/>
              </w:rPr>
            </w:pPr>
            <w:r>
              <w:rPr>
                <w:rFonts w:ascii="Arial" w:cs="Arial" w:eastAsia="Arial" w:hAnsi="Arial"/>
                <w:sz w:val="16"/>
                <w:szCs w:val="16"/>
                <w:b w:val="1"/>
                <w:bCs w:val="1"/>
                <w:color w:val="8F5A39"/>
              </w:rPr>
              <w:t>accounting firm</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0" w:type="dxa"/>
            <w:vAlign w:val="bottom"/>
          </w:tcPr>
          <w:p>
            <w:pPr>
              <w:spacing w:after="0"/>
              <w:rPr>
                <w:sz w:val="8"/>
                <w:szCs w:val="8"/>
                <w:color w:val="auto"/>
              </w:rPr>
            </w:pPr>
          </w:p>
        </w:tc>
        <w:tc>
          <w:tcPr>
            <w:tcW w:w="44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60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38</w:t>
            </w:r>
          </w:p>
        </w:tc>
        <w:tc>
          <w:tcPr>
            <w:tcW w:w="4440" w:type="dxa"/>
            <w:vAlign w:val="bottom"/>
          </w:tcPr>
          <w:p>
            <w:pPr>
              <w:ind w:left="20"/>
              <w:spacing w:after="0"/>
              <w:rPr>
                <w:sz w:val="20"/>
                <w:szCs w:val="20"/>
                <w:color w:val="auto"/>
              </w:rPr>
            </w:pPr>
            <w:r>
              <w:rPr>
                <w:rFonts w:ascii="Arial" w:cs="Arial" w:eastAsia="Arial" w:hAnsi="Arial"/>
                <w:sz w:val="16"/>
                <w:szCs w:val="16"/>
                <w:color w:val="auto"/>
              </w:rPr>
              <w:t>Audit Committee report</w:t>
            </w: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05"/>
        </w:trPr>
        <w:tc>
          <w:tcPr>
            <w:tcW w:w="6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0" w:type="dxa"/>
            <w:vAlign w:val="bottom"/>
          </w:tcPr>
          <w:p>
            <w:pPr>
              <w:spacing w:after="0"/>
              <w:rPr>
                <w:sz w:val="20"/>
                <w:szCs w:val="20"/>
                <w:color w:val="auto"/>
              </w:rPr>
            </w:pPr>
          </w:p>
        </w:tc>
        <w:tc>
          <w:tcPr>
            <w:tcW w:w="444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auto"/>
              </w:rPr>
              <w:t>Shareholder proposals</w:t>
            </w:r>
          </w:p>
        </w:tc>
        <w:tc>
          <w:tcPr>
            <w:tcW w:w="920" w:type="dxa"/>
            <w:vAlign w:val="bottom"/>
            <w:shd w:val="clear" w:color="auto" w:fill="E6E7E8"/>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37"/>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8F5A39"/>
                <w:w w:val="89"/>
              </w:rPr>
              <w:t>38</w:t>
            </w:r>
          </w:p>
        </w:tc>
        <w:tc>
          <w:tcPr>
            <w:tcW w:w="4440" w:type="dxa"/>
            <w:vAlign w:val="bottom"/>
            <w:shd w:val="clear" w:color="auto" w:fill="E6E7E8"/>
          </w:tcPr>
          <w:p>
            <w:pPr>
              <w:spacing w:after="0"/>
              <w:rPr>
                <w:sz w:val="20"/>
                <w:szCs w:val="20"/>
                <w:color w:val="auto"/>
              </w:rPr>
            </w:pPr>
          </w:p>
        </w:tc>
        <w:tc>
          <w:tcPr>
            <w:tcW w:w="92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600" w:type="dxa"/>
            <w:vAlign w:val="bottom"/>
            <w:vMerge w:val="continue"/>
          </w:tcPr>
          <w:p>
            <w:pPr>
              <w:spacing w:after="0"/>
              <w:rPr>
                <w:sz w:val="12"/>
                <w:szCs w:val="12"/>
                <w:color w:val="auto"/>
              </w:rPr>
            </w:pPr>
          </w:p>
        </w:tc>
        <w:tc>
          <w:tcPr>
            <w:tcW w:w="4440" w:type="dxa"/>
            <w:vAlign w:val="bottom"/>
            <w:vMerge w:val="restart"/>
          </w:tcPr>
          <w:p>
            <w:pPr>
              <w:ind w:left="20"/>
              <w:spacing w:after="0"/>
              <w:rPr>
                <w:sz w:val="20"/>
                <w:szCs w:val="20"/>
                <w:color w:val="auto"/>
              </w:rPr>
            </w:pPr>
            <w:r>
              <w:rPr>
                <w:rFonts w:ascii="Arial" w:cs="Arial" w:eastAsia="Arial" w:hAnsi="Arial"/>
                <w:sz w:val="16"/>
                <w:szCs w:val="16"/>
                <w:color w:val="auto"/>
              </w:rPr>
              <w:t>Introduction</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40"/>
        </w:trPr>
        <w:tc>
          <w:tcPr>
            <w:tcW w:w="600" w:type="dxa"/>
            <w:vAlign w:val="bottom"/>
          </w:tcPr>
          <w:p>
            <w:pPr>
              <w:spacing w:after="0"/>
              <w:rPr>
                <w:sz w:val="12"/>
                <w:szCs w:val="12"/>
                <w:color w:val="auto"/>
              </w:rPr>
            </w:pPr>
          </w:p>
        </w:tc>
        <w:tc>
          <w:tcPr>
            <w:tcW w:w="44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20" w:hanging="611"/>
        <w:spacing w:after="0"/>
        <w:tabs>
          <w:tab w:leader="none" w:pos="620" w:val="left"/>
        </w:tabs>
        <w:numPr>
          <w:ilvl w:val="0"/>
          <w:numId w:val="10"/>
        </w:numPr>
        <w:rPr>
          <w:rFonts w:ascii="Arial" w:cs="Arial" w:eastAsia="Arial" w:hAnsi="Arial"/>
          <w:sz w:val="32"/>
          <w:szCs w:val="32"/>
          <w:color w:val="auto"/>
          <w:vertAlign w:val="subscript"/>
        </w:rPr>
      </w:pPr>
      <w:r>
        <w:rPr>
          <w:sz w:val="1"/>
          <w:szCs w:val="1"/>
          <w:color w:val="auto"/>
        </w:rPr>
        <w:drawing>
          <wp:inline distT="0" distB="0" distL="0" distR="0">
            <wp:extent cx="68580" cy="685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4"/>
          <w:szCs w:val="14"/>
          <w:color w:val="auto"/>
        </w:rPr>
        <w:t>  PROPOSALS 4-7: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39</w:t>
            </w:r>
          </w:p>
        </w:tc>
        <w:tc>
          <w:tcPr>
            <w:tcW w:w="4860" w:type="dxa"/>
            <w:vAlign w:val="bottom"/>
          </w:tcPr>
          <w:p>
            <w:pPr>
              <w:ind w:left="260"/>
              <w:spacing w:after="0"/>
              <w:rPr>
                <w:sz w:val="20"/>
                <w:szCs w:val="20"/>
                <w:color w:val="auto"/>
              </w:rPr>
            </w:pPr>
            <w:r>
              <w:rPr>
                <w:rFonts w:ascii="Arial" w:cs="Arial" w:eastAsia="Arial" w:hAnsi="Arial"/>
                <w:sz w:val="16"/>
                <w:szCs w:val="16"/>
                <w:b w:val="1"/>
                <w:bCs w:val="1"/>
                <w:color w:val="8F5A39"/>
              </w:rPr>
              <w:t>Shareholder-submitted proposals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8F5A39"/>
              </w:rPr>
              <w:t>84</w:t>
            </w:r>
          </w:p>
        </w:tc>
        <w:tc>
          <w:tcPr>
            <w:tcW w:w="0" w:type="dxa"/>
            <w:vAlign w:val="bottom"/>
          </w:tcPr>
          <w:p>
            <w:pPr>
              <w:spacing w:after="0"/>
              <w:rPr>
                <w:sz w:val="1"/>
                <w:szCs w:val="1"/>
                <w:color w:val="auto"/>
              </w:rPr>
            </w:pPr>
          </w:p>
        </w:tc>
      </w:tr>
      <w:tr>
        <w:trPr>
          <w:trHeight w:val="87"/>
        </w:trPr>
        <w:tc>
          <w:tcPr>
            <w:tcW w:w="600" w:type="dxa"/>
            <w:vAlign w:val="bottom"/>
            <w:vMerge w:val="continue"/>
          </w:tcPr>
          <w:p>
            <w:pPr>
              <w:spacing w:after="0"/>
              <w:rPr>
                <w:sz w:val="7"/>
                <w:szCs w:val="7"/>
                <w:color w:val="auto"/>
              </w:rPr>
            </w:pPr>
          </w:p>
        </w:tc>
        <w:tc>
          <w:tcPr>
            <w:tcW w:w="4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43</w:t>
            </w:r>
          </w:p>
        </w:tc>
        <w:tc>
          <w:tcPr>
            <w:tcW w:w="4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600" w:type="dxa"/>
            <w:vAlign w:val="bottom"/>
            <w:vMerge w:val="continue"/>
          </w:tcPr>
          <w:p>
            <w:pPr>
              <w:spacing w:after="0"/>
              <w:rPr>
                <w:sz w:val="13"/>
                <w:szCs w:val="13"/>
                <w:color w:val="auto"/>
              </w:rPr>
            </w:pPr>
          </w:p>
        </w:tc>
        <w:tc>
          <w:tcPr>
            <w:tcW w:w="4860" w:type="dxa"/>
            <w:vAlign w:val="bottom"/>
            <w:vMerge w:val="restart"/>
            <w:shd w:val="clear" w:color="auto" w:fill="F4EFE7"/>
          </w:tcPr>
          <w:p>
            <w:pPr>
              <w:ind w:left="20"/>
              <w:spacing w:after="0"/>
              <w:rPr>
                <w:sz w:val="20"/>
                <w:szCs w:val="20"/>
                <w:color w:val="auto"/>
              </w:rPr>
            </w:pPr>
            <w:r>
              <w:rPr>
                <w:rFonts w:ascii="Arial" w:cs="Arial" w:eastAsia="Arial" w:hAnsi="Arial"/>
                <w:sz w:val="16"/>
                <w:szCs w:val="16"/>
                <w:b w:val="1"/>
                <w:bCs w:val="1"/>
                <w:color w:val="auto"/>
              </w:rPr>
              <w:t>General information</w:t>
            </w:r>
          </w:p>
        </w:tc>
        <w:tc>
          <w:tcPr>
            <w:tcW w:w="500" w:type="dxa"/>
            <w:vAlign w:val="bottom"/>
            <w:vMerge w:val="restart"/>
            <w:shd w:val="clear" w:color="auto" w:fill="F4EFE7"/>
          </w:tcPr>
          <w:p>
            <w:pPr>
              <w:jc w:val="right"/>
              <w:spacing w:after="0"/>
              <w:rPr>
                <w:sz w:val="20"/>
                <w:szCs w:val="20"/>
                <w:color w:val="auto"/>
              </w:rPr>
            </w:pPr>
            <w:r>
              <w:rPr>
                <w:rFonts w:ascii="Arial" w:cs="Arial" w:eastAsia="Arial" w:hAnsi="Arial"/>
                <w:sz w:val="16"/>
                <w:szCs w:val="16"/>
                <w:b w:val="1"/>
                <w:bCs w:val="1"/>
                <w:color w:val="auto"/>
              </w:rPr>
              <w:t>94</w:t>
            </w:r>
          </w:p>
        </w:tc>
        <w:tc>
          <w:tcPr>
            <w:tcW w:w="0" w:type="dxa"/>
            <w:vAlign w:val="bottom"/>
          </w:tcPr>
          <w:p>
            <w:pPr>
              <w:spacing w:after="0"/>
              <w:rPr>
                <w:sz w:val="1"/>
                <w:szCs w:val="1"/>
                <w:color w:val="auto"/>
              </w:rPr>
            </w:pPr>
          </w:p>
        </w:tc>
      </w:tr>
      <w:tr>
        <w:trPr>
          <w:trHeight w:val="75"/>
        </w:trPr>
        <w:tc>
          <w:tcPr>
            <w:tcW w:w="600" w:type="dxa"/>
            <w:vAlign w:val="bottom"/>
          </w:tcPr>
          <w:p>
            <w:pPr>
              <w:spacing w:after="0"/>
              <w:rPr>
                <w:sz w:val="6"/>
                <w:szCs w:val="6"/>
                <w:color w:val="auto"/>
              </w:rPr>
            </w:pPr>
          </w:p>
        </w:tc>
        <w:tc>
          <w:tcPr>
            <w:tcW w:w="4860" w:type="dxa"/>
            <w:vAlign w:val="bottom"/>
            <w:vMerge w:val="continue"/>
            <w:shd w:val="clear" w:color="auto" w:fill="F4EFE7"/>
          </w:tcPr>
          <w:p>
            <w:pPr>
              <w:spacing w:after="0"/>
              <w:rPr>
                <w:sz w:val="6"/>
                <w:szCs w:val="6"/>
                <w:color w:val="auto"/>
              </w:rPr>
            </w:pPr>
          </w:p>
        </w:tc>
        <w:tc>
          <w:tcPr>
            <w:tcW w:w="500" w:type="dxa"/>
            <w:vAlign w:val="bottom"/>
            <w:vMerge w:val="continue"/>
            <w:shd w:val="clear" w:color="auto" w:fill="F4EFE7"/>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53</w:t>
            </w:r>
          </w:p>
        </w:tc>
        <w:tc>
          <w:tcPr>
            <w:tcW w:w="4860" w:type="dxa"/>
            <w:vAlign w:val="bottom"/>
            <w:shd w:val="clear" w:color="auto" w:fill="F4EFE7"/>
          </w:tcPr>
          <w:p>
            <w:pPr>
              <w:spacing w:after="0"/>
              <w:rPr>
                <w:sz w:val="20"/>
                <w:szCs w:val="20"/>
                <w:color w:val="auto"/>
              </w:rPr>
            </w:pPr>
          </w:p>
        </w:tc>
        <w:tc>
          <w:tcPr>
            <w:tcW w:w="500" w:type="dxa"/>
            <w:vAlign w:val="bottom"/>
            <w:shd w:val="clear" w:color="auto" w:fill="F4EFE7"/>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600" w:type="dxa"/>
            <w:vAlign w:val="bottom"/>
            <w:vMerge w:val="continue"/>
          </w:tcPr>
          <w:p>
            <w:pPr>
              <w:spacing w:after="0"/>
              <w:rPr>
                <w:sz w:val="9"/>
                <w:szCs w:val="9"/>
                <w:color w:val="auto"/>
              </w:rPr>
            </w:pPr>
          </w:p>
        </w:tc>
        <w:tc>
          <w:tcPr>
            <w:tcW w:w="4860" w:type="dxa"/>
            <w:vAlign w:val="bottom"/>
            <w:vMerge w:val="restart"/>
          </w:tcPr>
          <w:p>
            <w:pPr>
              <w:ind w:left="20"/>
              <w:spacing w:after="0"/>
              <w:rPr>
                <w:sz w:val="20"/>
                <w:szCs w:val="20"/>
                <w:color w:val="auto"/>
              </w:rPr>
            </w:pPr>
            <w:r>
              <w:rPr>
                <w:rFonts w:ascii="Arial" w:cs="Arial" w:eastAsia="Arial" w:hAnsi="Arial"/>
                <w:sz w:val="16"/>
                <w:szCs w:val="16"/>
                <w:b w:val="1"/>
                <w:bCs w:val="1"/>
                <w:color w:val="8F5A39"/>
              </w:rPr>
              <w:t>Information about the annual meeting of shareholders</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8F5A39"/>
              </w:rPr>
              <w:t>94</w:t>
            </w: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48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600" w:type="dxa"/>
            <w:vAlign w:val="bottom"/>
          </w:tcPr>
          <w:p>
            <w:pPr>
              <w:jc w:val="right"/>
              <w:ind w:right="339"/>
              <w:spacing w:after="0"/>
              <w:rPr>
                <w:sz w:val="20"/>
                <w:szCs w:val="20"/>
                <w:color w:val="auto"/>
              </w:rPr>
            </w:pPr>
            <w:r>
              <w:rPr>
                <w:rFonts w:ascii="Arial" w:cs="Arial" w:eastAsia="Arial" w:hAnsi="Arial"/>
                <w:sz w:val="16"/>
                <w:szCs w:val="16"/>
                <w:color w:val="auto"/>
                <w:w w:val="89"/>
              </w:rPr>
              <w:t>56</w:t>
            </w:r>
          </w:p>
        </w:tc>
        <w:tc>
          <w:tcPr>
            <w:tcW w:w="4860" w:type="dxa"/>
            <w:vAlign w:val="bottom"/>
            <w:vMerge w:val="restart"/>
          </w:tcPr>
          <w:p>
            <w:pPr>
              <w:ind w:left="20"/>
              <w:spacing w:after="0"/>
              <w:rPr>
                <w:sz w:val="20"/>
                <w:szCs w:val="20"/>
                <w:color w:val="auto"/>
              </w:rPr>
            </w:pPr>
            <w:r>
              <w:rPr>
                <w:rFonts w:ascii="Arial" w:cs="Arial" w:eastAsia="Arial" w:hAnsi="Arial"/>
                <w:sz w:val="16"/>
                <w:szCs w:val="16"/>
                <w:b w:val="1"/>
                <w:bCs w:val="1"/>
                <w:color w:val="8F5A39"/>
              </w:rPr>
              <w:t>Shareholder proposals and nominations for the 2027 annual</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8F5A39"/>
              </w:rPr>
              <w:t>101</w:t>
            </w:r>
          </w:p>
        </w:tc>
        <w:tc>
          <w:tcPr>
            <w:tcW w:w="0" w:type="dxa"/>
            <w:vAlign w:val="bottom"/>
          </w:tcPr>
          <w:p>
            <w:pPr>
              <w:spacing w:after="0"/>
              <w:rPr>
                <w:sz w:val="1"/>
                <w:szCs w:val="1"/>
                <w:color w:val="auto"/>
              </w:rPr>
            </w:pPr>
          </w:p>
        </w:tc>
      </w:tr>
      <w:tr>
        <w:trPr>
          <w:trHeight w:val="123"/>
        </w:trPr>
        <w:tc>
          <w:tcPr>
            <w:tcW w:w="600" w:type="dxa"/>
            <w:vAlign w:val="bottom"/>
          </w:tcPr>
          <w:p>
            <w:pPr>
              <w:spacing w:after="0"/>
              <w:rPr>
                <w:sz w:val="10"/>
                <w:szCs w:val="10"/>
                <w:color w:val="auto"/>
              </w:rPr>
            </w:pPr>
          </w:p>
        </w:tc>
        <w:tc>
          <w:tcPr>
            <w:tcW w:w="48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62</w:t>
            </w:r>
          </w:p>
        </w:tc>
        <w:tc>
          <w:tcPr>
            <w:tcW w:w="4860" w:type="dxa"/>
            <w:vAlign w:val="bottom"/>
          </w:tcPr>
          <w:p>
            <w:pPr>
              <w:ind w:left="20"/>
              <w:spacing w:after="0"/>
              <w:rPr>
                <w:sz w:val="20"/>
                <w:szCs w:val="20"/>
                <w:color w:val="auto"/>
              </w:rPr>
            </w:pPr>
            <w:r>
              <w:rPr>
                <w:rFonts w:ascii="Arial" w:cs="Arial" w:eastAsia="Arial" w:hAnsi="Arial"/>
                <w:sz w:val="16"/>
                <w:szCs w:val="16"/>
                <w:b w:val="1"/>
                <w:bCs w:val="1"/>
                <w:color w:val="8F5A39"/>
              </w:rPr>
              <w:t>meeting</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600" w:type="dxa"/>
            <w:vAlign w:val="bottom"/>
            <w:vMerge w:val="continue"/>
          </w:tcPr>
          <w:p>
            <w:pPr>
              <w:spacing w:after="0"/>
              <w:rPr>
                <w:sz w:val="11"/>
                <w:szCs w:val="11"/>
                <w:color w:val="auto"/>
              </w:rPr>
            </w:pPr>
          </w:p>
        </w:tc>
        <w:tc>
          <w:tcPr>
            <w:tcW w:w="4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60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6"/>
                <w:szCs w:val="16"/>
                <w:b w:val="1"/>
                <w:bCs w:val="1"/>
                <w:color w:val="8F5A39"/>
              </w:rPr>
              <w:t>Notes on non-GAAP financial measures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8F5A39"/>
              </w:rPr>
              <w:t>103</w:t>
            </w:r>
          </w:p>
        </w:tc>
        <w:tc>
          <w:tcPr>
            <w:tcW w:w="0" w:type="dxa"/>
            <w:vAlign w:val="bottom"/>
          </w:tcPr>
          <w:p>
            <w:pPr>
              <w:spacing w:after="0"/>
              <w:rPr>
                <w:sz w:val="1"/>
                <w:szCs w:val="1"/>
                <w:color w:val="auto"/>
              </w:rPr>
            </w:pPr>
          </w:p>
        </w:tc>
      </w:tr>
      <w:tr>
        <w:trPr>
          <w:trHeight w:val="289"/>
        </w:trPr>
        <w:tc>
          <w:tcPr>
            <w:tcW w:w="600" w:type="dxa"/>
            <w:vAlign w:val="bottom"/>
          </w:tcPr>
          <w:p>
            <w:pPr>
              <w:jc w:val="right"/>
              <w:ind w:right="339"/>
              <w:spacing w:after="0"/>
              <w:rPr>
                <w:sz w:val="20"/>
                <w:szCs w:val="20"/>
                <w:color w:val="auto"/>
              </w:rPr>
            </w:pPr>
            <w:r>
              <w:rPr>
                <w:rFonts w:ascii="Arial" w:cs="Arial" w:eastAsia="Arial" w:hAnsi="Arial"/>
                <w:sz w:val="16"/>
                <w:szCs w:val="16"/>
                <w:color w:val="auto"/>
                <w:w w:val="89"/>
              </w:rPr>
              <w:t>63</w:t>
            </w:r>
          </w:p>
        </w:tc>
        <w:tc>
          <w:tcPr>
            <w:tcW w:w="4860" w:type="dxa"/>
            <w:vAlign w:val="bottom"/>
            <w:vMerge w:val="restart"/>
          </w:tcPr>
          <w:p>
            <w:pPr>
              <w:ind w:left="20"/>
              <w:spacing w:after="0"/>
              <w:rPr>
                <w:sz w:val="20"/>
                <w:szCs w:val="20"/>
                <w:color w:val="auto"/>
              </w:rPr>
            </w:pPr>
            <w:r>
              <w:rPr>
                <w:rFonts w:ascii="Arial" w:cs="Arial" w:eastAsia="Arial" w:hAnsi="Arial"/>
                <w:sz w:val="16"/>
                <w:szCs w:val="16"/>
                <w:b w:val="1"/>
                <w:bCs w:val="1"/>
                <w:color w:val="8F5A39"/>
              </w:rPr>
              <w:t>Glossary of selected terms and acronyms</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8F5A39"/>
              </w:rPr>
              <w:t>105</w:t>
            </w:r>
          </w:p>
        </w:tc>
        <w:tc>
          <w:tcPr>
            <w:tcW w:w="0" w:type="dxa"/>
            <w:vAlign w:val="bottom"/>
          </w:tcPr>
          <w:p>
            <w:pPr>
              <w:spacing w:after="0"/>
              <w:rPr>
                <w:sz w:val="1"/>
                <w:szCs w:val="1"/>
                <w:color w:val="auto"/>
              </w:rPr>
            </w:pPr>
          </w:p>
        </w:tc>
      </w:tr>
      <w:tr>
        <w:trPr>
          <w:trHeight w:val="130"/>
        </w:trPr>
        <w:tc>
          <w:tcPr>
            <w:tcW w:w="600" w:type="dxa"/>
            <w:vAlign w:val="bottom"/>
          </w:tcPr>
          <w:p>
            <w:pPr>
              <w:spacing w:after="0"/>
              <w:rPr>
                <w:sz w:val="11"/>
                <w:szCs w:val="11"/>
                <w:color w:val="auto"/>
              </w:rPr>
            </w:pPr>
          </w:p>
        </w:tc>
        <w:tc>
          <w:tcPr>
            <w:tcW w:w="48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600" w:type="dxa"/>
            <w:vAlign w:val="bottom"/>
          </w:tcPr>
          <w:p>
            <w:pPr>
              <w:jc w:val="right"/>
              <w:ind w:right="339"/>
              <w:spacing w:after="0"/>
              <w:rPr>
                <w:sz w:val="20"/>
                <w:szCs w:val="20"/>
                <w:color w:val="auto"/>
              </w:rPr>
            </w:pPr>
            <w:r>
              <w:rPr>
                <w:rFonts w:ascii="Arial" w:cs="Arial" w:eastAsia="Arial" w:hAnsi="Arial"/>
                <w:sz w:val="16"/>
                <w:szCs w:val="16"/>
                <w:color w:val="auto"/>
                <w:w w:val="89"/>
              </w:rPr>
              <w:t>63</w:t>
            </w:r>
          </w:p>
        </w:tc>
        <w:tc>
          <w:tcPr>
            <w:tcW w:w="4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0" w:type="dxa"/>
            <w:vAlign w:val="bottom"/>
          </w:tcPr>
          <w:p>
            <w:pPr>
              <w:jc w:val="right"/>
              <w:ind w:right="339"/>
              <w:spacing w:after="0"/>
              <w:rPr>
                <w:sz w:val="20"/>
                <w:szCs w:val="20"/>
                <w:color w:val="auto"/>
              </w:rPr>
            </w:pPr>
            <w:r>
              <w:rPr>
                <w:rFonts w:ascii="Arial" w:cs="Arial" w:eastAsia="Arial" w:hAnsi="Arial"/>
                <w:sz w:val="16"/>
                <w:szCs w:val="16"/>
                <w:color w:val="auto"/>
                <w:w w:val="89"/>
              </w:rPr>
              <w:t>64</w:t>
            </w:r>
          </w:p>
        </w:tc>
        <w:tc>
          <w:tcPr>
            <w:tcW w:w="4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00" w:type="dxa"/>
            <w:vAlign w:val="bottom"/>
          </w:tcPr>
          <w:p>
            <w:pPr>
              <w:jc w:val="right"/>
              <w:ind w:right="339"/>
              <w:spacing w:after="0"/>
              <w:rPr>
                <w:sz w:val="20"/>
                <w:szCs w:val="20"/>
                <w:color w:val="auto"/>
              </w:rPr>
            </w:pPr>
            <w:r>
              <w:rPr>
                <w:rFonts w:ascii="Arial" w:cs="Arial" w:eastAsia="Arial" w:hAnsi="Arial"/>
                <w:sz w:val="16"/>
                <w:szCs w:val="16"/>
                <w:color w:val="auto"/>
                <w:w w:val="89"/>
              </w:rPr>
              <w:t>65</w:t>
            </w:r>
          </w:p>
        </w:tc>
        <w:tc>
          <w:tcPr>
            <w:tcW w:w="4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40" w:space="720"/>
            <w:col w:w="6060"/>
          </w:cols>
          <w:pgMar w:left="320" w:top="157" w:right="359" w:bottom="643" w:gutter="0" w:footer="0" w:header="0"/>
        </w:sectPr>
      </w:pPr>
    </w:p>
    <w:p>
      <w:pPr>
        <w:spacing w:after="0" w:line="308" w:lineRule="exact"/>
        <w:rPr>
          <w:sz w:val="20"/>
          <w:szCs w:val="20"/>
          <w:color w:val="auto"/>
        </w:rPr>
      </w:pPr>
    </w:p>
    <w:p>
      <w:pPr>
        <w:spacing w:after="0" w:line="289" w:lineRule="auto"/>
        <w:rPr>
          <w:sz w:val="20"/>
          <w:szCs w:val="20"/>
          <w:color w:val="auto"/>
        </w:rPr>
      </w:pPr>
      <w:r>
        <w:rPr>
          <w:rFonts w:ascii="Arial" w:cs="Arial" w:eastAsia="Arial" w:hAnsi="Arial"/>
          <w:sz w:val="14"/>
          <w:szCs w:val="14"/>
          <w:i w:val="1"/>
          <w:iCs w:val="1"/>
          <w:color w:val="auto"/>
        </w:rPr>
        <w:t>This proxy statement contains forward-looking statements within the meaning of the Private Securities Litigation Reform Act of 1995. These statements can be identified by the fact that they do not relate strictly to historical or current facts. Forward-looking statements often use words such as “anticipate,” “target,” “expect,” “estimate,” “intend,” “plan,” “goal,” “believe” or other words of similar meaning. Forward-looking statements provide JPMorgan Chase &amp; Co.’s (“JPMorganChase” or the “Firm”) current expectations or forecasts of future events, circumstances, results or aspirations. All forward-looking statements are, by their nature, subject to risks and uncertainties, many of which are beyond the Firm’s control. JPMorganChase’s actual future results may differ materially from those set forth in its forward-looking statements. Factors that could cause JPMorganChase's actual results to differ materially from those described in the forward-looking statements can be found in JPMorganChase’s Annual Report on Form 10-K for the year ended December 31, 2025 (“2025 Form 10-K”). Any forward-looking statements made by or on behalf of the Firm speak only as of the date they are made, and JPMorganChase does not undertake to update the forward-looking statements included in this proxy statement to reflect the impact of circumstances or events that may arise after the date the forward-looking statements were made.</w:t>
      </w:r>
    </w:p>
    <w:p>
      <w:pPr>
        <w:sectPr>
          <w:pgSz w:w="11900" w:h="16838" w:orient="portrait"/>
          <w:cols w:equalWidth="0" w:num="1">
            <w:col w:w="11220"/>
          </w:cols>
          <w:pgMar w:left="320" w:top="157" w:right="359" w:bottom="643" w:gutter="0" w:footer="0" w:header="0"/>
          <w:type w:val="continuous"/>
        </w:sectPr>
      </w:pPr>
    </w:p>
    <w:p>
      <w:pPr>
        <w:spacing w:after="0" w:line="118" w:lineRule="exact"/>
        <w:rPr>
          <w:sz w:val="20"/>
          <w:szCs w:val="20"/>
          <w:color w:val="auto"/>
        </w:rPr>
      </w:pPr>
    </w:p>
    <w:p>
      <w:pPr>
        <w:ind w:right="520"/>
        <w:spacing w:after="0" w:line="322" w:lineRule="auto"/>
        <w:rPr>
          <w:sz w:val="20"/>
          <w:szCs w:val="20"/>
          <w:color w:val="auto"/>
        </w:rPr>
      </w:pPr>
      <w:r>
        <w:rPr>
          <w:rFonts w:ascii="Arial" w:cs="Arial" w:eastAsia="Arial" w:hAnsi="Arial"/>
          <w:sz w:val="14"/>
          <w:szCs w:val="14"/>
          <w:i w:val="1"/>
          <w:iCs w:val="1"/>
          <w:color w:val="auto"/>
        </w:rPr>
        <w:t>No reports, documents or websites that are cited or referred to in this proxy statement shall be deemed to form part of, or to be incorporated by reference into, this proxy statement.</w:t>
      </w:r>
    </w:p>
    <w:p>
      <w:pPr>
        <w:sectPr>
          <w:pgSz w:w="11900" w:h="16838" w:orient="portrait"/>
          <w:cols w:equalWidth="0" w:num="1">
            <w:col w:w="11220"/>
          </w:cols>
          <w:pgMar w:left="320" w:top="157" w:right="359" w:bottom="643" w:gutter="0" w:footer="0" w:header="0"/>
          <w:type w:val="continuous"/>
        </w:sectPr>
      </w:pPr>
    </w:p>
    <w:bookmarkStart w:id="7" w:name="page8"/>
    <w:bookmarkEnd w:id="7"/>
    <w:p>
      <w:pPr>
        <w:spacing w:after="0" w:line="32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52"/>
          <w:szCs w:val="52"/>
          <w:color w:val="auto"/>
        </w:rPr>
        <w:t>2026 Proxy summary</w:t>
      </w:r>
    </w:p>
    <w:p>
      <w:pPr>
        <w:spacing w:after="0" w:line="200" w:lineRule="exact"/>
        <w:rPr>
          <w:sz w:val="20"/>
          <w:szCs w:val="20"/>
          <w:color w:val="auto"/>
        </w:rPr>
      </w:pPr>
    </w:p>
    <w:p>
      <w:pPr>
        <w:spacing w:after="0" w:line="382" w:lineRule="exact"/>
        <w:rPr>
          <w:sz w:val="20"/>
          <w:szCs w:val="20"/>
          <w:color w:val="auto"/>
        </w:rPr>
      </w:pPr>
    </w:p>
    <w:p>
      <w:pPr>
        <w:jc w:val="both"/>
        <w:ind w:right="140"/>
        <w:spacing w:after="0" w:line="297" w:lineRule="auto"/>
        <w:rPr>
          <w:sz w:val="20"/>
          <w:szCs w:val="20"/>
          <w:color w:val="auto"/>
        </w:rPr>
      </w:pPr>
      <w:r>
        <w:rPr>
          <w:rFonts w:ascii="Arial" w:cs="Arial" w:eastAsia="Arial" w:hAnsi="Arial"/>
          <w:sz w:val="18"/>
          <w:szCs w:val="18"/>
          <w:b w:val="1"/>
          <w:bCs w:val="1"/>
          <w:color w:val="8F5A39"/>
        </w:rPr>
        <w:t>This summary highlights information in this proxy statement. It does not contain all the information you should consider, and you should read the entire proxy statement carefully before voting. Terms not defined in the text of this proxy statement can be found in the “Glossary of selected terms and acronyms” on page 105.</w:t>
      </w:r>
    </w:p>
    <w:p>
      <w:pPr>
        <w:spacing w:after="0" w:line="87"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Your vote is important. For more information on voting and attending the Annual Meeting of Shareholders ("annual meeting"), see “Information about the annual meeting of shareholders” on page 94. This proxy statement has been prepared by JPMorgan Chase &amp; Co.'s ("JPMorganChase" or the "Firm") management and approved by the Board of Directors, and is being sent or made available to our shareholders on or about April 6, 2026.</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auto"/>
        </w:rPr>
        <w:t>Annual meeting overview: 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228600</wp:posOffset>
            </wp:positionV>
            <wp:extent cx="5760720" cy="1800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00"/>
        <w:spacing w:after="0"/>
        <w:rPr>
          <w:sz w:val="20"/>
          <w:szCs w:val="20"/>
          <w:color w:val="auto"/>
        </w:rPr>
      </w:pPr>
      <w:r>
        <w:rPr>
          <w:sz w:val="1"/>
          <w:szCs w:val="1"/>
          <w:color w:val="auto"/>
        </w:rPr>
        <w:drawing>
          <wp:inline distT="0" distB="0" distL="0" distR="0">
            <wp:extent cx="1543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Arial" w:cs="Arial" w:eastAsia="Arial" w:hAnsi="Arial"/>
          <w:sz w:val="22"/>
          <w:szCs w:val="22"/>
          <w:color w:val="auto"/>
        </w:rPr>
        <w:t xml:space="preserve">  </w:t>
      </w:r>
      <w:r>
        <w:rPr>
          <w:rFonts w:ascii="Arial" w:cs="Arial" w:eastAsia="Arial" w:hAnsi="Arial"/>
          <w:sz w:val="22"/>
          <w:szCs w:val="22"/>
          <w:color w:val="8F5A39"/>
        </w:rPr>
        <w:t>Management proposals</w:t>
      </w:r>
    </w:p>
    <w:p>
      <w:pPr>
        <w:spacing w:after="0" w:line="313" w:lineRule="exact"/>
        <w:rPr>
          <w:sz w:val="20"/>
          <w:szCs w:val="20"/>
          <w:color w:val="auto"/>
        </w:rPr>
      </w:pPr>
    </w:p>
    <w:p>
      <w:pPr>
        <w:ind w:left="1700" w:right="2100"/>
        <w:spacing w:after="0" w:line="308" w:lineRule="auto"/>
        <w:rPr>
          <w:sz w:val="20"/>
          <w:szCs w:val="20"/>
          <w:color w:val="auto"/>
        </w:rPr>
      </w:pPr>
      <w:r>
        <w:rPr>
          <w:rFonts w:ascii="Arial" w:cs="Arial" w:eastAsia="Arial" w:hAnsi="Arial"/>
          <w:sz w:val="16"/>
          <w:szCs w:val="16"/>
          <w:b w:val="1"/>
          <w:bCs w:val="1"/>
          <w:color w:val="auto"/>
        </w:rPr>
        <w:t xml:space="preserve">The Board of Directors recommends you vote </w:t>
      </w:r>
      <w:r>
        <w:rPr>
          <w:rFonts w:ascii="Arial" w:cs="Arial" w:eastAsia="Arial" w:hAnsi="Arial"/>
          <w:sz w:val="16"/>
          <w:szCs w:val="16"/>
          <w:b w:val="1"/>
          <w:bCs w:val="1"/>
          <w:color w:val="8F5A39"/>
        </w:rPr>
        <w:t>FOR</w:t>
      </w:r>
      <w:r>
        <w:rPr>
          <w:rFonts w:ascii="Arial" w:cs="Arial" w:eastAsia="Arial" w:hAnsi="Arial"/>
          <w:sz w:val="16"/>
          <w:szCs w:val="16"/>
          <w:b w:val="1"/>
          <w:bCs w:val="1"/>
          <w:color w:val="auto"/>
        </w:rPr>
        <w:t xml:space="preserve"> each director nominee and proposals 2 and 3 </w:t>
      </w:r>
      <w:r>
        <w:rPr>
          <w:rFonts w:ascii="Arial" w:cs="Arial" w:eastAsia="Arial" w:hAnsi="Arial"/>
          <w:sz w:val="16"/>
          <w:szCs w:val="16"/>
          <w:color w:val="auto"/>
        </w:rPr>
        <w:t>(for more information see page referenced):</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243"/>
        </w:trPr>
        <w:tc>
          <w:tcPr>
            <w:tcW w:w="600" w:type="dxa"/>
            <w:vAlign w:val="bottom"/>
          </w:tcPr>
          <w:p>
            <w:pPr>
              <w:spacing w:after="0"/>
              <w:rPr>
                <w:sz w:val="21"/>
                <w:szCs w:val="21"/>
                <w:color w:val="auto"/>
              </w:rPr>
            </w:pPr>
          </w:p>
        </w:tc>
        <w:tc>
          <w:tcPr>
            <w:tcW w:w="220" w:type="dxa"/>
            <w:vAlign w:val="bottom"/>
            <w:shd w:val="clear" w:color="auto" w:fill="F4EFE7"/>
          </w:tcPr>
          <w:p>
            <w:pPr>
              <w:jc w:val="right"/>
              <w:spacing w:after="0"/>
              <w:rPr>
                <w:sz w:val="20"/>
                <w:szCs w:val="20"/>
                <w:color w:val="auto"/>
              </w:rPr>
            </w:pPr>
            <w:r>
              <w:rPr>
                <w:rFonts w:ascii="Arial" w:cs="Arial" w:eastAsia="Arial" w:hAnsi="Arial"/>
                <w:sz w:val="16"/>
                <w:szCs w:val="16"/>
                <w:b w:val="1"/>
                <w:bCs w:val="1"/>
                <w:color w:val="8F5A39"/>
              </w:rPr>
              <w:t>1.</w:t>
            </w:r>
          </w:p>
        </w:tc>
        <w:tc>
          <w:tcPr>
            <w:tcW w:w="7580" w:type="dxa"/>
            <w:vAlign w:val="bottom"/>
            <w:shd w:val="clear" w:color="auto" w:fill="F4EFE7"/>
          </w:tcPr>
          <w:p>
            <w:pPr>
              <w:ind w:left="80"/>
              <w:spacing w:after="0"/>
              <w:rPr>
                <w:sz w:val="20"/>
                <w:szCs w:val="20"/>
                <w:color w:val="auto"/>
              </w:rPr>
            </w:pPr>
            <w:r>
              <w:rPr>
                <w:rFonts w:ascii="Arial" w:cs="Arial" w:eastAsia="Arial" w:hAnsi="Arial"/>
                <w:sz w:val="16"/>
                <w:szCs w:val="16"/>
                <w:color w:val="auto"/>
              </w:rPr>
              <w:t>Election of directors</w:t>
            </w: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7</w:t>
            </w:r>
          </w:p>
        </w:tc>
      </w:tr>
      <w:tr>
        <w:trPr>
          <w:trHeight w:val="411"/>
        </w:trPr>
        <w:tc>
          <w:tcPr>
            <w:tcW w:w="600" w:type="dxa"/>
            <w:vAlign w:val="bottom"/>
          </w:tcPr>
          <w:p>
            <w:pPr>
              <w:spacing w:after="0"/>
              <w:rPr>
                <w:sz w:val="24"/>
                <w:szCs w:val="24"/>
                <w:color w:val="auto"/>
              </w:rPr>
            </w:pPr>
          </w:p>
        </w:tc>
        <w:tc>
          <w:tcPr>
            <w:tcW w:w="220" w:type="dxa"/>
            <w:vAlign w:val="bottom"/>
            <w:shd w:val="clear" w:color="auto" w:fill="F4EFE7"/>
          </w:tcPr>
          <w:p>
            <w:pPr>
              <w:jc w:val="right"/>
              <w:spacing w:after="0"/>
              <w:rPr>
                <w:sz w:val="20"/>
                <w:szCs w:val="20"/>
                <w:color w:val="auto"/>
              </w:rPr>
            </w:pPr>
            <w:r>
              <w:rPr>
                <w:rFonts w:ascii="Arial" w:cs="Arial" w:eastAsia="Arial" w:hAnsi="Arial"/>
                <w:sz w:val="16"/>
                <w:szCs w:val="16"/>
                <w:b w:val="1"/>
                <w:bCs w:val="1"/>
                <w:color w:val="8F5A39"/>
              </w:rPr>
              <w:t>2.</w:t>
            </w:r>
          </w:p>
        </w:tc>
        <w:tc>
          <w:tcPr>
            <w:tcW w:w="7580" w:type="dxa"/>
            <w:vAlign w:val="bottom"/>
            <w:shd w:val="clear" w:color="auto" w:fill="F4EFE7"/>
          </w:tcPr>
          <w:p>
            <w:pPr>
              <w:ind w:left="60"/>
              <w:spacing w:after="0"/>
              <w:rPr>
                <w:sz w:val="20"/>
                <w:szCs w:val="20"/>
                <w:color w:val="auto"/>
              </w:rPr>
            </w:pPr>
            <w:r>
              <w:rPr>
                <w:rFonts w:ascii="Arial" w:cs="Arial" w:eastAsia="Arial" w:hAnsi="Arial"/>
                <w:sz w:val="16"/>
                <w:szCs w:val="16"/>
                <w:color w:val="auto"/>
              </w:rPr>
              <w:t>Advisory resolution to approve executive compensation</w:t>
            </w: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38</w:t>
            </w:r>
          </w:p>
        </w:tc>
      </w:tr>
      <w:tr>
        <w:trPr>
          <w:trHeight w:val="418"/>
        </w:trPr>
        <w:tc>
          <w:tcPr>
            <w:tcW w:w="600" w:type="dxa"/>
            <w:vAlign w:val="bottom"/>
          </w:tcPr>
          <w:p>
            <w:pPr>
              <w:spacing w:after="0"/>
              <w:rPr>
                <w:sz w:val="24"/>
                <w:szCs w:val="24"/>
                <w:color w:val="auto"/>
              </w:rPr>
            </w:pPr>
          </w:p>
        </w:tc>
        <w:tc>
          <w:tcPr>
            <w:tcW w:w="220" w:type="dxa"/>
            <w:vAlign w:val="bottom"/>
            <w:shd w:val="clear" w:color="auto" w:fill="F4EFE7"/>
          </w:tcPr>
          <w:p>
            <w:pPr>
              <w:jc w:val="right"/>
              <w:spacing w:after="0"/>
              <w:rPr>
                <w:sz w:val="20"/>
                <w:szCs w:val="20"/>
                <w:color w:val="auto"/>
              </w:rPr>
            </w:pPr>
            <w:r>
              <w:rPr>
                <w:rFonts w:ascii="Arial" w:cs="Arial" w:eastAsia="Arial" w:hAnsi="Arial"/>
                <w:sz w:val="16"/>
                <w:szCs w:val="16"/>
                <w:b w:val="1"/>
                <w:bCs w:val="1"/>
                <w:color w:val="8F5A39"/>
              </w:rPr>
              <w:t>3.</w:t>
            </w:r>
          </w:p>
        </w:tc>
        <w:tc>
          <w:tcPr>
            <w:tcW w:w="7580" w:type="dxa"/>
            <w:vAlign w:val="bottom"/>
            <w:shd w:val="clear" w:color="auto" w:fill="F4EFE7"/>
          </w:tcPr>
          <w:p>
            <w:pPr>
              <w:ind w:left="60"/>
              <w:spacing w:after="0"/>
              <w:rPr>
                <w:sz w:val="20"/>
                <w:szCs w:val="20"/>
                <w:color w:val="auto"/>
              </w:rPr>
            </w:pPr>
            <w:r>
              <w:rPr>
                <w:rFonts w:ascii="Arial" w:cs="Arial" w:eastAsia="Arial" w:hAnsi="Arial"/>
                <w:sz w:val="16"/>
                <w:szCs w:val="16"/>
                <w:color w:val="auto"/>
              </w:rPr>
              <w:t>Ratification of independent registered public accounting firm</w:t>
            </w: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78</w:t>
            </w:r>
          </w:p>
        </w:tc>
      </w:tr>
      <w:tr>
        <w:trPr>
          <w:trHeight w:val="440"/>
        </w:trPr>
        <w:tc>
          <w:tcPr>
            <w:tcW w:w="600" w:type="dxa"/>
            <w:vAlign w:val="bottom"/>
          </w:tcPr>
          <w:p>
            <w:pPr>
              <w:spacing w:after="0"/>
              <w:rPr>
                <w:sz w:val="24"/>
                <w:szCs w:val="24"/>
                <w:color w:val="auto"/>
              </w:rPr>
            </w:pPr>
          </w:p>
        </w:tc>
        <w:tc>
          <w:tcPr>
            <w:tcW w:w="220" w:type="dxa"/>
            <w:vAlign w:val="bottom"/>
            <w:shd w:val="clear" w:color="auto" w:fill="F4EFE7"/>
          </w:tcPr>
          <w:p>
            <w:pPr>
              <w:spacing w:after="0"/>
              <w:rPr>
                <w:sz w:val="24"/>
                <w:szCs w:val="24"/>
                <w:color w:val="auto"/>
              </w:rPr>
            </w:pPr>
          </w:p>
        </w:tc>
        <w:tc>
          <w:tcPr>
            <w:tcW w:w="7580" w:type="dxa"/>
            <w:vAlign w:val="bottom"/>
            <w:shd w:val="clear" w:color="auto" w:fill="F4EFE7"/>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600" w:type="dxa"/>
            <w:vAlign w:val="bottom"/>
            <w:shd w:val="clear" w:color="auto" w:fill="E6E7E8"/>
          </w:tcPr>
          <w:p>
            <w:pPr>
              <w:spacing w:after="0"/>
              <w:rPr>
                <w:sz w:val="23"/>
                <w:szCs w:val="23"/>
                <w:color w:val="auto"/>
              </w:rPr>
            </w:pPr>
          </w:p>
        </w:tc>
        <w:tc>
          <w:tcPr>
            <w:tcW w:w="220" w:type="dxa"/>
            <w:vAlign w:val="bottom"/>
            <w:shd w:val="clear" w:color="auto" w:fill="E6E7E8"/>
          </w:tcPr>
          <w:p>
            <w:pPr>
              <w:spacing w:after="0"/>
              <w:rPr>
                <w:sz w:val="23"/>
                <w:szCs w:val="23"/>
                <w:color w:val="auto"/>
              </w:rPr>
            </w:pPr>
          </w:p>
        </w:tc>
        <w:tc>
          <w:tcPr>
            <w:tcW w:w="7580" w:type="dxa"/>
            <w:vAlign w:val="bottom"/>
            <w:shd w:val="clear" w:color="auto" w:fill="E6E7E8"/>
          </w:tcPr>
          <w:p>
            <w:pPr>
              <w:spacing w:after="0"/>
              <w:rPr>
                <w:sz w:val="23"/>
                <w:szCs w:val="23"/>
                <w:color w:val="auto"/>
              </w:rPr>
            </w:pPr>
          </w:p>
        </w:tc>
        <w:tc>
          <w:tcPr>
            <w:tcW w:w="680" w:type="dxa"/>
            <w:vAlign w:val="bottom"/>
            <w:shd w:val="clear" w:color="auto" w:fill="E6E7E8"/>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-170815</wp:posOffset>
            </wp:positionV>
            <wp:extent cx="5760720" cy="2194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2194560"/>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sz w:val="1"/>
          <w:szCs w:val="1"/>
          <w:color w:val="auto"/>
        </w:rPr>
        <w:drawing>
          <wp:inline distT="0" distB="0" distL="0" distR="0">
            <wp:extent cx="154305" cy="1543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22"/>
          <w:szCs w:val="22"/>
          <w:color w:val="auto"/>
        </w:rPr>
        <w:t>  Shareholder proposals (if they are properly introduced at the meeting)</w:t>
      </w:r>
    </w:p>
    <w:p>
      <w:pPr>
        <w:spacing w:after="0" w:line="317" w:lineRule="exact"/>
        <w:rPr>
          <w:sz w:val="20"/>
          <w:szCs w:val="20"/>
          <w:color w:val="auto"/>
        </w:rPr>
      </w:pPr>
    </w:p>
    <w:p>
      <w:pPr>
        <w:ind w:left="1700" w:right="1800"/>
        <w:spacing w:after="0" w:line="321" w:lineRule="auto"/>
        <w:rPr>
          <w:sz w:val="20"/>
          <w:szCs w:val="20"/>
          <w:color w:val="auto"/>
        </w:rPr>
      </w:pPr>
      <w:r>
        <w:rPr>
          <w:rFonts w:ascii="Arial" w:cs="Arial" w:eastAsia="Arial" w:hAnsi="Arial"/>
          <w:sz w:val="16"/>
          <w:szCs w:val="16"/>
          <w:b w:val="1"/>
          <w:bCs w:val="1"/>
          <w:color w:val="auto"/>
        </w:rPr>
        <w:t xml:space="preserve">The Board of Directors recommends you vote AGAINST each of the following shareholder proposals </w:t>
      </w:r>
      <w:r>
        <w:rPr>
          <w:rFonts w:ascii="Arial" w:cs="Arial" w:eastAsia="Arial" w:hAnsi="Arial"/>
          <w:sz w:val="16"/>
          <w:szCs w:val="16"/>
          <w:color w:val="auto"/>
        </w:rPr>
        <w:t>(for more information see page referenced):</w:t>
      </w:r>
    </w:p>
    <w:p>
      <w:pPr>
        <w:spacing w:after="0" w:line="129" w:lineRule="exact"/>
        <w:rPr>
          <w:sz w:val="20"/>
          <w:szCs w:val="20"/>
          <w:color w:val="auto"/>
        </w:rPr>
      </w:pPr>
    </w:p>
    <w:tbl>
      <w:tblPr>
        <w:tblLayout w:type="fixed"/>
        <w:tblInd w:w="1680" w:type="dxa"/>
        <w:tblCellMar>
          <w:top w:w="0" w:type="dxa"/>
          <w:left w:w="0" w:type="dxa"/>
          <w:bottom w:w="0" w:type="dxa"/>
          <w:right w:w="0" w:type="dxa"/>
        </w:tblCellMar>
      </w:tblPr>
      <w:tr>
        <w:trPr>
          <w:trHeight w:val="243"/>
        </w:trPr>
        <w:tc>
          <w:tcPr>
            <w:tcW w:w="200" w:type="dxa"/>
            <w:vAlign w:val="bottom"/>
            <w:shd w:val="clear" w:color="auto" w:fill="E6E7E8"/>
          </w:tcPr>
          <w:p>
            <w:pPr>
              <w:jc w:val="right"/>
              <w:spacing w:after="0"/>
              <w:rPr>
                <w:sz w:val="20"/>
                <w:szCs w:val="20"/>
                <w:color w:val="auto"/>
              </w:rPr>
            </w:pPr>
            <w:r>
              <w:rPr>
                <w:rFonts w:ascii="Arial" w:cs="Arial" w:eastAsia="Arial" w:hAnsi="Arial"/>
                <w:sz w:val="16"/>
                <w:szCs w:val="16"/>
                <w:b w:val="1"/>
                <w:bCs w:val="1"/>
                <w:color w:val="auto"/>
              </w:rPr>
              <w:t>4.</w:t>
            </w:r>
          </w:p>
        </w:tc>
        <w:tc>
          <w:tcPr>
            <w:tcW w:w="7600" w:type="dxa"/>
            <w:vAlign w:val="bottom"/>
            <w:shd w:val="clear" w:color="auto" w:fill="E6E7E8"/>
          </w:tcPr>
          <w:p>
            <w:pPr>
              <w:ind w:left="60"/>
              <w:spacing w:after="0"/>
              <w:rPr>
                <w:sz w:val="20"/>
                <w:szCs w:val="20"/>
                <w:color w:val="auto"/>
              </w:rPr>
            </w:pPr>
            <w:r>
              <w:rPr>
                <w:rFonts w:ascii="Arial" w:cs="Arial" w:eastAsia="Arial" w:hAnsi="Arial"/>
                <w:sz w:val="16"/>
                <w:szCs w:val="16"/>
                <w:color w:val="auto"/>
              </w:rPr>
              <w:t>Report on congruence of security, resiliency, and climate initiatives</w:t>
            </w:r>
          </w:p>
        </w:tc>
        <w:tc>
          <w:tcPr>
            <w:tcW w:w="4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411"/>
        </w:trPr>
        <w:tc>
          <w:tcPr>
            <w:tcW w:w="200" w:type="dxa"/>
            <w:vAlign w:val="bottom"/>
            <w:shd w:val="clear" w:color="auto" w:fill="E6E7E8"/>
          </w:tcPr>
          <w:p>
            <w:pPr>
              <w:jc w:val="right"/>
              <w:spacing w:after="0"/>
              <w:rPr>
                <w:sz w:val="20"/>
                <w:szCs w:val="20"/>
                <w:color w:val="auto"/>
              </w:rPr>
            </w:pPr>
            <w:r>
              <w:rPr>
                <w:rFonts w:ascii="Arial" w:cs="Arial" w:eastAsia="Arial" w:hAnsi="Arial"/>
                <w:sz w:val="16"/>
                <w:szCs w:val="16"/>
                <w:b w:val="1"/>
                <w:bCs w:val="1"/>
                <w:color w:val="auto"/>
              </w:rPr>
              <w:t>5.</w:t>
            </w:r>
          </w:p>
        </w:tc>
        <w:tc>
          <w:tcPr>
            <w:tcW w:w="7600" w:type="dxa"/>
            <w:vAlign w:val="bottom"/>
            <w:shd w:val="clear" w:color="auto" w:fill="E6E7E8"/>
          </w:tcPr>
          <w:p>
            <w:pPr>
              <w:ind w:left="80"/>
              <w:spacing w:after="0"/>
              <w:rPr>
                <w:sz w:val="20"/>
                <w:szCs w:val="20"/>
                <w:color w:val="auto"/>
              </w:rPr>
            </w:pPr>
            <w:r>
              <w:rPr>
                <w:rFonts w:ascii="Arial" w:cs="Arial" w:eastAsia="Arial" w:hAnsi="Arial"/>
                <w:sz w:val="16"/>
                <w:szCs w:val="16"/>
                <w:color w:val="auto"/>
              </w:rPr>
              <w:t>Independent board chairman</w:t>
            </w:r>
          </w:p>
        </w:tc>
        <w:tc>
          <w:tcPr>
            <w:tcW w:w="4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419"/>
        </w:trPr>
        <w:tc>
          <w:tcPr>
            <w:tcW w:w="200" w:type="dxa"/>
            <w:vAlign w:val="bottom"/>
            <w:shd w:val="clear" w:color="auto" w:fill="E6E7E8"/>
          </w:tcPr>
          <w:p>
            <w:pPr>
              <w:jc w:val="right"/>
              <w:spacing w:after="0"/>
              <w:rPr>
                <w:sz w:val="20"/>
                <w:szCs w:val="20"/>
                <w:color w:val="auto"/>
              </w:rPr>
            </w:pPr>
            <w:r>
              <w:rPr>
                <w:rFonts w:ascii="Arial" w:cs="Arial" w:eastAsia="Arial" w:hAnsi="Arial"/>
                <w:sz w:val="16"/>
                <w:szCs w:val="16"/>
                <w:b w:val="1"/>
                <w:bCs w:val="1"/>
                <w:color w:val="auto"/>
              </w:rPr>
              <w:t>6.</w:t>
            </w:r>
          </w:p>
        </w:tc>
        <w:tc>
          <w:tcPr>
            <w:tcW w:w="7600" w:type="dxa"/>
            <w:vAlign w:val="bottom"/>
            <w:shd w:val="clear" w:color="auto" w:fill="E6E7E8"/>
          </w:tcPr>
          <w:p>
            <w:pPr>
              <w:ind w:left="80"/>
              <w:spacing w:after="0"/>
              <w:rPr>
                <w:sz w:val="20"/>
                <w:szCs w:val="20"/>
                <w:color w:val="auto"/>
              </w:rPr>
            </w:pPr>
            <w:r>
              <w:rPr>
                <w:rFonts w:ascii="Arial" w:cs="Arial" w:eastAsia="Arial" w:hAnsi="Arial"/>
                <w:sz w:val="16"/>
                <w:szCs w:val="16"/>
                <w:color w:val="auto"/>
              </w:rPr>
              <w:t>Lobbying alignment</w:t>
            </w:r>
          </w:p>
        </w:tc>
        <w:tc>
          <w:tcPr>
            <w:tcW w:w="4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418"/>
        </w:trPr>
        <w:tc>
          <w:tcPr>
            <w:tcW w:w="200" w:type="dxa"/>
            <w:vAlign w:val="bottom"/>
            <w:shd w:val="clear" w:color="auto" w:fill="E6E7E8"/>
          </w:tcPr>
          <w:p>
            <w:pPr>
              <w:jc w:val="right"/>
              <w:spacing w:after="0"/>
              <w:rPr>
                <w:sz w:val="20"/>
                <w:szCs w:val="20"/>
                <w:color w:val="auto"/>
              </w:rPr>
            </w:pPr>
            <w:r>
              <w:rPr>
                <w:rFonts w:ascii="Arial" w:cs="Arial" w:eastAsia="Arial" w:hAnsi="Arial"/>
                <w:sz w:val="16"/>
                <w:szCs w:val="16"/>
                <w:b w:val="1"/>
                <w:bCs w:val="1"/>
                <w:color w:val="auto"/>
              </w:rPr>
              <w:t>7.</w:t>
            </w:r>
          </w:p>
        </w:tc>
        <w:tc>
          <w:tcPr>
            <w:tcW w:w="7600" w:type="dxa"/>
            <w:vAlign w:val="bottom"/>
            <w:shd w:val="clear" w:color="auto" w:fill="E6E7E8"/>
          </w:tcPr>
          <w:p>
            <w:pPr>
              <w:ind w:left="80"/>
              <w:spacing w:after="0"/>
              <w:rPr>
                <w:sz w:val="20"/>
                <w:szCs w:val="20"/>
                <w:color w:val="auto"/>
              </w:rPr>
            </w:pPr>
            <w:r>
              <w:rPr>
                <w:rFonts w:ascii="Arial" w:cs="Arial" w:eastAsia="Arial" w:hAnsi="Arial"/>
                <w:sz w:val="16"/>
                <w:szCs w:val="16"/>
                <w:color w:val="auto"/>
              </w:rPr>
              <w:t>Sustainability ROI report</w:t>
            </w:r>
          </w:p>
        </w:tc>
        <w:tc>
          <w:tcPr>
            <w:tcW w:w="4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440"/>
        </w:trPr>
        <w:tc>
          <w:tcPr>
            <w:tcW w:w="200" w:type="dxa"/>
            <w:vAlign w:val="bottom"/>
            <w:shd w:val="clear" w:color="auto" w:fill="E6E7E8"/>
          </w:tcPr>
          <w:p>
            <w:pPr>
              <w:spacing w:after="0"/>
              <w:rPr>
                <w:sz w:val="24"/>
                <w:szCs w:val="24"/>
                <w:color w:val="auto"/>
              </w:rPr>
            </w:pPr>
          </w:p>
        </w:tc>
        <w:tc>
          <w:tcPr>
            <w:tcW w:w="7600" w:type="dxa"/>
            <w:vAlign w:val="bottom"/>
            <w:shd w:val="clear" w:color="auto" w:fill="E6E7E8"/>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488950</wp:posOffset>
            </wp:positionV>
            <wp:extent cx="65151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4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8"/>
        </w:trPr>
        <w:tc>
          <w:tcPr>
            <w:tcW w:w="108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2026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color w:val="auto"/>
        </w:rPr>
        <w:t>The Firm demonstrated strong financial performance in 2025</w:t>
      </w:r>
    </w:p>
    <w:p>
      <w:pPr>
        <w:spacing w:after="0" w:line="34"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Firm continued its focus on serving our clients and customers while investing in and executing on long-term strategic initiatives. The Firm experienced market share gains and expanded our lead, maintained a fortress balance sheet and achieved strong financial results.</w:t>
      </w: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062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shd w:val="clear" w:color="auto" w:fill="F4EFE7"/>
          </w:tcPr>
          <w:p>
            <w:pPr>
              <w:ind w:left="40"/>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21"/>
                <w:szCs w:val="21"/>
                <w:color w:val="auto"/>
              </w:rPr>
            </w:pPr>
          </w:p>
        </w:tc>
        <w:tc>
          <w:tcPr>
            <w:tcW w:w="214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Pre-tax income</w:t>
            </w:r>
          </w:p>
        </w:tc>
      </w:tr>
      <w:tr>
        <w:trPr>
          <w:trHeight w:val="315"/>
        </w:trPr>
        <w:tc>
          <w:tcPr>
            <w:tcW w:w="1320" w:type="dxa"/>
            <w:vAlign w:val="bottom"/>
            <w:shd w:val="clear" w:color="auto" w:fill="F4EFE7"/>
          </w:tcPr>
          <w:p>
            <w:pPr>
              <w:ind w:left="40"/>
              <w:spacing w:after="0"/>
              <w:rPr>
                <w:sz w:val="20"/>
                <w:szCs w:val="20"/>
                <w:color w:val="auto"/>
              </w:rPr>
            </w:pPr>
            <w:r>
              <w:rPr>
                <w:rFonts w:ascii="Arial" w:cs="Arial" w:eastAsia="Arial" w:hAnsi="Arial"/>
                <w:sz w:val="25"/>
                <w:szCs w:val="25"/>
                <w:color w:val="8F5A39"/>
              </w:rPr>
              <w:t>$182.4B</w:t>
            </w:r>
          </w:p>
        </w:tc>
        <w:tc>
          <w:tcPr>
            <w:tcW w:w="100" w:type="dxa"/>
            <w:vAlign w:val="bottom"/>
          </w:tcPr>
          <w:p>
            <w:pPr>
              <w:spacing w:after="0"/>
              <w:rPr>
                <w:sz w:val="24"/>
                <w:szCs w:val="24"/>
                <w:color w:val="auto"/>
              </w:rPr>
            </w:pPr>
          </w:p>
        </w:tc>
        <w:tc>
          <w:tcPr>
            <w:tcW w:w="2140" w:type="dxa"/>
            <w:vAlign w:val="bottom"/>
            <w:shd w:val="clear" w:color="auto" w:fill="F4EFE7"/>
          </w:tcPr>
          <w:p>
            <w:pPr>
              <w:ind w:left="20"/>
              <w:spacing w:after="0"/>
              <w:rPr>
                <w:sz w:val="20"/>
                <w:szCs w:val="20"/>
                <w:color w:val="auto"/>
              </w:rPr>
            </w:pPr>
            <w:r>
              <w:rPr>
                <w:rFonts w:ascii="Arial" w:cs="Arial" w:eastAsia="Arial" w:hAnsi="Arial"/>
                <w:sz w:val="25"/>
                <w:szCs w:val="25"/>
                <w:color w:val="8F5A39"/>
              </w:rPr>
              <w:t>$72.6B</w:t>
            </w:r>
          </w:p>
        </w:tc>
      </w:tr>
      <w:tr>
        <w:trPr>
          <w:trHeight w:val="176"/>
        </w:trPr>
        <w:tc>
          <w:tcPr>
            <w:tcW w:w="1320" w:type="dxa"/>
            <w:vAlign w:val="bottom"/>
            <w:shd w:val="clear" w:color="auto" w:fill="F4EFE7"/>
          </w:tcPr>
          <w:p>
            <w:pPr>
              <w:ind w:left="40"/>
              <w:spacing w:after="0"/>
              <w:rPr>
                <w:sz w:val="20"/>
                <w:szCs w:val="20"/>
                <w:color w:val="auto"/>
              </w:rPr>
            </w:pPr>
            <w:r>
              <w:rPr>
                <w:rFonts w:ascii="Arial" w:cs="Arial" w:eastAsia="Arial" w:hAnsi="Arial"/>
                <w:sz w:val="13"/>
                <w:szCs w:val="13"/>
                <w:color w:val="auto"/>
              </w:rPr>
              <w:t>Reported</w:t>
            </w:r>
          </w:p>
        </w:tc>
        <w:tc>
          <w:tcPr>
            <w:tcW w:w="100" w:type="dxa"/>
            <w:vAlign w:val="bottom"/>
          </w:tcPr>
          <w:p>
            <w:pPr>
              <w:spacing w:after="0"/>
              <w:rPr>
                <w:sz w:val="15"/>
                <w:szCs w:val="15"/>
                <w:color w:val="auto"/>
              </w:rPr>
            </w:pPr>
          </w:p>
        </w:tc>
        <w:tc>
          <w:tcPr>
            <w:tcW w:w="2140" w:type="dxa"/>
            <w:vAlign w:val="bottom"/>
            <w:shd w:val="clear" w:color="auto" w:fill="F4EFE7"/>
          </w:tcPr>
          <w:p>
            <w:pPr>
              <w:ind w:left="20"/>
              <w:spacing w:after="0"/>
              <w:rPr>
                <w:sz w:val="20"/>
                <w:szCs w:val="20"/>
                <w:color w:val="auto"/>
              </w:rPr>
            </w:pPr>
            <w:r>
              <w:rPr>
                <w:rFonts w:ascii="Arial" w:cs="Arial" w:eastAsia="Arial" w:hAnsi="Arial"/>
                <w:sz w:val="13"/>
                <w:szCs w:val="13"/>
                <w:color w:val="auto"/>
              </w:rPr>
              <w:t>Reported</w:t>
            </w:r>
          </w:p>
        </w:tc>
      </w:tr>
      <w:tr>
        <w:trPr>
          <w:trHeight w:val="519"/>
        </w:trPr>
        <w:tc>
          <w:tcPr>
            <w:tcW w:w="1320" w:type="dxa"/>
            <w:vAlign w:val="bottom"/>
            <w:shd w:val="clear" w:color="auto" w:fill="F4EFE7"/>
          </w:tcPr>
          <w:p>
            <w:pPr>
              <w:ind w:left="20"/>
              <w:spacing w:after="0"/>
              <w:rPr>
                <w:sz w:val="20"/>
                <w:szCs w:val="20"/>
                <w:color w:val="auto"/>
              </w:rPr>
            </w:pPr>
            <w:r>
              <w:rPr>
                <w:rFonts w:ascii="Arial" w:cs="Arial" w:eastAsia="Arial" w:hAnsi="Arial"/>
                <w:sz w:val="25"/>
                <w:szCs w:val="25"/>
                <w:color w:val="8F5A39"/>
              </w:rPr>
              <w:t>$185.6B</w:t>
            </w:r>
          </w:p>
        </w:tc>
        <w:tc>
          <w:tcPr>
            <w:tcW w:w="100" w:type="dxa"/>
            <w:vAlign w:val="bottom"/>
          </w:tcPr>
          <w:p>
            <w:pPr>
              <w:spacing w:after="0"/>
              <w:rPr>
                <w:sz w:val="24"/>
                <w:szCs w:val="24"/>
                <w:color w:val="auto"/>
              </w:rPr>
            </w:pPr>
          </w:p>
        </w:tc>
        <w:tc>
          <w:tcPr>
            <w:tcW w:w="2140" w:type="dxa"/>
            <w:vAlign w:val="bottom"/>
            <w:shd w:val="clear" w:color="auto" w:fill="F4EFE7"/>
          </w:tcPr>
          <w:p>
            <w:pPr>
              <w:ind w:left="20"/>
              <w:spacing w:after="0"/>
              <w:rPr>
                <w:sz w:val="20"/>
                <w:szCs w:val="20"/>
                <w:color w:val="auto"/>
              </w:rPr>
            </w:pPr>
            <w:r>
              <w:rPr>
                <w:rFonts w:ascii="Arial" w:cs="Arial" w:eastAsia="Arial" w:hAnsi="Arial"/>
                <w:sz w:val="25"/>
                <w:szCs w:val="25"/>
                <w:color w:val="8F5A39"/>
              </w:rPr>
              <w:t>$80.1B</w:t>
            </w:r>
          </w:p>
        </w:tc>
      </w:tr>
      <w:tr>
        <w:trPr>
          <w:trHeight w:val="156"/>
        </w:trPr>
        <w:tc>
          <w:tcPr>
            <w:tcW w:w="1320" w:type="dxa"/>
            <w:vAlign w:val="bottom"/>
            <w:shd w:val="clear" w:color="auto" w:fill="F4EFE7"/>
          </w:tcPr>
          <w:p>
            <w:pPr>
              <w:ind w:left="40"/>
              <w:spacing w:after="0" w:line="156" w:lineRule="exact"/>
              <w:rPr>
                <w:sz w:val="20"/>
                <w:szCs w:val="20"/>
                <w:color w:val="auto"/>
              </w:rPr>
            </w:pPr>
            <w:r>
              <w:rPr>
                <w:rFonts w:ascii="Arial" w:cs="Arial" w:eastAsia="Arial" w:hAnsi="Arial"/>
                <w:sz w:val="13"/>
                <w:szCs w:val="13"/>
                <w:color w:val="auto"/>
              </w:rPr>
              <w:t>Managed</w:t>
            </w:r>
            <w:r>
              <w:rPr>
                <w:rFonts w:ascii="Arial" w:cs="Arial" w:eastAsia="Arial" w:hAnsi="Arial"/>
                <w:sz w:val="17"/>
                <w:szCs w:val="17"/>
                <w:color w:val="auto"/>
                <w:vertAlign w:val="superscript"/>
              </w:rPr>
              <w:t>1,2</w:t>
            </w:r>
          </w:p>
        </w:tc>
        <w:tc>
          <w:tcPr>
            <w:tcW w:w="100" w:type="dxa"/>
            <w:vAlign w:val="bottom"/>
          </w:tcPr>
          <w:p>
            <w:pPr>
              <w:spacing w:after="0"/>
              <w:rPr>
                <w:sz w:val="13"/>
                <w:szCs w:val="13"/>
                <w:color w:val="auto"/>
              </w:rPr>
            </w:pPr>
          </w:p>
        </w:tc>
        <w:tc>
          <w:tcPr>
            <w:tcW w:w="2140" w:type="dxa"/>
            <w:vAlign w:val="bottom"/>
            <w:shd w:val="clear" w:color="auto" w:fill="F4EFE7"/>
          </w:tcPr>
          <w:p>
            <w:pPr>
              <w:ind w:left="20"/>
              <w:spacing w:after="0"/>
              <w:rPr>
                <w:sz w:val="20"/>
                <w:szCs w:val="20"/>
                <w:color w:val="auto"/>
              </w:rPr>
            </w:pPr>
            <w:r>
              <w:rPr>
                <w:rFonts w:ascii="Arial" w:cs="Arial" w:eastAsia="Arial" w:hAnsi="Arial"/>
                <w:sz w:val="13"/>
                <w:szCs w:val="13"/>
                <w:color w:val="auto"/>
              </w:rPr>
              <w:t>Excluding loan loss reserves (“ex.</w:t>
            </w:r>
          </w:p>
        </w:tc>
      </w:tr>
      <w:tr>
        <w:trPr>
          <w:trHeight w:val="241"/>
        </w:trPr>
        <w:tc>
          <w:tcPr>
            <w:tcW w:w="1320" w:type="dxa"/>
            <w:vAlign w:val="bottom"/>
            <w:shd w:val="clear" w:color="auto" w:fill="F4EFE7"/>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shd w:val="clear" w:color="auto" w:fill="F4EFE7"/>
          </w:tcPr>
          <w:p>
            <w:pPr>
              <w:ind w:left="20"/>
              <w:spacing w:after="0"/>
              <w:rPr>
                <w:sz w:val="20"/>
                <w:szCs w:val="20"/>
                <w:color w:val="auto"/>
              </w:rPr>
            </w:pPr>
            <w:r>
              <w:rPr>
                <w:rFonts w:ascii="Arial" w:cs="Arial" w:eastAsia="Arial" w:hAnsi="Arial"/>
                <w:sz w:val="13"/>
                <w:szCs w:val="13"/>
                <w:color w:val="auto"/>
              </w:rPr>
              <w:t>LLR”)</w:t>
            </w:r>
            <w:r>
              <w:rPr>
                <w:rFonts w:ascii="Arial" w:cs="Arial" w:eastAsia="Arial" w:hAnsi="Arial"/>
                <w:sz w:val="17"/>
                <w:szCs w:val="17"/>
                <w:color w:val="auto"/>
                <w:vertAlign w:val="superscript"/>
              </w:rPr>
              <w:t>1,2</w:t>
            </w:r>
          </w:p>
        </w:tc>
      </w:tr>
      <w:tr>
        <w:trPr>
          <w:trHeight w:val="150"/>
        </w:trPr>
        <w:tc>
          <w:tcPr>
            <w:tcW w:w="1320" w:type="dxa"/>
            <w:vAlign w:val="bottom"/>
            <w:shd w:val="clear" w:color="auto" w:fill="F4EFE7"/>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shd w:val="clear" w:color="auto" w:fill="F4EFE7"/>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86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Net income</w:t>
            </w:r>
          </w:p>
        </w:tc>
        <w:tc>
          <w:tcPr>
            <w:tcW w:w="100" w:type="dxa"/>
            <w:vAlign w:val="bottom"/>
          </w:tcPr>
          <w:p>
            <w:pPr>
              <w:spacing w:after="0"/>
              <w:rPr>
                <w:sz w:val="19"/>
                <w:szCs w:val="19"/>
                <w:color w:val="auto"/>
              </w:rPr>
            </w:pPr>
          </w:p>
        </w:tc>
        <w:tc>
          <w:tcPr>
            <w:tcW w:w="1880" w:type="dxa"/>
            <w:vAlign w:val="bottom"/>
            <w:shd w:val="clear" w:color="auto" w:fill="F4EFE7"/>
          </w:tcPr>
          <w:p>
            <w:pPr>
              <w:ind w:left="40"/>
              <w:spacing w:after="0"/>
              <w:rPr>
                <w:sz w:val="20"/>
                <w:szCs w:val="20"/>
                <w:color w:val="auto"/>
              </w:rPr>
            </w:pPr>
            <w:r>
              <w:rPr>
                <w:rFonts w:ascii="Arial" w:cs="Arial" w:eastAsia="Arial" w:hAnsi="Arial"/>
                <w:sz w:val="13"/>
                <w:szCs w:val="13"/>
                <w:b w:val="1"/>
                <w:bCs w:val="1"/>
                <w:color w:val="auto"/>
              </w:rPr>
              <w:t>Book value per share</w:t>
            </w:r>
          </w:p>
        </w:tc>
        <w:tc>
          <w:tcPr>
            <w:tcW w:w="100" w:type="dxa"/>
            <w:vAlign w:val="bottom"/>
          </w:tcPr>
          <w:p>
            <w:pPr>
              <w:spacing w:after="0"/>
              <w:rPr>
                <w:sz w:val="19"/>
                <w:szCs w:val="19"/>
                <w:color w:val="auto"/>
              </w:rPr>
            </w:pPr>
          </w:p>
        </w:tc>
        <w:tc>
          <w:tcPr>
            <w:tcW w:w="216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Return on equity (“ROE”)</w:t>
            </w:r>
          </w:p>
        </w:tc>
        <w:tc>
          <w:tcPr>
            <w:tcW w:w="100" w:type="dxa"/>
            <w:vAlign w:val="bottom"/>
          </w:tcPr>
          <w:p>
            <w:pPr>
              <w:spacing w:after="0"/>
              <w:rPr>
                <w:sz w:val="19"/>
                <w:szCs w:val="19"/>
                <w:color w:val="auto"/>
              </w:rPr>
            </w:pPr>
          </w:p>
        </w:tc>
        <w:tc>
          <w:tcPr>
            <w:tcW w:w="134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86"/>
        </w:trPr>
        <w:tc>
          <w:tcPr>
            <w:tcW w:w="1860" w:type="dxa"/>
            <w:vAlign w:val="bottom"/>
            <w:vMerge w:val="restart"/>
            <w:shd w:val="clear" w:color="auto" w:fill="F4EFE7"/>
          </w:tcPr>
          <w:p>
            <w:pPr>
              <w:ind w:left="20"/>
              <w:spacing w:after="0"/>
              <w:rPr>
                <w:sz w:val="20"/>
                <w:szCs w:val="20"/>
                <w:color w:val="auto"/>
              </w:rPr>
            </w:pPr>
            <w:r>
              <w:rPr>
                <w:rFonts w:ascii="Arial" w:cs="Arial" w:eastAsia="Arial" w:hAnsi="Arial"/>
                <w:sz w:val="25"/>
                <w:szCs w:val="25"/>
                <w:color w:val="8F5A39"/>
              </w:rPr>
              <w:t>$57.0B</w:t>
            </w:r>
          </w:p>
        </w:tc>
        <w:tc>
          <w:tcPr>
            <w:tcW w:w="100" w:type="dxa"/>
            <w:vAlign w:val="bottom"/>
          </w:tcPr>
          <w:p>
            <w:pPr>
              <w:spacing w:after="0"/>
              <w:rPr>
                <w:sz w:val="16"/>
                <w:szCs w:val="16"/>
                <w:color w:val="auto"/>
              </w:rPr>
            </w:pPr>
          </w:p>
        </w:tc>
        <w:tc>
          <w:tcPr>
            <w:tcW w:w="1880" w:type="dxa"/>
            <w:vAlign w:val="bottom"/>
            <w:shd w:val="clear" w:color="auto" w:fill="F4EFE7"/>
          </w:tcPr>
          <w:p>
            <w:pPr>
              <w:ind w:left="40"/>
              <w:spacing w:after="0"/>
              <w:rPr>
                <w:sz w:val="20"/>
                <w:szCs w:val="20"/>
                <w:color w:val="auto"/>
              </w:rPr>
            </w:pPr>
            <w:r>
              <w:rPr>
                <w:rFonts w:ascii="Arial" w:cs="Arial" w:eastAsia="Arial" w:hAnsi="Arial"/>
                <w:sz w:val="13"/>
                <w:szCs w:val="13"/>
                <w:b w:val="1"/>
                <w:bCs w:val="1"/>
                <w:color w:val="auto"/>
              </w:rPr>
              <w:t>(“BVPS”)</w:t>
            </w:r>
          </w:p>
        </w:tc>
        <w:tc>
          <w:tcPr>
            <w:tcW w:w="100" w:type="dxa"/>
            <w:vAlign w:val="bottom"/>
          </w:tcPr>
          <w:p>
            <w:pPr>
              <w:spacing w:after="0"/>
              <w:rPr>
                <w:sz w:val="16"/>
                <w:szCs w:val="16"/>
                <w:color w:val="auto"/>
              </w:rPr>
            </w:pPr>
          </w:p>
        </w:tc>
        <w:tc>
          <w:tcPr>
            <w:tcW w:w="2160" w:type="dxa"/>
            <w:vAlign w:val="bottom"/>
            <w:vMerge w:val="restart"/>
            <w:shd w:val="clear" w:color="auto" w:fill="F4EFE7"/>
          </w:tcPr>
          <w:p>
            <w:pPr>
              <w:ind w:left="20"/>
              <w:spacing w:after="0"/>
              <w:rPr>
                <w:sz w:val="20"/>
                <w:szCs w:val="20"/>
                <w:color w:val="auto"/>
              </w:rPr>
            </w:pPr>
            <w:r>
              <w:rPr>
                <w:rFonts w:ascii="Arial" w:cs="Arial" w:eastAsia="Arial" w:hAnsi="Arial"/>
                <w:sz w:val="25"/>
                <w:szCs w:val="25"/>
                <w:color w:val="8F5A39"/>
              </w:rPr>
              <w:t>17%</w:t>
            </w:r>
          </w:p>
        </w:tc>
        <w:tc>
          <w:tcPr>
            <w:tcW w:w="100" w:type="dxa"/>
            <w:vAlign w:val="bottom"/>
          </w:tcPr>
          <w:p>
            <w:pPr>
              <w:spacing w:after="0"/>
              <w:rPr>
                <w:sz w:val="16"/>
                <w:szCs w:val="16"/>
                <w:color w:val="auto"/>
              </w:rPr>
            </w:pPr>
          </w:p>
        </w:tc>
        <w:tc>
          <w:tcPr>
            <w:tcW w:w="134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capitalization</w:t>
            </w:r>
          </w:p>
        </w:tc>
        <w:tc>
          <w:tcPr>
            <w:tcW w:w="0" w:type="dxa"/>
            <w:vAlign w:val="bottom"/>
          </w:tcPr>
          <w:p>
            <w:pPr>
              <w:spacing w:after="0"/>
              <w:rPr>
                <w:sz w:val="1"/>
                <w:szCs w:val="1"/>
                <w:color w:val="auto"/>
              </w:rPr>
            </w:pPr>
          </w:p>
        </w:tc>
      </w:tr>
      <w:tr>
        <w:trPr>
          <w:trHeight w:val="219"/>
        </w:trPr>
        <w:tc>
          <w:tcPr>
            <w:tcW w:w="1860" w:type="dxa"/>
            <w:vAlign w:val="bottom"/>
            <w:vMerge w:val="continue"/>
            <w:shd w:val="clear" w:color="auto" w:fill="F4EFE7"/>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vMerge w:val="restart"/>
            <w:shd w:val="clear" w:color="auto" w:fill="F4EFE7"/>
          </w:tcPr>
          <w:p>
            <w:pPr>
              <w:ind w:left="40"/>
              <w:spacing w:after="0"/>
              <w:rPr>
                <w:sz w:val="20"/>
                <w:szCs w:val="20"/>
                <w:color w:val="auto"/>
              </w:rPr>
            </w:pPr>
            <w:r>
              <w:rPr>
                <w:rFonts w:ascii="Arial" w:cs="Arial" w:eastAsia="Arial" w:hAnsi="Arial"/>
                <w:sz w:val="25"/>
                <w:szCs w:val="25"/>
                <w:color w:val="8F5A39"/>
              </w:rPr>
              <w:t>$126.99</w:t>
            </w:r>
          </w:p>
        </w:tc>
        <w:tc>
          <w:tcPr>
            <w:tcW w:w="100" w:type="dxa"/>
            <w:vAlign w:val="bottom"/>
          </w:tcPr>
          <w:p>
            <w:pPr>
              <w:spacing w:after="0"/>
              <w:rPr>
                <w:sz w:val="19"/>
                <w:szCs w:val="19"/>
                <w:color w:val="auto"/>
              </w:rPr>
            </w:pPr>
          </w:p>
        </w:tc>
        <w:tc>
          <w:tcPr>
            <w:tcW w:w="2160" w:type="dxa"/>
            <w:vAlign w:val="bottom"/>
            <w:vMerge w:val="continue"/>
            <w:shd w:val="clear" w:color="auto" w:fill="F4EFE7"/>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vMerge w:val="restart"/>
            <w:shd w:val="clear" w:color="auto" w:fill="F4EFE7"/>
          </w:tcPr>
          <w:p>
            <w:pPr>
              <w:ind w:left="20"/>
              <w:spacing w:after="0"/>
              <w:rPr>
                <w:sz w:val="20"/>
                <w:szCs w:val="20"/>
                <w:color w:val="auto"/>
              </w:rPr>
            </w:pPr>
            <w:r>
              <w:rPr>
                <w:rFonts w:ascii="Arial" w:cs="Arial" w:eastAsia="Arial" w:hAnsi="Arial"/>
                <w:sz w:val="25"/>
                <w:szCs w:val="25"/>
                <w:color w:val="8F5A39"/>
              </w:rPr>
              <w:t>$868.8B</w:t>
            </w:r>
          </w:p>
        </w:tc>
        <w:tc>
          <w:tcPr>
            <w:tcW w:w="0" w:type="dxa"/>
            <w:vAlign w:val="bottom"/>
          </w:tcPr>
          <w:p>
            <w:pPr>
              <w:spacing w:after="0"/>
              <w:rPr>
                <w:sz w:val="1"/>
                <w:szCs w:val="1"/>
                <w:color w:val="auto"/>
              </w:rPr>
            </w:pPr>
          </w:p>
        </w:tc>
      </w:tr>
      <w:tr>
        <w:trPr>
          <w:trHeight w:val="122"/>
        </w:trPr>
        <w:tc>
          <w:tcPr>
            <w:tcW w:w="1860" w:type="dxa"/>
            <w:vAlign w:val="bottom"/>
            <w:shd w:val="clear" w:color="auto" w:fill="F4EFE7"/>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vMerge w:val="continue"/>
            <w:shd w:val="clear" w:color="auto" w:fill="F4EFE7"/>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shd w:val="clear" w:color="auto" w:fill="F4EFE7"/>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continue"/>
            <w:shd w:val="clear" w:color="auto" w:fill="F4EFE7"/>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F4EFE7"/>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shd w:val="clear" w:color="auto" w:fill="F4EFE7"/>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shd w:val="clear" w:color="auto" w:fill="F4EFE7"/>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shd w:val="clear" w:color="auto" w:fill="F4EFE7"/>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86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Earnings per share</w:t>
            </w:r>
          </w:p>
        </w:tc>
        <w:tc>
          <w:tcPr>
            <w:tcW w:w="100" w:type="dxa"/>
            <w:vAlign w:val="bottom"/>
          </w:tcPr>
          <w:p>
            <w:pPr>
              <w:spacing w:after="0"/>
              <w:rPr>
                <w:sz w:val="15"/>
                <w:szCs w:val="15"/>
                <w:color w:val="auto"/>
              </w:rPr>
            </w:pPr>
          </w:p>
        </w:tc>
        <w:tc>
          <w:tcPr>
            <w:tcW w:w="1880" w:type="dxa"/>
            <w:vAlign w:val="bottom"/>
            <w:shd w:val="clear" w:color="auto" w:fill="F4EFE7"/>
          </w:tcPr>
          <w:p>
            <w:pPr>
              <w:ind w:left="40"/>
              <w:spacing w:after="0"/>
              <w:rPr>
                <w:sz w:val="20"/>
                <w:szCs w:val="20"/>
                <w:color w:val="auto"/>
              </w:rPr>
            </w:pPr>
            <w:r>
              <w:rPr>
                <w:rFonts w:ascii="Arial" w:cs="Arial" w:eastAsia="Arial" w:hAnsi="Arial"/>
                <w:sz w:val="13"/>
                <w:szCs w:val="13"/>
                <w:b w:val="1"/>
                <w:bCs w:val="1"/>
                <w:color w:val="auto"/>
              </w:rPr>
              <w:t>Tangible book value per</w:t>
            </w:r>
          </w:p>
        </w:tc>
        <w:tc>
          <w:tcPr>
            <w:tcW w:w="100" w:type="dxa"/>
            <w:vAlign w:val="bottom"/>
          </w:tcPr>
          <w:p>
            <w:pPr>
              <w:spacing w:after="0"/>
              <w:rPr>
                <w:sz w:val="15"/>
                <w:szCs w:val="15"/>
                <w:color w:val="auto"/>
              </w:rPr>
            </w:pPr>
          </w:p>
        </w:tc>
        <w:tc>
          <w:tcPr>
            <w:tcW w:w="216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Return on tangible common</w:t>
            </w:r>
          </w:p>
        </w:tc>
        <w:tc>
          <w:tcPr>
            <w:tcW w:w="100" w:type="dxa"/>
            <w:vAlign w:val="bottom"/>
          </w:tcPr>
          <w:p>
            <w:pPr>
              <w:spacing w:after="0"/>
              <w:rPr>
                <w:sz w:val="15"/>
                <w:szCs w:val="15"/>
                <w:color w:val="auto"/>
              </w:rPr>
            </w:pPr>
          </w:p>
        </w:tc>
        <w:tc>
          <w:tcPr>
            <w:tcW w:w="134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Net capital</w:t>
            </w:r>
          </w:p>
        </w:tc>
        <w:tc>
          <w:tcPr>
            <w:tcW w:w="0" w:type="dxa"/>
            <w:vAlign w:val="bottom"/>
          </w:tcPr>
          <w:p>
            <w:pPr>
              <w:spacing w:after="0"/>
              <w:rPr>
                <w:sz w:val="1"/>
                <w:szCs w:val="1"/>
                <w:color w:val="auto"/>
              </w:rPr>
            </w:pPr>
          </w:p>
        </w:tc>
      </w:tr>
      <w:tr>
        <w:trPr>
          <w:trHeight w:val="195"/>
        </w:trPr>
        <w:tc>
          <w:tcPr>
            <w:tcW w:w="186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(“EPS”)</w:t>
            </w:r>
          </w:p>
        </w:tc>
        <w:tc>
          <w:tcPr>
            <w:tcW w:w="100" w:type="dxa"/>
            <w:vAlign w:val="bottom"/>
          </w:tcPr>
          <w:p>
            <w:pPr>
              <w:spacing w:after="0"/>
              <w:rPr>
                <w:sz w:val="16"/>
                <w:szCs w:val="16"/>
                <w:color w:val="auto"/>
              </w:rPr>
            </w:pPr>
          </w:p>
        </w:tc>
        <w:tc>
          <w:tcPr>
            <w:tcW w:w="1880" w:type="dxa"/>
            <w:vAlign w:val="bottom"/>
            <w:shd w:val="clear" w:color="auto" w:fill="F4EFE7"/>
          </w:tcPr>
          <w:p>
            <w:pPr>
              <w:ind w:left="40"/>
              <w:spacing w:after="0"/>
              <w:rPr>
                <w:sz w:val="20"/>
                <w:szCs w:val="20"/>
                <w:color w:val="auto"/>
              </w:rPr>
            </w:pPr>
            <w:r>
              <w:rPr>
                <w:rFonts w:ascii="Arial" w:cs="Arial" w:eastAsia="Arial" w:hAnsi="Arial"/>
                <w:sz w:val="13"/>
                <w:szCs w:val="13"/>
                <w:b w:val="1"/>
                <w:bCs w:val="1"/>
                <w:color w:val="auto"/>
              </w:rPr>
              <w:t>share (“TBVPS”)</w:t>
            </w:r>
            <w:r>
              <w:rPr>
                <w:rFonts w:ascii="Arial" w:cs="Arial" w:eastAsia="Arial" w:hAnsi="Arial"/>
                <w:sz w:val="17"/>
                <w:szCs w:val="17"/>
                <w:b w:val="1"/>
                <w:bCs w:val="1"/>
                <w:color w:val="auto"/>
                <w:vertAlign w:val="superscript"/>
              </w:rPr>
              <w:t>2</w:t>
            </w:r>
          </w:p>
        </w:tc>
        <w:tc>
          <w:tcPr>
            <w:tcW w:w="100" w:type="dxa"/>
            <w:vAlign w:val="bottom"/>
          </w:tcPr>
          <w:p>
            <w:pPr>
              <w:spacing w:after="0"/>
              <w:rPr>
                <w:sz w:val="16"/>
                <w:szCs w:val="16"/>
                <w:color w:val="auto"/>
              </w:rPr>
            </w:pPr>
          </w:p>
        </w:tc>
        <w:tc>
          <w:tcPr>
            <w:tcW w:w="216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equity (“ROTCE”)</w:t>
            </w:r>
            <w:r>
              <w:rPr>
                <w:rFonts w:ascii="Arial" w:cs="Arial" w:eastAsia="Arial" w:hAnsi="Arial"/>
                <w:sz w:val="17"/>
                <w:szCs w:val="17"/>
                <w:b w:val="1"/>
                <w:bCs w:val="1"/>
                <w:color w:val="auto"/>
                <w:vertAlign w:val="superscript"/>
              </w:rPr>
              <w:t>2</w:t>
            </w:r>
          </w:p>
        </w:tc>
        <w:tc>
          <w:tcPr>
            <w:tcW w:w="100" w:type="dxa"/>
            <w:vAlign w:val="bottom"/>
          </w:tcPr>
          <w:p>
            <w:pPr>
              <w:spacing w:after="0"/>
              <w:rPr>
                <w:sz w:val="16"/>
                <w:szCs w:val="16"/>
                <w:color w:val="auto"/>
              </w:rPr>
            </w:pPr>
          </w:p>
        </w:tc>
        <w:tc>
          <w:tcPr>
            <w:tcW w:w="134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distributions</w:t>
            </w:r>
            <w:r>
              <w:rPr>
                <w:rFonts w:ascii="Arial" w:cs="Arial" w:eastAsia="Arial" w:hAnsi="Arial"/>
                <w:sz w:val="17"/>
                <w:szCs w:val="17"/>
                <w:b w:val="1"/>
                <w:bCs w:val="1"/>
                <w:color w:val="auto"/>
                <w:vertAlign w:val="superscript"/>
              </w:rPr>
              <w:t>3</w:t>
            </w:r>
          </w:p>
        </w:tc>
        <w:tc>
          <w:tcPr>
            <w:tcW w:w="0" w:type="dxa"/>
            <w:vAlign w:val="bottom"/>
          </w:tcPr>
          <w:p>
            <w:pPr>
              <w:spacing w:after="0"/>
              <w:rPr>
                <w:sz w:val="1"/>
                <w:szCs w:val="1"/>
                <w:color w:val="auto"/>
              </w:rPr>
            </w:pPr>
          </w:p>
        </w:tc>
      </w:tr>
      <w:tr>
        <w:trPr>
          <w:trHeight w:val="332"/>
        </w:trPr>
        <w:tc>
          <w:tcPr>
            <w:tcW w:w="1860" w:type="dxa"/>
            <w:vAlign w:val="bottom"/>
            <w:shd w:val="clear" w:color="auto" w:fill="F4EFE7"/>
          </w:tcPr>
          <w:p>
            <w:pPr>
              <w:ind w:left="20"/>
              <w:spacing w:after="0"/>
              <w:rPr>
                <w:sz w:val="20"/>
                <w:szCs w:val="20"/>
                <w:color w:val="auto"/>
              </w:rPr>
            </w:pPr>
            <w:r>
              <w:rPr>
                <w:rFonts w:ascii="Arial" w:cs="Arial" w:eastAsia="Arial" w:hAnsi="Arial"/>
                <w:sz w:val="25"/>
                <w:szCs w:val="25"/>
                <w:color w:val="8F5A39"/>
              </w:rPr>
              <w:t>$20.02</w:t>
            </w:r>
          </w:p>
        </w:tc>
        <w:tc>
          <w:tcPr>
            <w:tcW w:w="100" w:type="dxa"/>
            <w:vAlign w:val="bottom"/>
          </w:tcPr>
          <w:p>
            <w:pPr>
              <w:spacing w:after="0"/>
              <w:rPr>
                <w:sz w:val="24"/>
                <w:szCs w:val="24"/>
                <w:color w:val="auto"/>
              </w:rPr>
            </w:pPr>
          </w:p>
        </w:tc>
        <w:tc>
          <w:tcPr>
            <w:tcW w:w="1880" w:type="dxa"/>
            <w:vAlign w:val="bottom"/>
            <w:shd w:val="clear" w:color="auto" w:fill="F4EFE7"/>
          </w:tcPr>
          <w:p>
            <w:pPr>
              <w:ind w:left="40"/>
              <w:spacing w:after="0"/>
              <w:rPr>
                <w:sz w:val="20"/>
                <w:szCs w:val="20"/>
                <w:color w:val="auto"/>
              </w:rPr>
            </w:pPr>
            <w:r>
              <w:rPr>
                <w:rFonts w:ascii="Arial" w:cs="Arial" w:eastAsia="Arial" w:hAnsi="Arial"/>
                <w:sz w:val="25"/>
                <w:szCs w:val="25"/>
                <w:color w:val="8F5A39"/>
              </w:rPr>
              <w:t>$107.56</w:t>
            </w:r>
          </w:p>
        </w:tc>
        <w:tc>
          <w:tcPr>
            <w:tcW w:w="100" w:type="dxa"/>
            <w:vAlign w:val="bottom"/>
          </w:tcPr>
          <w:p>
            <w:pPr>
              <w:spacing w:after="0"/>
              <w:rPr>
                <w:sz w:val="24"/>
                <w:szCs w:val="24"/>
                <w:color w:val="auto"/>
              </w:rPr>
            </w:pPr>
          </w:p>
        </w:tc>
        <w:tc>
          <w:tcPr>
            <w:tcW w:w="2160" w:type="dxa"/>
            <w:vAlign w:val="bottom"/>
            <w:shd w:val="clear" w:color="auto" w:fill="F4EFE7"/>
          </w:tcPr>
          <w:p>
            <w:pPr>
              <w:ind w:left="20"/>
              <w:spacing w:after="0"/>
              <w:rPr>
                <w:sz w:val="20"/>
                <w:szCs w:val="20"/>
                <w:color w:val="auto"/>
              </w:rPr>
            </w:pPr>
            <w:r>
              <w:rPr>
                <w:rFonts w:ascii="Arial" w:cs="Arial" w:eastAsia="Arial" w:hAnsi="Arial"/>
                <w:sz w:val="25"/>
                <w:szCs w:val="25"/>
                <w:color w:val="8F5A39"/>
              </w:rPr>
              <w:t>20%</w:t>
            </w:r>
          </w:p>
        </w:tc>
        <w:tc>
          <w:tcPr>
            <w:tcW w:w="100" w:type="dxa"/>
            <w:vAlign w:val="bottom"/>
          </w:tcPr>
          <w:p>
            <w:pPr>
              <w:spacing w:after="0"/>
              <w:rPr>
                <w:sz w:val="24"/>
                <w:szCs w:val="24"/>
                <w:color w:val="auto"/>
              </w:rPr>
            </w:pPr>
          </w:p>
        </w:tc>
        <w:tc>
          <w:tcPr>
            <w:tcW w:w="1340" w:type="dxa"/>
            <w:vAlign w:val="bottom"/>
            <w:shd w:val="clear" w:color="auto" w:fill="F4EFE7"/>
          </w:tcPr>
          <w:p>
            <w:pPr>
              <w:ind w:left="20"/>
              <w:spacing w:after="0"/>
              <w:rPr>
                <w:sz w:val="20"/>
                <w:szCs w:val="20"/>
                <w:color w:val="auto"/>
              </w:rPr>
            </w:pPr>
            <w:r>
              <w:rPr>
                <w:rFonts w:ascii="Arial" w:cs="Arial" w:eastAsia="Arial" w:hAnsi="Arial"/>
                <w:sz w:val="25"/>
                <w:szCs w:val="25"/>
                <w:color w:val="8F5A39"/>
              </w:rPr>
              <w:t>$46.1B</w:t>
            </w:r>
          </w:p>
        </w:tc>
        <w:tc>
          <w:tcPr>
            <w:tcW w:w="0" w:type="dxa"/>
            <w:vAlign w:val="bottom"/>
          </w:tcPr>
          <w:p>
            <w:pPr>
              <w:spacing w:after="0"/>
              <w:rPr>
                <w:sz w:val="1"/>
                <w:szCs w:val="1"/>
                <w:color w:val="auto"/>
              </w:rPr>
            </w:pPr>
          </w:p>
        </w:tc>
      </w:tr>
      <w:tr>
        <w:trPr>
          <w:trHeight w:val="149"/>
        </w:trPr>
        <w:tc>
          <w:tcPr>
            <w:tcW w:w="1860" w:type="dxa"/>
            <w:vAlign w:val="bottom"/>
            <w:shd w:val="clear" w:color="auto" w:fill="F4EFE7"/>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shd w:val="clear" w:color="auto" w:fill="F4EFE7"/>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shd w:val="clear" w:color="auto" w:fill="F4EFE7"/>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shd w:val="clear" w:color="auto" w:fill="F4EFE7"/>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171450</wp:posOffset>
            </wp:positionV>
            <wp:extent cx="7132320" cy="2520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203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100"/>
            <w:col w:w="7540"/>
          </w:cols>
          <w:pgMar w:left="320" w:top="157" w:right="379" w:bottom="1440" w:gutter="0" w:footer="0" w:header="0"/>
          <w:type w:val="continuous"/>
        </w:sectPr>
      </w:pPr>
    </w:p>
    <w:p>
      <w:pPr>
        <w:spacing w:after="0" w:line="13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6"/>
                <w:szCs w:val="16"/>
                <w:b w:val="1"/>
                <w:bCs w:val="1"/>
                <w:color w:val="8F5A39"/>
              </w:rPr>
              <w:t>Consumer &amp;</w:t>
            </w:r>
          </w:p>
        </w:tc>
        <w:tc>
          <w:tcPr>
            <w:tcW w:w="1620" w:type="dxa"/>
            <w:vAlign w:val="bottom"/>
          </w:tcPr>
          <w:p>
            <w:pPr>
              <w:ind w:left="420"/>
              <w:spacing w:after="0"/>
              <w:rPr>
                <w:sz w:val="20"/>
                <w:szCs w:val="20"/>
                <w:color w:val="auto"/>
              </w:rPr>
            </w:pPr>
            <w:r>
              <w:rPr>
                <w:rFonts w:ascii="Arial" w:cs="Arial" w:eastAsia="Arial" w:hAnsi="Arial"/>
                <w:sz w:val="13"/>
                <w:szCs w:val="13"/>
                <w:b w:val="1"/>
                <w:bCs w:val="1"/>
                <w:color w:val="auto"/>
              </w:rPr>
              <w:t>Revenue</w:t>
            </w:r>
            <w:r>
              <w:rPr>
                <w:rFonts w:ascii="Arial" w:cs="Arial" w:eastAsia="Arial" w:hAnsi="Arial"/>
                <w:sz w:val="17"/>
                <w:szCs w:val="17"/>
                <w:b w:val="1"/>
                <w:bCs w:val="1"/>
                <w:color w:val="auto"/>
                <w:vertAlign w:val="superscript"/>
              </w:rPr>
              <w:t>1</w:t>
            </w:r>
          </w:p>
        </w:tc>
        <w:tc>
          <w:tcPr>
            <w:tcW w:w="2280" w:type="dxa"/>
            <w:vAlign w:val="bottom"/>
          </w:tcPr>
          <w:p>
            <w:pPr>
              <w:ind w:left="420"/>
              <w:spacing w:after="0"/>
              <w:rPr>
                <w:sz w:val="20"/>
                <w:szCs w:val="20"/>
                <w:color w:val="auto"/>
              </w:rPr>
            </w:pPr>
            <w:r>
              <w:rPr>
                <w:rFonts w:ascii="Arial" w:cs="Arial" w:eastAsia="Arial" w:hAnsi="Arial"/>
                <w:sz w:val="13"/>
                <w:szCs w:val="13"/>
                <w:b w:val="1"/>
                <w:bCs w:val="1"/>
                <w:color w:val="auto"/>
              </w:rPr>
              <w:t>Pre-tax income ex. LLR</w:t>
            </w:r>
            <w:r>
              <w:rPr>
                <w:rFonts w:ascii="Arial" w:cs="Arial" w:eastAsia="Arial" w:hAnsi="Arial"/>
                <w:sz w:val="17"/>
                <w:szCs w:val="17"/>
                <w:b w:val="1"/>
                <w:bCs w:val="1"/>
                <w:color w:val="auto"/>
                <w:vertAlign w:val="superscript"/>
              </w:rPr>
              <w:t>1,2</w:t>
            </w:r>
          </w:p>
        </w:tc>
        <w:tc>
          <w:tcPr>
            <w:tcW w:w="3580" w:type="dxa"/>
            <w:vAlign w:val="bottom"/>
            <w:gridSpan w:val="2"/>
          </w:tcPr>
          <w:p>
            <w:pPr>
              <w:ind w:left="2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#1 market share in U.S. retail deposits</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161"/>
        </w:trPr>
        <w:tc>
          <w:tcPr>
            <w:tcW w:w="1360" w:type="dxa"/>
            <w:vAlign w:val="bottom"/>
          </w:tcPr>
          <w:p>
            <w:pPr>
              <w:spacing w:after="0" w:line="161" w:lineRule="exact"/>
              <w:rPr>
                <w:sz w:val="20"/>
                <w:szCs w:val="20"/>
                <w:color w:val="auto"/>
              </w:rPr>
            </w:pPr>
            <w:r>
              <w:rPr>
                <w:rFonts w:ascii="Arial" w:cs="Arial" w:eastAsia="Arial" w:hAnsi="Arial"/>
                <w:sz w:val="16"/>
                <w:szCs w:val="16"/>
                <w:b w:val="1"/>
                <w:bCs w:val="1"/>
                <w:color w:val="8F5A39"/>
              </w:rPr>
              <w:t>Community</w:t>
            </w:r>
          </w:p>
        </w:tc>
        <w:tc>
          <w:tcPr>
            <w:tcW w:w="1620" w:type="dxa"/>
            <w:vAlign w:val="bottom"/>
            <w:vMerge w:val="restart"/>
          </w:tcPr>
          <w:p>
            <w:pPr>
              <w:ind w:left="420"/>
              <w:spacing w:after="0"/>
              <w:rPr>
                <w:sz w:val="20"/>
                <w:szCs w:val="20"/>
                <w:color w:val="auto"/>
              </w:rPr>
            </w:pPr>
            <w:r>
              <w:rPr>
                <w:rFonts w:ascii="Arial" w:cs="Arial" w:eastAsia="Arial" w:hAnsi="Arial"/>
                <w:sz w:val="25"/>
                <w:szCs w:val="25"/>
                <w:color w:val="8F5A39"/>
              </w:rPr>
              <w:t>$76.0B</w:t>
            </w:r>
          </w:p>
        </w:tc>
        <w:tc>
          <w:tcPr>
            <w:tcW w:w="2280" w:type="dxa"/>
            <w:vAlign w:val="bottom"/>
            <w:vMerge w:val="restart"/>
          </w:tcPr>
          <w:p>
            <w:pPr>
              <w:ind w:left="420"/>
              <w:spacing w:after="0"/>
              <w:rPr>
                <w:sz w:val="20"/>
                <w:szCs w:val="20"/>
                <w:color w:val="auto"/>
              </w:rPr>
            </w:pPr>
            <w:r>
              <w:rPr>
                <w:rFonts w:ascii="Arial" w:cs="Arial" w:eastAsia="Arial" w:hAnsi="Arial"/>
                <w:sz w:val="25"/>
                <w:szCs w:val="25"/>
                <w:color w:val="8F5A39"/>
              </w:rPr>
              <w:t>$27.5B</w:t>
            </w:r>
          </w:p>
        </w:tc>
        <w:tc>
          <w:tcPr>
            <w:tcW w:w="35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#1 market share in U.S. credit card sales volume</w:t>
            </w:r>
            <w:r>
              <w:rPr>
                <w:rFonts w:ascii="Arial" w:cs="Arial" w:eastAsia="Arial" w:hAnsi="Arial"/>
                <w:sz w:val="18"/>
                <w:szCs w:val="18"/>
                <w:color w:val="auto"/>
                <w:vertAlign w:val="superscript"/>
              </w:rPr>
              <w:t>5</w:t>
            </w:r>
          </w:p>
        </w:tc>
        <w:tc>
          <w:tcPr>
            <w:tcW w:w="0" w:type="dxa"/>
            <w:vAlign w:val="bottom"/>
          </w:tcPr>
          <w:p>
            <w:pPr>
              <w:spacing w:after="0"/>
              <w:rPr>
                <w:sz w:val="1"/>
                <w:szCs w:val="1"/>
                <w:color w:val="auto"/>
              </w:rPr>
            </w:pPr>
          </w:p>
        </w:tc>
      </w:tr>
      <w:tr>
        <w:trPr>
          <w:trHeight w:val="189"/>
        </w:trPr>
        <w:tc>
          <w:tcPr>
            <w:tcW w:w="1360" w:type="dxa"/>
            <w:vAlign w:val="bottom"/>
          </w:tcPr>
          <w:p>
            <w:pPr>
              <w:spacing w:after="0"/>
              <w:rPr>
                <w:sz w:val="20"/>
                <w:szCs w:val="20"/>
                <w:color w:val="auto"/>
              </w:rPr>
            </w:pPr>
            <w:r>
              <w:rPr>
                <w:rFonts w:ascii="Arial" w:cs="Arial" w:eastAsia="Arial" w:hAnsi="Arial"/>
                <w:sz w:val="16"/>
                <w:szCs w:val="16"/>
                <w:b w:val="1"/>
                <w:bCs w:val="1"/>
                <w:color w:val="8F5A39"/>
              </w:rPr>
              <w:t>Banking</w:t>
            </w:r>
          </w:p>
        </w:tc>
        <w:tc>
          <w:tcPr>
            <w:tcW w:w="1620" w:type="dxa"/>
            <w:vAlign w:val="bottom"/>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3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0"/>
                <w:szCs w:val="20"/>
                <w:color w:val="auto"/>
              </w:rPr>
            </w:pPr>
            <w:r>
              <w:rPr>
                <w:rFonts w:ascii="Arial" w:cs="Arial" w:eastAsia="Arial" w:hAnsi="Arial"/>
                <w:sz w:val="16"/>
                <w:szCs w:val="16"/>
                <w:b w:val="1"/>
                <w:bCs w:val="1"/>
                <w:color w:val="8F5A39"/>
              </w:rPr>
              <w:t>(“CCB”)</w:t>
            </w:r>
          </w:p>
        </w:tc>
        <w:tc>
          <w:tcPr>
            <w:tcW w:w="1620" w:type="dxa"/>
            <w:vAlign w:val="bottom"/>
          </w:tcPr>
          <w:p>
            <w:pPr>
              <w:ind w:left="420"/>
              <w:spacing w:after="0"/>
              <w:rPr>
                <w:sz w:val="20"/>
                <w:szCs w:val="20"/>
                <w:color w:val="auto"/>
              </w:rPr>
            </w:pPr>
            <w:r>
              <w:rPr>
                <w:rFonts w:ascii="Arial" w:cs="Arial" w:eastAsia="Arial" w:hAnsi="Arial"/>
                <w:sz w:val="13"/>
                <w:szCs w:val="13"/>
                <w:b w:val="1"/>
                <w:bCs w:val="1"/>
                <w:color w:val="auto"/>
              </w:rPr>
              <w:t>Net income</w:t>
            </w:r>
          </w:p>
        </w:tc>
        <w:tc>
          <w:tcPr>
            <w:tcW w:w="2280" w:type="dxa"/>
            <w:vAlign w:val="bottom"/>
          </w:tcPr>
          <w:p>
            <w:pPr>
              <w:ind w:left="420"/>
              <w:spacing w:after="0"/>
              <w:rPr>
                <w:sz w:val="20"/>
                <w:szCs w:val="20"/>
                <w:color w:val="auto"/>
              </w:rPr>
            </w:pPr>
            <w:r>
              <w:rPr>
                <w:rFonts w:ascii="Arial" w:cs="Arial" w:eastAsia="Arial" w:hAnsi="Arial"/>
                <w:sz w:val="13"/>
                <w:szCs w:val="13"/>
                <w:b w:val="1"/>
                <w:bCs w:val="1"/>
                <w:color w:val="auto"/>
              </w:rPr>
              <w:t>ROE</w:t>
            </w:r>
          </w:p>
        </w:tc>
        <w:tc>
          <w:tcPr>
            <w:tcW w:w="36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3220" w:type="dxa"/>
            <w:vAlign w:val="bottom"/>
          </w:tcPr>
          <w:p>
            <w:pPr>
              <w:ind w:left="60"/>
              <w:spacing w:after="0"/>
              <w:rPr>
                <w:sz w:val="20"/>
                <w:szCs w:val="20"/>
                <w:color w:val="auto"/>
              </w:rPr>
            </w:pPr>
            <w:r>
              <w:rPr>
                <w:rFonts w:ascii="Arial" w:cs="Arial" w:eastAsia="Arial" w:hAnsi="Arial"/>
                <w:sz w:val="14"/>
                <w:szCs w:val="14"/>
                <w:color w:val="auto"/>
              </w:rPr>
              <w:t>#1 primary bank for U.S. small businesses</w:t>
            </w:r>
            <w:r>
              <w:rPr>
                <w:rFonts w:ascii="Arial" w:cs="Arial" w:eastAsia="Arial" w:hAnsi="Arial"/>
                <w:sz w:val="18"/>
                <w:szCs w:val="18"/>
                <w:color w:val="auto"/>
                <w:vertAlign w:val="superscript"/>
              </w:rPr>
              <w:t>6</w:t>
            </w:r>
          </w:p>
        </w:tc>
        <w:tc>
          <w:tcPr>
            <w:tcW w:w="0" w:type="dxa"/>
            <w:vAlign w:val="bottom"/>
          </w:tcPr>
          <w:p>
            <w:pPr>
              <w:spacing w:after="0"/>
              <w:rPr>
                <w:sz w:val="1"/>
                <w:szCs w:val="1"/>
                <w:color w:val="auto"/>
              </w:rPr>
            </w:pPr>
          </w:p>
        </w:tc>
      </w:tr>
      <w:tr>
        <w:trPr>
          <w:trHeight w:val="332"/>
        </w:trPr>
        <w:tc>
          <w:tcPr>
            <w:tcW w:w="1360" w:type="dxa"/>
            <w:vAlign w:val="bottom"/>
          </w:tcPr>
          <w:p>
            <w:pPr>
              <w:spacing w:after="0"/>
              <w:rPr>
                <w:sz w:val="24"/>
                <w:szCs w:val="24"/>
                <w:color w:val="auto"/>
              </w:rPr>
            </w:pPr>
          </w:p>
        </w:tc>
        <w:tc>
          <w:tcPr>
            <w:tcW w:w="1620" w:type="dxa"/>
            <w:vAlign w:val="bottom"/>
          </w:tcPr>
          <w:p>
            <w:pPr>
              <w:ind w:left="420"/>
              <w:spacing w:after="0"/>
              <w:rPr>
                <w:sz w:val="20"/>
                <w:szCs w:val="20"/>
                <w:color w:val="auto"/>
              </w:rPr>
            </w:pPr>
            <w:r>
              <w:rPr>
                <w:rFonts w:ascii="Arial" w:cs="Arial" w:eastAsia="Arial" w:hAnsi="Arial"/>
                <w:sz w:val="25"/>
                <w:szCs w:val="25"/>
                <w:color w:val="8F5A39"/>
              </w:rPr>
              <w:t>$18.2B</w:t>
            </w:r>
          </w:p>
        </w:tc>
        <w:tc>
          <w:tcPr>
            <w:tcW w:w="2280" w:type="dxa"/>
            <w:vAlign w:val="bottom"/>
          </w:tcPr>
          <w:p>
            <w:pPr>
              <w:ind w:left="420"/>
              <w:spacing w:after="0"/>
              <w:rPr>
                <w:sz w:val="20"/>
                <w:szCs w:val="20"/>
                <w:color w:val="auto"/>
              </w:rPr>
            </w:pPr>
            <w:r>
              <w:rPr>
                <w:rFonts w:ascii="Arial" w:cs="Arial" w:eastAsia="Arial" w:hAnsi="Arial"/>
                <w:sz w:val="25"/>
                <w:szCs w:val="25"/>
                <w:color w:val="8F5A39"/>
              </w:rPr>
              <w:t>32%</w:t>
            </w:r>
          </w:p>
        </w:tc>
        <w:tc>
          <w:tcPr>
            <w:tcW w:w="36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3220" w:type="dxa"/>
            <w:vAlign w:val="bottom"/>
          </w:tcPr>
          <w:p>
            <w:pPr>
              <w:ind w:left="60"/>
              <w:spacing w:after="0"/>
              <w:rPr>
                <w:sz w:val="20"/>
                <w:szCs w:val="20"/>
                <w:color w:val="auto"/>
              </w:rPr>
            </w:pPr>
            <w:r>
              <w:rPr>
                <w:rFonts w:ascii="Arial" w:cs="Arial" w:eastAsia="Arial" w:hAnsi="Arial"/>
                <w:sz w:val="14"/>
                <w:szCs w:val="14"/>
                <w:color w:val="auto"/>
              </w:rPr>
              <w:t>#1 U.S. digital banking platform</w:t>
            </w:r>
            <w:r>
              <w:rPr>
                <w:rFonts w:ascii="Arial" w:cs="Arial" w:eastAsia="Arial" w:hAnsi="Arial"/>
                <w:sz w:val="9"/>
                <w:szCs w:val="9"/>
                <w:color w:val="auto"/>
              </w:rPr>
              <w:t>7</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200"/>
          </w:cols>
          <w:pgMar w:left="320" w:top="157" w:right="379" w:bottom="1440" w:gutter="0" w:footer="0" w:header="0"/>
          <w:type w:val="continuous"/>
        </w:sectPr>
      </w:pPr>
    </w:p>
    <w:tbl>
      <w:tblPr>
        <w:tblLayout w:type="fixed"/>
        <w:tblInd w:w="100" w:type="dxa"/>
        <w:tblCellMar>
          <w:top w:w="0" w:type="dxa"/>
          <w:left w:w="0" w:type="dxa"/>
          <w:bottom w:w="0" w:type="dxa"/>
          <w:right w:w="0" w:type="dxa"/>
        </w:tblCellMar>
      </w:tblPr>
      <w:tr>
        <w:trPr>
          <w:trHeight w:val="195"/>
        </w:trPr>
        <w:tc>
          <w:tcPr>
            <w:tcW w:w="1380" w:type="dxa"/>
            <w:vAlign w:val="bottom"/>
          </w:tcPr>
          <w:p>
            <w:pPr>
              <w:spacing w:after="0"/>
              <w:rPr>
                <w:sz w:val="20"/>
                <w:szCs w:val="20"/>
                <w:color w:val="auto"/>
              </w:rPr>
            </w:pPr>
            <w:r>
              <w:rPr>
                <w:rFonts w:ascii="Arial" w:cs="Arial" w:eastAsia="Arial" w:hAnsi="Arial"/>
                <w:sz w:val="16"/>
                <w:szCs w:val="16"/>
                <w:b w:val="1"/>
                <w:bCs w:val="1"/>
                <w:color w:val="8F5A39"/>
              </w:rPr>
              <w:t>Commercial</w:t>
            </w:r>
          </w:p>
        </w:tc>
        <w:tc>
          <w:tcPr>
            <w:tcW w:w="1600" w:type="dxa"/>
            <w:vAlign w:val="bottom"/>
          </w:tcPr>
          <w:p>
            <w:pPr>
              <w:ind w:left="400"/>
              <w:spacing w:after="0"/>
              <w:rPr>
                <w:sz w:val="20"/>
                <w:szCs w:val="20"/>
                <w:color w:val="auto"/>
              </w:rPr>
            </w:pPr>
            <w:r>
              <w:rPr>
                <w:rFonts w:ascii="Arial" w:cs="Arial" w:eastAsia="Arial" w:hAnsi="Arial"/>
                <w:sz w:val="13"/>
                <w:szCs w:val="13"/>
                <w:b w:val="1"/>
                <w:bCs w:val="1"/>
                <w:color w:val="auto"/>
              </w:rPr>
              <w:t>Revenue</w:t>
            </w:r>
            <w:r>
              <w:rPr>
                <w:rFonts w:ascii="Arial" w:cs="Arial" w:eastAsia="Arial" w:hAnsi="Arial"/>
                <w:sz w:val="17"/>
                <w:szCs w:val="17"/>
                <w:b w:val="1"/>
                <w:bCs w:val="1"/>
                <w:color w:val="auto"/>
                <w:vertAlign w:val="superscript"/>
              </w:rPr>
              <w:t>1</w:t>
            </w:r>
          </w:p>
        </w:tc>
        <w:tc>
          <w:tcPr>
            <w:tcW w:w="1420" w:type="dxa"/>
            <w:vAlign w:val="bottom"/>
          </w:tcPr>
          <w:p>
            <w:pPr>
              <w:ind w:left="420"/>
              <w:spacing w:after="0"/>
              <w:rPr>
                <w:sz w:val="20"/>
                <w:szCs w:val="20"/>
                <w:color w:val="auto"/>
              </w:rPr>
            </w:pPr>
            <w:r>
              <w:rPr>
                <w:rFonts w:ascii="Arial" w:cs="Arial" w:eastAsia="Arial" w:hAnsi="Arial"/>
                <w:sz w:val="13"/>
                <w:szCs w:val="13"/>
                <w:b w:val="1"/>
                <w:bCs w:val="1"/>
                <w:color w:val="auto"/>
                <w:w w:val="98"/>
              </w:rPr>
              <w:t>Pre-tax income</w:t>
            </w:r>
            <w:r>
              <w:rPr>
                <w:rFonts w:ascii="Arial" w:cs="Arial" w:eastAsia="Arial" w:hAnsi="Arial"/>
                <w:sz w:val="17"/>
                <w:szCs w:val="17"/>
                <w:b w:val="1"/>
                <w:bCs w:val="1"/>
                <w:color w:val="auto"/>
                <w:w w:val="98"/>
                <w:vertAlign w:val="superscript"/>
              </w:rPr>
              <w:t>1</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20"/>
                <w:szCs w:val="20"/>
                <w:color w:val="auto"/>
              </w:rPr>
            </w:pPr>
            <w:r>
              <w:rPr>
                <w:rFonts w:ascii="Arial" w:cs="Arial" w:eastAsia="Arial" w:hAnsi="Arial"/>
                <w:sz w:val="16"/>
                <w:szCs w:val="16"/>
                <w:b w:val="1"/>
                <w:bCs w:val="1"/>
                <w:color w:val="8F5A39"/>
              </w:rPr>
              <w:t>&amp; Investment</w:t>
            </w:r>
          </w:p>
        </w:tc>
        <w:tc>
          <w:tcPr>
            <w:tcW w:w="1600" w:type="dxa"/>
            <w:vAlign w:val="bottom"/>
            <w:vMerge w:val="restart"/>
          </w:tcPr>
          <w:p>
            <w:pPr>
              <w:ind w:left="400"/>
              <w:spacing w:after="0"/>
              <w:rPr>
                <w:sz w:val="20"/>
                <w:szCs w:val="20"/>
                <w:color w:val="auto"/>
              </w:rPr>
            </w:pPr>
            <w:r>
              <w:rPr>
                <w:rFonts w:ascii="Arial" w:cs="Arial" w:eastAsia="Arial" w:hAnsi="Arial"/>
                <w:sz w:val="25"/>
                <w:szCs w:val="25"/>
                <w:color w:val="8F5A39"/>
              </w:rPr>
              <w:t>$78.5B</w:t>
            </w:r>
          </w:p>
        </w:tc>
        <w:tc>
          <w:tcPr>
            <w:tcW w:w="1420" w:type="dxa"/>
            <w:vAlign w:val="bottom"/>
            <w:vMerge w:val="restart"/>
          </w:tcPr>
          <w:p>
            <w:pPr>
              <w:ind w:left="420"/>
              <w:spacing w:after="0"/>
              <w:rPr>
                <w:sz w:val="20"/>
                <w:szCs w:val="20"/>
                <w:color w:val="auto"/>
              </w:rPr>
            </w:pPr>
            <w:r>
              <w:rPr>
                <w:rFonts w:ascii="Arial" w:cs="Arial" w:eastAsia="Arial" w:hAnsi="Arial"/>
                <w:sz w:val="25"/>
                <w:szCs w:val="25"/>
                <w:color w:val="8F5A39"/>
              </w:rPr>
              <w:t>$37.6B</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6"/>
                <w:szCs w:val="16"/>
                <w:b w:val="1"/>
                <w:bCs w:val="1"/>
                <w:color w:val="8F5A39"/>
              </w:rPr>
              <w:t>Bank (“CIB”)</w:t>
            </w:r>
          </w:p>
        </w:tc>
        <w:tc>
          <w:tcPr>
            <w:tcW w:w="160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380" w:type="dxa"/>
            <w:vAlign w:val="bottom"/>
          </w:tcPr>
          <w:p>
            <w:pPr>
              <w:spacing w:after="0"/>
              <w:rPr>
                <w:sz w:val="16"/>
                <w:szCs w:val="16"/>
                <w:color w:val="auto"/>
              </w:rPr>
            </w:pPr>
          </w:p>
        </w:tc>
        <w:tc>
          <w:tcPr>
            <w:tcW w:w="1600" w:type="dxa"/>
            <w:vAlign w:val="bottom"/>
          </w:tcPr>
          <w:p>
            <w:pPr>
              <w:ind w:left="400"/>
              <w:spacing w:after="0"/>
              <w:rPr>
                <w:sz w:val="20"/>
                <w:szCs w:val="20"/>
                <w:color w:val="auto"/>
              </w:rPr>
            </w:pPr>
            <w:r>
              <w:rPr>
                <w:rFonts w:ascii="Arial" w:cs="Arial" w:eastAsia="Arial" w:hAnsi="Arial"/>
                <w:sz w:val="13"/>
                <w:szCs w:val="13"/>
                <w:b w:val="1"/>
                <w:bCs w:val="1"/>
                <w:color w:val="auto"/>
              </w:rPr>
              <w:t>Net income</w:t>
            </w:r>
          </w:p>
        </w:tc>
        <w:tc>
          <w:tcPr>
            <w:tcW w:w="1420" w:type="dxa"/>
            <w:vAlign w:val="bottom"/>
          </w:tcPr>
          <w:p>
            <w:pPr>
              <w:ind w:left="420"/>
              <w:spacing w:after="0"/>
              <w:rPr>
                <w:sz w:val="20"/>
                <w:szCs w:val="20"/>
                <w:color w:val="auto"/>
              </w:rPr>
            </w:pPr>
            <w:r>
              <w:rPr>
                <w:rFonts w:ascii="Arial" w:cs="Arial" w:eastAsia="Arial" w:hAnsi="Arial"/>
                <w:sz w:val="13"/>
                <w:szCs w:val="13"/>
                <w:b w:val="1"/>
                <w:bCs w:val="1"/>
                <w:color w:val="auto"/>
              </w:rPr>
              <w:t>ROE</w:t>
            </w:r>
          </w:p>
        </w:tc>
        <w:tc>
          <w:tcPr>
            <w:tcW w:w="0" w:type="dxa"/>
            <w:vAlign w:val="bottom"/>
          </w:tcPr>
          <w:p>
            <w:pPr>
              <w:spacing w:after="0"/>
              <w:rPr>
                <w:sz w:val="1"/>
                <w:szCs w:val="1"/>
                <w:color w:val="auto"/>
              </w:rPr>
            </w:pPr>
          </w:p>
        </w:tc>
      </w:tr>
      <w:tr>
        <w:trPr>
          <w:trHeight w:val="368"/>
        </w:trPr>
        <w:tc>
          <w:tcPr>
            <w:tcW w:w="1380" w:type="dxa"/>
            <w:vAlign w:val="bottom"/>
          </w:tcPr>
          <w:p>
            <w:pPr>
              <w:spacing w:after="0"/>
              <w:rPr>
                <w:sz w:val="24"/>
                <w:szCs w:val="24"/>
                <w:color w:val="auto"/>
              </w:rPr>
            </w:pPr>
          </w:p>
        </w:tc>
        <w:tc>
          <w:tcPr>
            <w:tcW w:w="1600" w:type="dxa"/>
            <w:vAlign w:val="bottom"/>
          </w:tcPr>
          <w:p>
            <w:pPr>
              <w:ind w:left="400"/>
              <w:spacing w:after="0"/>
              <w:rPr>
                <w:sz w:val="20"/>
                <w:szCs w:val="20"/>
                <w:color w:val="auto"/>
              </w:rPr>
            </w:pPr>
            <w:r>
              <w:rPr>
                <w:rFonts w:ascii="Arial" w:cs="Arial" w:eastAsia="Arial" w:hAnsi="Arial"/>
                <w:sz w:val="25"/>
                <w:szCs w:val="25"/>
                <w:color w:val="8F5A39"/>
              </w:rPr>
              <w:t>$27.8B</w:t>
            </w:r>
          </w:p>
        </w:tc>
        <w:tc>
          <w:tcPr>
            <w:tcW w:w="1420" w:type="dxa"/>
            <w:vAlign w:val="bottom"/>
          </w:tcPr>
          <w:p>
            <w:pPr>
              <w:ind w:left="420"/>
              <w:spacing w:after="0"/>
              <w:rPr>
                <w:sz w:val="20"/>
                <w:szCs w:val="20"/>
                <w:color w:val="auto"/>
              </w:rPr>
            </w:pPr>
            <w:r>
              <w:rPr>
                <w:rFonts w:ascii="Arial" w:cs="Arial" w:eastAsia="Arial" w:hAnsi="Arial"/>
                <w:sz w:val="25"/>
                <w:szCs w:val="25"/>
                <w:color w:val="8F5A39"/>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99" w:hanging="199"/>
        <w:spacing w:after="0" w:line="257" w:lineRule="auto"/>
        <w:tabs>
          <w:tab w:leader="none" w:pos="182" w:val="left"/>
        </w:tabs>
        <w:numPr>
          <w:ilvl w:val="0"/>
          <w:numId w:val="11"/>
        </w:numPr>
        <w:rPr>
          <w:rFonts w:ascii="Arial" w:cs="Arial" w:eastAsia="Arial" w:hAnsi="Arial"/>
          <w:sz w:val="16"/>
          <w:szCs w:val="16"/>
          <w:b w:val="1"/>
          <w:bCs w:val="1"/>
          <w:color w:val="auto"/>
        </w:rPr>
      </w:pPr>
      <w:r>
        <w:rPr>
          <w:rFonts w:ascii="Arial" w:cs="Arial" w:eastAsia="Arial" w:hAnsi="Arial"/>
          <w:sz w:val="14"/>
          <w:szCs w:val="14"/>
          <w:color w:val="auto"/>
        </w:rPr>
        <w:t>#1 in global Investment Banking (“IB”) fees for 17 consecutive years, with 8.4% wallet share</w:t>
      </w:r>
      <w:r>
        <w:rPr>
          <w:rFonts w:ascii="Arial" w:cs="Arial" w:eastAsia="Arial" w:hAnsi="Arial"/>
          <w:sz w:val="18"/>
          <w:szCs w:val="18"/>
          <w:color w:val="auto"/>
          <w:vertAlign w:val="superscript"/>
        </w:rPr>
        <w:t>8</w:t>
      </w:r>
      <w:r>
        <w:rPr>
          <w:rFonts w:ascii="Arial" w:cs="Arial" w:eastAsia="Arial" w:hAnsi="Arial"/>
          <w:sz w:val="14"/>
          <w:szCs w:val="14"/>
          <w:color w:val="auto"/>
        </w:rPr>
        <w:t xml:space="preserve"> in 2025</w:t>
      </w:r>
    </w:p>
    <w:p>
      <w:pPr>
        <w:ind w:left="179" w:hanging="179"/>
        <w:spacing w:after="0" w:line="229" w:lineRule="auto"/>
        <w:tabs>
          <w:tab w:leader="none" w:pos="179" w:val="left"/>
        </w:tabs>
        <w:numPr>
          <w:ilvl w:val="0"/>
          <w:numId w:val="11"/>
        </w:numPr>
        <w:rPr>
          <w:rFonts w:ascii="Arial" w:cs="Arial" w:eastAsia="Arial" w:hAnsi="Arial"/>
          <w:sz w:val="16"/>
          <w:szCs w:val="16"/>
          <w:b w:val="1"/>
          <w:bCs w:val="1"/>
          <w:color w:val="auto"/>
        </w:rPr>
      </w:pPr>
      <w:r>
        <w:rPr>
          <w:rFonts w:ascii="Arial" w:cs="Arial" w:eastAsia="Arial" w:hAnsi="Arial"/>
          <w:sz w:val="14"/>
          <w:szCs w:val="14"/>
          <w:color w:val="auto"/>
        </w:rPr>
        <w:t>#1 in Markets revenue</w:t>
      </w:r>
      <w:r>
        <w:rPr>
          <w:rFonts w:ascii="Arial" w:cs="Arial" w:eastAsia="Arial" w:hAnsi="Arial"/>
          <w:sz w:val="9"/>
          <w:szCs w:val="9"/>
          <w:color w:val="auto"/>
        </w:rPr>
        <w:t>9</w:t>
      </w:r>
    </w:p>
    <w:p>
      <w:pPr>
        <w:spacing w:after="0" w:line="39" w:lineRule="exact"/>
        <w:rPr>
          <w:rFonts w:ascii="Arial" w:cs="Arial" w:eastAsia="Arial" w:hAnsi="Arial"/>
          <w:sz w:val="16"/>
          <w:szCs w:val="16"/>
          <w:b w:val="1"/>
          <w:bCs w:val="1"/>
          <w:color w:val="auto"/>
        </w:rPr>
      </w:pPr>
    </w:p>
    <w:p>
      <w:pPr>
        <w:ind w:left="179" w:hanging="179"/>
        <w:spacing w:after="0"/>
        <w:tabs>
          <w:tab w:leader="none" w:pos="179" w:val="left"/>
        </w:tabs>
        <w:numPr>
          <w:ilvl w:val="0"/>
          <w:numId w:val="11"/>
        </w:numPr>
        <w:rPr>
          <w:rFonts w:ascii="Arial" w:cs="Arial" w:eastAsia="Arial" w:hAnsi="Arial"/>
          <w:sz w:val="16"/>
          <w:szCs w:val="16"/>
          <w:b w:val="1"/>
          <w:bCs w:val="1"/>
          <w:color w:val="auto"/>
        </w:rPr>
      </w:pPr>
      <w:r>
        <w:rPr>
          <w:rFonts w:ascii="Arial" w:cs="Arial" w:eastAsia="Arial" w:hAnsi="Arial"/>
          <w:sz w:val="14"/>
          <w:szCs w:val="14"/>
          <w:color w:val="auto"/>
        </w:rPr>
        <w:t>#1 in USD payments volume with 30.2% USD SWIFT market share</w:t>
      </w:r>
      <w:r>
        <w:rPr>
          <w:rFonts w:ascii="Arial" w:cs="Arial" w:eastAsia="Arial" w:hAnsi="Arial"/>
          <w:sz w:val="9"/>
          <w:szCs w:val="9"/>
          <w:color w:val="auto"/>
        </w:rPr>
        <w:t>10</w:t>
      </w:r>
    </w:p>
    <w:p>
      <w:pPr>
        <w:spacing w:after="0" w:line="45" w:lineRule="exact"/>
        <w:rPr>
          <w:rFonts w:ascii="Arial" w:cs="Arial" w:eastAsia="Arial" w:hAnsi="Arial"/>
          <w:sz w:val="16"/>
          <w:szCs w:val="16"/>
          <w:b w:val="1"/>
          <w:bCs w:val="1"/>
          <w:color w:val="auto"/>
        </w:rPr>
      </w:pPr>
    </w:p>
    <w:p>
      <w:pPr>
        <w:ind w:left="179" w:hanging="179"/>
        <w:spacing w:after="0"/>
        <w:tabs>
          <w:tab w:leader="none" w:pos="179" w:val="left"/>
        </w:tabs>
        <w:numPr>
          <w:ilvl w:val="0"/>
          <w:numId w:val="11"/>
        </w:numPr>
        <w:rPr>
          <w:rFonts w:ascii="Arial" w:cs="Arial" w:eastAsia="Arial" w:hAnsi="Arial"/>
          <w:sz w:val="16"/>
          <w:szCs w:val="16"/>
          <w:b w:val="1"/>
          <w:bCs w:val="1"/>
          <w:color w:val="auto"/>
        </w:rPr>
      </w:pPr>
      <w:r>
        <w:rPr>
          <w:rFonts w:ascii="Arial" w:cs="Arial" w:eastAsia="Arial" w:hAnsi="Arial"/>
          <w:sz w:val="14"/>
          <w:szCs w:val="14"/>
          <w:color w:val="auto"/>
        </w:rPr>
        <w:t>#3 custodian globally by revenue</w:t>
      </w:r>
      <w:r>
        <w:rPr>
          <w:rFonts w:ascii="Arial" w:cs="Arial" w:eastAsia="Arial" w:hAnsi="Arial"/>
          <w:sz w:val="9"/>
          <w:szCs w:val="9"/>
          <w:color w:val="auto"/>
        </w:rPr>
        <w:t>11</w:t>
      </w:r>
    </w:p>
    <w:p>
      <w:pPr>
        <w:spacing w:after="0" w:line="222" w:lineRule="exact"/>
        <w:rPr>
          <w:sz w:val="20"/>
          <w:szCs w:val="20"/>
          <w:color w:val="auto"/>
        </w:rPr>
      </w:pPr>
    </w:p>
    <w:p>
      <w:pPr>
        <w:sectPr>
          <w:pgSz w:w="11900" w:h="16838" w:orient="portrait"/>
          <w:cols w:equalWidth="0" w:num="2">
            <w:col w:w="4881" w:space="720"/>
            <w:col w:w="5599"/>
          </w:cols>
          <w:pgMar w:left="320" w:top="157" w:right="379" w:bottom="1440" w:gutter="0" w:footer="0" w:header="0"/>
          <w:type w:val="continuous"/>
        </w:sectPr>
      </w:pPr>
    </w:p>
    <w:tbl>
      <w:tblPr>
        <w:tblLayout w:type="fixed"/>
        <w:tblInd w:w="100" w:type="dxa"/>
        <w:tblCellMar>
          <w:top w:w="0" w:type="dxa"/>
          <w:left w:w="0" w:type="dxa"/>
          <w:bottom w:w="0" w:type="dxa"/>
          <w:right w:w="0" w:type="dxa"/>
        </w:tblCellMar>
      </w:tblPr>
      <w:tr>
        <w:trPr>
          <w:trHeight w:val="195"/>
        </w:trPr>
        <w:tc>
          <w:tcPr>
            <w:tcW w:w="1460" w:type="dxa"/>
            <w:vAlign w:val="bottom"/>
          </w:tcPr>
          <w:p>
            <w:pPr>
              <w:spacing w:after="0"/>
              <w:rPr>
                <w:sz w:val="20"/>
                <w:szCs w:val="20"/>
                <w:color w:val="auto"/>
              </w:rPr>
            </w:pPr>
            <w:r>
              <w:rPr>
                <w:rFonts w:ascii="Arial" w:cs="Arial" w:eastAsia="Arial" w:hAnsi="Arial"/>
                <w:sz w:val="16"/>
                <w:szCs w:val="16"/>
                <w:b w:val="1"/>
                <w:bCs w:val="1"/>
                <w:color w:val="8F5A39"/>
              </w:rPr>
              <w:t>Asset &amp; Wealth</w:t>
            </w:r>
          </w:p>
        </w:tc>
        <w:tc>
          <w:tcPr>
            <w:tcW w:w="1520" w:type="dxa"/>
            <w:vAlign w:val="bottom"/>
          </w:tcPr>
          <w:p>
            <w:pPr>
              <w:ind w:left="320"/>
              <w:spacing w:after="0"/>
              <w:rPr>
                <w:sz w:val="20"/>
                <w:szCs w:val="20"/>
                <w:color w:val="auto"/>
              </w:rPr>
            </w:pPr>
            <w:r>
              <w:rPr>
                <w:rFonts w:ascii="Arial" w:cs="Arial" w:eastAsia="Arial" w:hAnsi="Arial"/>
                <w:sz w:val="13"/>
                <w:szCs w:val="13"/>
                <w:b w:val="1"/>
                <w:bCs w:val="1"/>
                <w:color w:val="auto"/>
              </w:rPr>
              <w:t>Revenue</w:t>
            </w:r>
            <w:r>
              <w:rPr>
                <w:rFonts w:ascii="Arial" w:cs="Arial" w:eastAsia="Arial" w:hAnsi="Arial"/>
                <w:sz w:val="17"/>
                <w:szCs w:val="17"/>
                <w:b w:val="1"/>
                <w:bCs w:val="1"/>
                <w:color w:val="auto"/>
                <w:vertAlign w:val="superscript"/>
              </w:rPr>
              <w:t>1</w:t>
            </w:r>
          </w:p>
        </w:tc>
        <w:tc>
          <w:tcPr>
            <w:tcW w:w="1420" w:type="dxa"/>
            <w:vAlign w:val="bottom"/>
          </w:tcPr>
          <w:p>
            <w:pPr>
              <w:ind w:left="420"/>
              <w:spacing w:after="0"/>
              <w:rPr>
                <w:sz w:val="20"/>
                <w:szCs w:val="20"/>
                <w:color w:val="auto"/>
              </w:rPr>
            </w:pPr>
            <w:r>
              <w:rPr>
                <w:rFonts w:ascii="Arial" w:cs="Arial" w:eastAsia="Arial" w:hAnsi="Arial"/>
                <w:sz w:val="13"/>
                <w:szCs w:val="13"/>
                <w:b w:val="1"/>
                <w:bCs w:val="1"/>
                <w:color w:val="auto"/>
                <w:w w:val="98"/>
              </w:rPr>
              <w:t>Pre-tax income</w:t>
            </w:r>
            <w:r>
              <w:rPr>
                <w:rFonts w:ascii="Arial" w:cs="Arial" w:eastAsia="Arial" w:hAnsi="Arial"/>
                <w:sz w:val="17"/>
                <w:szCs w:val="17"/>
                <w:b w:val="1"/>
                <w:bCs w:val="1"/>
                <w:color w:val="auto"/>
                <w:w w:val="98"/>
                <w:vertAlign w:val="superscript"/>
              </w:rPr>
              <w:t>1</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20"/>
                <w:szCs w:val="20"/>
                <w:color w:val="auto"/>
              </w:rPr>
            </w:pPr>
            <w:r>
              <w:rPr>
                <w:rFonts w:ascii="Arial" w:cs="Arial" w:eastAsia="Arial" w:hAnsi="Arial"/>
                <w:sz w:val="16"/>
                <w:szCs w:val="16"/>
                <w:b w:val="1"/>
                <w:bCs w:val="1"/>
                <w:color w:val="8F5A39"/>
              </w:rPr>
              <w:t>Management</w:t>
            </w:r>
          </w:p>
        </w:tc>
        <w:tc>
          <w:tcPr>
            <w:tcW w:w="1520" w:type="dxa"/>
            <w:vAlign w:val="bottom"/>
            <w:vMerge w:val="restart"/>
          </w:tcPr>
          <w:p>
            <w:pPr>
              <w:ind w:left="320"/>
              <w:spacing w:after="0"/>
              <w:rPr>
                <w:sz w:val="20"/>
                <w:szCs w:val="20"/>
                <w:color w:val="auto"/>
              </w:rPr>
            </w:pPr>
            <w:r>
              <w:rPr>
                <w:rFonts w:ascii="Arial" w:cs="Arial" w:eastAsia="Arial" w:hAnsi="Arial"/>
                <w:sz w:val="25"/>
                <w:szCs w:val="25"/>
                <w:color w:val="8F5A39"/>
              </w:rPr>
              <w:t>$24.1B</w:t>
            </w:r>
          </w:p>
        </w:tc>
        <w:tc>
          <w:tcPr>
            <w:tcW w:w="1420" w:type="dxa"/>
            <w:vAlign w:val="bottom"/>
            <w:vMerge w:val="restart"/>
          </w:tcPr>
          <w:p>
            <w:pPr>
              <w:ind w:left="420"/>
              <w:spacing w:after="0"/>
              <w:rPr>
                <w:sz w:val="20"/>
                <w:szCs w:val="20"/>
                <w:color w:val="auto"/>
              </w:rPr>
            </w:pPr>
            <w:r>
              <w:rPr>
                <w:rFonts w:ascii="Arial" w:cs="Arial" w:eastAsia="Arial" w:hAnsi="Arial"/>
                <w:sz w:val="25"/>
                <w:szCs w:val="25"/>
                <w:color w:val="8F5A39"/>
              </w:rPr>
              <w:t>$8.6B</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6"/>
                <w:szCs w:val="16"/>
                <w:b w:val="1"/>
                <w:bCs w:val="1"/>
                <w:color w:val="8F5A39"/>
              </w:rPr>
              <w:t>(“AWM”)</w:t>
            </w:r>
          </w:p>
        </w:tc>
        <w:tc>
          <w:tcPr>
            <w:tcW w:w="152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460" w:type="dxa"/>
            <w:vAlign w:val="bottom"/>
          </w:tcPr>
          <w:p>
            <w:pPr>
              <w:spacing w:after="0"/>
              <w:rPr>
                <w:sz w:val="16"/>
                <w:szCs w:val="16"/>
                <w:color w:val="auto"/>
              </w:rPr>
            </w:pPr>
          </w:p>
        </w:tc>
        <w:tc>
          <w:tcPr>
            <w:tcW w:w="1520" w:type="dxa"/>
            <w:vAlign w:val="bottom"/>
          </w:tcPr>
          <w:p>
            <w:pPr>
              <w:ind w:left="320"/>
              <w:spacing w:after="0"/>
              <w:rPr>
                <w:sz w:val="20"/>
                <w:szCs w:val="20"/>
                <w:color w:val="auto"/>
              </w:rPr>
            </w:pPr>
            <w:r>
              <w:rPr>
                <w:rFonts w:ascii="Arial" w:cs="Arial" w:eastAsia="Arial" w:hAnsi="Arial"/>
                <w:sz w:val="13"/>
                <w:szCs w:val="13"/>
                <w:b w:val="1"/>
                <w:bCs w:val="1"/>
                <w:color w:val="auto"/>
              </w:rPr>
              <w:t>Net income</w:t>
            </w:r>
          </w:p>
        </w:tc>
        <w:tc>
          <w:tcPr>
            <w:tcW w:w="1420" w:type="dxa"/>
            <w:vAlign w:val="bottom"/>
          </w:tcPr>
          <w:p>
            <w:pPr>
              <w:ind w:left="420"/>
              <w:spacing w:after="0"/>
              <w:rPr>
                <w:sz w:val="20"/>
                <w:szCs w:val="20"/>
                <w:color w:val="auto"/>
              </w:rPr>
            </w:pPr>
            <w:r>
              <w:rPr>
                <w:rFonts w:ascii="Arial" w:cs="Arial" w:eastAsia="Arial" w:hAnsi="Arial"/>
                <w:sz w:val="13"/>
                <w:szCs w:val="13"/>
                <w:b w:val="1"/>
                <w:bCs w:val="1"/>
                <w:color w:val="auto"/>
              </w:rPr>
              <w:t>ROE</w:t>
            </w:r>
          </w:p>
        </w:tc>
        <w:tc>
          <w:tcPr>
            <w:tcW w:w="0" w:type="dxa"/>
            <w:vAlign w:val="bottom"/>
          </w:tcPr>
          <w:p>
            <w:pPr>
              <w:spacing w:after="0"/>
              <w:rPr>
                <w:sz w:val="1"/>
                <w:szCs w:val="1"/>
                <w:color w:val="auto"/>
              </w:rPr>
            </w:pPr>
          </w:p>
        </w:tc>
      </w:tr>
      <w:tr>
        <w:trPr>
          <w:trHeight w:val="368"/>
        </w:trPr>
        <w:tc>
          <w:tcPr>
            <w:tcW w:w="146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Arial" w:cs="Arial" w:eastAsia="Arial" w:hAnsi="Arial"/>
                <w:sz w:val="25"/>
                <w:szCs w:val="25"/>
                <w:color w:val="8F5A39"/>
              </w:rPr>
              <w:t>$6.5B</w:t>
            </w:r>
          </w:p>
        </w:tc>
        <w:tc>
          <w:tcPr>
            <w:tcW w:w="1420" w:type="dxa"/>
            <w:vAlign w:val="bottom"/>
          </w:tcPr>
          <w:p>
            <w:pPr>
              <w:ind w:left="420"/>
              <w:spacing w:after="0"/>
              <w:rPr>
                <w:sz w:val="20"/>
                <w:szCs w:val="20"/>
                <w:color w:val="auto"/>
              </w:rPr>
            </w:pPr>
            <w:r>
              <w:rPr>
                <w:rFonts w:ascii="Arial" w:cs="Arial" w:eastAsia="Arial" w:hAnsi="Arial"/>
                <w:sz w:val="25"/>
                <w:szCs w:val="25"/>
                <w:color w:val="8F5A39"/>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79" w:hanging="179"/>
        <w:spacing w:after="0"/>
        <w:tabs>
          <w:tab w:leader="none" w:pos="179" w:val="left"/>
        </w:tabs>
        <w:numPr>
          <w:ilvl w:val="0"/>
          <w:numId w:val="12"/>
        </w:numPr>
        <w:rPr>
          <w:rFonts w:ascii="Arial" w:cs="Arial" w:eastAsia="Arial" w:hAnsi="Arial"/>
          <w:sz w:val="16"/>
          <w:szCs w:val="16"/>
          <w:b w:val="1"/>
          <w:bCs w:val="1"/>
          <w:color w:val="auto"/>
        </w:rPr>
      </w:pPr>
      <w:r>
        <w:rPr>
          <w:rFonts w:ascii="Arial" w:cs="Arial" w:eastAsia="Arial" w:hAnsi="Arial"/>
          <w:sz w:val="14"/>
          <w:szCs w:val="14"/>
          <w:color w:val="auto"/>
        </w:rPr>
        <w:t>Pre-tax margin of 36%</w:t>
      </w:r>
    </w:p>
    <w:p>
      <w:pPr>
        <w:spacing w:after="0" w:line="59" w:lineRule="exact"/>
        <w:rPr>
          <w:rFonts w:ascii="Arial" w:cs="Arial" w:eastAsia="Arial" w:hAnsi="Arial"/>
          <w:sz w:val="16"/>
          <w:szCs w:val="16"/>
          <w:b w:val="1"/>
          <w:bCs w:val="1"/>
          <w:color w:val="auto"/>
        </w:rPr>
      </w:pPr>
    </w:p>
    <w:p>
      <w:pPr>
        <w:ind w:left="199" w:right="160" w:hanging="199"/>
        <w:spacing w:after="0" w:line="248" w:lineRule="auto"/>
        <w:tabs>
          <w:tab w:leader="none" w:pos="182" w:val="left"/>
        </w:tabs>
        <w:numPr>
          <w:ilvl w:val="0"/>
          <w:numId w:val="12"/>
        </w:numPr>
        <w:rPr>
          <w:rFonts w:ascii="Arial" w:cs="Arial" w:eastAsia="Arial" w:hAnsi="Arial"/>
          <w:sz w:val="16"/>
          <w:szCs w:val="16"/>
          <w:b w:val="1"/>
          <w:bCs w:val="1"/>
          <w:color w:val="auto"/>
        </w:rPr>
      </w:pPr>
      <w:r>
        <w:rPr>
          <w:rFonts w:ascii="Arial" w:cs="Arial" w:eastAsia="Arial" w:hAnsi="Arial"/>
          <w:sz w:val="14"/>
          <w:szCs w:val="14"/>
          <w:color w:val="auto"/>
        </w:rPr>
        <w:t>Long-term Assets Under Management (“AUM”) flows of $209B; top 2 rank in Client Asset Flows</w:t>
      </w:r>
      <w:r>
        <w:rPr>
          <w:rFonts w:ascii="Arial" w:cs="Arial" w:eastAsia="Arial" w:hAnsi="Arial"/>
          <w:sz w:val="18"/>
          <w:szCs w:val="18"/>
          <w:color w:val="auto"/>
          <w:vertAlign w:val="superscript"/>
        </w:rPr>
        <w:t>12</w:t>
      </w:r>
      <w:r>
        <w:rPr>
          <w:rFonts w:ascii="Arial" w:cs="Arial" w:eastAsia="Arial" w:hAnsi="Arial"/>
          <w:sz w:val="14"/>
          <w:szCs w:val="14"/>
          <w:color w:val="auto"/>
        </w:rPr>
        <w:t xml:space="preserve"> over a 5-year period</w:t>
      </w:r>
    </w:p>
    <w:p>
      <w:pPr>
        <w:spacing w:after="0" w:line="1" w:lineRule="exact"/>
        <w:rPr>
          <w:rFonts w:ascii="Arial" w:cs="Arial" w:eastAsia="Arial" w:hAnsi="Arial"/>
          <w:sz w:val="16"/>
          <w:szCs w:val="16"/>
          <w:b w:val="1"/>
          <w:bCs w:val="1"/>
          <w:color w:val="auto"/>
        </w:rPr>
      </w:pPr>
    </w:p>
    <w:p>
      <w:pPr>
        <w:ind w:left="179" w:hanging="179"/>
        <w:spacing w:after="0" w:line="229" w:lineRule="auto"/>
        <w:tabs>
          <w:tab w:leader="none" w:pos="179" w:val="left"/>
        </w:tabs>
        <w:numPr>
          <w:ilvl w:val="0"/>
          <w:numId w:val="12"/>
        </w:numPr>
        <w:rPr>
          <w:rFonts w:ascii="Arial" w:cs="Arial" w:eastAsia="Arial" w:hAnsi="Arial"/>
          <w:sz w:val="16"/>
          <w:szCs w:val="16"/>
          <w:b w:val="1"/>
          <w:bCs w:val="1"/>
          <w:color w:val="auto"/>
        </w:rPr>
      </w:pPr>
      <w:r>
        <w:rPr>
          <w:rFonts w:ascii="Arial" w:cs="Arial" w:eastAsia="Arial" w:hAnsi="Arial"/>
          <w:sz w:val="14"/>
          <w:szCs w:val="14"/>
          <w:color w:val="auto"/>
        </w:rPr>
        <w:t>Average deposits of $245.2B (up 4%); record average loans of $246.6B (up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245745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1" w:lineRule="exact"/>
        <w:rPr>
          <w:sz w:val="20"/>
          <w:szCs w:val="20"/>
          <w:color w:val="auto"/>
        </w:rPr>
      </w:pPr>
    </w:p>
    <w:p>
      <w:pPr>
        <w:sectPr>
          <w:pgSz w:w="11900" w:h="16838" w:orient="portrait"/>
          <w:cols w:equalWidth="0" w:num="2">
            <w:col w:w="4881" w:space="720"/>
            <w:col w:w="5599"/>
          </w:cols>
          <w:pgMar w:left="320" w:top="157" w:right="379" w:bottom="1440" w:gutter="0" w:footer="0" w:header="0"/>
          <w:type w:val="continuous"/>
        </w:sectPr>
      </w:pPr>
    </w:p>
    <w:p>
      <w:pPr>
        <w:ind w:left="200" w:hanging="192"/>
        <w:spacing w:after="0"/>
        <w:tabs>
          <w:tab w:leader="none" w:pos="200" w:val="left"/>
        </w:tabs>
        <w:numPr>
          <w:ilvl w:val="0"/>
          <w:numId w:val="13"/>
        </w:numPr>
        <w:rPr>
          <w:rFonts w:ascii="Arial" w:cs="Arial" w:eastAsia="Arial" w:hAnsi="Arial"/>
          <w:sz w:val="19"/>
          <w:szCs w:val="19"/>
          <w:color w:val="auto"/>
          <w:vertAlign w:val="superscript"/>
        </w:rPr>
      </w:pPr>
      <w:r>
        <w:rPr>
          <w:rFonts w:ascii="Arial" w:cs="Arial" w:eastAsia="Arial" w:hAnsi="Arial"/>
          <w:sz w:val="13"/>
          <w:szCs w:val="13"/>
          <w:color w:val="auto"/>
        </w:rPr>
        <w:t>The Firm reviews the results of the Firm and the lines of business on a managed basis. Refer to Note 2, on page 103 for a definition of managed basis.</w:t>
      </w:r>
    </w:p>
    <w:p>
      <w:pPr>
        <w:ind w:left="200" w:hanging="192"/>
        <w:spacing w:after="0" w:line="182" w:lineRule="auto"/>
        <w:tabs>
          <w:tab w:leader="none" w:pos="200" w:val="left"/>
        </w:tabs>
        <w:numPr>
          <w:ilvl w:val="0"/>
          <w:numId w:val="14"/>
        </w:numPr>
        <w:rPr>
          <w:rFonts w:ascii="Arial" w:cs="Arial" w:eastAsia="Arial" w:hAnsi="Arial"/>
          <w:sz w:val="17"/>
          <w:szCs w:val="17"/>
          <w:color w:val="auto"/>
          <w:vertAlign w:val="superscript"/>
        </w:rPr>
      </w:pPr>
      <w:r>
        <w:rPr>
          <w:rFonts w:ascii="Arial" w:cs="Arial" w:eastAsia="Arial" w:hAnsi="Arial"/>
          <w:sz w:val="11"/>
          <w:szCs w:val="11"/>
          <w:color w:val="auto"/>
        </w:rPr>
        <w:t>Managed Revenue, Pre-Tax Income (ex. LLR), ROTCE and TBVPS are each non-GAAP financial measures; refer to Notes 1 and 2 on page 103 for a further discussion of these measures.</w:t>
      </w:r>
    </w:p>
    <w:p>
      <w:pPr>
        <w:ind w:left="200" w:hanging="192"/>
        <w:spacing w:after="0" w:line="188" w:lineRule="auto"/>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2"/>
          <w:szCs w:val="12"/>
          <w:color w:val="auto"/>
        </w:rPr>
        <w:t>Reflects common dividends and common stock repurchases, net of common stock issued to employees.</w:t>
      </w:r>
    </w:p>
    <w:p>
      <w:pPr>
        <w:ind w:left="200" w:hanging="192"/>
        <w:spacing w:after="0" w:line="191" w:lineRule="auto"/>
        <w:tabs>
          <w:tab w:leader="none" w:pos="20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FDIC 2025 Summary of Deposits survey per S&amp;P Global Market Intelligence. Applies a $1 billion deposit cap to Chase and industry branches for market share. While many of our branches have</w:t>
      </w:r>
    </w:p>
    <w:p>
      <w:pPr>
        <w:spacing w:after="0" w:line="9" w:lineRule="exact"/>
        <w:rPr>
          <w:sz w:val="20"/>
          <w:szCs w:val="20"/>
          <w:color w:val="auto"/>
        </w:rPr>
      </w:pPr>
    </w:p>
    <w:p>
      <w:pPr>
        <w:ind w:left="200" w:right="360"/>
        <w:spacing w:after="0" w:line="218" w:lineRule="auto"/>
        <w:rPr>
          <w:sz w:val="20"/>
          <w:szCs w:val="20"/>
          <w:color w:val="auto"/>
        </w:rPr>
      </w:pPr>
      <w:r>
        <w:rPr>
          <w:rFonts w:ascii="Arial" w:cs="Arial" w:eastAsia="Arial" w:hAnsi="Arial"/>
          <w:sz w:val="13"/>
          <w:szCs w:val="13"/>
          <w:color w:val="auto"/>
        </w:rPr>
        <w:t>more than $1 billion in retail deposits, applying a cap consistently to ourselves and the industry is critical to the integrity of this measurement. Includes all commercial banks, savings banks and savings institutions as defined by the FDIC.</w:t>
      </w:r>
    </w:p>
    <w:p>
      <w:pPr>
        <w:ind w:left="200" w:hanging="192"/>
        <w:spacing w:after="0" w:line="183" w:lineRule="auto"/>
        <w:tabs>
          <w:tab w:leader="none" w:pos="200" w:val="left"/>
        </w:tabs>
        <w:numPr>
          <w:ilvl w:val="0"/>
          <w:numId w:val="17"/>
        </w:numPr>
        <w:rPr>
          <w:rFonts w:ascii="Arial" w:cs="Arial" w:eastAsia="Arial" w:hAnsi="Arial"/>
          <w:sz w:val="17"/>
          <w:szCs w:val="17"/>
          <w:color w:val="auto"/>
          <w:vertAlign w:val="superscript"/>
        </w:rPr>
      </w:pPr>
      <w:r>
        <w:rPr>
          <w:rFonts w:ascii="Arial" w:cs="Arial" w:eastAsia="Arial" w:hAnsi="Arial"/>
          <w:sz w:val="11"/>
          <w:szCs w:val="11"/>
          <w:color w:val="auto"/>
        </w:rPr>
        <w:t>Sales share based on 2025 sales peer disclosures, JPMorganChase estimates, and excludes private label and Commercial Card.</w:t>
      </w:r>
    </w:p>
    <w:p>
      <w:pPr>
        <w:spacing w:after="0" w:line="13" w:lineRule="exact"/>
        <w:rPr>
          <w:sz w:val="20"/>
          <w:szCs w:val="20"/>
          <w:color w:val="auto"/>
        </w:rPr>
      </w:pPr>
    </w:p>
    <w:p>
      <w:pPr>
        <w:ind w:left="200" w:right="360" w:hanging="192"/>
        <w:spacing w:after="0" w:line="194" w:lineRule="auto"/>
        <w:tabs>
          <w:tab w:leader="none" w:pos="193" w:val="left"/>
        </w:tabs>
        <w:numPr>
          <w:ilvl w:val="0"/>
          <w:numId w:val="18"/>
        </w:numPr>
        <w:rPr>
          <w:rFonts w:ascii="Arial" w:cs="Arial" w:eastAsia="Arial" w:hAnsi="Arial"/>
          <w:sz w:val="19"/>
          <w:szCs w:val="19"/>
          <w:color w:val="auto"/>
          <w:vertAlign w:val="superscript"/>
        </w:rPr>
      </w:pPr>
      <w:r>
        <w:rPr>
          <w:rFonts w:ascii="Arial" w:cs="Arial" w:eastAsia="Arial" w:hAnsi="Arial"/>
          <w:sz w:val="13"/>
          <w:szCs w:val="13"/>
          <w:color w:val="auto"/>
        </w:rPr>
        <w:t>Barlow Research Associates, Primary Bank Legacy Market Share Database as of 4Q25. Rolling 8-quarter average of small businesses with revenues of more than $100,000 and less than $25 million.</w:t>
      </w:r>
    </w:p>
    <w:p>
      <w:pPr>
        <w:ind w:left="200" w:hanging="192"/>
        <w:spacing w:after="0" w:line="182" w:lineRule="auto"/>
        <w:tabs>
          <w:tab w:leader="none" w:pos="200" w:val="left"/>
        </w:tabs>
        <w:numPr>
          <w:ilvl w:val="0"/>
          <w:numId w:val="19"/>
        </w:numPr>
        <w:rPr>
          <w:rFonts w:ascii="Arial" w:cs="Arial" w:eastAsia="Arial" w:hAnsi="Arial"/>
          <w:sz w:val="17"/>
          <w:szCs w:val="17"/>
          <w:color w:val="auto"/>
          <w:vertAlign w:val="superscript"/>
        </w:rPr>
      </w:pPr>
      <w:r>
        <w:rPr>
          <w:rFonts w:ascii="Arial" w:cs="Arial" w:eastAsia="Arial" w:hAnsi="Arial"/>
          <w:sz w:val="11"/>
          <w:szCs w:val="11"/>
          <w:color w:val="auto"/>
        </w:rPr>
        <w:t>#1 in U.S. mobile monthly active users (2025) among incumbent U.S. banking mobile apps based on Sensor Tower. Sensor Tower supplies modelled data through proprietary panels and apps.</w:t>
      </w:r>
    </w:p>
    <w:p>
      <w:pPr>
        <w:ind w:left="200" w:hanging="192"/>
        <w:spacing w:after="0" w:line="183" w:lineRule="auto"/>
        <w:tabs>
          <w:tab w:leader="none" w:pos="200" w:val="left"/>
        </w:tabs>
        <w:numPr>
          <w:ilvl w:val="0"/>
          <w:numId w:val="20"/>
        </w:numPr>
        <w:rPr>
          <w:rFonts w:ascii="Arial" w:cs="Arial" w:eastAsia="Arial" w:hAnsi="Arial"/>
          <w:sz w:val="17"/>
          <w:szCs w:val="17"/>
          <w:color w:val="auto"/>
          <w:vertAlign w:val="superscript"/>
        </w:rPr>
      </w:pPr>
      <w:r>
        <w:rPr>
          <w:rFonts w:ascii="Arial" w:cs="Arial" w:eastAsia="Arial" w:hAnsi="Arial"/>
          <w:sz w:val="11"/>
          <w:szCs w:val="11"/>
          <w:color w:val="auto"/>
        </w:rPr>
        <w:t>Dealogic as of January 2, 2026, excludes the impact of UBS/CS merger prior to the year of the acquisition (2023).</w:t>
      </w:r>
    </w:p>
    <w:p>
      <w:pPr>
        <w:spacing w:after="0" w:line="13" w:lineRule="exact"/>
        <w:rPr>
          <w:sz w:val="20"/>
          <w:szCs w:val="20"/>
          <w:color w:val="auto"/>
        </w:rPr>
      </w:pPr>
    </w:p>
    <w:p>
      <w:pPr>
        <w:ind w:left="200" w:right="60" w:hanging="192"/>
        <w:spacing w:after="0" w:line="194" w:lineRule="auto"/>
        <w:tabs>
          <w:tab w:leader="none" w:pos="193" w:val="left"/>
        </w:tabs>
        <w:numPr>
          <w:ilvl w:val="0"/>
          <w:numId w:val="21"/>
        </w:numPr>
        <w:rPr>
          <w:rFonts w:ascii="Arial" w:cs="Arial" w:eastAsia="Arial" w:hAnsi="Arial"/>
          <w:sz w:val="19"/>
          <w:szCs w:val="19"/>
          <w:color w:val="auto"/>
          <w:vertAlign w:val="superscript"/>
        </w:rPr>
      </w:pPr>
      <w:r>
        <w:rPr>
          <w:rFonts w:ascii="Arial" w:cs="Arial" w:eastAsia="Arial" w:hAnsi="Arial"/>
          <w:sz w:val="13"/>
          <w:szCs w:val="13"/>
          <w:color w:val="auto"/>
        </w:rPr>
        <w:t>Coalition Greenwich Competitor Analytics (Preliminary FY 2025). Market share is based on JPMorganChase's internal business structure, footprint and revenue. Ranks are based on Coalition Index Banks for Markets.</w:t>
      </w:r>
    </w:p>
    <w:p>
      <w:pPr>
        <w:ind w:left="200" w:right="40" w:hanging="192"/>
        <w:spacing w:after="0" w:line="204" w:lineRule="auto"/>
        <w:tabs>
          <w:tab w:leader="none" w:pos="204"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Represents U.S. dollar payment instructions for direct payments and credit transfers processed over Society for Worldwide Interbank Financial Telecommunications (“SWIFT”) in the countries where J.P. Morgan has sales coverage. Market Share is based on December 2025.</w:t>
      </w:r>
    </w:p>
    <w:p>
      <w:pPr>
        <w:ind w:left="200" w:right="260" w:hanging="192"/>
        <w:spacing w:after="0" w:line="198" w:lineRule="auto"/>
        <w:tabs>
          <w:tab w:leader="none" w:pos="224"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Coalition Greenwich Competitor Analytics (Preliminary FY 2025). Rank is based on JPMorganChase’s internal business structure, footprint and revenue and Coalition Index Banks for Securities Services (excluding Corporate Trust, Escrow Services and Clearing &amp; Settlement).</w:t>
      </w:r>
    </w:p>
    <w:p>
      <w:pPr>
        <w:spacing w:after="0" w:line="1" w:lineRule="exact"/>
        <w:rPr>
          <w:rFonts w:ascii="Arial" w:cs="Arial" w:eastAsia="Arial" w:hAnsi="Arial"/>
          <w:sz w:val="19"/>
          <w:szCs w:val="19"/>
          <w:color w:val="auto"/>
          <w:vertAlign w:val="superscript"/>
        </w:rPr>
      </w:pPr>
    </w:p>
    <w:p>
      <w:pPr>
        <w:ind w:left="200" w:right="300" w:hanging="192"/>
        <w:spacing w:after="0" w:line="209" w:lineRule="auto"/>
        <w:tabs>
          <w:tab w:leader="none" w:pos="204"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Company filings and JPMorganChase estimates. Rankings reflect publicly traded peer group as follows: Allianz, Bank of America, Bank of New York Mellon, BlackRock, Charles Schwab, DWS, Franklin Templeton, Goldman Sachs, Invesco, Morgan Stanley, State Street, T. Rowe Price and UBS. JPMorganChase ranking reflects Asset &amp; Wealth Management client assets, U.S. Wealth Management investments and new-to-firm Chase Private Client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317500</wp:posOffset>
            </wp:positionV>
            <wp:extent cx="651510" cy="85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80" w:hanging="654"/>
        <w:spacing w:after="0"/>
        <w:tabs>
          <w:tab w:leader="none" w:pos="680" w:val="left"/>
        </w:tabs>
        <w:numPr>
          <w:ilvl w:val="0"/>
          <w:numId w:val="23"/>
        </w:numPr>
        <w:rPr>
          <w:rFonts w:ascii="Arial" w:cs="Arial" w:eastAsia="Arial" w:hAnsi="Arial"/>
          <w:sz w:val="29"/>
          <w:szCs w:val="29"/>
          <w:color w:val="auto"/>
          <w:vertAlign w:val="superscript"/>
        </w:rPr>
      </w:pP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type w:val="continuous"/>
        </w:sectPr>
      </w:pPr>
    </w:p>
    <w:bookmarkStart w:id="10" w:name="page11"/>
    <w:bookmarkEnd w:id="10"/>
    <w:p>
      <w:pPr>
        <w:spacing w:after="0" w:line="194" w:lineRule="auto"/>
        <w:framePr w:w="1500" w:h="130" w:wrap="auto" w:vAnchor="page" w:hAnchor="page" w:x="9400" w:y="12943"/>
        <w:rPr>
          <w:rFonts w:ascii="Arial" w:cs="Arial" w:eastAsia="Arial" w:hAnsi="Arial"/>
          <w:sz w:val="14"/>
          <w:szCs w:val="14"/>
          <w:color w:val="auto"/>
        </w:rPr>
      </w:pPr>
      <w:r>
        <w:rPr>
          <w:rFonts w:ascii="Arial" w:cs="Arial" w:eastAsia="Arial" w:hAnsi="Arial"/>
          <w:sz w:val="14"/>
          <w:szCs w:val="14"/>
          <w:color w:val="auto"/>
        </w:rPr>
        <w:t>2026 Proxy Statement</w:t>
      </w:r>
    </w:p>
    <w:p>
      <w:pPr>
        <w:spacing w:after="0" w:line="194" w:lineRule="auto"/>
        <w:framePr w:w="160" w:h="130" w:wrap="auto" w:vAnchor="page" w:hAnchor="page" w:x="11420" w:y="12875"/>
        <w:rPr>
          <w:rFonts w:ascii="Arial" w:cs="Arial" w:eastAsia="Arial" w:hAnsi="Arial"/>
          <w:sz w:val="14"/>
          <w:szCs w:val="14"/>
          <w:color w:val="auto"/>
        </w:rPr>
      </w:pPr>
      <w:r>
        <w:rPr>
          <w:rFonts w:ascii="Arial" w:cs="Arial" w:eastAsia="Arial" w:hAnsi="Arial"/>
          <w:sz w:val="14"/>
          <w:szCs w:val="14"/>
          <w:color w:val="auto"/>
        </w:rPr>
        <w:t>3</w:t>
      </w:r>
    </w:p>
    <w:p>
      <w:pPr>
        <w:spacing w:after="0" w:line="191" w:lineRule="auto"/>
        <w:framePr w:w="3320" w:h="147" w:wrap="auto" w:vAnchor="page" w:hAnchor="page" w:x="6000" w:y="11293"/>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Stock ownership requirements for directors</w:t>
      </w:r>
    </w:p>
    <w:p>
      <w:pPr>
        <w:spacing w:after="0" w:line="191" w:lineRule="auto"/>
        <w:framePr w:w="3820" w:h="147" w:wrap="auto" w:vAnchor="page" w:hAnchor="page" w:x="6000" w:y="11563"/>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100% principal standing committee independence</w:t>
      </w:r>
    </w:p>
    <w:p>
      <w:pPr>
        <w:spacing w:after="0" w:line="236" w:lineRule="auto"/>
        <w:framePr w:w="5020" w:h="363" w:wrap="auto" w:vAnchor="page" w:hAnchor="page" w:x="6000" w:y="11833"/>
        <w:rPr>
          <w:rFonts w:ascii="Arial" w:cs="Arial" w:eastAsia="Arial" w:hAnsi="Arial"/>
          <w:sz w:val="16"/>
          <w:szCs w:val="16"/>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Executive sessions of independent directors at each regular Board</w:t>
      </w:r>
      <w:r>
        <w:rPr>
          <w:rFonts w:ascii="Arial" w:cs="Arial" w:eastAsia="Arial" w:hAnsi="Arial"/>
          <w:sz w:val="16"/>
          <w:szCs w:val="16"/>
          <w:b w:val="1"/>
          <w:bCs w:val="1"/>
          <w:color w:val="auto"/>
        </w:rPr>
        <w:t xml:space="preserve"> </w:t>
      </w:r>
      <w:r>
        <w:rPr>
          <w:rFonts w:ascii="Arial" w:cs="Arial" w:eastAsia="Arial" w:hAnsi="Arial"/>
          <w:sz w:val="16"/>
          <w:szCs w:val="16"/>
          <w:color w:val="auto"/>
        </w:rPr>
        <w:t>meeting</w:t>
      </w:r>
    </w:p>
    <w:p>
      <w:pPr>
        <w:spacing w:after="0" w:line="191" w:lineRule="auto"/>
        <w:framePr w:w="3260" w:h="147" w:wrap="auto" w:vAnchor="page" w:hAnchor="page" w:x="280" w:y="11023"/>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Annual Board and committee assessment</w:t>
      </w:r>
    </w:p>
    <w:p>
      <w:pPr>
        <w:spacing w:after="0" w:line="191" w:lineRule="auto"/>
        <w:framePr w:w="2160" w:h="147" w:wrap="auto" w:vAnchor="page" w:hAnchor="page" w:x="280" w:y="11293"/>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Robust shareholder rights:</w:t>
      </w:r>
    </w:p>
    <w:p>
      <w:pPr>
        <w:spacing w:after="0" w:line="191" w:lineRule="auto"/>
        <w:framePr w:w="1240" w:h="147" w:wrap="auto" w:vAnchor="page" w:hAnchor="page" w:x="480" w:y="11563"/>
        <w:rPr>
          <w:rFonts w:ascii="Arial" w:cs="Arial" w:eastAsia="Arial" w:hAnsi="Arial"/>
          <w:sz w:val="16"/>
          <w:szCs w:val="16"/>
          <w:b w:val="1"/>
          <w:bCs w:val="1"/>
          <w:color w:val="auto"/>
        </w:rPr>
      </w:pPr>
      <w:r>
        <w:rPr>
          <w:rFonts w:ascii="Arial" w:cs="Arial" w:eastAsia="Arial" w:hAnsi="Arial"/>
          <w:sz w:val="16"/>
          <w:szCs w:val="16"/>
          <w:b w:val="1"/>
          <w:bCs w:val="1"/>
          <w:color w:val="auto"/>
        </w:rPr>
        <w:t>— Proxy access</w:t>
      </w:r>
    </w:p>
    <w:p>
      <w:pPr>
        <w:spacing w:after="0" w:line="191" w:lineRule="auto"/>
        <w:framePr w:w="2420" w:h="147" w:wrap="auto" w:vAnchor="page" w:hAnchor="page" w:x="480" w:y="11833"/>
        <w:rPr>
          <w:rFonts w:ascii="Arial" w:cs="Arial" w:eastAsia="Arial" w:hAnsi="Arial"/>
          <w:sz w:val="16"/>
          <w:szCs w:val="16"/>
          <w:b w:val="1"/>
          <w:bCs w:val="1"/>
          <w:color w:val="auto"/>
        </w:rPr>
      </w:pPr>
      <w:r>
        <w:rPr>
          <w:rFonts w:ascii="Arial" w:cs="Arial" w:eastAsia="Arial" w:hAnsi="Arial"/>
          <w:sz w:val="16"/>
          <w:szCs w:val="16"/>
          <w:b w:val="1"/>
          <w:bCs w:val="1"/>
          <w:color w:val="auto"/>
        </w:rPr>
        <w:t>— Right to call a special meeting</w:t>
      </w:r>
    </w:p>
    <w:p>
      <w:pPr>
        <w:spacing w:after="0" w:line="191" w:lineRule="auto"/>
        <w:framePr w:w="2440" w:h="147" w:wrap="auto" w:vAnchor="page" w:hAnchor="page" w:x="480" w:y="12103"/>
        <w:rPr>
          <w:rFonts w:ascii="Arial" w:cs="Arial" w:eastAsia="Arial" w:hAnsi="Arial"/>
          <w:sz w:val="16"/>
          <w:szCs w:val="16"/>
          <w:b w:val="1"/>
          <w:bCs w:val="1"/>
          <w:color w:val="auto"/>
        </w:rPr>
      </w:pPr>
      <w:r>
        <w:rPr>
          <w:rFonts w:ascii="Arial" w:cs="Arial" w:eastAsia="Arial" w:hAnsi="Arial"/>
          <w:sz w:val="16"/>
          <w:szCs w:val="16"/>
          <w:b w:val="1"/>
          <w:bCs w:val="1"/>
          <w:color w:val="auto"/>
        </w:rPr>
        <w:t>— Right to act by written consent</w:t>
      </w:r>
    </w:p>
    <w:p>
      <w:pPr>
        <w:spacing w:after="0" w:line="191" w:lineRule="auto"/>
        <w:framePr w:w="3000" w:h="147" w:wrap="auto" w:vAnchor="page" w:hAnchor="page" w:x="6000" w:y="11023"/>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Majority voting for all director elections</w:t>
      </w:r>
    </w:p>
    <w:p>
      <w:pPr>
        <w:spacing w:after="0" w:line="191" w:lineRule="auto"/>
        <w:framePr w:w="4320" w:h="147" w:wrap="auto" w:vAnchor="page" w:hAnchor="page" w:x="280" w:y="8012"/>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Oversees the Firm’s financial performance and condition</w:t>
      </w:r>
    </w:p>
    <w:p>
      <w:pPr>
        <w:spacing w:after="0" w:line="191" w:lineRule="auto"/>
        <w:framePr w:w="3020" w:h="147" w:wrap="auto" w:vAnchor="page" w:hAnchor="page" w:x="280" w:y="8512"/>
        <w:rPr>
          <w:rFonts w:ascii="Arial" w:cs="Arial" w:eastAsia="Arial" w:hAnsi="Arial"/>
          <w:sz w:val="16"/>
          <w:szCs w:val="16"/>
          <w:b w:val="1"/>
          <w:bCs w:val="1"/>
          <w:color w:val="8F5A39"/>
        </w:rPr>
      </w:pPr>
      <w:r>
        <w:rPr>
          <w:rFonts w:ascii="Arial" w:cs="Arial" w:eastAsia="Arial" w:hAnsi="Arial"/>
          <w:sz w:val="16"/>
          <w:szCs w:val="16"/>
          <w:b w:val="1"/>
          <w:bCs w:val="1"/>
          <w:color w:val="8F5A39"/>
        </w:rPr>
        <w:t>We actively engage with shareholders</w:t>
      </w:r>
    </w:p>
    <w:p>
      <w:pPr>
        <w:spacing w:after="0" w:line="236" w:lineRule="auto"/>
        <w:framePr w:w="10600" w:h="363" w:wrap="auto" w:vAnchor="page" w:hAnchor="page" w:x="280" w:y="8822"/>
        <w:rPr>
          <w:rFonts w:ascii="Arial" w:cs="Arial" w:eastAsia="Arial" w:hAnsi="Arial"/>
          <w:sz w:val="16"/>
          <w:szCs w:val="16"/>
          <w:color w:val="8F5A39"/>
        </w:rPr>
      </w:pPr>
      <w:r>
        <w:rPr>
          <w:rFonts w:ascii="Arial" w:cs="Arial" w:eastAsia="Arial" w:hAnsi="Arial"/>
          <w:sz w:val="16"/>
          <w:szCs w:val="16"/>
          <w:b w:val="1"/>
          <w:bCs w:val="1"/>
          <w:color w:val="8F5A39"/>
        </w:rPr>
        <w:t xml:space="preserve">• </w:t>
      </w:r>
      <w:r>
        <w:rPr>
          <w:rFonts w:ascii="Arial" w:cs="Arial" w:eastAsia="Arial" w:hAnsi="Arial"/>
          <w:sz w:val="16"/>
          <w:szCs w:val="16"/>
          <w:color w:val="8F5A39"/>
        </w:rPr>
        <w:t>We engage with shareholders throughout the year on a wide variety of topics, such as strategy, financial and operating performance, competitive</w:t>
      </w:r>
      <w:r>
        <w:rPr>
          <w:rFonts w:ascii="Arial" w:cs="Arial" w:eastAsia="Arial" w:hAnsi="Arial"/>
          <w:sz w:val="16"/>
          <w:szCs w:val="16"/>
          <w:b w:val="1"/>
          <w:bCs w:val="1"/>
          <w:color w:val="8F5A39"/>
        </w:rPr>
        <w:t xml:space="preserve"> </w:t>
      </w:r>
      <w:r>
        <w:rPr>
          <w:rFonts w:ascii="Arial" w:cs="Arial" w:eastAsia="Arial" w:hAnsi="Arial"/>
          <w:sz w:val="16"/>
          <w:szCs w:val="16"/>
          <w:color w:val="8F5A39"/>
        </w:rPr>
        <w:t>environment, regulatory landscape and environmental, social and governance-related matters</w:t>
      </w:r>
    </w:p>
    <w:p>
      <w:pPr>
        <w:spacing w:after="0" w:line="191" w:lineRule="auto"/>
        <w:framePr w:w="4360" w:h="147" w:wrap="auto" w:vAnchor="page" w:hAnchor="page" w:x="280" w:y="9308"/>
        <w:rPr>
          <w:rFonts w:ascii="Arial" w:cs="Arial" w:eastAsia="Arial" w:hAnsi="Arial"/>
          <w:sz w:val="16"/>
          <w:szCs w:val="16"/>
          <w:b w:val="1"/>
          <w:bCs w:val="1"/>
          <w:color w:val="8F5A39"/>
        </w:rPr>
      </w:pPr>
      <w:r>
        <w:rPr>
          <w:rFonts w:ascii="Arial" w:cs="Arial" w:eastAsia="Arial" w:hAnsi="Arial"/>
          <w:sz w:val="16"/>
          <w:szCs w:val="16"/>
          <w:b w:val="1"/>
          <w:bCs w:val="1"/>
          <w:color w:val="8F5A39"/>
        </w:rPr>
        <w:t xml:space="preserve">•  </w:t>
      </w:r>
      <w:r>
        <w:rPr>
          <w:rFonts w:ascii="Arial" w:cs="Arial" w:eastAsia="Arial" w:hAnsi="Arial"/>
          <w:sz w:val="16"/>
          <w:szCs w:val="16"/>
          <w:color w:val="8F5A39"/>
        </w:rPr>
        <w:t>In 2025, our stakeholder engagement initiatives included:</w:t>
      </w:r>
    </w:p>
    <w:p>
      <w:pPr>
        <w:spacing w:after="0" w:line="236" w:lineRule="auto"/>
        <w:framePr w:w="10260" w:h="363" w:wrap="auto" w:vAnchor="page" w:hAnchor="page" w:x="480" w:y="9578"/>
        <w:rPr>
          <w:rFonts w:ascii="Arial" w:cs="Arial" w:eastAsia="Arial" w:hAnsi="Arial"/>
          <w:sz w:val="16"/>
          <w:szCs w:val="16"/>
          <w:b w:val="1"/>
          <w:bCs w:val="1"/>
          <w:color w:val="8F5A39"/>
        </w:rPr>
      </w:pPr>
      <w:r>
        <w:rPr>
          <w:rFonts w:ascii="Arial" w:cs="Arial" w:eastAsia="Arial" w:hAnsi="Arial"/>
          <w:sz w:val="16"/>
          <w:szCs w:val="16"/>
          <w:b w:val="1"/>
          <w:bCs w:val="1"/>
          <w:color w:val="8F5A39"/>
        </w:rPr>
        <w:t>— Shareholder engagement: We solicited feedback and provided updates on topics of interest through engagements with approximately 338 shareholders and other stakeholders that represented approximately 37% of the Firm's outstanding common stock</w:t>
      </w:r>
    </w:p>
    <w:p>
      <w:pPr>
        <w:spacing w:after="0" w:line="227" w:lineRule="auto"/>
        <w:framePr w:w="10920" w:h="349" w:wrap="auto" w:vAnchor="page" w:hAnchor="page" w:x="480" w:y="10064"/>
        <w:rPr>
          <w:rFonts w:ascii="Arial" w:cs="Arial" w:eastAsia="Arial" w:hAnsi="Arial"/>
          <w:sz w:val="16"/>
          <w:szCs w:val="16"/>
          <w:b w:val="1"/>
          <w:bCs w:val="1"/>
          <w:color w:val="8F5A39"/>
        </w:rPr>
      </w:pPr>
      <w:r>
        <w:rPr>
          <w:rFonts w:ascii="Arial" w:cs="Arial" w:eastAsia="Arial" w:hAnsi="Arial"/>
          <w:sz w:val="16"/>
          <w:szCs w:val="16"/>
          <w:b w:val="1"/>
          <w:bCs w:val="1"/>
          <w:color w:val="8F5A39"/>
        </w:rPr>
        <w:t>— Senior management engagement: Senior management presented at approximately 17 investor conferences and events and held approximately 61 meetings to connect shareholders with the Firm's senior leaders</w:t>
      </w:r>
    </w:p>
    <w:p>
      <w:pPr>
        <w:spacing w:after="0" w:line="191" w:lineRule="auto"/>
        <w:framePr w:w="6400" w:h="147" w:wrap="auto" w:vAnchor="page" w:hAnchor="page" w:x="280" w:y="10726"/>
        <w:rPr>
          <w:rFonts w:ascii="Arial" w:cs="Arial" w:eastAsia="Arial" w:hAnsi="Arial"/>
          <w:sz w:val="16"/>
          <w:szCs w:val="16"/>
          <w:b w:val="1"/>
          <w:bCs w:val="1"/>
          <w:color w:val="8F5A39"/>
        </w:rPr>
      </w:pPr>
      <w:r>
        <w:rPr>
          <w:rFonts w:ascii="Arial" w:cs="Arial" w:eastAsia="Arial" w:hAnsi="Arial"/>
          <w:sz w:val="16"/>
          <w:szCs w:val="16"/>
          <w:b w:val="1"/>
          <w:bCs w:val="1"/>
          <w:color w:val="8F5A39"/>
        </w:rPr>
        <w:t>Our governance practices promote Board effectiveness and shareholder interests</w:t>
      </w:r>
    </w:p>
    <w:p>
      <w:pPr>
        <w:spacing w:after="0" w:line="191" w:lineRule="auto"/>
        <w:framePr w:w="2600" w:h="147" w:wrap="auto" w:vAnchor="page" w:hAnchor="page" w:x="6000" w:y="7796"/>
        <w:rPr>
          <w:rFonts w:ascii="Arial" w:cs="Arial" w:eastAsia="Arial" w:hAnsi="Arial"/>
          <w:sz w:val="16"/>
          <w:szCs w:val="16"/>
          <w:b w:val="1"/>
          <w:bCs w:val="1"/>
          <w:color w:val="8F5A39"/>
        </w:rPr>
      </w:pPr>
      <w:r>
        <w:rPr>
          <w:rFonts w:ascii="Arial" w:cs="Arial" w:eastAsia="Arial" w:hAnsi="Arial"/>
          <w:sz w:val="16"/>
          <w:szCs w:val="16"/>
          <w:b w:val="1"/>
          <w:bCs w:val="1"/>
          <w:color w:val="8F5A39"/>
        </w:rPr>
        <w:t xml:space="preserve">•  </w:t>
      </w:r>
      <w:r>
        <w:rPr>
          <w:rFonts w:ascii="Arial" w:cs="Arial" w:eastAsia="Arial" w:hAnsi="Arial"/>
          <w:sz w:val="16"/>
          <w:szCs w:val="16"/>
          <w:color w:val="8F5A39"/>
        </w:rPr>
        <w:t>Sets the cultural “tone at the top”</w:t>
      </w:r>
    </w:p>
    <w:p>
      <w:pPr>
        <w:spacing w:after="0" w:line="236" w:lineRule="auto"/>
        <w:framePr w:w="5340" w:h="363" w:wrap="auto" w:vAnchor="page" w:hAnchor="page" w:x="280" w:y="7526"/>
        <w:rPr>
          <w:rFonts w:ascii="Arial" w:cs="Arial" w:eastAsia="Arial" w:hAnsi="Arial"/>
          <w:sz w:val="16"/>
          <w:szCs w:val="16"/>
          <w:color w:val="8F5A39"/>
        </w:rPr>
      </w:pPr>
      <w:r>
        <w:rPr>
          <w:rFonts w:ascii="Arial" w:cs="Arial" w:eastAsia="Arial" w:hAnsi="Arial"/>
          <w:sz w:val="16"/>
          <w:szCs w:val="16"/>
          <w:b w:val="1"/>
          <w:bCs w:val="1"/>
          <w:color w:val="8F5A39"/>
        </w:rPr>
        <w:t xml:space="preserve">• </w:t>
      </w:r>
      <w:r>
        <w:rPr>
          <w:rFonts w:ascii="Arial" w:cs="Arial" w:eastAsia="Arial" w:hAnsi="Arial"/>
          <w:sz w:val="16"/>
          <w:szCs w:val="16"/>
          <w:color w:val="8F5A39"/>
        </w:rPr>
        <w:t>Reviews and approves the Firm’s strategic plan and oversees strategic</w:t>
      </w:r>
      <w:r>
        <w:rPr>
          <w:rFonts w:ascii="Arial" w:cs="Arial" w:eastAsia="Arial" w:hAnsi="Arial"/>
          <w:sz w:val="16"/>
          <w:szCs w:val="16"/>
          <w:b w:val="1"/>
          <w:bCs w:val="1"/>
          <w:color w:val="8F5A39"/>
        </w:rPr>
        <w:t xml:space="preserve"> </w:t>
      </w:r>
      <w:r>
        <w:rPr>
          <w:rFonts w:ascii="Arial" w:cs="Arial" w:eastAsia="Arial" w:hAnsi="Arial"/>
          <w:sz w:val="16"/>
          <w:szCs w:val="16"/>
          <w:color w:val="8F5A39"/>
        </w:rPr>
        <w:t>objectives</w:t>
      </w:r>
    </w:p>
    <w:p>
      <w:pPr>
        <w:spacing w:after="0" w:line="191" w:lineRule="auto"/>
        <w:framePr w:w="6020" w:h="147" w:wrap="auto" w:vAnchor="page" w:hAnchor="page" w:x="280" w:y="6743"/>
        <w:rPr>
          <w:rFonts w:ascii="Arial" w:cs="Arial" w:eastAsia="Arial" w:hAnsi="Arial"/>
          <w:sz w:val="16"/>
          <w:szCs w:val="16"/>
          <w:b w:val="1"/>
          <w:bCs w:val="1"/>
          <w:color w:val="8F5A39"/>
        </w:rPr>
      </w:pPr>
      <w:r>
        <w:rPr>
          <w:rFonts w:ascii="Arial" w:cs="Arial" w:eastAsia="Arial" w:hAnsi="Arial"/>
          <w:sz w:val="16"/>
          <w:szCs w:val="16"/>
          <w:b w:val="1"/>
          <w:bCs w:val="1"/>
          <w:color w:val="8F5A39"/>
        </w:rPr>
        <w:t>Our Board provides independent oversight of the Firm’s business and affairs</w:t>
      </w:r>
    </w:p>
    <w:p>
      <w:pPr>
        <w:spacing w:after="0" w:line="191" w:lineRule="auto"/>
        <w:framePr w:w="4720" w:h="147" w:wrap="auto" w:vAnchor="page" w:hAnchor="page" w:x="280" w:y="7040"/>
        <w:rPr>
          <w:rFonts w:ascii="Arial" w:cs="Arial" w:eastAsia="Arial" w:hAnsi="Arial"/>
          <w:sz w:val="16"/>
          <w:szCs w:val="16"/>
          <w:b w:val="1"/>
          <w:bCs w:val="1"/>
          <w:color w:val="8F5A39"/>
        </w:rPr>
      </w:pPr>
      <w:r>
        <w:rPr>
          <w:rFonts w:ascii="Arial" w:cs="Arial" w:eastAsia="Arial" w:hAnsi="Arial"/>
          <w:sz w:val="16"/>
          <w:szCs w:val="16"/>
          <w:b w:val="1"/>
          <w:bCs w:val="1"/>
          <w:color w:val="8F5A39"/>
        </w:rPr>
        <w:t xml:space="preserve">•  </w:t>
      </w:r>
      <w:r>
        <w:rPr>
          <w:rFonts w:ascii="Arial" w:cs="Arial" w:eastAsia="Arial" w:hAnsi="Arial"/>
          <w:sz w:val="16"/>
          <w:szCs w:val="16"/>
          <w:color w:val="8F5A39"/>
        </w:rPr>
        <w:t>Oversees the business and affairs of the Firm based on sound</w:t>
      </w:r>
    </w:p>
    <w:p>
      <w:pPr>
        <w:spacing w:after="0" w:line="191" w:lineRule="auto"/>
        <w:framePr w:w="5280" w:h="147" w:wrap="auto" w:vAnchor="page" w:hAnchor="page" w:x="6000" w:y="7040"/>
        <w:rPr>
          <w:rFonts w:ascii="Arial" w:cs="Arial" w:eastAsia="Arial" w:hAnsi="Arial"/>
          <w:sz w:val="16"/>
          <w:szCs w:val="16"/>
          <w:b w:val="1"/>
          <w:bCs w:val="1"/>
          <w:color w:val="8F5A39"/>
        </w:rPr>
      </w:pPr>
      <w:r>
        <w:rPr>
          <w:rFonts w:ascii="Arial" w:cs="Arial" w:eastAsia="Arial" w:hAnsi="Arial"/>
          <w:sz w:val="16"/>
          <w:szCs w:val="16"/>
          <w:b w:val="1"/>
          <w:bCs w:val="1"/>
          <w:color w:val="8F5A39"/>
        </w:rPr>
        <w:t xml:space="preserve">•  </w:t>
      </w:r>
      <w:r>
        <w:rPr>
          <w:rFonts w:ascii="Arial" w:cs="Arial" w:eastAsia="Arial" w:hAnsi="Arial"/>
          <w:sz w:val="16"/>
          <w:szCs w:val="16"/>
          <w:color w:val="8F5A39"/>
        </w:rPr>
        <w:t>Oversees the Firm’s risk management and internal control frameworks</w:t>
      </w:r>
    </w:p>
    <w:p>
      <w:pPr>
        <w:spacing w:after="0" w:line="236" w:lineRule="auto"/>
        <w:framePr w:w="4060" w:h="147" w:wrap="auto" w:vAnchor="page" w:hAnchor="page" w:x="480" w:y="7256"/>
        <w:rPr>
          <w:rFonts w:ascii="Arial" w:cs="Arial" w:eastAsia="Arial" w:hAnsi="Arial"/>
          <w:sz w:val="16"/>
          <w:szCs w:val="16"/>
          <w:b w:val="1"/>
          <w:bCs w:val="1"/>
          <w:color w:val="8F5A39"/>
        </w:rPr>
      </w:pPr>
      <w:r>
        <w:rPr>
          <w:rFonts w:ascii="Arial" w:cs="Arial" w:eastAsia="Arial" w:hAnsi="Arial"/>
          <w:sz w:val="32"/>
          <w:szCs w:val="32"/>
          <w:color w:val="8F5A39"/>
          <w:vertAlign w:val="superscript"/>
        </w:rPr>
        <w:t>governance practices and effective leadership structure</w:t>
      </w:r>
    </w:p>
    <w:p>
      <w:pPr>
        <w:spacing w:after="0" w:line="236" w:lineRule="auto"/>
        <w:framePr w:w="5260" w:h="363" w:wrap="auto" w:vAnchor="page" w:hAnchor="page" w:x="6000" w:y="7310"/>
        <w:rPr>
          <w:rFonts w:ascii="Arial" w:cs="Arial" w:eastAsia="Arial" w:hAnsi="Arial"/>
          <w:sz w:val="16"/>
          <w:szCs w:val="16"/>
          <w:color w:val="8F5A39"/>
        </w:rPr>
      </w:pPr>
      <w:r>
        <w:rPr>
          <w:rFonts w:ascii="Arial" w:cs="Arial" w:eastAsia="Arial" w:hAnsi="Arial"/>
          <w:sz w:val="16"/>
          <w:szCs w:val="16"/>
          <w:b w:val="1"/>
          <w:bCs w:val="1"/>
          <w:color w:val="8F5A39"/>
        </w:rPr>
        <w:t xml:space="preserve">• </w:t>
      </w:r>
      <w:r>
        <w:rPr>
          <w:rFonts w:ascii="Arial" w:cs="Arial" w:eastAsia="Arial" w:hAnsi="Arial"/>
          <w:sz w:val="16"/>
          <w:szCs w:val="16"/>
          <w:color w:val="8F5A39"/>
        </w:rPr>
        <w:t>Oversees executive performance, talent management and succession</w:t>
      </w:r>
      <w:r>
        <w:rPr>
          <w:rFonts w:ascii="Arial" w:cs="Arial" w:eastAsia="Arial" w:hAnsi="Arial"/>
          <w:sz w:val="16"/>
          <w:szCs w:val="16"/>
          <w:b w:val="1"/>
          <w:bCs w:val="1"/>
          <w:color w:val="8F5A39"/>
        </w:rPr>
        <w:t xml:space="preserve"> </w:t>
      </w:r>
      <w:r>
        <w:rPr>
          <w:rFonts w:ascii="Arial" w:cs="Arial" w:eastAsia="Arial" w:hAnsi="Arial"/>
          <w:sz w:val="16"/>
          <w:szCs w:val="16"/>
          <w:color w:val="8F5A39"/>
        </w:rPr>
        <w:t>planning</w:t>
      </w:r>
    </w:p>
    <w:p>
      <w:pPr>
        <w:spacing w:after="0" w:line="194" w:lineRule="auto"/>
        <w:framePr w:w="1200" w:h="130" w:wrap="auto" w:vAnchor="page" w:hAnchor="page" w:x="280" w:y="172"/>
        <w:rPr>
          <w:rFonts w:ascii="Arial" w:cs="Arial" w:eastAsia="Arial" w:hAnsi="Arial"/>
          <w:sz w:val="14"/>
          <w:szCs w:val="14"/>
          <w:u w:val="single" w:color="auto"/>
          <w:color w:val="0000FF"/>
        </w:rPr>
      </w:pPr>
      <w:r>
        <w:rPr>
          <w:rFonts w:ascii="Arial" w:cs="Arial" w:eastAsia="Arial" w:hAnsi="Arial"/>
          <w:sz w:val="14"/>
          <w:szCs w:val="14"/>
          <w:u w:val="single" w:color="auto"/>
          <w:color w:val="0000FF"/>
        </w:rPr>
        <w:t>Table of Contents</w:t>
      </w:r>
    </w:p>
    <w:p>
      <w:pPr>
        <w:spacing w:after="0" w:line="191" w:lineRule="auto"/>
        <w:framePr w:w="1700" w:h="147" w:wrap="auto" w:vAnchor="page" w:hAnchor="page" w:x="9880" w:y="587"/>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2026 Proxy summary</w:t>
      </w:r>
    </w:p>
    <w:p>
      <w:pPr>
        <w:spacing w:after="0" w:line="190" w:lineRule="auto"/>
        <w:framePr w:w="6780" w:h="228" w:wrap="auto" w:vAnchor="page" w:hAnchor="page" w:x="280" w:y="1424"/>
        <w:rPr>
          <w:rFonts w:ascii="Arial" w:cs="Arial" w:eastAsia="Arial" w:hAnsi="Arial"/>
          <w:sz w:val="25"/>
          <w:szCs w:val="25"/>
          <w:b w:val="1"/>
          <w:bCs w:val="1"/>
          <w:u w:val="single" w:color="auto"/>
          <w:color w:val="0000FF"/>
        </w:rPr>
      </w:pPr>
      <w:r>
        <w:rPr>
          <w:rFonts w:ascii="Arial" w:cs="Arial" w:eastAsia="Arial" w:hAnsi="Arial"/>
          <w:sz w:val="25"/>
          <w:szCs w:val="25"/>
          <w:b w:val="1"/>
          <w:bCs w:val="1"/>
          <w:u w:val="single" w:color="auto"/>
          <w:color w:val="0000FF"/>
        </w:rPr>
        <w:t>We are committed to strong corporate governance practices</w:t>
      </w:r>
    </w:p>
    <w:p>
      <w:pPr>
        <w:spacing w:after="0" w:line="218" w:lineRule="auto"/>
        <w:framePr w:w="10940" w:h="336" w:wrap="auto" w:vAnchor="page" w:hAnchor="page" w:x="280" w:y="1870"/>
        <w:rPr>
          <w:rFonts w:ascii="Arial" w:cs="Arial" w:eastAsia="Arial" w:hAnsi="Arial"/>
          <w:sz w:val="16"/>
          <w:szCs w:val="16"/>
          <w:b w:val="1"/>
          <w:bCs w:val="1"/>
          <w:u w:val="single" w:color="auto"/>
          <w:color w:val="8F5A39"/>
        </w:rPr>
      </w:pPr>
      <w:r>
        <w:rPr>
          <w:rFonts w:ascii="Arial" w:cs="Arial" w:eastAsia="Arial" w:hAnsi="Arial"/>
          <w:sz w:val="16"/>
          <w:szCs w:val="16"/>
          <w:b w:val="1"/>
          <w:bCs w:val="1"/>
          <w:u w:val="single" w:color="auto"/>
          <w:color w:val="8F5A39"/>
        </w:rPr>
        <w:t>Board composition reflects an effective mix of executive experience and skills and a balance of experience and fresh perspectives to provide independent oversight</w:t>
      </w:r>
    </w:p>
    <w:p>
      <w:pPr>
        <w:spacing w:after="0" w:line="236" w:lineRule="auto"/>
        <w:framePr w:w="11180" w:h="363" w:wrap="auto" w:vAnchor="page" w:hAnchor="page" w:x="280" w:y="2356"/>
        <w:rPr>
          <w:rFonts w:ascii="Arial" w:cs="Arial" w:eastAsia="Arial" w:hAnsi="Arial"/>
          <w:sz w:val="16"/>
          <w:szCs w:val="16"/>
          <w:u w:val="single" w:color="auto"/>
          <w:color w:val="8F5A39"/>
        </w:rPr>
      </w:pP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Our directors have experience and demonstrated success in executive roles relevant to the Firm’s business and operations and contribute to the Board’s</w:t>
      </w: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effective oversight of management and its diversity across a range of attributes, executive experience and skills</w:t>
      </w:r>
    </w:p>
    <w:p>
      <w:pPr>
        <w:spacing w:after="0" w:line="191" w:lineRule="auto"/>
        <w:framePr w:w="6460" w:h="147" w:wrap="auto" w:vAnchor="page" w:hAnchor="page" w:x="280" w:y="2842"/>
        <w:rPr>
          <w:rFonts w:ascii="Arial" w:cs="Arial" w:eastAsia="Arial" w:hAnsi="Arial"/>
          <w:sz w:val="16"/>
          <w:szCs w:val="16"/>
          <w:b w:val="1"/>
          <w:bCs w:val="1"/>
          <w:u w:val="single" w:color="auto"/>
          <w:color w:val="8F5A39"/>
        </w:rPr>
      </w:pP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The Board has a well-balanced tenure with a mix of experience and fresh perspectives</w:t>
      </w:r>
    </w:p>
    <w:p>
      <w:pPr>
        <w:spacing w:after="0" w:line="191" w:lineRule="auto"/>
        <w:framePr w:w="7520" w:h="147" w:wrap="auto" w:vAnchor="page" w:hAnchor="page" w:x="280" w:y="3301"/>
        <w:rPr>
          <w:rFonts w:ascii="Arial" w:cs="Arial" w:eastAsia="Arial" w:hAnsi="Arial"/>
          <w:sz w:val="16"/>
          <w:szCs w:val="16"/>
          <w:b w:val="1"/>
          <w:bCs w:val="1"/>
          <w:u w:val="single" w:color="auto"/>
          <w:color w:val="8F5A39"/>
        </w:rPr>
      </w:pPr>
      <w:r>
        <w:rPr>
          <w:rFonts w:ascii="Arial" w:cs="Arial" w:eastAsia="Arial" w:hAnsi="Arial"/>
          <w:sz w:val="16"/>
          <w:szCs w:val="16"/>
          <w:b w:val="1"/>
          <w:bCs w:val="1"/>
          <w:u w:val="single" w:color="auto"/>
          <w:color w:val="8F5A39"/>
        </w:rPr>
        <w:t>A strong Lead Independent Director role facilitates independent Board oversight of management</w:t>
      </w:r>
    </w:p>
    <w:p>
      <w:pPr>
        <w:spacing w:after="0" w:line="236" w:lineRule="auto"/>
        <w:framePr w:w="11040" w:h="363" w:wrap="auto" w:vAnchor="page" w:hAnchor="page" w:x="280" w:y="3598"/>
        <w:rPr>
          <w:rFonts w:ascii="Arial" w:cs="Arial" w:eastAsia="Arial" w:hAnsi="Arial"/>
          <w:sz w:val="16"/>
          <w:szCs w:val="16"/>
          <w:u w:val="single" w:color="auto"/>
          <w:color w:val="8F5A39"/>
        </w:rPr>
      </w:pP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The Firm’s Corporate Governance Principles (“Governance Principles”) require the independent directors to appoint a Lead Independent Director if the</w:t>
      </w: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position of Chair is not held by an independent director</w:t>
      </w:r>
    </w:p>
    <w:p>
      <w:pPr>
        <w:spacing w:after="0" w:line="191" w:lineRule="auto"/>
        <w:framePr w:w="3940" w:h="147" w:wrap="auto" w:vAnchor="page" w:hAnchor="page" w:x="280" w:y="4084"/>
        <w:rPr>
          <w:rFonts w:ascii="Arial" w:cs="Arial" w:eastAsia="Arial" w:hAnsi="Arial"/>
          <w:sz w:val="16"/>
          <w:szCs w:val="16"/>
          <w:b w:val="1"/>
          <w:bCs w:val="1"/>
          <w:u w:val="single" w:color="auto"/>
          <w:color w:val="8F5A39"/>
        </w:rPr>
      </w:pP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The Board reviews its leadership structure annually</w:t>
      </w:r>
    </w:p>
    <w:p>
      <w:pPr>
        <w:spacing w:after="0" w:line="236" w:lineRule="auto"/>
        <w:framePr w:w="11220" w:h="363" w:wrap="auto" w:vAnchor="page" w:hAnchor="page" w:x="280" w:y="4354"/>
        <w:rPr>
          <w:rFonts w:ascii="Arial" w:cs="Arial" w:eastAsia="Arial" w:hAnsi="Arial"/>
          <w:sz w:val="16"/>
          <w:szCs w:val="16"/>
          <w:u w:val="single" w:color="auto"/>
          <w:color w:val="8F5A39"/>
        </w:rPr>
      </w:pP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The Lead Independent Director’s responsibilities demonstrate the Board’s commitment to empowering the Lead Independent Director to provide effective</w:t>
      </w: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independent oversight to the CEO</w:t>
      </w:r>
    </w:p>
    <w:p>
      <w:pPr>
        <w:spacing w:after="0" w:line="191" w:lineRule="auto"/>
        <w:framePr w:w="3060" w:h="147" w:wrap="auto" w:vAnchor="page" w:hAnchor="page" w:x="280" w:y="5015"/>
        <w:rPr>
          <w:rFonts w:ascii="Arial" w:cs="Arial" w:eastAsia="Arial" w:hAnsi="Arial"/>
          <w:sz w:val="16"/>
          <w:szCs w:val="16"/>
          <w:b w:val="1"/>
          <w:bCs w:val="1"/>
          <w:u w:val="single" w:color="auto"/>
          <w:color w:val="8F5A39"/>
        </w:rPr>
      </w:pPr>
      <w:r>
        <w:rPr>
          <w:rFonts w:ascii="Arial" w:cs="Arial" w:eastAsia="Arial" w:hAnsi="Arial"/>
          <w:sz w:val="16"/>
          <w:szCs w:val="16"/>
          <w:b w:val="1"/>
          <w:bCs w:val="1"/>
          <w:u w:val="single" w:color="auto"/>
          <w:color w:val="8F5A39"/>
        </w:rPr>
        <w:t>Our Board drives succession planning</w:t>
      </w:r>
    </w:p>
    <w:p>
      <w:pPr>
        <w:spacing w:after="0" w:line="191" w:lineRule="auto"/>
        <w:framePr w:w="6940" w:h="147" w:wrap="auto" w:vAnchor="page" w:hAnchor="page" w:x="280" w:y="5326"/>
        <w:rPr>
          <w:rFonts w:ascii="Arial" w:cs="Arial" w:eastAsia="Arial" w:hAnsi="Arial"/>
          <w:sz w:val="16"/>
          <w:szCs w:val="16"/>
          <w:b w:val="1"/>
          <w:bCs w:val="1"/>
          <w:u w:val="single" w:color="auto"/>
          <w:color w:val="8F5A39"/>
        </w:rPr>
      </w:pP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The Board is focused on enabling an orderly CEO transition to take place in the medium-term</w:t>
      </w:r>
    </w:p>
    <w:p>
      <w:pPr>
        <w:spacing w:after="0" w:line="227" w:lineRule="auto"/>
        <w:framePr w:w="11060" w:h="349" w:wrap="auto" w:vAnchor="page" w:hAnchor="page" w:x="280" w:y="5596"/>
        <w:rPr>
          <w:rFonts w:ascii="Arial" w:cs="Arial" w:eastAsia="Arial" w:hAnsi="Arial"/>
          <w:sz w:val="16"/>
          <w:szCs w:val="16"/>
          <w:u w:val="single" w:color="auto"/>
          <w:color w:val="8F5A39"/>
        </w:rPr>
      </w:pP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As part of succession planning, the Board continues to oversee management’s development of several Operating Committee (“OC”) members who are</w:t>
      </w: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well-known to shareholders as strong potential candidates to succeed Mr. Dimon</w:t>
      </w:r>
    </w:p>
    <w:p>
      <w:pPr>
        <w:spacing w:after="0" w:line="236" w:lineRule="auto"/>
        <w:framePr w:w="11140" w:h="363" w:wrap="auto" w:vAnchor="page" w:hAnchor="page" w:x="280" w:y="6068"/>
        <w:rPr>
          <w:rFonts w:ascii="Arial" w:cs="Arial" w:eastAsia="Arial" w:hAnsi="Arial"/>
          <w:sz w:val="16"/>
          <w:szCs w:val="16"/>
          <w:u w:val="single" w:color="auto"/>
          <w:color w:val="8F5A39"/>
        </w:rPr>
      </w:pP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Individual OC members and senior leaders have been provided with opportunities to gain exposure to different parts of the business and to deepen their</w:t>
      </w:r>
      <w:r>
        <w:rPr>
          <w:rFonts w:ascii="Arial" w:cs="Arial" w:eastAsia="Arial" w:hAnsi="Arial"/>
          <w:sz w:val="16"/>
          <w:szCs w:val="16"/>
          <w:b w:val="1"/>
          <w:bCs w:val="1"/>
          <w:u w:val="single" w:color="auto"/>
          <w:color w:val="8F5A39"/>
        </w:rPr>
        <w:t xml:space="preserve"> </w:t>
      </w:r>
      <w:r>
        <w:rPr>
          <w:rFonts w:ascii="Arial" w:cs="Arial" w:eastAsia="Arial" w:hAnsi="Arial"/>
          <w:sz w:val="16"/>
          <w:szCs w:val="16"/>
          <w:u w:val="single" w:color="auto"/>
          <w:color w:val="8F5A39"/>
        </w:rPr>
        <w:t>leadership experience in new or expanded roles</w:t>
      </w:r>
    </w:p>
    <w:p>
      <w:pPr>
        <w:spacing w:after="0" w:line="236" w:lineRule="auto"/>
        <w:rPr>
          <w:rFonts w:ascii="Arial" w:cs="Arial" w:eastAsia="Arial" w:hAnsi="Arial"/>
          <w:sz w:val="16"/>
          <w:szCs w:val="16"/>
          <w:u w:val="single" w:color="auto"/>
          <w:color w:val="8F5A39"/>
        </w:rPr>
        <w:sectPr>
          <w:pgSz w:w="11900" w:h="16838" w:orient="portrait"/>
          <w:cols w:equalWidth="1" w:num="1" w:space="0"/>
          <w:pgMar w:left="1440" w:top="1440" w:right="1440" w:bottom="875" w:gutter="0" w:footer="0" w:header="0"/>
        </w:sectPr>
      </w:pPr>
      <w:r>
        <w:rPr>
          <w:rFonts w:ascii="Arial" w:cs="Arial" w:eastAsia="Arial" w:hAnsi="Arial"/>
          <w:sz w:val="16"/>
          <w:szCs w:val="16"/>
          <w:u w:val="single" w:color="auto"/>
          <w:color w:val="8F5A39"/>
        </w:rPr>
        <w:drawing>
          <wp:anchor simplePos="0" relativeHeight="251657728" behindDoc="1" locked="0" layoutInCell="0" allowOverlap="1">
            <wp:simplePos x="0" y="0"/>
            <wp:positionH relativeFrom="page">
              <wp:posOffset>195580</wp:posOffset>
            </wp:positionH>
            <wp:positionV relativeFrom="page">
              <wp:posOffset>8528685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8147050</wp:posOffset>
            </wp:positionV>
            <wp:extent cx="651510" cy="85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2026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6940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PROPOSAL 1:</w:t>
      </w:r>
    </w:p>
    <w:p>
      <w:pPr>
        <w:sectPr>
          <w:pgSz w:w="11900" w:h="16838" w:orient="portrait"/>
          <w:cols w:equalWidth="0" w:num="1">
            <w:col w:w="11240"/>
          </w:cols>
          <w:pgMar w:left="320" w:top="157" w:right="339" w:bottom="1440" w:gutter="0" w:footer="0" w:header="0"/>
        </w:sect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28"/>
          <w:szCs w:val="28"/>
          <w:color w:val="8F5A39"/>
        </w:rPr>
        <w:t>Election of directors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page 7</w:t>
      </w:r>
    </w:p>
    <w:p>
      <w:pPr>
        <w:spacing w:after="0" w:line="252" w:lineRule="exact"/>
        <w:rPr>
          <w:sz w:val="20"/>
          <w:szCs w:val="20"/>
          <w:color w:val="auto"/>
        </w:rPr>
      </w:pPr>
    </w:p>
    <w:p>
      <w:pPr>
        <w:sectPr>
          <w:pgSz w:w="11900" w:h="16838" w:orient="portrait"/>
          <w:cols w:equalWidth="0" w:num="2">
            <w:col w:w="9800" w:space="720"/>
            <w:col w:w="720"/>
          </w:cols>
          <w:pgMar w:left="320" w:top="157" w:right="339" w:bottom="1440" w:gutter="0" w:footer="0" w:header="0"/>
          <w:type w:val="continuous"/>
        </w:sectPr>
      </w:pPr>
    </w:p>
    <w:p>
      <w:pPr>
        <w:spacing w:after="0" w:line="90" w:lineRule="exact"/>
        <w:rPr>
          <w:sz w:val="20"/>
          <w:szCs w:val="20"/>
          <w:color w:val="auto"/>
        </w:rPr>
      </w:pPr>
    </w:p>
    <w:p>
      <w:pPr>
        <w:ind w:left="240" w:right="560"/>
        <w:spacing w:after="0" w:line="286" w:lineRule="auto"/>
        <w:rPr>
          <w:sz w:val="20"/>
          <w:szCs w:val="20"/>
          <w:color w:val="auto"/>
        </w:rPr>
      </w:pPr>
      <w:r>
        <w:rPr>
          <w:rFonts w:ascii="Arial" w:cs="Arial" w:eastAsia="Arial" w:hAnsi="Arial"/>
          <w:sz w:val="16"/>
          <w:szCs w:val="16"/>
          <w:color w:val="auto"/>
        </w:rPr>
        <w:t>The Board of Directors has nominated the 11 individuals listed below. All are independent other than our CEO. If elected at the annual meeting, all nominees are expected to serve until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40" w:type="dxa"/>
            <w:vAlign w:val="bottom"/>
            <w:shd w:val="clear" w:color="auto" w:fill="F4EFE7"/>
          </w:tcPr>
          <w:p>
            <w:pPr>
              <w:ind w:left="20"/>
              <w:spacing w:after="0"/>
              <w:rPr>
                <w:sz w:val="20"/>
                <w:szCs w:val="20"/>
                <w:color w:val="auto"/>
              </w:rPr>
            </w:pPr>
            <w:r>
              <w:rPr>
                <w:rFonts w:ascii="Arial" w:cs="Arial" w:eastAsia="Arial" w:hAnsi="Arial"/>
                <w:sz w:val="14"/>
                <w:szCs w:val="14"/>
                <w:b w:val="1"/>
                <w:bCs w:val="1"/>
                <w:color w:val="8F5A39"/>
              </w:rPr>
              <w:t>Nominee/Director of</w:t>
            </w:r>
          </w:p>
        </w:tc>
        <w:tc>
          <w:tcPr>
            <w:tcW w:w="500" w:type="dxa"/>
            <w:vAlign w:val="bottom"/>
            <w:shd w:val="clear" w:color="auto" w:fill="F4EFE7"/>
          </w:tcPr>
          <w:p>
            <w:pPr>
              <w:spacing w:after="0"/>
              <w:rPr>
                <w:sz w:val="16"/>
                <w:szCs w:val="16"/>
                <w:color w:val="auto"/>
              </w:rPr>
            </w:pPr>
          </w:p>
        </w:tc>
        <w:tc>
          <w:tcPr>
            <w:tcW w:w="2660" w:type="dxa"/>
            <w:vAlign w:val="bottom"/>
            <w:shd w:val="clear" w:color="auto" w:fill="F4EFE7"/>
          </w:tcPr>
          <w:p>
            <w:pPr>
              <w:spacing w:after="0"/>
              <w:rPr>
                <w:sz w:val="16"/>
                <w:szCs w:val="16"/>
                <w:color w:val="auto"/>
              </w:rPr>
            </w:pPr>
          </w:p>
        </w:tc>
        <w:tc>
          <w:tcPr>
            <w:tcW w:w="1960" w:type="dxa"/>
            <w:vAlign w:val="bottom"/>
            <w:shd w:val="clear" w:color="auto" w:fill="F4EFE7"/>
          </w:tcPr>
          <w:p>
            <w:pPr>
              <w:jc w:val="center"/>
              <w:spacing w:after="0"/>
              <w:rPr>
                <w:sz w:val="20"/>
                <w:szCs w:val="20"/>
                <w:color w:val="auto"/>
              </w:rPr>
            </w:pPr>
            <w:r>
              <w:rPr>
                <w:rFonts w:ascii="Arial" w:cs="Arial" w:eastAsia="Arial" w:hAnsi="Arial"/>
                <w:sz w:val="14"/>
                <w:szCs w:val="14"/>
                <w:b w:val="1"/>
                <w:bCs w:val="1"/>
                <w:color w:val="8F5A39"/>
              </w:rPr>
              <w:t>Other U.S.-Listed Public</w:t>
            </w:r>
          </w:p>
        </w:tc>
        <w:tc>
          <w:tcPr>
            <w:tcW w:w="2880" w:type="dxa"/>
            <w:vAlign w:val="bottom"/>
            <w:shd w:val="clear" w:color="auto" w:fill="F4EFE7"/>
          </w:tcPr>
          <w:p>
            <w:pPr>
              <w:spacing w:after="0"/>
              <w:rPr>
                <w:sz w:val="16"/>
                <w:szCs w:val="16"/>
                <w:color w:val="auto"/>
              </w:rPr>
            </w:pPr>
          </w:p>
        </w:tc>
      </w:tr>
      <w:tr>
        <w:trPr>
          <w:trHeight w:val="214"/>
        </w:trPr>
        <w:tc>
          <w:tcPr>
            <w:tcW w:w="3240" w:type="dxa"/>
            <w:vAlign w:val="bottom"/>
            <w:shd w:val="clear" w:color="auto" w:fill="F4EFE7"/>
          </w:tcPr>
          <w:p>
            <w:pPr>
              <w:ind w:left="20"/>
              <w:spacing w:after="0"/>
              <w:rPr>
                <w:sz w:val="20"/>
                <w:szCs w:val="20"/>
                <w:color w:val="auto"/>
              </w:rPr>
            </w:pPr>
            <w:r>
              <w:rPr>
                <w:rFonts w:ascii="Arial" w:cs="Arial" w:eastAsia="Arial" w:hAnsi="Arial"/>
                <w:sz w:val="14"/>
                <w:szCs w:val="14"/>
                <w:b w:val="1"/>
                <w:bCs w:val="1"/>
                <w:color w:val="8F5A39"/>
              </w:rPr>
              <w:t>JPMorganChase since</w:t>
            </w:r>
            <w:r>
              <w:rPr>
                <w:rFonts w:ascii="Arial" w:cs="Arial" w:eastAsia="Arial" w:hAnsi="Arial"/>
                <w:sz w:val="18"/>
                <w:szCs w:val="18"/>
                <w:b w:val="1"/>
                <w:bCs w:val="1"/>
                <w:color w:val="8F5A39"/>
                <w:vertAlign w:val="superscript"/>
              </w:rPr>
              <w:t>1</w:t>
            </w:r>
          </w:p>
        </w:tc>
        <w:tc>
          <w:tcPr>
            <w:tcW w:w="500" w:type="dxa"/>
            <w:vAlign w:val="bottom"/>
            <w:shd w:val="clear" w:color="auto" w:fill="F4EFE7"/>
          </w:tcPr>
          <w:p>
            <w:pPr>
              <w:ind w:left="180"/>
              <w:spacing w:after="0"/>
              <w:rPr>
                <w:sz w:val="20"/>
                <w:szCs w:val="20"/>
                <w:color w:val="auto"/>
              </w:rPr>
            </w:pPr>
            <w:r>
              <w:rPr>
                <w:rFonts w:ascii="Arial" w:cs="Arial" w:eastAsia="Arial" w:hAnsi="Arial"/>
                <w:sz w:val="14"/>
                <w:szCs w:val="14"/>
                <w:b w:val="1"/>
                <w:bCs w:val="1"/>
                <w:color w:val="8F5A39"/>
              </w:rPr>
              <w:t>Age</w:t>
            </w:r>
          </w:p>
        </w:tc>
        <w:tc>
          <w:tcPr>
            <w:tcW w:w="2660" w:type="dxa"/>
            <w:vAlign w:val="bottom"/>
            <w:shd w:val="clear" w:color="auto" w:fill="F4EFE7"/>
          </w:tcPr>
          <w:p>
            <w:pPr>
              <w:ind w:left="40"/>
              <w:spacing w:after="0"/>
              <w:rPr>
                <w:sz w:val="20"/>
                <w:szCs w:val="20"/>
                <w:color w:val="auto"/>
              </w:rPr>
            </w:pPr>
            <w:r>
              <w:rPr>
                <w:rFonts w:ascii="Arial" w:cs="Arial" w:eastAsia="Arial" w:hAnsi="Arial"/>
                <w:sz w:val="14"/>
                <w:szCs w:val="14"/>
                <w:b w:val="1"/>
                <w:bCs w:val="1"/>
                <w:color w:val="8F5A39"/>
              </w:rPr>
              <w:t>Principal Occupation</w:t>
            </w:r>
          </w:p>
        </w:tc>
        <w:tc>
          <w:tcPr>
            <w:tcW w:w="1960" w:type="dxa"/>
            <w:vAlign w:val="bottom"/>
            <w:shd w:val="clear" w:color="auto" w:fill="F4EFE7"/>
          </w:tcPr>
          <w:p>
            <w:pPr>
              <w:jc w:val="center"/>
              <w:spacing w:after="0"/>
              <w:rPr>
                <w:sz w:val="20"/>
                <w:szCs w:val="20"/>
                <w:color w:val="auto"/>
              </w:rPr>
            </w:pPr>
            <w:r>
              <w:rPr>
                <w:rFonts w:ascii="Arial" w:cs="Arial" w:eastAsia="Arial" w:hAnsi="Arial"/>
                <w:sz w:val="14"/>
                <w:szCs w:val="14"/>
                <w:b w:val="1"/>
                <w:bCs w:val="1"/>
                <w:color w:val="8F5A39"/>
              </w:rPr>
              <w:t>Company Directorships</w:t>
            </w:r>
          </w:p>
        </w:tc>
        <w:tc>
          <w:tcPr>
            <w:tcW w:w="2880" w:type="dxa"/>
            <w:vAlign w:val="bottom"/>
            <w:shd w:val="clear" w:color="auto" w:fill="F4EFE7"/>
          </w:tcPr>
          <w:p>
            <w:pPr>
              <w:ind w:left="160"/>
              <w:spacing w:after="0"/>
              <w:rPr>
                <w:sz w:val="20"/>
                <w:szCs w:val="20"/>
                <w:color w:val="auto"/>
              </w:rPr>
            </w:pPr>
            <w:r>
              <w:rPr>
                <w:rFonts w:ascii="Arial" w:cs="Arial" w:eastAsia="Arial" w:hAnsi="Arial"/>
                <w:sz w:val="14"/>
                <w:szCs w:val="14"/>
                <w:b w:val="1"/>
                <w:bCs w:val="1"/>
                <w:color w:val="8F5A39"/>
              </w:rPr>
              <w:t>Committee Membership</w:t>
            </w:r>
            <w:r>
              <w:rPr>
                <w:rFonts w:ascii="Arial" w:cs="Arial" w:eastAsia="Arial" w:hAnsi="Arial"/>
                <w:sz w:val="9"/>
                <w:szCs w:val="9"/>
                <w:b w:val="1"/>
                <w:bCs w:val="1"/>
                <w:color w:val="8F5A39"/>
              </w:rPr>
              <w:t>2</w:t>
            </w:r>
          </w:p>
        </w:tc>
      </w:tr>
      <w:tr>
        <w:trPr>
          <w:trHeight w:val="94"/>
        </w:trPr>
        <w:tc>
          <w:tcPr>
            <w:tcW w:w="3240" w:type="dxa"/>
            <w:vAlign w:val="bottom"/>
            <w:tcBorders>
              <w:bottom w:val="single" w:sz="8" w:color="auto"/>
            </w:tcBorders>
            <w:shd w:val="clear" w:color="auto" w:fill="F4EFE7"/>
          </w:tcPr>
          <w:p>
            <w:pPr>
              <w:spacing w:after="0"/>
              <w:rPr>
                <w:sz w:val="8"/>
                <w:szCs w:val="8"/>
                <w:color w:val="auto"/>
              </w:rPr>
            </w:pPr>
          </w:p>
        </w:tc>
        <w:tc>
          <w:tcPr>
            <w:tcW w:w="500" w:type="dxa"/>
            <w:vAlign w:val="bottom"/>
            <w:tcBorders>
              <w:bottom w:val="single" w:sz="8" w:color="auto"/>
            </w:tcBorders>
            <w:shd w:val="clear" w:color="auto" w:fill="F4EFE7"/>
          </w:tcPr>
          <w:p>
            <w:pPr>
              <w:spacing w:after="0"/>
              <w:rPr>
                <w:sz w:val="8"/>
                <w:szCs w:val="8"/>
                <w:color w:val="auto"/>
              </w:rPr>
            </w:pPr>
          </w:p>
        </w:tc>
        <w:tc>
          <w:tcPr>
            <w:tcW w:w="2660" w:type="dxa"/>
            <w:vAlign w:val="bottom"/>
            <w:tcBorders>
              <w:bottom w:val="single" w:sz="8" w:color="auto"/>
            </w:tcBorders>
            <w:shd w:val="clear" w:color="auto" w:fill="F4EFE7"/>
          </w:tcPr>
          <w:p>
            <w:pPr>
              <w:spacing w:after="0"/>
              <w:rPr>
                <w:sz w:val="8"/>
                <w:szCs w:val="8"/>
                <w:color w:val="auto"/>
              </w:rPr>
            </w:pPr>
          </w:p>
        </w:tc>
        <w:tc>
          <w:tcPr>
            <w:tcW w:w="1960" w:type="dxa"/>
            <w:vAlign w:val="bottom"/>
            <w:tcBorders>
              <w:bottom w:val="single" w:sz="8" w:color="auto"/>
            </w:tcBorders>
            <w:shd w:val="clear" w:color="auto" w:fill="F4EFE7"/>
          </w:tcPr>
          <w:p>
            <w:pPr>
              <w:spacing w:after="0"/>
              <w:rPr>
                <w:sz w:val="8"/>
                <w:szCs w:val="8"/>
                <w:color w:val="auto"/>
              </w:rPr>
            </w:pPr>
          </w:p>
        </w:tc>
        <w:tc>
          <w:tcPr>
            <w:tcW w:w="2880" w:type="dxa"/>
            <w:vAlign w:val="bottom"/>
            <w:tcBorders>
              <w:bottom w:val="single" w:sz="8" w:color="auto"/>
            </w:tcBorders>
            <w:shd w:val="clear" w:color="auto" w:fill="F4EFE7"/>
          </w:tcPr>
          <w:p>
            <w:pPr>
              <w:spacing w:after="0"/>
              <w:rPr>
                <w:sz w:val="8"/>
                <w:szCs w:val="8"/>
                <w:color w:val="auto"/>
              </w:rPr>
            </w:pPr>
          </w:p>
        </w:tc>
      </w:tr>
      <w:tr>
        <w:trPr>
          <w:trHeight w:val="187"/>
        </w:trPr>
        <w:tc>
          <w:tcPr>
            <w:tcW w:w="3240" w:type="dxa"/>
            <w:vAlign w:val="bottom"/>
          </w:tcPr>
          <w:p>
            <w:pPr>
              <w:ind w:left="760"/>
              <w:spacing w:after="0"/>
              <w:rPr>
                <w:sz w:val="20"/>
                <w:szCs w:val="20"/>
                <w:color w:val="auto"/>
              </w:rPr>
            </w:pPr>
            <w:r>
              <w:rPr>
                <w:rFonts w:ascii="Arial" w:cs="Arial" w:eastAsia="Arial" w:hAnsi="Arial"/>
                <w:sz w:val="14"/>
                <w:szCs w:val="14"/>
                <w:b w:val="1"/>
                <w:bCs w:val="1"/>
                <w:color w:val="8F5A39"/>
              </w:rPr>
              <w:t>Stephen B. Burke</w:t>
            </w:r>
          </w:p>
        </w:tc>
        <w:tc>
          <w:tcPr>
            <w:tcW w:w="500" w:type="dxa"/>
            <w:vAlign w:val="bottom"/>
          </w:tcPr>
          <w:p>
            <w:pPr>
              <w:ind w:left="160"/>
              <w:spacing w:after="0"/>
              <w:rPr>
                <w:sz w:val="20"/>
                <w:szCs w:val="20"/>
                <w:color w:val="auto"/>
              </w:rPr>
            </w:pPr>
            <w:r>
              <w:rPr>
                <w:rFonts w:ascii="Arial" w:cs="Arial" w:eastAsia="Arial" w:hAnsi="Arial"/>
                <w:sz w:val="14"/>
                <w:szCs w:val="14"/>
                <w:color w:val="auto"/>
              </w:rPr>
              <w:t>67</w:t>
            </w:r>
          </w:p>
        </w:tc>
        <w:tc>
          <w:tcPr>
            <w:tcW w:w="2660" w:type="dxa"/>
            <w:vAlign w:val="bottom"/>
          </w:tcPr>
          <w:p>
            <w:pPr>
              <w:ind w:left="40"/>
              <w:spacing w:after="0"/>
              <w:rPr>
                <w:sz w:val="20"/>
                <w:szCs w:val="20"/>
                <w:color w:val="auto"/>
              </w:rPr>
            </w:pPr>
            <w:r>
              <w:rPr>
                <w:rFonts w:ascii="Arial" w:cs="Arial" w:eastAsia="Arial" w:hAnsi="Arial"/>
                <w:sz w:val="14"/>
                <w:szCs w:val="14"/>
                <w:color w:val="auto"/>
              </w:rPr>
              <w:t>Retired Chairman and Chief Executive</w:t>
            </w:r>
          </w:p>
        </w:tc>
        <w:tc>
          <w:tcPr>
            <w:tcW w:w="1960" w:type="dxa"/>
            <w:vAlign w:val="bottom"/>
          </w:tcPr>
          <w:p>
            <w:pPr>
              <w:jc w:val="center"/>
              <w:spacing w:after="0"/>
              <w:rPr>
                <w:sz w:val="20"/>
                <w:szCs w:val="20"/>
                <w:color w:val="auto"/>
              </w:rPr>
            </w:pPr>
            <w:r>
              <w:rPr>
                <w:rFonts w:ascii="Arial" w:cs="Arial" w:eastAsia="Arial" w:hAnsi="Arial"/>
                <w:sz w:val="14"/>
                <w:szCs w:val="14"/>
                <w:color w:val="auto"/>
              </w:rPr>
              <w:t>1</w:t>
            </w:r>
          </w:p>
        </w:tc>
        <w:tc>
          <w:tcPr>
            <w:tcW w:w="2880" w:type="dxa"/>
            <w:vAlign w:val="bottom"/>
          </w:tcPr>
          <w:p>
            <w:pPr>
              <w:ind w:left="160"/>
              <w:spacing w:after="0"/>
              <w:rPr>
                <w:sz w:val="20"/>
                <w:szCs w:val="20"/>
                <w:color w:val="auto"/>
              </w:rPr>
            </w:pPr>
            <w:r>
              <w:rPr>
                <w:rFonts w:ascii="Arial" w:cs="Arial" w:eastAsia="Arial" w:hAnsi="Arial"/>
                <w:sz w:val="14"/>
                <w:szCs w:val="14"/>
                <w:color w:val="auto"/>
              </w:rPr>
              <w:t>Compensation &amp; Management</w:t>
            </w:r>
          </w:p>
        </w:tc>
      </w:tr>
      <w:tr>
        <w:trPr>
          <w:trHeight w:val="175"/>
        </w:trPr>
        <w:tc>
          <w:tcPr>
            <w:tcW w:w="3240" w:type="dxa"/>
            <w:vAlign w:val="bottom"/>
          </w:tcPr>
          <w:p>
            <w:pPr>
              <w:ind w:left="760"/>
              <w:spacing w:after="0"/>
              <w:rPr>
                <w:sz w:val="20"/>
                <w:szCs w:val="20"/>
                <w:color w:val="auto"/>
              </w:rPr>
            </w:pPr>
            <w:r>
              <w:rPr>
                <w:rFonts w:ascii="Arial" w:cs="Arial" w:eastAsia="Arial" w:hAnsi="Arial"/>
                <w:sz w:val="14"/>
                <w:szCs w:val="14"/>
                <w:color w:val="auto"/>
              </w:rPr>
              <w:t>Lead Independent Director</w:t>
            </w:r>
          </w:p>
        </w:tc>
        <w:tc>
          <w:tcPr>
            <w:tcW w:w="50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Officer of NBCUniversal, LLC</w:t>
            </w:r>
          </w:p>
        </w:tc>
        <w:tc>
          <w:tcPr>
            <w:tcW w:w="1960" w:type="dxa"/>
            <w:vAlign w:val="bottom"/>
          </w:tcPr>
          <w:p>
            <w:pPr>
              <w:spacing w:after="0"/>
              <w:rPr>
                <w:sz w:val="15"/>
                <w:szCs w:val="15"/>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Development (Chair);</w:t>
            </w:r>
          </w:p>
        </w:tc>
      </w:tr>
      <w:tr>
        <w:trPr>
          <w:trHeight w:val="190"/>
        </w:trPr>
        <w:tc>
          <w:tcPr>
            <w:tcW w:w="3240" w:type="dxa"/>
            <w:vAlign w:val="bottom"/>
          </w:tcPr>
          <w:p>
            <w:pPr>
              <w:ind w:left="760"/>
              <w:spacing w:after="0"/>
              <w:rPr>
                <w:sz w:val="20"/>
                <w:szCs w:val="20"/>
                <w:color w:val="auto"/>
              </w:rPr>
            </w:pPr>
            <w:r>
              <w:rPr>
                <w:rFonts w:ascii="Arial" w:cs="Arial" w:eastAsia="Arial" w:hAnsi="Arial"/>
                <w:sz w:val="14"/>
                <w:szCs w:val="14"/>
                <w:color w:val="auto"/>
              </w:rPr>
              <w:t>Director since 2004</w:t>
            </w:r>
          </w:p>
        </w:tc>
        <w:tc>
          <w:tcPr>
            <w:tcW w:w="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Corporate Governance &amp; Nominating</w:t>
            </w:r>
          </w:p>
        </w:tc>
      </w:tr>
      <w:tr>
        <w:trPr>
          <w:trHeight w:val="48"/>
        </w:trPr>
        <w:tc>
          <w:tcPr>
            <w:tcW w:w="3240" w:type="dxa"/>
            <w:vAlign w:val="bottom"/>
            <w:tcBorders>
              <w:bottom w:val="single" w:sz="8" w:color="B3B3B3"/>
            </w:tcBorders>
          </w:tcPr>
          <w:p>
            <w:pPr>
              <w:spacing w:after="0"/>
              <w:rPr>
                <w:sz w:val="4"/>
                <w:szCs w:val="4"/>
                <w:color w:val="auto"/>
              </w:rPr>
            </w:pPr>
          </w:p>
        </w:tc>
        <w:tc>
          <w:tcPr>
            <w:tcW w:w="500" w:type="dxa"/>
            <w:vAlign w:val="bottom"/>
            <w:tcBorders>
              <w:bottom w:val="single" w:sz="8" w:color="B3B3B3"/>
            </w:tcBorders>
          </w:tcPr>
          <w:p>
            <w:pPr>
              <w:spacing w:after="0"/>
              <w:rPr>
                <w:sz w:val="4"/>
                <w:szCs w:val="4"/>
                <w:color w:val="auto"/>
              </w:rPr>
            </w:pPr>
          </w:p>
        </w:tc>
        <w:tc>
          <w:tcPr>
            <w:tcW w:w="2660" w:type="dxa"/>
            <w:vAlign w:val="bottom"/>
            <w:tcBorders>
              <w:bottom w:val="single" w:sz="8" w:color="B3B3B3"/>
            </w:tcBorders>
          </w:tcPr>
          <w:p>
            <w:pPr>
              <w:spacing w:after="0"/>
              <w:rPr>
                <w:sz w:val="4"/>
                <w:szCs w:val="4"/>
                <w:color w:val="auto"/>
              </w:rPr>
            </w:pPr>
          </w:p>
        </w:tc>
        <w:tc>
          <w:tcPr>
            <w:tcW w:w="1960" w:type="dxa"/>
            <w:vAlign w:val="bottom"/>
            <w:tcBorders>
              <w:bottom w:val="single" w:sz="8" w:color="B3B3B3"/>
            </w:tcBorders>
          </w:tcPr>
          <w:p>
            <w:pPr>
              <w:spacing w:after="0"/>
              <w:rPr>
                <w:sz w:val="4"/>
                <w:szCs w:val="4"/>
                <w:color w:val="auto"/>
              </w:rPr>
            </w:pPr>
          </w:p>
        </w:tc>
        <w:tc>
          <w:tcPr>
            <w:tcW w:w="2880" w:type="dxa"/>
            <w:vAlign w:val="bottom"/>
            <w:tcBorders>
              <w:bottom w:val="single" w:sz="8" w:color="B3B3B3"/>
            </w:tcBorders>
          </w:tcPr>
          <w:p>
            <w:pPr>
              <w:spacing w:after="0"/>
              <w:rPr>
                <w:sz w:val="4"/>
                <w:szCs w:val="4"/>
                <w:color w:val="auto"/>
              </w:rPr>
            </w:pPr>
          </w:p>
        </w:tc>
      </w:tr>
      <w:tr>
        <w:trPr>
          <w:trHeight w:val="187"/>
        </w:trPr>
        <w:tc>
          <w:tcPr>
            <w:tcW w:w="3240" w:type="dxa"/>
            <w:vAlign w:val="bottom"/>
          </w:tcPr>
          <w:p>
            <w:pPr>
              <w:ind w:left="760"/>
              <w:spacing w:after="0"/>
              <w:rPr>
                <w:sz w:val="20"/>
                <w:szCs w:val="20"/>
                <w:color w:val="auto"/>
              </w:rPr>
            </w:pPr>
            <w:r>
              <w:rPr>
                <w:rFonts w:ascii="Arial" w:cs="Arial" w:eastAsia="Arial" w:hAnsi="Arial"/>
                <w:sz w:val="14"/>
                <w:szCs w:val="14"/>
                <w:b w:val="1"/>
                <w:bCs w:val="1"/>
                <w:color w:val="8F5A39"/>
              </w:rPr>
              <w:t>Linda B. Bammann</w:t>
            </w:r>
          </w:p>
        </w:tc>
        <w:tc>
          <w:tcPr>
            <w:tcW w:w="500" w:type="dxa"/>
            <w:vAlign w:val="bottom"/>
          </w:tcPr>
          <w:p>
            <w:pPr>
              <w:ind w:left="160"/>
              <w:spacing w:after="0"/>
              <w:rPr>
                <w:sz w:val="20"/>
                <w:szCs w:val="20"/>
                <w:color w:val="auto"/>
              </w:rPr>
            </w:pPr>
            <w:r>
              <w:rPr>
                <w:rFonts w:ascii="Arial" w:cs="Arial" w:eastAsia="Arial" w:hAnsi="Arial"/>
                <w:sz w:val="14"/>
                <w:szCs w:val="14"/>
                <w:color w:val="auto"/>
              </w:rPr>
              <w:t>70</w:t>
            </w:r>
          </w:p>
        </w:tc>
        <w:tc>
          <w:tcPr>
            <w:tcW w:w="2660" w:type="dxa"/>
            <w:vAlign w:val="bottom"/>
          </w:tcPr>
          <w:p>
            <w:pPr>
              <w:ind w:left="40"/>
              <w:spacing w:after="0"/>
              <w:rPr>
                <w:sz w:val="20"/>
                <w:szCs w:val="20"/>
                <w:color w:val="auto"/>
              </w:rPr>
            </w:pPr>
            <w:r>
              <w:rPr>
                <w:rFonts w:ascii="Arial" w:cs="Arial" w:eastAsia="Arial" w:hAnsi="Arial"/>
                <w:sz w:val="14"/>
                <w:szCs w:val="14"/>
                <w:color w:val="auto"/>
              </w:rPr>
              <w:t>Retired Deputy Head of</w:t>
            </w:r>
          </w:p>
        </w:tc>
        <w:tc>
          <w:tcPr>
            <w:tcW w:w="1960" w:type="dxa"/>
            <w:vAlign w:val="bottom"/>
          </w:tcPr>
          <w:p>
            <w:pPr>
              <w:jc w:val="center"/>
              <w:spacing w:after="0"/>
              <w:rPr>
                <w:sz w:val="20"/>
                <w:szCs w:val="20"/>
                <w:color w:val="auto"/>
              </w:rPr>
            </w:pPr>
            <w:r>
              <w:rPr>
                <w:rFonts w:ascii="Arial" w:cs="Arial" w:eastAsia="Arial" w:hAnsi="Arial"/>
                <w:sz w:val="14"/>
                <w:szCs w:val="14"/>
                <w:color w:val="auto"/>
              </w:rPr>
              <w:t>0</w:t>
            </w:r>
          </w:p>
        </w:tc>
        <w:tc>
          <w:tcPr>
            <w:tcW w:w="2880" w:type="dxa"/>
            <w:vAlign w:val="bottom"/>
          </w:tcPr>
          <w:p>
            <w:pPr>
              <w:ind w:left="160"/>
              <w:spacing w:after="0"/>
              <w:rPr>
                <w:sz w:val="20"/>
                <w:szCs w:val="20"/>
                <w:color w:val="auto"/>
              </w:rPr>
            </w:pPr>
            <w:r>
              <w:rPr>
                <w:rFonts w:ascii="Arial" w:cs="Arial" w:eastAsia="Arial" w:hAnsi="Arial"/>
                <w:sz w:val="14"/>
                <w:szCs w:val="14"/>
                <w:color w:val="auto"/>
              </w:rPr>
              <w:t>Risk (Chair);</w:t>
            </w:r>
          </w:p>
        </w:tc>
      </w:tr>
      <w:tr>
        <w:trPr>
          <w:trHeight w:val="173"/>
        </w:trPr>
        <w:tc>
          <w:tcPr>
            <w:tcW w:w="3240" w:type="dxa"/>
            <w:vAlign w:val="bottom"/>
          </w:tcPr>
          <w:p>
            <w:pPr>
              <w:ind w:left="760"/>
              <w:spacing w:after="0"/>
              <w:rPr>
                <w:sz w:val="20"/>
                <w:szCs w:val="20"/>
                <w:color w:val="auto"/>
              </w:rPr>
            </w:pPr>
            <w:r>
              <w:rPr>
                <w:rFonts w:ascii="Arial" w:cs="Arial" w:eastAsia="Arial" w:hAnsi="Arial"/>
                <w:sz w:val="14"/>
                <w:szCs w:val="14"/>
                <w:color w:val="auto"/>
              </w:rPr>
              <w:t>Director since 2013</w:t>
            </w:r>
          </w:p>
        </w:tc>
        <w:tc>
          <w:tcPr>
            <w:tcW w:w="50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Risk Management of JPMorgan Chase</w:t>
            </w:r>
          </w:p>
        </w:tc>
        <w:tc>
          <w:tcPr>
            <w:tcW w:w="1960" w:type="dxa"/>
            <w:vAlign w:val="bottom"/>
          </w:tcPr>
          <w:p>
            <w:pPr>
              <w:spacing w:after="0"/>
              <w:rPr>
                <w:sz w:val="15"/>
                <w:szCs w:val="15"/>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Compensation &amp; Management</w:t>
            </w:r>
          </w:p>
        </w:tc>
      </w:tr>
      <w:tr>
        <w:trPr>
          <w:trHeight w:val="241"/>
        </w:trPr>
        <w:tc>
          <w:tcPr>
            <w:tcW w:w="324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spacing w:after="0"/>
              <w:rPr>
                <w:sz w:val="20"/>
                <w:szCs w:val="20"/>
                <w:color w:val="auto"/>
              </w:rPr>
            </w:pPr>
          </w:p>
        </w:tc>
        <w:tc>
          <w:tcPr>
            <w:tcW w:w="2660" w:type="dxa"/>
            <w:vAlign w:val="bottom"/>
            <w:tcBorders>
              <w:bottom w:val="single" w:sz="8" w:color="B3B3B3"/>
            </w:tcBorders>
          </w:tcPr>
          <w:p>
            <w:pPr>
              <w:ind w:left="40"/>
              <w:spacing w:after="0"/>
              <w:rPr>
                <w:sz w:val="20"/>
                <w:szCs w:val="20"/>
                <w:color w:val="auto"/>
              </w:rPr>
            </w:pPr>
            <w:r>
              <w:rPr>
                <w:rFonts w:ascii="Arial" w:cs="Arial" w:eastAsia="Arial" w:hAnsi="Arial"/>
                <w:sz w:val="14"/>
                <w:szCs w:val="14"/>
                <w:color w:val="auto"/>
              </w:rPr>
              <w:t>&amp; Co.</w:t>
            </w:r>
            <w:r>
              <w:rPr>
                <w:rFonts w:ascii="Arial" w:cs="Arial" w:eastAsia="Arial" w:hAnsi="Arial"/>
                <w:sz w:val="18"/>
                <w:szCs w:val="18"/>
                <w:color w:val="auto"/>
                <w:vertAlign w:val="superscript"/>
              </w:rPr>
              <w:t>3</w:t>
            </w:r>
          </w:p>
        </w:tc>
        <w:tc>
          <w:tcPr>
            <w:tcW w:w="1960" w:type="dxa"/>
            <w:vAlign w:val="bottom"/>
            <w:tcBorders>
              <w:bottom w:val="single" w:sz="8" w:color="B3B3B3"/>
            </w:tcBorders>
          </w:tcPr>
          <w:p>
            <w:pPr>
              <w:spacing w:after="0"/>
              <w:rPr>
                <w:sz w:val="20"/>
                <w:szCs w:val="20"/>
                <w:color w:val="auto"/>
              </w:rPr>
            </w:pPr>
          </w:p>
        </w:tc>
        <w:tc>
          <w:tcPr>
            <w:tcW w:w="2880" w:type="dxa"/>
            <w:vAlign w:val="bottom"/>
            <w:tcBorders>
              <w:bottom w:val="single" w:sz="8" w:color="B3B3B3"/>
            </w:tcBorders>
          </w:tcPr>
          <w:p>
            <w:pPr>
              <w:ind w:left="160"/>
              <w:spacing w:after="0"/>
              <w:rPr>
                <w:sz w:val="20"/>
                <w:szCs w:val="20"/>
                <w:color w:val="auto"/>
              </w:rPr>
            </w:pPr>
            <w:r>
              <w:rPr>
                <w:rFonts w:ascii="Arial" w:cs="Arial" w:eastAsia="Arial" w:hAnsi="Arial"/>
                <w:sz w:val="14"/>
                <w:szCs w:val="14"/>
                <w:color w:val="auto"/>
              </w:rPr>
              <w:t>Development</w:t>
            </w:r>
          </w:p>
        </w:tc>
      </w:tr>
      <w:tr>
        <w:trPr>
          <w:trHeight w:val="187"/>
        </w:trPr>
        <w:tc>
          <w:tcPr>
            <w:tcW w:w="3240" w:type="dxa"/>
            <w:vAlign w:val="bottom"/>
          </w:tcPr>
          <w:p>
            <w:pPr>
              <w:ind w:left="760"/>
              <w:spacing w:after="0"/>
              <w:rPr>
                <w:sz w:val="20"/>
                <w:szCs w:val="20"/>
                <w:color w:val="auto"/>
              </w:rPr>
            </w:pPr>
            <w:r>
              <w:rPr>
                <w:rFonts w:ascii="Arial" w:cs="Arial" w:eastAsia="Arial" w:hAnsi="Arial"/>
                <w:sz w:val="14"/>
                <w:szCs w:val="14"/>
                <w:b w:val="1"/>
                <w:bCs w:val="1"/>
                <w:color w:val="8F5A39"/>
              </w:rPr>
              <w:t>Michele G. Buck</w:t>
            </w:r>
          </w:p>
        </w:tc>
        <w:tc>
          <w:tcPr>
            <w:tcW w:w="500" w:type="dxa"/>
            <w:vAlign w:val="bottom"/>
          </w:tcPr>
          <w:p>
            <w:pPr>
              <w:ind w:left="160"/>
              <w:spacing w:after="0"/>
              <w:rPr>
                <w:sz w:val="20"/>
                <w:szCs w:val="20"/>
                <w:color w:val="auto"/>
              </w:rPr>
            </w:pPr>
            <w:r>
              <w:rPr>
                <w:rFonts w:ascii="Arial" w:cs="Arial" w:eastAsia="Arial" w:hAnsi="Arial"/>
                <w:sz w:val="14"/>
                <w:szCs w:val="14"/>
                <w:color w:val="auto"/>
              </w:rPr>
              <w:t>64</w:t>
            </w:r>
          </w:p>
        </w:tc>
        <w:tc>
          <w:tcPr>
            <w:tcW w:w="2660" w:type="dxa"/>
            <w:vAlign w:val="bottom"/>
          </w:tcPr>
          <w:p>
            <w:pPr>
              <w:ind w:left="40"/>
              <w:spacing w:after="0"/>
              <w:rPr>
                <w:sz w:val="20"/>
                <w:szCs w:val="20"/>
                <w:color w:val="auto"/>
              </w:rPr>
            </w:pPr>
            <w:r>
              <w:rPr>
                <w:rFonts w:ascii="Arial" w:cs="Arial" w:eastAsia="Arial" w:hAnsi="Arial"/>
                <w:sz w:val="14"/>
                <w:szCs w:val="14"/>
                <w:color w:val="auto"/>
              </w:rPr>
              <w:t>Retired Chairman, President and Chief</w:t>
            </w:r>
          </w:p>
        </w:tc>
        <w:tc>
          <w:tcPr>
            <w:tcW w:w="1960" w:type="dxa"/>
            <w:vAlign w:val="bottom"/>
          </w:tcPr>
          <w:p>
            <w:pPr>
              <w:jc w:val="center"/>
              <w:spacing w:after="0"/>
              <w:rPr>
                <w:sz w:val="20"/>
                <w:szCs w:val="20"/>
                <w:color w:val="auto"/>
              </w:rPr>
            </w:pPr>
            <w:r>
              <w:rPr>
                <w:rFonts w:ascii="Arial" w:cs="Arial" w:eastAsia="Arial" w:hAnsi="Arial"/>
                <w:sz w:val="14"/>
                <w:szCs w:val="14"/>
                <w:color w:val="auto"/>
              </w:rPr>
              <w:t>0</w:t>
            </w:r>
          </w:p>
        </w:tc>
        <w:tc>
          <w:tcPr>
            <w:tcW w:w="2880" w:type="dxa"/>
            <w:vAlign w:val="bottom"/>
          </w:tcPr>
          <w:p>
            <w:pPr>
              <w:ind w:left="160"/>
              <w:spacing w:after="0"/>
              <w:rPr>
                <w:sz w:val="20"/>
                <w:szCs w:val="20"/>
                <w:color w:val="auto"/>
              </w:rPr>
            </w:pPr>
            <w:r>
              <w:rPr>
                <w:rFonts w:ascii="Arial" w:cs="Arial" w:eastAsia="Arial" w:hAnsi="Arial"/>
                <w:sz w:val="14"/>
                <w:szCs w:val="14"/>
                <w:color w:val="auto"/>
              </w:rPr>
              <w:t>Audit;</w:t>
            </w:r>
          </w:p>
        </w:tc>
      </w:tr>
      <w:tr>
        <w:trPr>
          <w:trHeight w:val="176"/>
        </w:trPr>
        <w:tc>
          <w:tcPr>
            <w:tcW w:w="3240" w:type="dxa"/>
            <w:vAlign w:val="bottom"/>
          </w:tcPr>
          <w:p>
            <w:pPr>
              <w:ind w:left="760"/>
              <w:spacing w:after="0"/>
              <w:rPr>
                <w:sz w:val="20"/>
                <w:szCs w:val="20"/>
                <w:color w:val="auto"/>
              </w:rPr>
            </w:pPr>
            <w:r>
              <w:rPr>
                <w:rFonts w:ascii="Arial" w:cs="Arial" w:eastAsia="Arial" w:hAnsi="Arial"/>
                <w:sz w:val="14"/>
                <w:szCs w:val="14"/>
                <w:color w:val="auto"/>
              </w:rPr>
              <w:t>Director since 2025</w:t>
            </w:r>
          </w:p>
        </w:tc>
        <w:tc>
          <w:tcPr>
            <w:tcW w:w="50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Executive Officer of The Hershey</w:t>
            </w:r>
          </w:p>
        </w:tc>
        <w:tc>
          <w:tcPr>
            <w:tcW w:w="1960" w:type="dxa"/>
            <w:vAlign w:val="bottom"/>
          </w:tcPr>
          <w:p>
            <w:pPr>
              <w:spacing w:after="0"/>
              <w:rPr>
                <w:sz w:val="15"/>
                <w:szCs w:val="15"/>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Corporate Governance &amp; Nominating</w:t>
            </w:r>
          </w:p>
        </w:tc>
      </w:tr>
      <w:tr>
        <w:trPr>
          <w:trHeight w:val="190"/>
        </w:trPr>
        <w:tc>
          <w:tcPr>
            <w:tcW w:w="3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Company</w:t>
            </w:r>
          </w:p>
        </w:tc>
        <w:tc>
          <w:tcPr>
            <w:tcW w:w="196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48"/>
        </w:trPr>
        <w:tc>
          <w:tcPr>
            <w:tcW w:w="3240" w:type="dxa"/>
            <w:vAlign w:val="bottom"/>
            <w:tcBorders>
              <w:bottom w:val="single" w:sz="8" w:color="B3B3B3"/>
            </w:tcBorders>
          </w:tcPr>
          <w:p>
            <w:pPr>
              <w:spacing w:after="0"/>
              <w:rPr>
                <w:sz w:val="4"/>
                <w:szCs w:val="4"/>
                <w:color w:val="auto"/>
              </w:rPr>
            </w:pPr>
          </w:p>
        </w:tc>
        <w:tc>
          <w:tcPr>
            <w:tcW w:w="500" w:type="dxa"/>
            <w:vAlign w:val="bottom"/>
            <w:tcBorders>
              <w:bottom w:val="single" w:sz="8" w:color="B3B3B3"/>
            </w:tcBorders>
          </w:tcPr>
          <w:p>
            <w:pPr>
              <w:spacing w:after="0"/>
              <w:rPr>
                <w:sz w:val="4"/>
                <w:szCs w:val="4"/>
                <w:color w:val="auto"/>
              </w:rPr>
            </w:pPr>
          </w:p>
        </w:tc>
        <w:tc>
          <w:tcPr>
            <w:tcW w:w="2660" w:type="dxa"/>
            <w:vAlign w:val="bottom"/>
            <w:tcBorders>
              <w:bottom w:val="single" w:sz="8" w:color="B3B3B3"/>
            </w:tcBorders>
          </w:tcPr>
          <w:p>
            <w:pPr>
              <w:spacing w:after="0"/>
              <w:rPr>
                <w:sz w:val="4"/>
                <w:szCs w:val="4"/>
                <w:color w:val="auto"/>
              </w:rPr>
            </w:pPr>
          </w:p>
        </w:tc>
        <w:tc>
          <w:tcPr>
            <w:tcW w:w="1960" w:type="dxa"/>
            <w:vAlign w:val="bottom"/>
            <w:tcBorders>
              <w:bottom w:val="single" w:sz="8" w:color="B3B3B3"/>
            </w:tcBorders>
          </w:tcPr>
          <w:p>
            <w:pPr>
              <w:spacing w:after="0"/>
              <w:rPr>
                <w:sz w:val="4"/>
                <w:szCs w:val="4"/>
                <w:color w:val="auto"/>
              </w:rPr>
            </w:pPr>
          </w:p>
        </w:tc>
        <w:tc>
          <w:tcPr>
            <w:tcW w:w="2880" w:type="dxa"/>
            <w:vAlign w:val="bottom"/>
            <w:tcBorders>
              <w:bottom w:val="single" w:sz="8" w:color="B3B3B3"/>
            </w:tcBorders>
          </w:tcPr>
          <w:p>
            <w:pPr>
              <w:spacing w:after="0"/>
              <w:rPr>
                <w:sz w:val="4"/>
                <w:szCs w:val="4"/>
                <w:color w:val="auto"/>
              </w:rPr>
            </w:pPr>
          </w:p>
        </w:tc>
      </w:tr>
      <w:tr>
        <w:trPr>
          <w:trHeight w:val="187"/>
        </w:trPr>
        <w:tc>
          <w:tcPr>
            <w:tcW w:w="3240" w:type="dxa"/>
            <w:vAlign w:val="bottom"/>
          </w:tcPr>
          <w:p>
            <w:pPr>
              <w:ind w:left="760"/>
              <w:spacing w:after="0"/>
              <w:rPr>
                <w:sz w:val="20"/>
                <w:szCs w:val="20"/>
                <w:color w:val="auto"/>
              </w:rPr>
            </w:pPr>
            <w:r>
              <w:rPr>
                <w:rFonts w:ascii="Arial" w:cs="Arial" w:eastAsia="Arial" w:hAnsi="Arial"/>
                <w:sz w:val="14"/>
                <w:szCs w:val="14"/>
                <w:b w:val="1"/>
                <w:bCs w:val="1"/>
                <w:color w:val="8F5A39"/>
              </w:rPr>
              <w:t>Alicia Boler Davis</w:t>
            </w:r>
          </w:p>
        </w:tc>
        <w:tc>
          <w:tcPr>
            <w:tcW w:w="500" w:type="dxa"/>
            <w:vAlign w:val="bottom"/>
          </w:tcPr>
          <w:p>
            <w:pPr>
              <w:ind w:left="160"/>
              <w:spacing w:after="0"/>
              <w:rPr>
                <w:sz w:val="20"/>
                <w:szCs w:val="20"/>
                <w:color w:val="auto"/>
              </w:rPr>
            </w:pPr>
            <w:r>
              <w:rPr>
                <w:rFonts w:ascii="Arial" w:cs="Arial" w:eastAsia="Arial" w:hAnsi="Arial"/>
                <w:sz w:val="14"/>
                <w:szCs w:val="14"/>
                <w:color w:val="auto"/>
              </w:rPr>
              <w:t>57</w:t>
            </w:r>
          </w:p>
        </w:tc>
        <w:tc>
          <w:tcPr>
            <w:tcW w:w="2660" w:type="dxa"/>
            <w:vAlign w:val="bottom"/>
          </w:tcPr>
          <w:p>
            <w:pPr>
              <w:ind w:left="40"/>
              <w:spacing w:after="0"/>
              <w:rPr>
                <w:sz w:val="20"/>
                <w:szCs w:val="20"/>
                <w:color w:val="auto"/>
              </w:rPr>
            </w:pPr>
            <w:r>
              <w:rPr>
                <w:rFonts w:ascii="Arial" w:cs="Arial" w:eastAsia="Arial" w:hAnsi="Arial"/>
                <w:sz w:val="14"/>
                <w:szCs w:val="14"/>
                <w:color w:val="auto"/>
              </w:rPr>
              <w:t>President of Ford Pro,</w:t>
            </w:r>
          </w:p>
        </w:tc>
        <w:tc>
          <w:tcPr>
            <w:tcW w:w="1960" w:type="dxa"/>
            <w:vAlign w:val="bottom"/>
          </w:tcPr>
          <w:p>
            <w:pPr>
              <w:jc w:val="center"/>
              <w:spacing w:after="0"/>
              <w:rPr>
                <w:sz w:val="20"/>
                <w:szCs w:val="20"/>
                <w:color w:val="auto"/>
              </w:rPr>
            </w:pPr>
            <w:r>
              <w:rPr>
                <w:rFonts w:ascii="Arial" w:cs="Arial" w:eastAsia="Arial" w:hAnsi="Arial"/>
                <w:sz w:val="14"/>
                <w:szCs w:val="14"/>
                <w:color w:val="auto"/>
              </w:rPr>
              <w:t>0</w:t>
            </w:r>
          </w:p>
        </w:tc>
        <w:tc>
          <w:tcPr>
            <w:tcW w:w="2880" w:type="dxa"/>
            <w:vAlign w:val="bottom"/>
          </w:tcPr>
          <w:p>
            <w:pPr>
              <w:ind w:left="160"/>
              <w:spacing w:after="0"/>
              <w:rPr>
                <w:sz w:val="20"/>
                <w:szCs w:val="20"/>
                <w:color w:val="auto"/>
              </w:rPr>
            </w:pPr>
            <w:r>
              <w:rPr>
                <w:rFonts w:ascii="Arial" w:cs="Arial" w:eastAsia="Arial" w:hAnsi="Arial"/>
                <w:sz w:val="14"/>
                <w:szCs w:val="14"/>
                <w:color w:val="auto"/>
              </w:rPr>
              <w:t>Public Responsibility;</w:t>
            </w:r>
          </w:p>
        </w:tc>
      </w:tr>
      <w:tr>
        <w:trPr>
          <w:trHeight w:val="190"/>
        </w:trPr>
        <w:tc>
          <w:tcPr>
            <w:tcW w:w="3240" w:type="dxa"/>
            <w:vAlign w:val="bottom"/>
          </w:tcPr>
          <w:p>
            <w:pPr>
              <w:ind w:left="760"/>
              <w:spacing w:after="0"/>
              <w:rPr>
                <w:sz w:val="20"/>
                <w:szCs w:val="20"/>
                <w:color w:val="auto"/>
              </w:rPr>
            </w:pPr>
            <w:r>
              <w:rPr>
                <w:rFonts w:ascii="Arial" w:cs="Arial" w:eastAsia="Arial" w:hAnsi="Arial"/>
                <w:sz w:val="14"/>
                <w:szCs w:val="14"/>
                <w:color w:val="auto"/>
              </w:rPr>
              <w:t>Director since 2023</w:t>
            </w:r>
          </w:p>
        </w:tc>
        <w:tc>
          <w:tcPr>
            <w:tcW w:w="500" w:type="dxa"/>
            <w:vAlign w:val="bottom"/>
          </w:tcPr>
          <w:p>
            <w:pPr>
              <w:spacing w:after="0"/>
              <w:rPr>
                <w:sz w:val="16"/>
                <w:szCs w:val="16"/>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Ford Motor Company</w:t>
            </w:r>
          </w:p>
        </w:tc>
        <w:tc>
          <w:tcPr>
            <w:tcW w:w="196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Risk</w:t>
            </w:r>
          </w:p>
        </w:tc>
      </w:tr>
      <w:tr>
        <w:trPr>
          <w:trHeight w:val="224"/>
        </w:trPr>
        <w:tc>
          <w:tcPr>
            <w:tcW w:w="3240" w:type="dxa"/>
            <w:vAlign w:val="bottom"/>
            <w:tcBorders>
              <w:bottom w:val="single" w:sz="8" w:color="B3B3B3"/>
            </w:tcBorders>
          </w:tcPr>
          <w:p>
            <w:pPr>
              <w:spacing w:after="0"/>
              <w:rPr>
                <w:sz w:val="19"/>
                <w:szCs w:val="19"/>
                <w:color w:val="auto"/>
              </w:rPr>
            </w:pPr>
          </w:p>
        </w:tc>
        <w:tc>
          <w:tcPr>
            <w:tcW w:w="500" w:type="dxa"/>
            <w:vAlign w:val="bottom"/>
            <w:tcBorders>
              <w:bottom w:val="single" w:sz="8" w:color="B3B3B3"/>
            </w:tcBorders>
          </w:tcPr>
          <w:p>
            <w:pPr>
              <w:spacing w:after="0"/>
              <w:rPr>
                <w:sz w:val="19"/>
                <w:szCs w:val="19"/>
                <w:color w:val="auto"/>
              </w:rPr>
            </w:pPr>
          </w:p>
        </w:tc>
        <w:tc>
          <w:tcPr>
            <w:tcW w:w="2660" w:type="dxa"/>
            <w:vAlign w:val="bottom"/>
            <w:tcBorders>
              <w:bottom w:val="single" w:sz="8" w:color="B3B3B3"/>
            </w:tcBorders>
          </w:tcPr>
          <w:p>
            <w:pPr>
              <w:spacing w:after="0"/>
              <w:rPr>
                <w:sz w:val="19"/>
                <w:szCs w:val="19"/>
                <w:color w:val="auto"/>
              </w:rPr>
            </w:pPr>
          </w:p>
        </w:tc>
        <w:tc>
          <w:tcPr>
            <w:tcW w:w="1960" w:type="dxa"/>
            <w:vAlign w:val="bottom"/>
            <w:tcBorders>
              <w:bottom w:val="single" w:sz="8" w:color="B3B3B3"/>
            </w:tcBorders>
          </w:tcPr>
          <w:p>
            <w:pPr>
              <w:spacing w:after="0"/>
              <w:rPr>
                <w:sz w:val="19"/>
                <w:szCs w:val="19"/>
                <w:color w:val="auto"/>
              </w:rPr>
            </w:pPr>
          </w:p>
        </w:tc>
        <w:tc>
          <w:tcPr>
            <w:tcW w:w="2880" w:type="dxa"/>
            <w:vAlign w:val="bottom"/>
            <w:tcBorders>
              <w:bottom w:val="single" w:sz="8" w:color="B3B3B3"/>
            </w:tcBorders>
          </w:tcPr>
          <w:p>
            <w:pPr>
              <w:spacing w:after="0"/>
              <w:rPr>
                <w:sz w:val="19"/>
                <w:szCs w:val="19"/>
                <w:color w:val="auto"/>
              </w:rPr>
            </w:pPr>
          </w:p>
        </w:tc>
      </w:tr>
      <w:tr>
        <w:trPr>
          <w:trHeight w:val="187"/>
        </w:trPr>
        <w:tc>
          <w:tcPr>
            <w:tcW w:w="3240" w:type="dxa"/>
            <w:vAlign w:val="bottom"/>
          </w:tcPr>
          <w:p>
            <w:pPr>
              <w:ind w:left="760"/>
              <w:spacing w:after="0"/>
              <w:rPr>
                <w:sz w:val="20"/>
                <w:szCs w:val="20"/>
                <w:color w:val="auto"/>
              </w:rPr>
            </w:pPr>
            <w:r>
              <w:rPr>
                <w:rFonts w:ascii="Arial" w:cs="Arial" w:eastAsia="Arial" w:hAnsi="Arial"/>
                <w:sz w:val="14"/>
                <w:szCs w:val="14"/>
                <w:b w:val="1"/>
                <w:bCs w:val="1"/>
                <w:color w:val="8F5A39"/>
              </w:rPr>
              <w:t>James Dimon</w:t>
            </w:r>
          </w:p>
        </w:tc>
        <w:tc>
          <w:tcPr>
            <w:tcW w:w="500" w:type="dxa"/>
            <w:vAlign w:val="bottom"/>
          </w:tcPr>
          <w:p>
            <w:pPr>
              <w:ind w:left="160"/>
              <w:spacing w:after="0"/>
              <w:rPr>
                <w:sz w:val="20"/>
                <w:szCs w:val="20"/>
                <w:color w:val="auto"/>
              </w:rPr>
            </w:pPr>
            <w:r>
              <w:rPr>
                <w:rFonts w:ascii="Arial" w:cs="Arial" w:eastAsia="Arial" w:hAnsi="Arial"/>
                <w:sz w:val="14"/>
                <w:szCs w:val="14"/>
                <w:color w:val="auto"/>
              </w:rPr>
              <w:t>70</w:t>
            </w:r>
          </w:p>
        </w:tc>
        <w:tc>
          <w:tcPr>
            <w:tcW w:w="2660" w:type="dxa"/>
            <w:vAlign w:val="bottom"/>
          </w:tcPr>
          <w:p>
            <w:pPr>
              <w:ind w:left="40"/>
              <w:spacing w:after="0"/>
              <w:rPr>
                <w:sz w:val="20"/>
                <w:szCs w:val="20"/>
                <w:color w:val="auto"/>
              </w:rPr>
            </w:pPr>
            <w:r>
              <w:rPr>
                <w:rFonts w:ascii="Arial" w:cs="Arial" w:eastAsia="Arial" w:hAnsi="Arial"/>
                <w:sz w:val="14"/>
                <w:szCs w:val="14"/>
                <w:color w:val="auto"/>
              </w:rPr>
              <w:t>Chairman and Chief Executive Officer</w:t>
            </w:r>
          </w:p>
        </w:tc>
        <w:tc>
          <w:tcPr>
            <w:tcW w:w="1960" w:type="dxa"/>
            <w:vAlign w:val="bottom"/>
          </w:tcPr>
          <w:p>
            <w:pPr>
              <w:jc w:val="center"/>
              <w:spacing w:after="0"/>
              <w:rPr>
                <w:sz w:val="20"/>
                <w:szCs w:val="20"/>
                <w:color w:val="auto"/>
              </w:rPr>
            </w:pPr>
            <w:r>
              <w:rPr>
                <w:rFonts w:ascii="Arial" w:cs="Arial" w:eastAsia="Arial" w:hAnsi="Arial"/>
                <w:sz w:val="14"/>
                <w:szCs w:val="14"/>
                <w:color w:val="auto"/>
              </w:rPr>
              <w:t>0</w:t>
            </w:r>
          </w:p>
        </w:tc>
        <w:tc>
          <w:tcPr>
            <w:tcW w:w="2880" w:type="dxa"/>
            <w:vAlign w:val="bottom"/>
          </w:tcPr>
          <w:p>
            <w:pPr>
              <w:spacing w:after="0"/>
              <w:rPr>
                <w:sz w:val="16"/>
                <w:szCs w:val="16"/>
                <w:color w:val="auto"/>
              </w:rPr>
            </w:pPr>
          </w:p>
        </w:tc>
      </w:tr>
      <w:tr>
        <w:trPr>
          <w:trHeight w:val="190"/>
        </w:trPr>
        <w:tc>
          <w:tcPr>
            <w:tcW w:w="3240" w:type="dxa"/>
            <w:vAlign w:val="bottom"/>
          </w:tcPr>
          <w:p>
            <w:pPr>
              <w:ind w:left="760"/>
              <w:spacing w:after="0"/>
              <w:rPr>
                <w:sz w:val="20"/>
                <w:szCs w:val="20"/>
                <w:color w:val="auto"/>
              </w:rPr>
            </w:pPr>
            <w:r>
              <w:rPr>
                <w:rFonts w:ascii="Arial" w:cs="Arial" w:eastAsia="Arial" w:hAnsi="Arial"/>
                <w:sz w:val="14"/>
                <w:szCs w:val="14"/>
                <w:color w:val="auto"/>
              </w:rPr>
              <w:t>Director since 2004</w:t>
            </w:r>
          </w:p>
        </w:tc>
        <w:tc>
          <w:tcPr>
            <w:tcW w:w="500" w:type="dxa"/>
            <w:vAlign w:val="bottom"/>
          </w:tcPr>
          <w:p>
            <w:pPr>
              <w:spacing w:after="0"/>
              <w:rPr>
                <w:sz w:val="16"/>
                <w:szCs w:val="16"/>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of JPMorgan Chase &amp; Co.</w:t>
            </w:r>
          </w:p>
        </w:tc>
        <w:tc>
          <w:tcPr>
            <w:tcW w:w="196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24"/>
        </w:trPr>
        <w:tc>
          <w:tcPr>
            <w:tcW w:w="3240" w:type="dxa"/>
            <w:vAlign w:val="bottom"/>
            <w:tcBorders>
              <w:bottom w:val="single" w:sz="8" w:color="B3B3B3"/>
            </w:tcBorders>
          </w:tcPr>
          <w:p>
            <w:pPr>
              <w:spacing w:after="0"/>
              <w:rPr>
                <w:sz w:val="19"/>
                <w:szCs w:val="19"/>
                <w:color w:val="auto"/>
              </w:rPr>
            </w:pPr>
          </w:p>
        </w:tc>
        <w:tc>
          <w:tcPr>
            <w:tcW w:w="500" w:type="dxa"/>
            <w:vAlign w:val="bottom"/>
            <w:tcBorders>
              <w:bottom w:val="single" w:sz="8" w:color="B3B3B3"/>
            </w:tcBorders>
          </w:tcPr>
          <w:p>
            <w:pPr>
              <w:spacing w:after="0"/>
              <w:rPr>
                <w:sz w:val="19"/>
                <w:szCs w:val="19"/>
                <w:color w:val="auto"/>
              </w:rPr>
            </w:pPr>
          </w:p>
        </w:tc>
        <w:tc>
          <w:tcPr>
            <w:tcW w:w="2660" w:type="dxa"/>
            <w:vAlign w:val="bottom"/>
            <w:tcBorders>
              <w:bottom w:val="single" w:sz="8" w:color="B3B3B3"/>
            </w:tcBorders>
          </w:tcPr>
          <w:p>
            <w:pPr>
              <w:spacing w:after="0"/>
              <w:rPr>
                <w:sz w:val="19"/>
                <w:szCs w:val="19"/>
                <w:color w:val="auto"/>
              </w:rPr>
            </w:pPr>
          </w:p>
        </w:tc>
        <w:tc>
          <w:tcPr>
            <w:tcW w:w="1960" w:type="dxa"/>
            <w:vAlign w:val="bottom"/>
            <w:tcBorders>
              <w:bottom w:val="single" w:sz="8" w:color="B3B3B3"/>
            </w:tcBorders>
          </w:tcPr>
          <w:p>
            <w:pPr>
              <w:spacing w:after="0"/>
              <w:rPr>
                <w:sz w:val="19"/>
                <w:szCs w:val="19"/>
                <w:color w:val="auto"/>
              </w:rPr>
            </w:pPr>
          </w:p>
        </w:tc>
        <w:tc>
          <w:tcPr>
            <w:tcW w:w="2880" w:type="dxa"/>
            <w:vAlign w:val="bottom"/>
            <w:tcBorders>
              <w:bottom w:val="single" w:sz="8" w:color="B3B3B3"/>
            </w:tcBorders>
          </w:tcPr>
          <w:p>
            <w:pPr>
              <w:spacing w:after="0"/>
              <w:rPr>
                <w:sz w:val="19"/>
                <w:szCs w:val="19"/>
                <w:color w:val="auto"/>
              </w:rPr>
            </w:pPr>
          </w:p>
        </w:tc>
      </w:tr>
      <w:tr>
        <w:trPr>
          <w:trHeight w:val="187"/>
        </w:trPr>
        <w:tc>
          <w:tcPr>
            <w:tcW w:w="3240" w:type="dxa"/>
            <w:vAlign w:val="bottom"/>
          </w:tcPr>
          <w:p>
            <w:pPr>
              <w:ind w:left="760"/>
              <w:spacing w:after="0"/>
              <w:rPr>
                <w:sz w:val="20"/>
                <w:szCs w:val="20"/>
                <w:color w:val="auto"/>
              </w:rPr>
            </w:pPr>
            <w:r>
              <w:rPr>
                <w:rFonts w:ascii="Arial" w:cs="Arial" w:eastAsia="Arial" w:hAnsi="Arial"/>
                <w:sz w:val="14"/>
                <w:szCs w:val="14"/>
                <w:b w:val="1"/>
                <w:bCs w:val="1"/>
                <w:color w:val="8F5A39"/>
              </w:rPr>
              <w:t>Alex Gorsky</w:t>
            </w:r>
          </w:p>
        </w:tc>
        <w:tc>
          <w:tcPr>
            <w:tcW w:w="500" w:type="dxa"/>
            <w:vAlign w:val="bottom"/>
          </w:tcPr>
          <w:p>
            <w:pPr>
              <w:ind w:left="160"/>
              <w:spacing w:after="0"/>
              <w:rPr>
                <w:sz w:val="20"/>
                <w:szCs w:val="20"/>
                <w:color w:val="auto"/>
              </w:rPr>
            </w:pPr>
            <w:r>
              <w:rPr>
                <w:rFonts w:ascii="Arial" w:cs="Arial" w:eastAsia="Arial" w:hAnsi="Arial"/>
                <w:sz w:val="14"/>
                <w:szCs w:val="14"/>
                <w:color w:val="auto"/>
              </w:rPr>
              <w:t>65</w:t>
            </w:r>
          </w:p>
        </w:tc>
        <w:tc>
          <w:tcPr>
            <w:tcW w:w="2660" w:type="dxa"/>
            <w:vAlign w:val="bottom"/>
          </w:tcPr>
          <w:p>
            <w:pPr>
              <w:ind w:left="40"/>
              <w:spacing w:after="0"/>
              <w:rPr>
                <w:sz w:val="20"/>
                <w:szCs w:val="20"/>
                <w:color w:val="auto"/>
              </w:rPr>
            </w:pPr>
            <w:r>
              <w:rPr>
                <w:rFonts w:ascii="Arial" w:cs="Arial" w:eastAsia="Arial" w:hAnsi="Arial"/>
                <w:sz w:val="14"/>
                <w:szCs w:val="14"/>
                <w:color w:val="auto"/>
              </w:rPr>
              <w:t>Retired Chairman and Chief Executive</w:t>
            </w:r>
          </w:p>
        </w:tc>
        <w:tc>
          <w:tcPr>
            <w:tcW w:w="1960" w:type="dxa"/>
            <w:vAlign w:val="bottom"/>
          </w:tcPr>
          <w:p>
            <w:pPr>
              <w:jc w:val="center"/>
              <w:spacing w:after="0"/>
              <w:rPr>
                <w:sz w:val="20"/>
                <w:szCs w:val="20"/>
                <w:color w:val="auto"/>
              </w:rPr>
            </w:pPr>
            <w:r>
              <w:rPr>
                <w:rFonts w:ascii="Arial" w:cs="Arial" w:eastAsia="Arial" w:hAnsi="Arial"/>
                <w:sz w:val="14"/>
                <w:szCs w:val="14"/>
                <w:color w:val="auto"/>
              </w:rPr>
              <w:t>2</w:t>
            </w:r>
          </w:p>
        </w:tc>
        <w:tc>
          <w:tcPr>
            <w:tcW w:w="2880" w:type="dxa"/>
            <w:vAlign w:val="bottom"/>
          </w:tcPr>
          <w:p>
            <w:pPr>
              <w:ind w:left="160"/>
              <w:spacing w:after="0"/>
              <w:rPr>
                <w:sz w:val="20"/>
                <w:szCs w:val="20"/>
                <w:color w:val="auto"/>
              </w:rPr>
            </w:pPr>
            <w:r>
              <w:rPr>
                <w:rFonts w:ascii="Arial" w:cs="Arial" w:eastAsia="Arial" w:hAnsi="Arial"/>
                <w:sz w:val="14"/>
                <w:szCs w:val="14"/>
                <w:color w:val="auto"/>
              </w:rPr>
              <w:t>Audit;</w:t>
            </w:r>
          </w:p>
        </w:tc>
      </w:tr>
      <w:tr>
        <w:trPr>
          <w:trHeight w:val="190"/>
        </w:trPr>
        <w:tc>
          <w:tcPr>
            <w:tcW w:w="3240" w:type="dxa"/>
            <w:vAlign w:val="bottom"/>
          </w:tcPr>
          <w:p>
            <w:pPr>
              <w:ind w:left="760"/>
              <w:spacing w:after="0"/>
              <w:rPr>
                <w:sz w:val="20"/>
                <w:szCs w:val="20"/>
                <w:color w:val="auto"/>
              </w:rPr>
            </w:pPr>
            <w:r>
              <w:rPr>
                <w:rFonts w:ascii="Arial" w:cs="Arial" w:eastAsia="Arial" w:hAnsi="Arial"/>
                <w:sz w:val="14"/>
                <w:szCs w:val="14"/>
                <w:color w:val="auto"/>
              </w:rPr>
              <w:t>Director since 2022</w:t>
            </w:r>
          </w:p>
        </w:tc>
        <w:tc>
          <w:tcPr>
            <w:tcW w:w="500" w:type="dxa"/>
            <w:vAlign w:val="bottom"/>
          </w:tcPr>
          <w:p>
            <w:pPr>
              <w:spacing w:after="0"/>
              <w:rPr>
                <w:sz w:val="16"/>
                <w:szCs w:val="16"/>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Officer of Johnson &amp; Johnson</w:t>
            </w:r>
          </w:p>
        </w:tc>
        <w:tc>
          <w:tcPr>
            <w:tcW w:w="196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Corporate Governance &amp; Nominating</w:t>
            </w:r>
          </w:p>
        </w:tc>
      </w:tr>
      <w:tr>
        <w:trPr>
          <w:trHeight w:val="224"/>
        </w:trPr>
        <w:tc>
          <w:tcPr>
            <w:tcW w:w="3240" w:type="dxa"/>
            <w:vAlign w:val="bottom"/>
            <w:tcBorders>
              <w:bottom w:val="single" w:sz="8" w:color="B3B3B3"/>
            </w:tcBorders>
          </w:tcPr>
          <w:p>
            <w:pPr>
              <w:spacing w:after="0"/>
              <w:rPr>
                <w:sz w:val="19"/>
                <w:szCs w:val="19"/>
                <w:color w:val="auto"/>
              </w:rPr>
            </w:pPr>
          </w:p>
        </w:tc>
        <w:tc>
          <w:tcPr>
            <w:tcW w:w="500" w:type="dxa"/>
            <w:vAlign w:val="bottom"/>
            <w:tcBorders>
              <w:bottom w:val="single" w:sz="8" w:color="B3B3B3"/>
            </w:tcBorders>
          </w:tcPr>
          <w:p>
            <w:pPr>
              <w:spacing w:after="0"/>
              <w:rPr>
                <w:sz w:val="19"/>
                <w:szCs w:val="19"/>
                <w:color w:val="auto"/>
              </w:rPr>
            </w:pPr>
          </w:p>
        </w:tc>
        <w:tc>
          <w:tcPr>
            <w:tcW w:w="2660" w:type="dxa"/>
            <w:vAlign w:val="bottom"/>
            <w:tcBorders>
              <w:bottom w:val="single" w:sz="8" w:color="B3B3B3"/>
            </w:tcBorders>
          </w:tcPr>
          <w:p>
            <w:pPr>
              <w:spacing w:after="0"/>
              <w:rPr>
                <w:sz w:val="19"/>
                <w:szCs w:val="19"/>
                <w:color w:val="auto"/>
              </w:rPr>
            </w:pPr>
          </w:p>
        </w:tc>
        <w:tc>
          <w:tcPr>
            <w:tcW w:w="1960" w:type="dxa"/>
            <w:vAlign w:val="bottom"/>
            <w:tcBorders>
              <w:bottom w:val="single" w:sz="8" w:color="B3B3B3"/>
            </w:tcBorders>
          </w:tcPr>
          <w:p>
            <w:pPr>
              <w:spacing w:after="0"/>
              <w:rPr>
                <w:sz w:val="19"/>
                <w:szCs w:val="19"/>
                <w:color w:val="auto"/>
              </w:rPr>
            </w:pPr>
          </w:p>
        </w:tc>
        <w:tc>
          <w:tcPr>
            <w:tcW w:w="2880" w:type="dxa"/>
            <w:vAlign w:val="bottom"/>
            <w:tcBorders>
              <w:bottom w:val="single" w:sz="8" w:color="B3B3B3"/>
            </w:tcBorders>
          </w:tcPr>
          <w:p>
            <w:pPr>
              <w:spacing w:after="0"/>
              <w:rPr>
                <w:sz w:val="19"/>
                <w:szCs w:val="19"/>
                <w:color w:val="auto"/>
              </w:rPr>
            </w:pPr>
          </w:p>
        </w:tc>
      </w:tr>
      <w:tr>
        <w:trPr>
          <w:trHeight w:val="187"/>
        </w:trPr>
        <w:tc>
          <w:tcPr>
            <w:tcW w:w="3240" w:type="dxa"/>
            <w:vAlign w:val="bottom"/>
          </w:tcPr>
          <w:p>
            <w:pPr>
              <w:ind w:left="760"/>
              <w:spacing w:after="0"/>
              <w:rPr>
                <w:sz w:val="20"/>
                <w:szCs w:val="20"/>
                <w:color w:val="auto"/>
              </w:rPr>
            </w:pPr>
            <w:r>
              <w:rPr>
                <w:rFonts w:ascii="Arial" w:cs="Arial" w:eastAsia="Arial" w:hAnsi="Arial"/>
                <w:sz w:val="14"/>
                <w:szCs w:val="14"/>
                <w:b w:val="1"/>
                <w:bCs w:val="1"/>
                <w:color w:val="8F5A39"/>
              </w:rPr>
              <w:t>Mellody Hobson</w:t>
            </w:r>
          </w:p>
        </w:tc>
        <w:tc>
          <w:tcPr>
            <w:tcW w:w="500" w:type="dxa"/>
            <w:vAlign w:val="bottom"/>
          </w:tcPr>
          <w:p>
            <w:pPr>
              <w:ind w:left="160"/>
              <w:spacing w:after="0"/>
              <w:rPr>
                <w:sz w:val="20"/>
                <w:szCs w:val="20"/>
                <w:color w:val="auto"/>
              </w:rPr>
            </w:pPr>
            <w:r>
              <w:rPr>
                <w:rFonts w:ascii="Arial" w:cs="Arial" w:eastAsia="Arial" w:hAnsi="Arial"/>
                <w:sz w:val="14"/>
                <w:szCs w:val="14"/>
                <w:color w:val="auto"/>
              </w:rPr>
              <w:t>57</w:t>
            </w:r>
          </w:p>
        </w:tc>
        <w:tc>
          <w:tcPr>
            <w:tcW w:w="2660" w:type="dxa"/>
            <w:vAlign w:val="bottom"/>
          </w:tcPr>
          <w:p>
            <w:pPr>
              <w:ind w:left="40"/>
              <w:spacing w:after="0"/>
              <w:rPr>
                <w:sz w:val="20"/>
                <w:szCs w:val="20"/>
                <w:color w:val="auto"/>
              </w:rPr>
            </w:pPr>
            <w:r>
              <w:rPr>
                <w:rFonts w:ascii="Arial" w:cs="Arial" w:eastAsia="Arial" w:hAnsi="Arial"/>
                <w:sz w:val="14"/>
                <w:szCs w:val="14"/>
                <w:color w:val="auto"/>
              </w:rPr>
              <w:t>Co-Chief Executive Officer and</w:t>
            </w:r>
          </w:p>
        </w:tc>
        <w:tc>
          <w:tcPr>
            <w:tcW w:w="1960" w:type="dxa"/>
            <w:vAlign w:val="bottom"/>
          </w:tcPr>
          <w:p>
            <w:pPr>
              <w:jc w:val="center"/>
              <w:spacing w:after="0"/>
              <w:rPr>
                <w:sz w:val="20"/>
                <w:szCs w:val="20"/>
                <w:color w:val="auto"/>
              </w:rPr>
            </w:pPr>
            <w:r>
              <w:rPr>
                <w:rFonts w:ascii="Arial" w:cs="Arial" w:eastAsia="Arial" w:hAnsi="Arial"/>
                <w:sz w:val="14"/>
                <w:szCs w:val="14"/>
                <w:color w:val="auto"/>
              </w:rPr>
              <w:t>0</w:t>
            </w:r>
          </w:p>
        </w:tc>
        <w:tc>
          <w:tcPr>
            <w:tcW w:w="2880" w:type="dxa"/>
            <w:vAlign w:val="bottom"/>
          </w:tcPr>
          <w:p>
            <w:pPr>
              <w:ind w:left="160"/>
              <w:spacing w:after="0"/>
              <w:rPr>
                <w:sz w:val="20"/>
                <w:szCs w:val="20"/>
                <w:color w:val="auto"/>
              </w:rPr>
            </w:pPr>
            <w:r>
              <w:rPr>
                <w:rFonts w:ascii="Arial" w:cs="Arial" w:eastAsia="Arial" w:hAnsi="Arial"/>
                <w:sz w:val="14"/>
                <w:szCs w:val="14"/>
                <w:color w:val="auto"/>
              </w:rPr>
              <w:t>Public Responsibility</w:t>
            </w:r>
          </w:p>
        </w:tc>
      </w:tr>
      <w:tr>
        <w:trPr>
          <w:trHeight w:val="176"/>
        </w:trPr>
        <w:tc>
          <w:tcPr>
            <w:tcW w:w="3240" w:type="dxa"/>
            <w:vAlign w:val="bottom"/>
          </w:tcPr>
          <w:p>
            <w:pPr>
              <w:ind w:left="760"/>
              <w:spacing w:after="0"/>
              <w:rPr>
                <w:sz w:val="20"/>
                <w:szCs w:val="20"/>
                <w:color w:val="auto"/>
              </w:rPr>
            </w:pPr>
            <w:r>
              <w:rPr>
                <w:rFonts w:ascii="Arial" w:cs="Arial" w:eastAsia="Arial" w:hAnsi="Arial"/>
                <w:sz w:val="14"/>
                <w:szCs w:val="14"/>
                <w:color w:val="auto"/>
              </w:rPr>
              <w:t>Director since 2018</w:t>
            </w:r>
          </w:p>
        </w:tc>
        <w:tc>
          <w:tcPr>
            <w:tcW w:w="50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President of Ariel Investments, LLC</w:t>
            </w:r>
          </w:p>
        </w:tc>
        <w:tc>
          <w:tcPr>
            <w:tcW w:w="1960" w:type="dxa"/>
            <w:vAlign w:val="bottom"/>
          </w:tcPr>
          <w:p>
            <w:pPr>
              <w:spacing w:after="0"/>
              <w:rPr>
                <w:sz w:val="15"/>
                <w:szCs w:val="15"/>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(Chair);</w:t>
            </w:r>
          </w:p>
        </w:tc>
      </w:tr>
      <w:tr>
        <w:trPr>
          <w:trHeight w:val="190"/>
        </w:trPr>
        <w:tc>
          <w:tcPr>
            <w:tcW w:w="3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Risk</w:t>
            </w:r>
          </w:p>
        </w:tc>
      </w:tr>
      <w:tr>
        <w:trPr>
          <w:trHeight w:val="49"/>
        </w:trPr>
        <w:tc>
          <w:tcPr>
            <w:tcW w:w="3240" w:type="dxa"/>
            <w:vAlign w:val="bottom"/>
            <w:tcBorders>
              <w:bottom w:val="single" w:sz="8" w:color="B3B3B3"/>
            </w:tcBorders>
          </w:tcPr>
          <w:p>
            <w:pPr>
              <w:spacing w:after="0"/>
              <w:rPr>
                <w:sz w:val="4"/>
                <w:szCs w:val="4"/>
                <w:color w:val="auto"/>
              </w:rPr>
            </w:pPr>
          </w:p>
        </w:tc>
        <w:tc>
          <w:tcPr>
            <w:tcW w:w="500" w:type="dxa"/>
            <w:vAlign w:val="bottom"/>
            <w:tcBorders>
              <w:bottom w:val="single" w:sz="8" w:color="B3B3B3"/>
            </w:tcBorders>
          </w:tcPr>
          <w:p>
            <w:pPr>
              <w:spacing w:after="0"/>
              <w:rPr>
                <w:sz w:val="4"/>
                <w:szCs w:val="4"/>
                <w:color w:val="auto"/>
              </w:rPr>
            </w:pPr>
          </w:p>
        </w:tc>
        <w:tc>
          <w:tcPr>
            <w:tcW w:w="2660" w:type="dxa"/>
            <w:vAlign w:val="bottom"/>
            <w:tcBorders>
              <w:bottom w:val="single" w:sz="8" w:color="B3B3B3"/>
            </w:tcBorders>
          </w:tcPr>
          <w:p>
            <w:pPr>
              <w:spacing w:after="0"/>
              <w:rPr>
                <w:sz w:val="4"/>
                <w:szCs w:val="4"/>
                <w:color w:val="auto"/>
              </w:rPr>
            </w:pPr>
          </w:p>
        </w:tc>
        <w:tc>
          <w:tcPr>
            <w:tcW w:w="1960" w:type="dxa"/>
            <w:vAlign w:val="bottom"/>
            <w:tcBorders>
              <w:bottom w:val="single" w:sz="8" w:color="B3B3B3"/>
            </w:tcBorders>
          </w:tcPr>
          <w:p>
            <w:pPr>
              <w:spacing w:after="0"/>
              <w:rPr>
                <w:sz w:val="4"/>
                <w:szCs w:val="4"/>
                <w:color w:val="auto"/>
              </w:rPr>
            </w:pPr>
          </w:p>
        </w:tc>
        <w:tc>
          <w:tcPr>
            <w:tcW w:w="2880" w:type="dxa"/>
            <w:vAlign w:val="bottom"/>
            <w:tcBorders>
              <w:bottom w:val="single" w:sz="8" w:color="B3B3B3"/>
            </w:tcBorders>
          </w:tcPr>
          <w:p>
            <w:pPr>
              <w:spacing w:after="0"/>
              <w:rPr>
                <w:sz w:val="4"/>
                <w:szCs w:val="4"/>
                <w:color w:val="auto"/>
              </w:rPr>
            </w:pPr>
          </w:p>
        </w:tc>
      </w:tr>
      <w:tr>
        <w:trPr>
          <w:trHeight w:val="187"/>
        </w:trPr>
        <w:tc>
          <w:tcPr>
            <w:tcW w:w="3240" w:type="dxa"/>
            <w:vAlign w:val="bottom"/>
          </w:tcPr>
          <w:p>
            <w:pPr>
              <w:ind w:left="760"/>
              <w:spacing w:after="0"/>
              <w:rPr>
                <w:sz w:val="20"/>
                <w:szCs w:val="20"/>
                <w:color w:val="auto"/>
              </w:rPr>
            </w:pPr>
            <w:r>
              <w:rPr>
                <w:rFonts w:ascii="Arial" w:cs="Arial" w:eastAsia="Arial" w:hAnsi="Arial"/>
                <w:sz w:val="14"/>
                <w:szCs w:val="14"/>
                <w:b w:val="1"/>
                <w:bCs w:val="1"/>
                <w:color w:val="8F5A39"/>
              </w:rPr>
              <w:t>Phebe N. Novakovic</w:t>
            </w:r>
          </w:p>
        </w:tc>
        <w:tc>
          <w:tcPr>
            <w:tcW w:w="500" w:type="dxa"/>
            <w:vAlign w:val="bottom"/>
          </w:tcPr>
          <w:p>
            <w:pPr>
              <w:ind w:left="160"/>
              <w:spacing w:after="0"/>
              <w:rPr>
                <w:sz w:val="20"/>
                <w:szCs w:val="20"/>
                <w:color w:val="auto"/>
              </w:rPr>
            </w:pPr>
            <w:r>
              <w:rPr>
                <w:rFonts w:ascii="Arial" w:cs="Arial" w:eastAsia="Arial" w:hAnsi="Arial"/>
                <w:sz w:val="14"/>
                <w:szCs w:val="14"/>
                <w:color w:val="auto"/>
              </w:rPr>
              <w:t>68</w:t>
            </w:r>
          </w:p>
        </w:tc>
        <w:tc>
          <w:tcPr>
            <w:tcW w:w="2660" w:type="dxa"/>
            <w:vAlign w:val="bottom"/>
          </w:tcPr>
          <w:p>
            <w:pPr>
              <w:ind w:left="40"/>
              <w:spacing w:after="0"/>
              <w:rPr>
                <w:sz w:val="20"/>
                <w:szCs w:val="20"/>
                <w:color w:val="auto"/>
              </w:rPr>
            </w:pPr>
            <w:r>
              <w:rPr>
                <w:rFonts w:ascii="Arial" w:cs="Arial" w:eastAsia="Arial" w:hAnsi="Arial"/>
                <w:sz w:val="14"/>
                <w:szCs w:val="14"/>
                <w:color w:val="auto"/>
              </w:rPr>
              <w:t>Chairman and Chief Executive Officer</w:t>
            </w:r>
          </w:p>
        </w:tc>
        <w:tc>
          <w:tcPr>
            <w:tcW w:w="1960" w:type="dxa"/>
            <w:vAlign w:val="bottom"/>
          </w:tcPr>
          <w:p>
            <w:pPr>
              <w:jc w:val="center"/>
              <w:spacing w:after="0"/>
              <w:rPr>
                <w:sz w:val="20"/>
                <w:szCs w:val="20"/>
                <w:color w:val="auto"/>
              </w:rPr>
            </w:pPr>
            <w:r>
              <w:rPr>
                <w:rFonts w:ascii="Arial" w:cs="Arial" w:eastAsia="Arial" w:hAnsi="Arial"/>
                <w:sz w:val="14"/>
                <w:szCs w:val="14"/>
                <w:color w:val="auto"/>
              </w:rPr>
              <w:t>1</w:t>
            </w:r>
          </w:p>
        </w:tc>
        <w:tc>
          <w:tcPr>
            <w:tcW w:w="2880" w:type="dxa"/>
            <w:vAlign w:val="bottom"/>
          </w:tcPr>
          <w:p>
            <w:pPr>
              <w:ind w:left="160"/>
              <w:spacing w:after="0"/>
              <w:rPr>
                <w:sz w:val="20"/>
                <w:szCs w:val="20"/>
                <w:color w:val="auto"/>
              </w:rPr>
            </w:pPr>
            <w:r>
              <w:rPr>
                <w:rFonts w:ascii="Arial" w:cs="Arial" w:eastAsia="Arial" w:hAnsi="Arial"/>
                <w:sz w:val="14"/>
                <w:szCs w:val="14"/>
                <w:color w:val="auto"/>
              </w:rPr>
              <w:t>Audit;</w:t>
            </w:r>
          </w:p>
        </w:tc>
      </w:tr>
      <w:tr>
        <w:trPr>
          <w:trHeight w:val="190"/>
        </w:trPr>
        <w:tc>
          <w:tcPr>
            <w:tcW w:w="3240" w:type="dxa"/>
            <w:vAlign w:val="bottom"/>
          </w:tcPr>
          <w:p>
            <w:pPr>
              <w:ind w:left="760"/>
              <w:spacing w:after="0"/>
              <w:rPr>
                <w:sz w:val="20"/>
                <w:szCs w:val="20"/>
                <w:color w:val="auto"/>
              </w:rPr>
            </w:pPr>
            <w:r>
              <w:rPr>
                <w:rFonts w:ascii="Arial" w:cs="Arial" w:eastAsia="Arial" w:hAnsi="Arial"/>
                <w:sz w:val="14"/>
                <w:szCs w:val="14"/>
                <w:color w:val="auto"/>
              </w:rPr>
              <w:t>Director since 2020</w:t>
            </w:r>
          </w:p>
        </w:tc>
        <w:tc>
          <w:tcPr>
            <w:tcW w:w="500" w:type="dxa"/>
            <w:vAlign w:val="bottom"/>
          </w:tcPr>
          <w:p>
            <w:pPr>
              <w:spacing w:after="0"/>
              <w:rPr>
                <w:sz w:val="16"/>
                <w:szCs w:val="16"/>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of General Dynamics Corporation</w:t>
            </w:r>
          </w:p>
        </w:tc>
        <w:tc>
          <w:tcPr>
            <w:tcW w:w="1960" w:type="dxa"/>
            <w:vAlign w:val="bottom"/>
          </w:tcPr>
          <w:p>
            <w:pPr>
              <w:spacing w:after="0"/>
              <w:rPr>
                <w:sz w:val="16"/>
                <w:szCs w:val="16"/>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Public Responsibility</w:t>
            </w:r>
          </w:p>
        </w:tc>
      </w:tr>
      <w:tr>
        <w:trPr>
          <w:trHeight w:val="224"/>
        </w:trPr>
        <w:tc>
          <w:tcPr>
            <w:tcW w:w="3240" w:type="dxa"/>
            <w:vAlign w:val="bottom"/>
            <w:tcBorders>
              <w:bottom w:val="single" w:sz="8" w:color="B3B3B3"/>
            </w:tcBorders>
          </w:tcPr>
          <w:p>
            <w:pPr>
              <w:spacing w:after="0"/>
              <w:rPr>
                <w:sz w:val="19"/>
                <w:szCs w:val="19"/>
                <w:color w:val="auto"/>
              </w:rPr>
            </w:pPr>
          </w:p>
        </w:tc>
        <w:tc>
          <w:tcPr>
            <w:tcW w:w="500" w:type="dxa"/>
            <w:vAlign w:val="bottom"/>
            <w:tcBorders>
              <w:bottom w:val="single" w:sz="8" w:color="B3B3B3"/>
            </w:tcBorders>
          </w:tcPr>
          <w:p>
            <w:pPr>
              <w:spacing w:after="0"/>
              <w:rPr>
                <w:sz w:val="19"/>
                <w:szCs w:val="19"/>
                <w:color w:val="auto"/>
              </w:rPr>
            </w:pPr>
          </w:p>
        </w:tc>
        <w:tc>
          <w:tcPr>
            <w:tcW w:w="2660" w:type="dxa"/>
            <w:vAlign w:val="bottom"/>
            <w:tcBorders>
              <w:bottom w:val="single" w:sz="8" w:color="B3B3B3"/>
            </w:tcBorders>
          </w:tcPr>
          <w:p>
            <w:pPr>
              <w:spacing w:after="0"/>
              <w:rPr>
                <w:sz w:val="19"/>
                <w:szCs w:val="19"/>
                <w:color w:val="auto"/>
              </w:rPr>
            </w:pPr>
          </w:p>
        </w:tc>
        <w:tc>
          <w:tcPr>
            <w:tcW w:w="1960" w:type="dxa"/>
            <w:vAlign w:val="bottom"/>
            <w:tcBorders>
              <w:bottom w:val="single" w:sz="8" w:color="B3B3B3"/>
            </w:tcBorders>
          </w:tcPr>
          <w:p>
            <w:pPr>
              <w:spacing w:after="0"/>
              <w:rPr>
                <w:sz w:val="19"/>
                <w:szCs w:val="19"/>
                <w:color w:val="auto"/>
              </w:rPr>
            </w:pPr>
          </w:p>
        </w:tc>
        <w:tc>
          <w:tcPr>
            <w:tcW w:w="2880" w:type="dxa"/>
            <w:vAlign w:val="bottom"/>
            <w:tcBorders>
              <w:bottom w:val="single" w:sz="8" w:color="B3B3B3"/>
            </w:tcBorders>
          </w:tcPr>
          <w:p>
            <w:pPr>
              <w:spacing w:after="0"/>
              <w:rPr>
                <w:sz w:val="19"/>
                <w:szCs w:val="19"/>
                <w:color w:val="auto"/>
              </w:rPr>
            </w:pPr>
          </w:p>
        </w:tc>
      </w:tr>
      <w:tr>
        <w:trPr>
          <w:trHeight w:val="187"/>
        </w:trPr>
        <w:tc>
          <w:tcPr>
            <w:tcW w:w="3240" w:type="dxa"/>
            <w:vAlign w:val="bottom"/>
          </w:tcPr>
          <w:p>
            <w:pPr>
              <w:ind w:left="760"/>
              <w:spacing w:after="0"/>
              <w:rPr>
                <w:sz w:val="20"/>
                <w:szCs w:val="20"/>
                <w:color w:val="auto"/>
              </w:rPr>
            </w:pPr>
            <w:r>
              <w:rPr>
                <w:rFonts w:ascii="Arial" w:cs="Arial" w:eastAsia="Arial" w:hAnsi="Arial"/>
                <w:sz w:val="14"/>
                <w:szCs w:val="14"/>
                <w:b w:val="1"/>
                <w:bCs w:val="1"/>
                <w:color w:val="8F5A39"/>
              </w:rPr>
              <w:t>Virginia M. Rometty</w:t>
            </w:r>
          </w:p>
        </w:tc>
        <w:tc>
          <w:tcPr>
            <w:tcW w:w="500" w:type="dxa"/>
            <w:vAlign w:val="bottom"/>
          </w:tcPr>
          <w:p>
            <w:pPr>
              <w:ind w:left="160"/>
              <w:spacing w:after="0"/>
              <w:rPr>
                <w:sz w:val="20"/>
                <w:szCs w:val="20"/>
                <w:color w:val="auto"/>
              </w:rPr>
            </w:pPr>
            <w:r>
              <w:rPr>
                <w:rFonts w:ascii="Arial" w:cs="Arial" w:eastAsia="Arial" w:hAnsi="Arial"/>
                <w:sz w:val="14"/>
                <w:szCs w:val="14"/>
                <w:color w:val="auto"/>
              </w:rPr>
              <w:t>68</w:t>
            </w:r>
          </w:p>
        </w:tc>
        <w:tc>
          <w:tcPr>
            <w:tcW w:w="2660" w:type="dxa"/>
            <w:vAlign w:val="bottom"/>
          </w:tcPr>
          <w:p>
            <w:pPr>
              <w:ind w:left="40"/>
              <w:spacing w:after="0"/>
              <w:rPr>
                <w:sz w:val="20"/>
                <w:szCs w:val="20"/>
                <w:color w:val="auto"/>
              </w:rPr>
            </w:pPr>
            <w:r>
              <w:rPr>
                <w:rFonts w:ascii="Arial" w:cs="Arial" w:eastAsia="Arial" w:hAnsi="Arial"/>
                <w:sz w:val="14"/>
                <w:szCs w:val="14"/>
                <w:color w:val="auto"/>
              </w:rPr>
              <w:t>Retired Executive Chairman, President</w:t>
            </w:r>
          </w:p>
        </w:tc>
        <w:tc>
          <w:tcPr>
            <w:tcW w:w="1960" w:type="dxa"/>
            <w:vAlign w:val="bottom"/>
          </w:tcPr>
          <w:p>
            <w:pPr>
              <w:jc w:val="center"/>
              <w:spacing w:after="0"/>
              <w:rPr>
                <w:sz w:val="20"/>
                <w:szCs w:val="20"/>
                <w:color w:val="auto"/>
              </w:rPr>
            </w:pPr>
            <w:r>
              <w:rPr>
                <w:rFonts w:ascii="Arial" w:cs="Arial" w:eastAsia="Arial" w:hAnsi="Arial"/>
                <w:sz w:val="14"/>
                <w:szCs w:val="14"/>
                <w:color w:val="auto"/>
              </w:rPr>
              <w:t>0</w:t>
            </w:r>
          </w:p>
        </w:tc>
        <w:tc>
          <w:tcPr>
            <w:tcW w:w="2880" w:type="dxa"/>
            <w:vAlign w:val="bottom"/>
          </w:tcPr>
          <w:p>
            <w:pPr>
              <w:ind w:left="160"/>
              <w:spacing w:after="0"/>
              <w:rPr>
                <w:sz w:val="20"/>
                <w:szCs w:val="20"/>
                <w:color w:val="auto"/>
              </w:rPr>
            </w:pPr>
            <w:r>
              <w:rPr>
                <w:rFonts w:ascii="Arial" w:cs="Arial" w:eastAsia="Arial" w:hAnsi="Arial"/>
                <w:sz w:val="14"/>
                <w:szCs w:val="14"/>
                <w:color w:val="auto"/>
              </w:rPr>
              <w:t>Corporate Governance &amp; Nominating</w:t>
            </w:r>
          </w:p>
        </w:tc>
      </w:tr>
      <w:tr>
        <w:trPr>
          <w:trHeight w:val="175"/>
        </w:trPr>
        <w:tc>
          <w:tcPr>
            <w:tcW w:w="3240" w:type="dxa"/>
            <w:vAlign w:val="bottom"/>
          </w:tcPr>
          <w:p>
            <w:pPr>
              <w:ind w:left="760"/>
              <w:spacing w:after="0"/>
              <w:rPr>
                <w:sz w:val="20"/>
                <w:szCs w:val="20"/>
                <w:color w:val="auto"/>
              </w:rPr>
            </w:pPr>
            <w:r>
              <w:rPr>
                <w:rFonts w:ascii="Arial" w:cs="Arial" w:eastAsia="Arial" w:hAnsi="Arial"/>
                <w:sz w:val="14"/>
                <w:szCs w:val="14"/>
                <w:color w:val="auto"/>
              </w:rPr>
              <w:t>Director since 2020</w:t>
            </w:r>
          </w:p>
        </w:tc>
        <w:tc>
          <w:tcPr>
            <w:tcW w:w="50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and Chief Executive Officer of</w:t>
            </w:r>
          </w:p>
        </w:tc>
        <w:tc>
          <w:tcPr>
            <w:tcW w:w="1960" w:type="dxa"/>
            <w:vAlign w:val="bottom"/>
          </w:tcPr>
          <w:p>
            <w:pPr>
              <w:spacing w:after="0"/>
              <w:rPr>
                <w:sz w:val="15"/>
                <w:szCs w:val="15"/>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(Chair);</w:t>
            </w:r>
          </w:p>
        </w:tc>
      </w:tr>
      <w:tr>
        <w:trPr>
          <w:trHeight w:val="175"/>
        </w:trPr>
        <w:tc>
          <w:tcPr>
            <w:tcW w:w="3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International Business Machines</w:t>
            </w:r>
          </w:p>
        </w:tc>
        <w:tc>
          <w:tcPr>
            <w:tcW w:w="1960" w:type="dxa"/>
            <w:vAlign w:val="bottom"/>
          </w:tcPr>
          <w:p>
            <w:pPr>
              <w:spacing w:after="0"/>
              <w:rPr>
                <w:sz w:val="15"/>
                <w:szCs w:val="15"/>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Compensation &amp; Management</w:t>
            </w:r>
          </w:p>
        </w:tc>
      </w:tr>
      <w:tr>
        <w:trPr>
          <w:trHeight w:val="194"/>
        </w:trPr>
        <w:tc>
          <w:tcPr>
            <w:tcW w:w="3240" w:type="dxa"/>
            <w:vAlign w:val="bottom"/>
            <w:tcBorders>
              <w:bottom w:val="single" w:sz="8" w:color="B3B3B3"/>
            </w:tcBorders>
          </w:tcPr>
          <w:p>
            <w:pPr>
              <w:spacing w:after="0"/>
              <w:rPr>
                <w:sz w:val="16"/>
                <w:szCs w:val="16"/>
                <w:color w:val="auto"/>
              </w:rPr>
            </w:pPr>
          </w:p>
        </w:tc>
        <w:tc>
          <w:tcPr>
            <w:tcW w:w="500" w:type="dxa"/>
            <w:vAlign w:val="bottom"/>
            <w:tcBorders>
              <w:bottom w:val="single" w:sz="8" w:color="B3B3B3"/>
            </w:tcBorders>
          </w:tcPr>
          <w:p>
            <w:pPr>
              <w:spacing w:after="0"/>
              <w:rPr>
                <w:sz w:val="16"/>
                <w:szCs w:val="16"/>
                <w:color w:val="auto"/>
              </w:rPr>
            </w:pPr>
          </w:p>
        </w:tc>
        <w:tc>
          <w:tcPr>
            <w:tcW w:w="2660" w:type="dxa"/>
            <w:vAlign w:val="bottom"/>
            <w:tcBorders>
              <w:bottom w:val="single" w:sz="8" w:color="B3B3B3"/>
            </w:tcBorders>
          </w:tcPr>
          <w:p>
            <w:pPr>
              <w:ind w:left="40"/>
              <w:spacing w:after="0"/>
              <w:rPr>
                <w:sz w:val="20"/>
                <w:szCs w:val="20"/>
                <w:color w:val="auto"/>
              </w:rPr>
            </w:pPr>
            <w:r>
              <w:rPr>
                <w:rFonts w:ascii="Arial" w:cs="Arial" w:eastAsia="Arial" w:hAnsi="Arial"/>
                <w:sz w:val="14"/>
                <w:szCs w:val="14"/>
                <w:color w:val="auto"/>
              </w:rPr>
              <w:t>Corporation (“IBM”)</w:t>
            </w:r>
          </w:p>
        </w:tc>
        <w:tc>
          <w:tcPr>
            <w:tcW w:w="1960" w:type="dxa"/>
            <w:vAlign w:val="bottom"/>
            <w:tcBorders>
              <w:bottom w:val="single" w:sz="8" w:color="B3B3B3"/>
            </w:tcBorders>
          </w:tcPr>
          <w:p>
            <w:pPr>
              <w:spacing w:after="0"/>
              <w:rPr>
                <w:sz w:val="16"/>
                <w:szCs w:val="16"/>
                <w:color w:val="auto"/>
              </w:rPr>
            </w:pPr>
          </w:p>
        </w:tc>
        <w:tc>
          <w:tcPr>
            <w:tcW w:w="2880" w:type="dxa"/>
            <w:vAlign w:val="bottom"/>
            <w:tcBorders>
              <w:bottom w:val="single" w:sz="8" w:color="B3B3B3"/>
            </w:tcBorders>
          </w:tcPr>
          <w:p>
            <w:pPr>
              <w:ind w:left="160"/>
              <w:spacing w:after="0"/>
              <w:rPr>
                <w:sz w:val="20"/>
                <w:szCs w:val="20"/>
                <w:color w:val="auto"/>
              </w:rPr>
            </w:pPr>
            <w:r>
              <w:rPr>
                <w:rFonts w:ascii="Arial" w:cs="Arial" w:eastAsia="Arial" w:hAnsi="Arial"/>
                <w:sz w:val="14"/>
                <w:szCs w:val="14"/>
                <w:color w:val="auto"/>
              </w:rPr>
              <w:t>Development</w:t>
            </w:r>
          </w:p>
        </w:tc>
      </w:tr>
      <w:tr>
        <w:trPr>
          <w:trHeight w:val="191"/>
        </w:trPr>
        <w:tc>
          <w:tcPr>
            <w:tcW w:w="3240" w:type="dxa"/>
            <w:vAlign w:val="bottom"/>
          </w:tcPr>
          <w:p>
            <w:pPr>
              <w:ind w:left="760"/>
              <w:spacing w:after="0"/>
              <w:rPr>
                <w:sz w:val="20"/>
                <w:szCs w:val="20"/>
                <w:color w:val="auto"/>
              </w:rPr>
            </w:pPr>
            <w:r>
              <w:rPr>
                <w:rFonts w:ascii="Arial" w:cs="Arial" w:eastAsia="Arial" w:hAnsi="Arial"/>
                <w:sz w:val="14"/>
                <w:szCs w:val="14"/>
                <w:b w:val="1"/>
                <w:bCs w:val="1"/>
                <w:color w:val="8F5A39"/>
              </w:rPr>
              <w:t>Brad D. Smith</w:t>
            </w:r>
          </w:p>
        </w:tc>
        <w:tc>
          <w:tcPr>
            <w:tcW w:w="500" w:type="dxa"/>
            <w:vAlign w:val="bottom"/>
          </w:tcPr>
          <w:p>
            <w:pPr>
              <w:ind w:left="160"/>
              <w:spacing w:after="0"/>
              <w:rPr>
                <w:sz w:val="20"/>
                <w:szCs w:val="20"/>
                <w:color w:val="auto"/>
              </w:rPr>
            </w:pPr>
            <w:r>
              <w:rPr>
                <w:rFonts w:ascii="Arial" w:cs="Arial" w:eastAsia="Arial" w:hAnsi="Arial"/>
                <w:sz w:val="14"/>
                <w:szCs w:val="14"/>
                <w:color w:val="auto"/>
              </w:rPr>
              <w:t>62</w:t>
            </w:r>
          </w:p>
        </w:tc>
        <w:tc>
          <w:tcPr>
            <w:tcW w:w="2660" w:type="dxa"/>
            <w:vAlign w:val="bottom"/>
          </w:tcPr>
          <w:p>
            <w:pPr>
              <w:ind w:left="40"/>
              <w:spacing w:after="0"/>
              <w:rPr>
                <w:sz w:val="20"/>
                <w:szCs w:val="20"/>
                <w:color w:val="auto"/>
              </w:rPr>
            </w:pPr>
            <w:r>
              <w:rPr>
                <w:rFonts w:ascii="Arial" w:cs="Arial" w:eastAsia="Arial" w:hAnsi="Arial"/>
                <w:sz w:val="14"/>
                <w:szCs w:val="14"/>
                <w:color w:val="auto"/>
              </w:rPr>
              <w:t>President of Marshall University and</w:t>
            </w:r>
          </w:p>
        </w:tc>
        <w:tc>
          <w:tcPr>
            <w:tcW w:w="1960" w:type="dxa"/>
            <w:vAlign w:val="bottom"/>
          </w:tcPr>
          <w:p>
            <w:pPr>
              <w:jc w:val="center"/>
              <w:spacing w:after="0"/>
              <w:rPr>
                <w:sz w:val="20"/>
                <w:szCs w:val="20"/>
                <w:color w:val="auto"/>
              </w:rPr>
            </w:pPr>
            <w:r>
              <w:rPr>
                <w:rFonts w:ascii="Arial" w:cs="Arial" w:eastAsia="Arial" w:hAnsi="Arial"/>
                <w:sz w:val="14"/>
                <w:szCs w:val="14"/>
                <w:color w:val="auto"/>
              </w:rPr>
              <w:t>1</w:t>
            </w:r>
          </w:p>
        </w:tc>
        <w:tc>
          <w:tcPr>
            <w:tcW w:w="2880" w:type="dxa"/>
            <w:vAlign w:val="bottom"/>
          </w:tcPr>
          <w:p>
            <w:pPr>
              <w:ind w:left="160"/>
              <w:spacing w:after="0"/>
              <w:rPr>
                <w:sz w:val="20"/>
                <w:szCs w:val="20"/>
                <w:color w:val="auto"/>
              </w:rPr>
            </w:pPr>
            <w:r>
              <w:rPr>
                <w:rFonts w:ascii="Arial" w:cs="Arial" w:eastAsia="Arial" w:hAnsi="Arial"/>
                <w:sz w:val="14"/>
                <w:szCs w:val="14"/>
                <w:color w:val="auto"/>
              </w:rPr>
              <w:t>Public Responsibility;</w:t>
            </w:r>
          </w:p>
        </w:tc>
      </w:tr>
      <w:tr>
        <w:trPr>
          <w:trHeight w:val="175"/>
        </w:trPr>
        <w:tc>
          <w:tcPr>
            <w:tcW w:w="3240" w:type="dxa"/>
            <w:vAlign w:val="bottom"/>
          </w:tcPr>
          <w:p>
            <w:pPr>
              <w:ind w:left="760"/>
              <w:spacing w:after="0"/>
              <w:rPr>
                <w:sz w:val="20"/>
                <w:szCs w:val="20"/>
                <w:color w:val="auto"/>
              </w:rPr>
            </w:pPr>
            <w:r>
              <w:rPr>
                <w:rFonts w:ascii="Arial" w:cs="Arial" w:eastAsia="Arial" w:hAnsi="Arial"/>
                <w:sz w:val="14"/>
                <w:szCs w:val="14"/>
                <w:color w:val="auto"/>
              </w:rPr>
              <w:t>Director since 2025</w:t>
            </w:r>
          </w:p>
        </w:tc>
        <w:tc>
          <w:tcPr>
            <w:tcW w:w="50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Retired Executive Chairman, President</w:t>
            </w:r>
          </w:p>
        </w:tc>
        <w:tc>
          <w:tcPr>
            <w:tcW w:w="1960" w:type="dxa"/>
            <w:vAlign w:val="bottom"/>
          </w:tcPr>
          <w:p>
            <w:pPr>
              <w:spacing w:after="0"/>
              <w:rPr>
                <w:sz w:val="15"/>
                <w:szCs w:val="15"/>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Risk</w:t>
            </w:r>
          </w:p>
        </w:tc>
      </w:tr>
      <w:tr>
        <w:trPr>
          <w:trHeight w:val="176"/>
        </w:trPr>
        <w:tc>
          <w:tcPr>
            <w:tcW w:w="3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and Chief Executive Officer of Intuit</w:t>
            </w:r>
          </w:p>
        </w:tc>
        <w:tc>
          <w:tcPr>
            <w:tcW w:w="196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94"/>
        </w:trPr>
        <w:tc>
          <w:tcPr>
            <w:tcW w:w="3240" w:type="dxa"/>
            <w:vAlign w:val="bottom"/>
            <w:tcBorders>
              <w:bottom w:val="single" w:sz="8" w:color="B3B3B3"/>
            </w:tcBorders>
          </w:tcPr>
          <w:p>
            <w:pPr>
              <w:spacing w:after="0"/>
              <w:rPr>
                <w:sz w:val="16"/>
                <w:szCs w:val="16"/>
                <w:color w:val="auto"/>
              </w:rPr>
            </w:pPr>
          </w:p>
        </w:tc>
        <w:tc>
          <w:tcPr>
            <w:tcW w:w="500" w:type="dxa"/>
            <w:vAlign w:val="bottom"/>
            <w:tcBorders>
              <w:bottom w:val="single" w:sz="8" w:color="B3B3B3"/>
            </w:tcBorders>
          </w:tcPr>
          <w:p>
            <w:pPr>
              <w:spacing w:after="0"/>
              <w:rPr>
                <w:sz w:val="16"/>
                <w:szCs w:val="16"/>
                <w:color w:val="auto"/>
              </w:rPr>
            </w:pPr>
          </w:p>
        </w:tc>
        <w:tc>
          <w:tcPr>
            <w:tcW w:w="2660" w:type="dxa"/>
            <w:vAlign w:val="bottom"/>
            <w:tcBorders>
              <w:bottom w:val="single" w:sz="8" w:color="B3B3B3"/>
            </w:tcBorders>
          </w:tcPr>
          <w:p>
            <w:pPr>
              <w:ind w:left="40"/>
              <w:spacing w:after="0"/>
              <w:rPr>
                <w:sz w:val="20"/>
                <w:szCs w:val="20"/>
                <w:color w:val="auto"/>
              </w:rPr>
            </w:pPr>
            <w:r>
              <w:rPr>
                <w:rFonts w:ascii="Arial" w:cs="Arial" w:eastAsia="Arial" w:hAnsi="Arial"/>
                <w:sz w:val="14"/>
                <w:szCs w:val="14"/>
                <w:color w:val="auto"/>
              </w:rPr>
              <w:t>Inc.</w:t>
            </w:r>
          </w:p>
        </w:tc>
        <w:tc>
          <w:tcPr>
            <w:tcW w:w="1960" w:type="dxa"/>
            <w:vAlign w:val="bottom"/>
            <w:tcBorders>
              <w:bottom w:val="single" w:sz="8" w:color="B3B3B3"/>
            </w:tcBorders>
          </w:tcPr>
          <w:p>
            <w:pPr>
              <w:spacing w:after="0"/>
              <w:rPr>
                <w:sz w:val="16"/>
                <w:szCs w:val="16"/>
                <w:color w:val="auto"/>
              </w:rPr>
            </w:pPr>
          </w:p>
        </w:tc>
        <w:tc>
          <w:tcPr>
            <w:tcW w:w="2880" w:type="dxa"/>
            <w:vAlign w:val="bottom"/>
            <w:tcBorders>
              <w:bottom w:val="single" w:sz="8" w:color="B3B3B3"/>
            </w:tcBorders>
          </w:tcPr>
          <w:p>
            <w:pPr>
              <w:spacing w:after="0"/>
              <w:rPr>
                <w:sz w:val="16"/>
                <w:szCs w:val="16"/>
                <w:color w:val="auto"/>
              </w:rPr>
            </w:pPr>
          </w:p>
        </w:tc>
      </w:tr>
      <w:tr>
        <w:trPr>
          <w:trHeight w:val="191"/>
        </w:trPr>
        <w:tc>
          <w:tcPr>
            <w:tcW w:w="3240" w:type="dxa"/>
            <w:vAlign w:val="bottom"/>
          </w:tcPr>
          <w:p>
            <w:pPr>
              <w:ind w:left="760"/>
              <w:spacing w:after="0"/>
              <w:rPr>
                <w:sz w:val="20"/>
                <w:szCs w:val="20"/>
                <w:color w:val="auto"/>
              </w:rPr>
            </w:pPr>
            <w:r>
              <w:rPr>
                <w:rFonts w:ascii="Arial" w:cs="Arial" w:eastAsia="Arial" w:hAnsi="Arial"/>
                <w:sz w:val="14"/>
                <w:szCs w:val="14"/>
                <w:b w:val="1"/>
                <w:bCs w:val="1"/>
                <w:color w:val="8F5A39"/>
              </w:rPr>
              <w:t>Mark A. Weinberger</w:t>
            </w:r>
          </w:p>
        </w:tc>
        <w:tc>
          <w:tcPr>
            <w:tcW w:w="500" w:type="dxa"/>
            <w:vAlign w:val="bottom"/>
          </w:tcPr>
          <w:p>
            <w:pPr>
              <w:ind w:left="160"/>
              <w:spacing w:after="0"/>
              <w:rPr>
                <w:sz w:val="20"/>
                <w:szCs w:val="20"/>
                <w:color w:val="auto"/>
              </w:rPr>
            </w:pPr>
            <w:r>
              <w:rPr>
                <w:rFonts w:ascii="Arial" w:cs="Arial" w:eastAsia="Arial" w:hAnsi="Arial"/>
                <w:sz w:val="14"/>
                <w:szCs w:val="14"/>
                <w:color w:val="auto"/>
              </w:rPr>
              <w:t>64</w:t>
            </w:r>
          </w:p>
        </w:tc>
        <w:tc>
          <w:tcPr>
            <w:tcW w:w="2660" w:type="dxa"/>
            <w:vAlign w:val="bottom"/>
          </w:tcPr>
          <w:p>
            <w:pPr>
              <w:ind w:left="40"/>
              <w:spacing w:after="0"/>
              <w:rPr>
                <w:sz w:val="20"/>
                <w:szCs w:val="20"/>
                <w:color w:val="auto"/>
              </w:rPr>
            </w:pPr>
            <w:r>
              <w:rPr>
                <w:rFonts w:ascii="Arial" w:cs="Arial" w:eastAsia="Arial" w:hAnsi="Arial"/>
                <w:sz w:val="14"/>
                <w:szCs w:val="14"/>
                <w:color w:val="auto"/>
              </w:rPr>
              <w:t>Retired Global Chairman and Chief</w:t>
            </w:r>
          </w:p>
        </w:tc>
        <w:tc>
          <w:tcPr>
            <w:tcW w:w="1960" w:type="dxa"/>
            <w:vAlign w:val="bottom"/>
          </w:tcPr>
          <w:p>
            <w:pPr>
              <w:jc w:val="center"/>
              <w:spacing w:after="0"/>
              <w:rPr>
                <w:sz w:val="20"/>
                <w:szCs w:val="20"/>
                <w:color w:val="auto"/>
              </w:rPr>
            </w:pPr>
            <w:r>
              <w:rPr>
                <w:rFonts w:ascii="Arial" w:cs="Arial" w:eastAsia="Arial" w:hAnsi="Arial"/>
                <w:sz w:val="14"/>
                <w:szCs w:val="14"/>
                <w:color w:val="auto"/>
              </w:rPr>
              <w:t>2</w:t>
            </w:r>
          </w:p>
        </w:tc>
        <w:tc>
          <w:tcPr>
            <w:tcW w:w="2880" w:type="dxa"/>
            <w:vAlign w:val="bottom"/>
          </w:tcPr>
          <w:p>
            <w:pPr>
              <w:ind w:left="160"/>
              <w:spacing w:after="0"/>
              <w:rPr>
                <w:sz w:val="20"/>
                <w:szCs w:val="20"/>
                <w:color w:val="auto"/>
              </w:rPr>
            </w:pPr>
            <w:r>
              <w:rPr>
                <w:rFonts w:ascii="Arial" w:cs="Arial" w:eastAsia="Arial" w:hAnsi="Arial"/>
                <w:sz w:val="14"/>
                <w:szCs w:val="14"/>
                <w:color w:val="auto"/>
              </w:rPr>
              <w:t>Audit (Chair)</w:t>
            </w:r>
          </w:p>
        </w:tc>
      </w:tr>
      <w:tr>
        <w:trPr>
          <w:trHeight w:val="176"/>
        </w:trPr>
        <w:tc>
          <w:tcPr>
            <w:tcW w:w="3240" w:type="dxa"/>
            <w:vAlign w:val="bottom"/>
          </w:tcPr>
          <w:p>
            <w:pPr>
              <w:ind w:left="760"/>
              <w:spacing w:after="0"/>
              <w:rPr>
                <w:sz w:val="20"/>
                <w:szCs w:val="20"/>
                <w:color w:val="auto"/>
              </w:rPr>
            </w:pPr>
            <w:r>
              <w:rPr>
                <w:rFonts w:ascii="Arial" w:cs="Arial" w:eastAsia="Arial" w:hAnsi="Arial"/>
                <w:sz w:val="14"/>
                <w:szCs w:val="14"/>
                <w:color w:val="auto"/>
              </w:rPr>
              <w:t>Director since 2024</w:t>
            </w:r>
          </w:p>
        </w:tc>
        <w:tc>
          <w:tcPr>
            <w:tcW w:w="500" w:type="dxa"/>
            <w:vAlign w:val="bottom"/>
          </w:tcPr>
          <w:p>
            <w:pPr>
              <w:spacing w:after="0"/>
              <w:rPr>
                <w:sz w:val="15"/>
                <w:szCs w:val="15"/>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Executive Officer of Ernst &amp; Young</w:t>
            </w:r>
          </w:p>
        </w:tc>
        <w:tc>
          <w:tcPr>
            <w:tcW w:w="196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190"/>
        </w:trPr>
        <w:tc>
          <w:tcPr>
            <w:tcW w:w="3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60" w:type="dxa"/>
            <w:vAlign w:val="bottom"/>
          </w:tcPr>
          <w:p>
            <w:pPr>
              <w:ind w:left="40"/>
              <w:spacing w:after="0"/>
              <w:rPr>
                <w:sz w:val="20"/>
                <w:szCs w:val="20"/>
                <w:color w:val="auto"/>
              </w:rPr>
            </w:pPr>
            <w:r>
              <w:rPr>
                <w:rFonts w:ascii="Arial" w:cs="Arial" w:eastAsia="Arial" w:hAnsi="Arial"/>
                <w:sz w:val="14"/>
                <w:szCs w:val="14"/>
                <w:color w:val="auto"/>
              </w:rPr>
              <w:t>LLP</w:t>
            </w:r>
          </w:p>
        </w:tc>
        <w:tc>
          <w:tcPr>
            <w:tcW w:w="196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49"/>
        </w:trPr>
        <w:tc>
          <w:tcPr>
            <w:tcW w:w="3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-4508500</wp:posOffset>
            </wp:positionV>
            <wp:extent cx="325755" cy="325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-4114165</wp:posOffset>
            </wp:positionV>
            <wp:extent cx="325755" cy="325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-3719830</wp:posOffset>
            </wp:positionV>
            <wp:extent cx="325755" cy="325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-3325495</wp:posOffset>
            </wp:positionV>
            <wp:extent cx="325755" cy="325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-2931160</wp:posOffset>
            </wp:positionV>
            <wp:extent cx="325755"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-2536825</wp:posOffset>
            </wp:positionV>
            <wp:extent cx="325755"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-2142490</wp:posOffset>
            </wp:positionV>
            <wp:extent cx="325755"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-1748155</wp:posOffset>
            </wp:positionV>
            <wp:extent cx="325755" cy="325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-1353820</wp:posOffset>
            </wp:positionV>
            <wp:extent cx="325755"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-873760</wp:posOffset>
            </wp:positionV>
            <wp:extent cx="325755" cy="3257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-393700</wp:posOffset>
            </wp:positionV>
            <wp:extent cx="325755" cy="325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100"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Director of a heritage company of the Firm as follows: Bank One Corporation: Mr. Burke (2003–2004), Mr. Dimon, Chairman of the Board (2000–2004)</w:t>
      </w:r>
    </w:p>
    <w:p>
      <w:pPr>
        <w:ind w:left="200" w:hanging="192"/>
        <w:spacing w:after="0" w:line="193" w:lineRule="auto"/>
        <w:tabs>
          <w:tab w:leader="none" w:pos="20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Principal standing committees</w:t>
      </w:r>
    </w:p>
    <w:p>
      <w:pPr>
        <w:ind w:left="180" w:hanging="172"/>
        <w:spacing w:after="0" w:line="219" w:lineRule="auto"/>
        <w:tabs>
          <w:tab w:leader="none" w:pos="18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Retired from JPMorgan Chase &amp; Co. 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309245</wp:posOffset>
            </wp:positionV>
            <wp:extent cx="651510" cy="85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80" w:hanging="654"/>
        <w:spacing w:after="0"/>
        <w:tabs>
          <w:tab w:leader="none" w:pos="680" w:val="left"/>
        </w:tabs>
        <w:numPr>
          <w:ilvl w:val="0"/>
          <w:numId w:val="27"/>
        </w:numPr>
        <w:rPr>
          <w:rFonts w:ascii="Arial" w:cs="Arial" w:eastAsia="Arial" w:hAnsi="Arial"/>
          <w:sz w:val="29"/>
          <w:szCs w:val="29"/>
          <w:color w:val="auto"/>
          <w:vertAlign w:val="superscript"/>
        </w:rPr>
      </w:pP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2026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788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PROPOSAL 2:</w:t>
      </w:r>
    </w:p>
    <w:p>
      <w:pPr>
        <w:sectPr>
          <w:pgSz w:w="11900" w:h="16838" w:orient="portrait"/>
          <w:cols w:equalWidth="0" w:num="1">
            <w:col w:w="11240"/>
          </w:cols>
          <w:pgMar w:left="320" w:top="157" w:right="339" w:bottom="1440" w:gutter="0" w:footer="0" w:header="0"/>
        </w:sect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8"/>
          <w:szCs w:val="28"/>
          <w:color w:val="8F5A39"/>
        </w:rPr>
        <w:t>Advisory resolution to approve executive compensation</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page 38</w:t>
      </w:r>
    </w:p>
    <w:p>
      <w:pPr>
        <w:spacing w:after="0" w:line="252" w:lineRule="exact"/>
        <w:rPr>
          <w:sz w:val="20"/>
          <w:szCs w:val="20"/>
          <w:color w:val="auto"/>
        </w:rPr>
      </w:pPr>
    </w:p>
    <w:p>
      <w:pPr>
        <w:sectPr>
          <w:pgSz w:w="11900" w:h="16838" w:orient="portrait"/>
          <w:cols w:equalWidth="0" w:num="2">
            <w:col w:w="9720" w:space="720"/>
            <w:col w:w="800"/>
          </w:cols>
          <w:pgMar w:left="320" w:top="157" w:right="339" w:bottom="1440" w:gutter="0" w:footer="0" w:header="0"/>
          <w:type w:val="continuous"/>
        </w:sect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are submitting an advisory resolution to approve the compensation of our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We believe shareholders should consider three key factors in their evaluation of this year’s proposal:</w:t>
      </w:r>
    </w:p>
    <w:p>
      <w:pPr>
        <w:spacing w:after="0" w:line="12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1.</w:t>
        <w:tab/>
        <w:t>How we think about pay decisions</w:t>
      </w:r>
    </w:p>
    <w:p>
      <w:pPr>
        <w:spacing w:after="0" w:line="7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Firm’s Business Principles and strategic framework form the basis of our OC members’ strategic priorities. The Compensation &amp; Management Development Committee (“CMDC”) references those strategic priorities and the Firm’s compensation philosophy to assess OC members’ performance and to determine their respective total compensation levels and pay mix.</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How we performed against our business strategy</w:t>
      </w:r>
    </w:p>
    <w:p>
      <w:pPr>
        <w:spacing w:after="0" w:line="8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continued to deliver strong multi-year financial performance, invest in our future, strengthen our risk and control environment, and reinforce our culture and values, including our long-standing commitment to serve our customers, employees and communities, and conduct business in a responsible way to drive economic growth.</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How performance determined pay in 2025</w:t>
      </w:r>
    </w:p>
    <w:p>
      <w:pPr>
        <w:spacing w:after="0" w:line="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determining OC member pay, the CMDC took into account performance across four broad performance dimensions: Business Results, i.e., the "what;" and Client/Customer/Stakeholder; Risk, Controls &amp; Conduct; and Teamwork &amp; Leadership, or qualitative considerations, i.e., the "how." CEO pay is strongly aligned to the Firm’s short-, medium- and long-term performance, with approximately 88% of the CEO’s variable pay deferred into equity, of which 100% is in at-risk Performance Share Units (“PSUs”). Other NEO pay is also strongly aligned to Firm and line of business (“LOB”) performance, with a majority of variable pay deferred into equity, of which 50% is in at-risk PSUs.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Disciplined performance assessment process to determine pay</w:t>
      </w:r>
    </w:p>
    <w:p>
      <w:pPr>
        <w:spacing w:after="0" w:line="41"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The CMDC uses a balanced holistic approach to determine annual compensation, which includes a disciplined assessment of performance against the aforementioned performance considerations over a sustained period of time.</w:t>
      </w:r>
    </w:p>
    <w:p>
      <w:pPr>
        <w:spacing w:after="0" w:line="7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The table below summarizes the salary and incentive compensation awarded for 2025 performance to our NEOs who served as Executive Officers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through December 31,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Borders>
              <w:bottom w:val="single" w:sz="8" w:color="F4EFE7"/>
            </w:tcBorders>
            <w:shd w:val="clear" w:color="auto" w:fill="F4EFE7"/>
          </w:tcPr>
          <w:p>
            <w:pPr>
              <w:spacing w:after="0"/>
              <w:rPr>
                <w:sz w:val="19"/>
                <w:szCs w:val="19"/>
                <w:color w:val="auto"/>
              </w:rPr>
            </w:pPr>
          </w:p>
        </w:tc>
        <w:tc>
          <w:tcPr>
            <w:tcW w:w="1280" w:type="dxa"/>
            <w:vAlign w:val="bottom"/>
            <w:tcBorders>
              <w:bottom w:val="single" w:sz="8" w:color="F4EFE7"/>
            </w:tcBorders>
            <w:shd w:val="clear" w:color="auto" w:fill="F4EFE7"/>
          </w:tcPr>
          <w:p>
            <w:pPr>
              <w:spacing w:after="0"/>
              <w:rPr>
                <w:sz w:val="19"/>
                <w:szCs w:val="19"/>
                <w:color w:val="auto"/>
              </w:rPr>
            </w:pPr>
          </w:p>
        </w:tc>
        <w:tc>
          <w:tcPr>
            <w:tcW w:w="200" w:type="dxa"/>
            <w:vAlign w:val="bottom"/>
            <w:tcBorders>
              <w:bottom w:val="single" w:sz="8" w:color="auto"/>
            </w:tcBorders>
            <w:shd w:val="clear" w:color="auto" w:fill="F4EFE7"/>
          </w:tcPr>
          <w:p>
            <w:pPr>
              <w:spacing w:after="0"/>
              <w:rPr>
                <w:sz w:val="19"/>
                <w:szCs w:val="19"/>
                <w:color w:val="auto"/>
              </w:rPr>
            </w:pPr>
          </w:p>
        </w:tc>
        <w:tc>
          <w:tcPr>
            <w:tcW w:w="2680" w:type="dxa"/>
            <w:vAlign w:val="bottom"/>
            <w:tcBorders>
              <w:bottom w:val="single" w:sz="8" w:color="auto"/>
            </w:tcBorders>
            <w:gridSpan w:val="3"/>
            <w:shd w:val="clear" w:color="auto" w:fill="F4EFE7"/>
          </w:tcPr>
          <w:p>
            <w:pPr>
              <w:ind w:left="920"/>
              <w:spacing w:after="0"/>
              <w:rPr>
                <w:sz w:val="20"/>
                <w:szCs w:val="20"/>
                <w:color w:val="auto"/>
              </w:rPr>
            </w:pPr>
            <w:r>
              <w:rPr>
                <w:rFonts w:ascii="Arial" w:cs="Arial" w:eastAsia="Arial" w:hAnsi="Arial"/>
                <w:sz w:val="14"/>
                <w:szCs w:val="14"/>
                <w:b w:val="1"/>
                <w:bCs w:val="1"/>
                <w:color w:val="8F5A39"/>
              </w:rPr>
              <w:t>Incentive Compensation</w:t>
            </w:r>
          </w:p>
        </w:tc>
        <w:tc>
          <w:tcPr>
            <w:tcW w:w="1020" w:type="dxa"/>
            <w:vAlign w:val="bottom"/>
            <w:tcBorders>
              <w:bottom w:val="single" w:sz="8" w:color="auto"/>
            </w:tcBorders>
            <w:shd w:val="clear" w:color="auto" w:fill="F4EFE7"/>
          </w:tcPr>
          <w:p>
            <w:pPr>
              <w:spacing w:after="0"/>
              <w:rPr>
                <w:sz w:val="19"/>
                <w:szCs w:val="19"/>
                <w:color w:val="auto"/>
              </w:rPr>
            </w:pPr>
          </w:p>
        </w:tc>
        <w:tc>
          <w:tcPr>
            <w:tcW w:w="380" w:type="dxa"/>
            <w:vAlign w:val="bottom"/>
            <w:tcBorders>
              <w:bottom w:val="single" w:sz="8" w:color="F4EFE7"/>
            </w:tcBorders>
            <w:shd w:val="clear" w:color="auto" w:fill="F4EFE7"/>
          </w:tcPr>
          <w:p>
            <w:pPr>
              <w:spacing w:after="0"/>
              <w:rPr>
                <w:sz w:val="19"/>
                <w:szCs w:val="19"/>
                <w:color w:val="auto"/>
              </w:rPr>
            </w:pPr>
          </w:p>
        </w:tc>
        <w:tc>
          <w:tcPr>
            <w:tcW w:w="1060" w:type="dxa"/>
            <w:vAlign w:val="bottom"/>
            <w:tcBorders>
              <w:bottom w:val="single" w:sz="8" w:color="F4EFE7"/>
            </w:tcBorders>
            <w:shd w:val="clear" w:color="auto" w:fill="F4EFE7"/>
          </w:tcPr>
          <w:p>
            <w:pPr>
              <w:spacing w:after="0"/>
              <w:rPr>
                <w:sz w:val="19"/>
                <w:szCs w:val="19"/>
                <w:color w:val="auto"/>
              </w:rPr>
            </w:pPr>
          </w:p>
        </w:tc>
      </w:tr>
      <w:tr>
        <w:trPr>
          <w:trHeight w:val="193"/>
        </w:trPr>
        <w:tc>
          <w:tcPr>
            <w:tcW w:w="4620" w:type="dxa"/>
            <w:vAlign w:val="bottom"/>
            <w:shd w:val="clear" w:color="auto" w:fill="F4EFE7"/>
          </w:tcPr>
          <w:p>
            <w:pPr>
              <w:spacing w:after="0"/>
              <w:rPr>
                <w:sz w:val="16"/>
                <w:szCs w:val="16"/>
                <w:color w:val="auto"/>
              </w:rPr>
            </w:pPr>
          </w:p>
        </w:tc>
        <w:tc>
          <w:tcPr>
            <w:tcW w:w="1280" w:type="dxa"/>
            <w:vAlign w:val="bottom"/>
            <w:shd w:val="clear" w:color="auto" w:fill="F4EFE7"/>
          </w:tcPr>
          <w:p>
            <w:pPr>
              <w:spacing w:after="0"/>
              <w:rPr>
                <w:sz w:val="16"/>
                <w:szCs w:val="16"/>
                <w:color w:val="auto"/>
              </w:rPr>
            </w:pPr>
          </w:p>
        </w:tc>
        <w:tc>
          <w:tcPr>
            <w:tcW w:w="200" w:type="dxa"/>
            <w:vAlign w:val="bottom"/>
            <w:shd w:val="clear" w:color="auto" w:fill="F4EFE7"/>
          </w:tcPr>
          <w:p>
            <w:pPr>
              <w:spacing w:after="0"/>
              <w:rPr>
                <w:sz w:val="16"/>
                <w:szCs w:val="16"/>
                <w:color w:val="auto"/>
              </w:rPr>
            </w:pPr>
          </w:p>
        </w:tc>
        <w:tc>
          <w:tcPr>
            <w:tcW w:w="1040" w:type="dxa"/>
            <w:vAlign w:val="bottom"/>
            <w:shd w:val="clear" w:color="auto" w:fill="F4EFE7"/>
          </w:tcPr>
          <w:p>
            <w:pPr>
              <w:spacing w:after="0"/>
              <w:rPr>
                <w:sz w:val="16"/>
                <w:szCs w:val="16"/>
                <w:color w:val="auto"/>
              </w:rPr>
            </w:pPr>
          </w:p>
        </w:tc>
        <w:tc>
          <w:tcPr>
            <w:tcW w:w="280" w:type="dxa"/>
            <w:vAlign w:val="bottom"/>
            <w:shd w:val="clear" w:color="auto" w:fill="F4EFE7"/>
          </w:tcPr>
          <w:p>
            <w:pPr>
              <w:spacing w:after="0"/>
              <w:rPr>
                <w:sz w:val="16"/>
                <w:szCs w:val="16"/>
                <w:color w:val="auto"/>
              </w:rPr>
            </w:pPr>
          </w:p>
        </w:tc>
        <w:tc>
          <w:tcPr>
            <w:tcW w:w="1360" w:type="dxa"/>
            <w:vAlign w:val="bottom"/>
            <w:shd w:val="clear" w:color="auto" w:fill="F4EFE7"/>
          </w:tcPr>
          <w:p>
            <w:pPr>
              <w:ind w:left="220"/>
              <w:spacing w:after="0"/>
              <w:rPr>
                <w:sz w:val="20"/>
                <w:szCs w:val="20"/>
                <w:color w:val="auto"/>
              </w:rPr>
            </w:pPr>
            <w:r>
              <w:rPr>
                <w:rFonts w:ascii="Arial" w:cs="Arial" w:eastAsia="Arial" w:hAnsi="Arial"/>
                <w:sz w:val="14"/>
                <w:szCs w:val="14"/>
                <w:b w:val="1"/>
                <w:bCs w:val="1"/>
                <w:color w:val="8F5A39"/>
              </w:rPr>
              <w:t>Restricted</w:t>
            </w:r>
          </w:p>
        </w:tc>
        <w:tc>
          <w:tcPr>
            <w:tcW w:w="102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Performance</w:t>
            </w:r>
          </w:p>
        </w:tc>
        <w:tc>
          <w:tcPr>
            <w:tcW w:w="380" w:type="dxa"/>
            <w:vAlign w:val="bottom"/>
            <w:shd w:val="clear" w:color="auto" w:fill="F4EFE7"/>
          </w:tcPr>
          <w:p>
            <w:pPr>
              <w:spacing w:after="0"/>
              <w:rPr>
                <w:sz w:val="16"/>
                <w:szCs w:val="16"/>
                <w:color w:val="auto"/>
              </w:rPr>
            </w:pPr>
          </w:p>
        </w:tc>
        <w:tc>
          <w:tcPr>
            <w:tcW w:w="1060" w:type="dxa"/>
            <w:vAlign w:val="bottom"/>
            <w:shd w:val="clear" w:color="auto" w:fill="F4EFE7"/>
          </w:tcPr>
          <w:p>
            <w:pPr>
              <w:spacing w:after="0"/>
              <w:rPr>
                <w:sz w:val="16"/>
                <w:szCs w:val="16"/>
                <w:color w:val="auto"/>
              </w:rPr>
            </w:pPr>
          </w:p>
        </w:tc>
      </w:tr>
      <w:tr>
        <w:trPr>
          <w:trHeight w:val="205"/>
        </w:trPr>
        <w:tc>
          <w:tcPr>
            <w:tcW w:w="462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Name and principal position</w:t>
            </w:r>
          </w:p>
        </w:tc>
        <w:tc>
          <w:tcPr>
            <w:tcW w:w="1280" w:type="dxa"/>
            <w:vAlign w:val="bottom"/>
            <w:tcBorders>
              <w:bottom w:val="single" w:sz="8" w:color="auto"/>
            </w:tcBorders>
            <w:shd w:val="clear" w:color="auto" w:fill="F4EFE7"/>
          </w:tcPr>
          <w:p>
            <w:pPr>
              <w:jc w:val="right"/>
              <w:ind w:right="41"/>
              <w:spacing w:after="0"/>
              <w:rPr>
                <w:sz w:val="20"/>
                <w:szCs w:val="20"/>
                <w:color w:val="auto"/>
              </w:rPr>
            </w:pPr>
            <w:r>
              <w:rPr>
                <w:rFonts w:ascii="Arial" w:cs="Arial" w:eastAsia="Arial" w:hAnsi="Arial"/>
                <w:sz w:val="14"/>
                <w:szCs w:val="14"/>
                <w:b w:val="1"/>
                <w:bCs w:val="1"/>
                <w:color w:val="8F5A39"/>
              </w:rPr>
              <w:t>Salary</w:t>
            </w:r>
          </w:p>
        </w:tc>
        <w:tc>
          <w:tcPr>
            <w:tcW w:w="200" w:type="dxa"/>
            <w:vAlign w:val="bottom"/>
            <w:tcBorders>
              <w:bottom w:val="single" w:sz="8" w:color="auto"/>
            </w:tcBorders>
            <w:shd w:val="clear" w:color="auto" w:fill="F4EFE7"/>
          </w:tcPr>
          <w:p>
            <w:pPr>
              <w:spacing w:after="0"/>
              <w:rPr>
                <w:sz w:val="17"/>
                <w:szCs w:val="17"/>
                <w:color w:val="auto"/>
              </w:rPr>
            </w:pPr>
          </w:p>
        </w:tc>
        <w:tc>
          <w:tcPr>
            <w:tcW w:w="104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Cash</w:t>
            </w:r>
          </w:p>
        </w:tc>
        <w:tc>
          <w:tcPr>
            <w:tcW w:w="280" w:type="dxa"/>
            <w:vAlign w:val="bottom"/>
            <w:tcBorders>
              <w:bottom w:val="single" w:sz="8" w:color="auto"/>
            </w:tcBorders>
            <w:shd w:val="clear" w:color="auto" w:fill="F4EFE7"/>
          </w:tcPr>
          <w:p>
            <w:pPr>
              <w:spacing w:after="0"/>
              <w:rPr>
                <w:sz w:val="17"/>
                <w:szCs w:val="17"/>
                <w:color w:val="auto"/>
              </w:rPr>
            </w:pPr>
          </w:p>
        </w:tc>
        <w:tc>
          <w:tcPr>
            <w:tcW w:w="1360" w:type="dxa"/>
            <w:vAlign w:val="bottom"/>
            <w:tcBorders>
              <w:bottom w:val="single" w:sz="8" w:color="auto"/>
            </w:tcBorders>
            <w:shd w:val="clear" w:color="auto" w:fill="F4EFE7"/>
          </w:tcPr>
          <w:p>
            <w:pPr>
              <w:ind w:left="140"/>
              <w:spacing w:after="0"/>
              <w:rPr>
                <w:sz w:val="20"/>
                <w:szCs w:val="20"/>
                <w:color w:val="auto"/>
              </w:rPr>
            </w:pPr>
            <w:r>
              <w:rPr>
                <w:rFonts w:ascii="Arial" w:cs="Arial" w:eastAsia="Arial" w:hAnsi="Arial"/>
                <w:sz w:val="14"/>
                <w:szCs w:val="14"/>
                <w:b w:val="1"/>
                <w:bCs w:val="1"/>
                <w:color w:val="8F5A39"/>
              </w:rPr>
              <w:t>Stock Units</w:t>
            </w:r>
          </w:p>
        </w:tc>
        <w:tc>
          <w:tcPr>
            <w:tcW w:w="102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Share Units</w:t>
            </w:r>
          </w:p>
        </w:tc>
        <w:tc>
          <w:tcPr>
            <w:tcW w:w="380" w:type="dxa"/>
            <w:vAlign w:val="bottom"/>
            <w:tcBorders>
              <w:bottom w:val="single" w:sz="8" w:color="auto"/>
            </w:tcBorders>
            <w:shd w:val="clear" w:color="auto" w:fill="F4EFE7"/>
          </w:tcPr>
          <w:p>
            <w:pPr>
              <w:spacing w:after="0"/>
              <w:rPr>
                <w:sz w:val="17"/>
                <w:szCs w:val="17"/>
                <w:color w:val="auto"/>
              </w:rPr>
            </w:pPr>
          </w:p>
        </w:tc>
        <w:tc>
          <w:tcPr>
            <w:tcW w:w="106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Total</w:t>
            </w:r>
          </w:p>
        </w:tc>
      </w:tr>
      <w:tr>
        <w:trPr>
          <w:trHeight w:val="176"/>
        </w:trPr>
        <w:tc>
          <w:tcPr>
            <w:tcW w:w="4620" w:type="dxa"/>
            <w:vAlign w:val="bottom"/>
          </w:tcPr>
          <w:p>
            <w:pPr>
              <w:ind w:left="20"/>
              <w:spacing w:after="0" w:line="175" w:lineRule="exact"/>
              <w:rPr>
                <w:sz w:val="20"/>
                <w:szCs w:val="20"/>
                <w:color w:val="auto"/>
              </w:rPr>
            </w:pPr>
            <w:r>
              <w:rPr>
                <w:rFonts w:ascii="Arial" w:cs="Arial" w:eastAsia="Arial" w:hAnsi="Arial"/>
                <w:sz w:val="16"/>
                <w:szCs w:val="16"/>
                <w:b w:val="1"/>
                <w:bCs w:val="1"/>
                <w:color w:val="8F5A39"/>
              </w:rPr>
              <w:t>James Dimon</w:t>
            </w:r>
          </w:p>
        </w:tc>
        <w:tc>
          <w:tcPr>
            <w:tcW w:w="1280" w:type="dxa"/>
            <w:vAlign w:val="bottom"/>
          </w:tcPr>
          <w:p>
            <w:pPr>
              <w:jc w:val="right"/>
              <w:ind w:right="101"/>
              <w:spacing w:after="0" w:line="175" w:lineRule="exact"/>
              <w:rPr>
                <w:sz w:val="20"/>
                <w:szCs w:val="20"/>
                <w:color w:val="auto"/>
              </w:rPr>
            </w:pPr>
            <w:r>
              <w:rPr>
                <w:rFonts w:ascii="Arial" w:cs="Arial" w:eastAsia="Arial" w:hAnsi="Arial"/>
                <w:sz w:val="16"/>
                <w:szCs w:val="16"/>
                <w:color w:val="auto"/>
              </w:rPr>
              <w:t>$   1,500,000</w:t>
            </w:r>
          </w:p>
        </w:tc>
        <w:tc>
          <w:tcPr>
            <w:tcW w:w="200" w:type="dxa"/>
            <w:vAlign w:val="bottom"/>
          </w:tcPr>
          <w:p>
            <w:pPr>
              <w:jc w:val="right"/>
              <w:ind w:right="19"/>
              <w:spacing w:after="0" w:line="175"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line="175" w:lineRule="exact"/>
              <w:rPr>
                <w:sz w:val="20"/>
                <w:szCs w:val="20"/>
                <w:color w:val="auto"/>
              </w:rPr>
            </w:pPr>
            <w:r>
              <w:rPr>
                <w:rFonts w:ascii="Arial" w:cs="Arial" w:eastAsia="Arial" w:hAnsi="Arial"/>
                <w:sz w:val="16"/>
                <w:szCs w:val="16"/>
                <w:color w:val="auto"/>
              </w:rPr>
              <w:t>5,000,000</w:t>
            </w:r>
          </w:p>
        </w:tc>
        <w:tc>
          <w:tcPr>
            <w:tcW w:w="280" w:type="dxa"/>
            <w:vAlign w:val="bottom"/>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1360" w:type="dxa"/>
            <w:vAlign w:val="bottom"/>
          </w:tcPr>
          <w:p>
            <w:pPr>
              <w:ind w:left="720"/>
              <w:spacing w:after="0" w:line="175" w:lineRule="exact"/>
              <w:rPr>
                <w:sz w:val="20"/>
                <w:szCs w:val="20"/>
                <w:color w:val="auto"/>
              </w:rPr>
            </w:pPr>
            <w:r>
              <w:rPr>
                <w:rFonts w:ascii="Arial" w:cs="Arial" w:eastAsia="Arial" w:hAnsi="Arial"/>
                <w:sz w:val="16"/>
                <w:szCs w:val="16"/>
                <w:color w:val="auto"/>
              </w:rPr>
              <w:t>—  $</w:t>
            </w:r>
          </w:p>
        </w:tc>
        <w:tc>
          <w:tcPr>
            <w:tcW w:w="1020" w:type="dxa"/>
            <w:vAlign w:val="bottom"/>
          </w:tcPr>
          <w:p>
            <w:pPr>
              <w:jc w:val="right"/>
              <w:ind w:right="2"/>
              <w:spacing w:after="0" w:line="175" w:lineRule="exact"/>
              <w:rPr>
                <w:sz w:val="20"/>
                <w:szCs w:val="20"/>
                <w:color w:val="auto"/>
              </w:rPr>
            </w:pPr>
            <w:r>
              <w:rPr>
                <w:rFonts w:ascii="Arial" w:cs="Arial" w:eastAsia="Arial" w:hAnsi="Arial"/>
                <w:sz w:val="16"/>
                <w:szCs w:val="16"/>
                <w:color w:val="auto"/>
              </w:rPr>
              <w:t>36,500,000</w:t>
            </w:r>
          </w:p>
        </w:tc>
        <w:tc>
          <w:tcPr>
            <w:tcW w:w="380" w:type="dxa"/>
            <w:vAlign w:val="bottom"/>
          </w:tcPr>
          <w:p>
            <w:pPr>
              <w:jc w:val="right"/>
              <w:ind w:right="99"/>
              <w:spacing w:after="0" w:line="175"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line="175" w:lineRule="exact"/>
              <w:rPr>
                <w:sz w:val="20"/>
                <w:szCs w:val="20"/>
                <w:color w:val="auto"/>
              </w:rPr>
            </w:pPr>
            <w:r>
              <w:rPr>
                <w:rFonts w:ascii="Arial" w:cs="Arial" w:eastAsia="Arial" w:hAnsi="Arial"/>
                <w:sz w:val="16"/>
                <w:szCs w:val="16"/>
                <w:color w:val="auto"/>
              </w:rPr>
              <w:t>43,000,000</w:t>
            </w: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color w:val="auto"/>
              </w:rPr>
              <w:t>Chairman and CEO</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69"/>
        </w:trPr>
        <w:tc>
          <w:tcPr>
            <w:tcW w:w="4620" w:type="dxa"/>
            <w:vAlign w:val="bottom"/>
            <w:tcBorders>
              <w:bottom w:val="single" w:sz="8" w:color="B3B3B3"/>
            </w:tcBorders>
          </w:tcPr>
          <w:p>
            <w:pPr>
              <w:spacing w:after="0"/>
              <w:rPr>
                <w:sz w:val="5"/>
                <w:szCs w:val="5"/>
                <w:color w:val="auto"/>
              </w:rPr>
            </w:pPr>
          </w:p>
        </w:tc>
        <w:tc>
          <w:tcPr>
            <w:tcW w:w="1280" w:type="dxa"/>
            <w:vAlign w:val="bottom"/>
            <w:tcBorders>
              <w:bottom w:val="single" w:sz="8" w:color="B3B3B3"/>
            </w:tcBorders>
          </w:tcPr>
          <w:p>
            <w:pPr>
              <w:spacing w:after="0"/>
              <w:rPr>
                <w:sz w:val="5"/>
                <w:szCs w:val="5"/>
                <w:color w:val="auto"/>
              </w:rPr>
            </w:pPr>
          </w:p>
        </w:tc>
        <w:tc>
          <w:tcPr>
            <w:tcW w:w="200" w:type="dxa"/>
            <w:vAlign w:val="bottom"/>
            <w:tcBorders>
              <w:bottom w:val="single" w:sz="8" w:color="B3B3B3"/>
            </w:tcBorders>
          </w:tcPr>
          <w:p>
            <w:pPr>
              <w:spacing w:after="0"/>
              <w:rPr>
                <w:sz w:val="5"/>
                <w:szCs w:val="5"/>
                <w:color w:val="auto"/>
              </w:rPr>
            </w:pPr>
          </w:p>
        </w:tc>
        <w:tc>
          <w:tcPr>
            <w:tcW w:w="1040" w:type="dxa"/>
            <w:vAlign w:val="bottom"/>
            <w:tcBorders>
              <w:bottom w:val="single" w:sz="8" w:color="B3B3B3"/>
            </w:tcBorders>
          </w:tcPr>
          <w:p>
            <w:pPr>
              <w:spacing w:after="0"/>
              <w:rPr>
                <w:sz w:val="5"/>
                <w:szCs w:val="5"/>
                <w:color w:val="auto"/>
              </w:rPr>
            </w:pPr>
          </w:p>
        </w:tc>
        <w:tc>
          <w:tcPr>
            <w:tcW w:w="280" w:type="dxa"/>
            <w:vAlign w:val="bottom"/>
            <w:tcBorders>
              <w:bottom w:val="single" w:sz="8" w:color="B3B3B3"/>
            </w:tcBorders>
          </w:tcPr>
          <w:p>
            <w:pPr>
              <w:spacing w:after="0"/>
              <w:rPr>
                <w:sz w:val="5"/>
                <w:szCs w:val="5"/>
                <w:color w:val="auto"/>
              </w:rPr>
            </w:pPr>
          </w:p>
        </w:tc>
        <w:tc>
          <w:tcPr>
            <w:tcW w:w="1360" w:type="dxa"/>
            <w:vAlign w:val="bottom"/>
            <w:tcBorders>
              <w:bottom w:val="single" w:sz="8" w:color="B3B3B3"/>
            </w:tcBorders>
          </w:tcPr>
          <w:p>
            <w:pPr>
              <w:spacing w:after="0"/>
              <w:rPr>
                <w:sz w:val="5"/>
                <w:szCs w:val="5"/>
                <w:color w:val="auto"/>
              </w:rPr>
            </w:pPr>
          </w:p>
        </w:tc>
        <w:tc>
          <w:tcPr>
            <w:tcW w:w="1020" w:type="dxa"/>
            <w:vAlign w:val="bottom"/>
            <w:tcBorders>
              <w:bottom w:val="single" w:sz="8" w:color="B3B3B3"/>
            </w:tcBorders>
          </w:tcPr>
          <w:p>
            <w:pPr>
              <w:spacing w:after="0"/>
              <w:rPr>
                <w:sz w:val="5"/>
                <w:szCs w:val="5"/>
                <w:color w:val="auto"/>
              </w:rPr>
            </w:pPr>
          </w:p>
        </w:tc>
        <w:tc>
          <w:tcPr>
            <w:tcW w:w="380" w:type="dxa"/>
            <w:vAlign w:val="bottom"/>
            <w:tcBorders>
              <w:bottom w:val="single" w:sz="8" w:color="B3B3B3"/>
            </w:tcBorders>
          </w:tcPr>
          <w:p>
            <w:pPr>
              <w:spacing w:after="0"/>
              <w:rPr>
                <w:sz w:val="5"/>
                <w:szCs w:val="5"/>
                <w:color w:val="auto"/>
              </w:rPr>
            </w:pPr>
          </w:p>
        </w:tc>
        <w:tc>
          <w:tcPr>
            <w:tcW w:w="1060" w:type="dxa"/>
            <w:vAlign w:val="bottom"/>
            <w:tcBorders>
              <w:bottom w:val="single" w:sz="8" w:color="B3B3B3"/>
            </w:tcBorders>
          </w:tcPr>
          <w:p>
            <w:pPr>
              <w:spacing w:after="0"/>
              <w:rPr>
                <w:sz w:val="5"/>
                <w:szCs w:val="5"/>
                <w:color w:val="auto"/>
              </w:rPr>
            </w:pPr>
          </w:p>
        </w:tc>
      </w:tr>
      <w:tr>
        <w:trPr>
          <w:trHeight w:val="169"/>
        </w:trPr>
        <w:tc>
          <w:tcPr>
            <w:tcW w:w="4620" w:type="dxa"/>
            <w:vAlign w:val="bottom"/>
          </w:tcPr>
          <w:p>
            <w:pPr>
              <w:ind w:left="20"/>
              <w:spacing w:after="0" w:line="169" w:lineRule="exact"/>
              <w:rPr>
                <w:sz w:val="20"/>
                <w:szCs w:val="20"/>
                <w:color w:val="auto"/>
              </w:rPr>
            </w:pPr>
            <w:r>
              <w:rPr>
                <w:rFonts w:ascii="Arial" w:cs="Arial" w:eastAsia="Arial" w:hAnsi="Arial"/>
                <w:sz w:val="16"/>
                <w:szCs w:val="16"/>
                <w:b w:val="1"/>
                <w:bCs w:val="1"/>
                <w:color w:val="8F5A39"/>
              </w:rPr>
              <w:t>Mary Callahan Erdoes</w:t>
            </w:r>
          </w:p>
        </w:tc>
        <w:tc>
          <w:tcPr>
            <w:tcW w:w="1280" w:type="dxa"/>
            <w:vAlign w:val="bottom"/>
          </w:tcPr>
          <w:p>
            <w:pPr>
              <w:jc w:val="right"/>
              <w:ind w:right="101"/>
              <w:spacing w:after="0" w:line="169" w:lineRule="exact"/>
              <w:rPr>
                <w:sz w:val="20"/>
                <w:szCs w:val="20"/>
                <w:color w:val="auto"/>
              </w:rPr>
            </w:pPr>
            <w:r>
              <w:rPr>
                <w:rFonts w:ascii="Arial" w:cs="Arial" w:eastAsia="Arial" w:hAnsi="Arial"/>
                <w:sz w:val="16"/>
                <w:szCs w:val="16"/>
                <w:color w:val="auto"/>
              </w:rPr>
              <w:t>1,000,000</w:t>
            </w:r>
          </w:p>
        </w:tc>
        <w:tc>
          <w:tcPr>
            <w:tcW w:w="200" w:type="dxa"/>
            <w:vAlign w:val="bottom"/>
          </w:tcPr>
          <w:p>
            <w:pPr>
              <w:spacing w:after="0"/>
              <w:rPr>
                <w:sz w:val="14"/>
                <w:szCs w:val="14"/>
                <w:color w:val="auto"/>
              </w:rPr>
            </w:pPr>
          </w:p>
        </w:tc>
        <w:tc>
          <w:tcPr>
            <w:tcW w:w="1040" w:type="dxa"/>
            <w:vAlign w:val="bottom"/>
          </w:tcPr>
          <w:p>
            <w:pPr>
              <w:jc w:val="right"/>
              <w:ind w:right="42"/>
              <w:spacing w:after="0" w:line="169" w:lineRule="exact"/>
              <w:rPr>
                <w:sz w:val="20"/>
                <w:szCs w:val="20"/>
                <w:color w:val="auto"/>
              </w:rPr>
            </w:pPr>
            <w:r>
              <w:rPr>
                <w:rFonts w:ascii="Arial" w:cs="Arial" w:eastAsia="Arial" w:hAnsi="Arial"/>
                <w:sz w:val="16"/>
                <w:szCs w:val="16"/>
                <w:color w:val="auto"/>
              </w:rPr>
              <w:t>12,000,000</w:t>
            </w:r>
          </w:p>
        </w:tc>
        <w:tc>
          <w:tcPr>
            <w:tcW w:w="280" w:type="dxa"/>
            <w:vAlign w:val="bottom"/>
          </w:tcPr>
          <w:p>
            <w:pPr>
              <w:spacing w:after="0"/>
              <w:rPr>
                <w:sz w:val="14"/>
                <w:szCs w:val="14"/>
                <w:color w:val="auto"/>
              </w:rPr>
            </w:pPr>
          </w:p>
        </w:tc>
        <w:tc>
          <w:tcPr>
            <w:tcW w:w="1360" w:type="dxa"/>
            <w:vAlign w:val="bottom"/>
          </w:tcPr>
          <w:p>
            <w:pPr>
              <w:ind w:left="160"/>
              <w:spacing w:after="0" w:line="169" w:lineRule="exact"/>
              <w:rPr>
                <w:sz w:val="20"/>
                <w:szCs w:val="20"/>
                <w:color w:val="auto"/>
              </w:rPr>
            </w:pPr>
            <w:r>
              <w:rPr>
                <w:rFonts w:ascii="Arial" w:cs="Arial" w:eastAsia="Arial" w:hAnsi="Arial"/>
                <w:sz w:val="16"/>
                <w:szCs w:val="16"/>
                <w:color w:val="auto"/>
              </w:rPr>
              <w:t>9,000,000</w:t>
            </w:r>
          </w:p>
        </w:tc>
        <w:tc>
          <w:tcPr>
            <w:tcW w:w="1020" w:type="dxa"/>
            <w:vAlign w:val="bottom"/>
          </w:tcPr>
          <w:p>
            <w:pPr>
              <w:jc w:val="right"/>
              <w:ind w:right="2"/>
              <w:spacing w:after="0" w:line="169" w:lineRule="exact"/>
              <w:rPr>
                <w:sz w:val="20"/>
                <w:szCs w:val="20"/>
                <w:color w:val="auto"/>
              </w:rPr>
            </w:pPr>
            <w:r>
              <w:rPr>
                <w:rFonts w:ascii="Arial" w:cs="Arial" w:eastAsia="Arial" w:hAnsi="Arial"/>
                <w:sz w:val="16"/>
                <w:szCs w:val="16"/>
                <w:color w:val="auto"/>
              </w:rPr>
              <w:t>9,000,000</w:t>
            </w:r>
          </w:p>
        </w:tc>
        <w:tc>
          <w:tcPr>
            <w:tcW w:w="380" w:type="dxa"/>
            <w:vAlign w:val="bottom"/>
          </w:tcPr>
          <w:p>
            <w:pPr>
              <w:spacing w:after="0"/>
              <w:rPr>
                <w:sz w:val="14"/>
                <w:szCs w:val="14"/>
                <w:color w:val="auto"/>
              </w:rPr>
            </w:pPr>
          </w:p>
        </w:tc>
        <w:tc>
          <w:tcPr>
            <w:tcW w:w="1060" w:type="dxa"/>
            <w:vAlign w:val="bottom"/>
          </w:tcPr>
          <w:p>
            <w:pPr>
              <w:jc w:val="right"/>
              <w:ind w:right="1"/>
              <w:spacing w:after="0" w:line="169" w:lineRule="exact"/>
              <w:rPr>
                <w:sz w:val="20"/>
                <w:szCs w:val="20"/>
                <w:color w:val="auto"/>
              </w:rPr>
            </w:pPr>
            <w:r>
              <w:rPr>
                <w:rFonts w:ascii="Arial" w:cs="Arial" w:eastAsia="Arial" w:hAnsi="Arial"/>
                <w:sz w:val="16"/>
                <w:szCs w:val="16"/>
                <w:color w:val="auto"/>
              </w:rPr>
              <w:t>31,000,000</w:t>
            </w: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color w:val="auto"/>
              </w:rPr>
              <w:t>CEO, Asset &amp; Wealth Management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69"/>
        </w:trPr>
        <w:tc>
          <w:tcPr>
            <w:tcW w:w="4620" w:type="dxa"/>
            <w:vAlign w:val="bottom"/>
            <w:tcBorders>
              <w:bottom w:val="single" w:sz="8" w:color="B3B3B3"/>
            </w:tcBorders>
          </w:tcPr>
          <w:p>
            <w:pPr>
              <w:spacing w:after="0"/>
              <w:rPr>
                <w:sz w:val="5"/>
                <w:szCs w:val="5"/>
                <w:color w:val="auto"/>
              </w:rPr>
            </w:pPr>
          </w:p>
        </w:tc>
        <w:tc>
          <w:tcPr>
            <w:tcW w:w="1280" w:type="dxa"/>
            <w:vAlign w:val="bottom"/>
            <w:tcBorders>
              <w:bottom w:val="single" w:sz="8" w:color="B3B3B3"/>
            </w:tcBorders>
          </w:tcPr>
          <w:p>
            <w:pPr>
              <w:spacing w:after="0"/>
              <w:rPr>
                <w:sz w:val="5"/>
                <w:szCs w:val="5"/>
                <w:color w:val="auto"/>
              </w:rPr>
            </w:pPr>
          </w:p>
        </w:tc>
        <w:tc>
          <w:tcPr>
            <w:tcW w:w="200" w:type="dxa"/>
            <w:vAlign w:val="bottom"/>
            <w:tcBorders>
              <w:bottom w:val="single" w:sz="8" w:color="B3B3B3"/>
            </w:tcBorders>
          </w:tcPr>
          <w:p>
            <w:pPr>
              <w:spacing w:after="0"/>
              <w:rPr>
                <w:sz w:val="5"/>
                <w:szCs w:val="5"/>
                <w:color w:val="auto"/>
              </w:rPr>
            </w:pPr>
          </w:p>
        </w:tc>
        <w:tc>
          <w:tcPr>
            <w:tcW w:w="1040" w:type="dxa"/>
            <w:vAlign w:val="bottom"/>
            <w:tcBorders>
              <w:bottom w:val="single" w:sz="8" w:color="B3B3B3"/>
            </w:tcBorders>
          </w:tcPr>
          <w:p>
            <w:pPr>
              <w:spacing w:after="0"/>
              <w:rPr>
                <w:sz w:val="5"/>
                <w:szCs w:val="5"/>
                <w:color w:val="auto"/>
              </w:rPr>
            </w:pPr>
          </w:p>
        </w:tc>
        <w:tc>
          <w:tcPr>
            <w:tcW w:w="280" w:type="dxa"/>
            <w:vAlign w:val="bottom"/>
            <w:tcBorders>
              <w:bottom w:val="single" w:sz="8" w:color="B3B3B3"/>
            </w:tcBorders>
          </w:tcPr>
          <w:p>
            <w:pPr>
              <w:spacing w:after="0"/>
              <w:rPr>
                <w:sz w:val="5"/>
                <w:szCs w:val="5"/>
                <w:color w:val="auto"/>
              </w:rPr>
            </w:pPr>
          </w:p>
        </w:tc>
        <w:tc>
          <w:tcPr>
            <w:tcW w:w="1360" w:type="dxa"/>
            <w:vAlign w:val="bottom"/>
            <w:tcBorders>
              <w:bottom w:val="single" w:sz="8" w:color="B3B3B3"/>
            </w:tcBorders>
          </w:tcPr>
          <w:p>
            <w:pPr>
              <w:spacing w:after="0"/>
              <w:rPr>
                <w:sz w:val="5"/>
                <w:szCs w:val="5"/>
                <w:color w:val="auto"/>
              </w:rPr>
            </w:pPr>
          </w:p>
        </w:tc>
        <w:tc>
          <w:tcPr>
            <w:tcW w:w="1020" w:type="dxa"/>
            <w:vAlign w:val="bottom"/>
            <w:tcBorders>
              <w:bottom w:val="single" w:sz="8" w:color="B3B3B3"/>
            </w:tcBorders>
          </w:tcPr>
          <w:p>
            <w:pPr>
              <w:spacing w:after="0"/>
              <w:rPr>
                <w:sz w:val="5"/>
                <w:szCs w:val="5"/>
                <w:color w:val="auto"/>
              </w:rPr>
            </w:pPr>
          </w:p>
        </w:tc>
        <w:tc>
          <w:tcPr>
            <w:tcW w:w="380" w:type="dxa"/>
            <w:vAlign w:val="bottom"/>
            <w:tcBorders>
              <w:bottom w:val="single" w:sz="8" w:color="B3B3B3"/>
            </w:tcBorders>
          </w:tcPr>
          <w:p>
            <w:pPr>
              <w:spacing w:after="0"/>
              <w:rPr>
                <w:sz w:val="5"/>
                <w:szCs w:val="5"/>
                <w:color w:val="auto"/>
              </w:rPr>
            </w:pPr>
          </w:p>
        </w:tc>
        <w:tc>
          <w:tcPr>
            <w:tcW w:w="1060" w:type="dxa"/>
            <w:vAlign w:val="bottom"/>
            <w:tcBorders>
              <w:bottom w:val="single" w:sz="8" w:color="B3B3B3"/>
            </w:tcBorders>
          </w:tcPr>
          <w:p>
            <w:pPr>
              <w:spacing w:after="0"/>
              <w:rPr>
                <w:sz w:val="5"/>
                <w:szCs w:val="5"/>
                <w:color w:val="auto"/>
              </w:rPr>
            </w:pPr>
          </w:p>
        </w:tc>
      </w:tr>
      <w:tr>
        <w:trPr>
          <w:trHeight w:val="169"/>
        </w:trPr>
        <w:tc>
          <w:tcPr>
            <w:tcW w:w="4620" w:type="dxa"/>
            <w:vAlign w:val="bottom"/>
          </w:tcPr>
          <w:p>
            <w:pPr>
              <w:ind w:left="20"/>
              <w:spacing w:after="0" w:line="169" w:lineRule="exact"/>
              <w:rPr>
                <w:sz w:val="20"/>
                <w:szCs w:val="20"/>
                <w:color w:val="auto"/>
              </w:rPr>
            </w:pPr>
            <w:r>
              <w:rPr>
                <w:rFonts w:ascii="Arial" w:cs="Arial" w:eastAsia="Arial" w:hAnsi="Arial"/>
                <w:sz w:val="16"/>
                <w:szCs w:val="16"/>
                <w:b w:val="1"/>
                <w:bCs w:val="1"/>
                <w:color w:val="8F5A39"/>
              </w:rPr>
              <w:t>Troy Rohrbaugh</w:t>
            </w:r>
          </w:p>
        </w:tc>
        <w:tc>
          <w:tcPr>
            <w:tcW w:w="1280" w:type="dxa"/>
            <w:vAlign w:val="bottom"/>
          </w:tcPr>
          <w:p>
            <w:pPr>
              <w:jc w:val="right"/>
              <w:ind w:right="101"/>
              <w:spacing w:after="0" w:line="169" w:lineRule="exact"/>
              <w:rPr>
                <w:sz w:val="20"/>
                <w:szCs w:val="20"/>
                <w:color w:val="auto"/>
              </w:rPr>
            </w:pPr>
            <w:r>
              <w:rPr>
                <w:rFonts w:ascii="Arial" w:cs="Arial" w:eastAsia="Arial" w:hAnsi="Arial"/>
                <w:sz w:val="16"/>
                <w:szCs w:val="16"/>
                <w:color w:val="auto"/>
              </w:rPr>
              <w:t>1,000,000</w:t>
            </w:r>
          </w:p>
        </w:tc>
        <w:tc>
          <w:tcPr>
            <w:tcW w:w="200" w:type="dxa"/>
            <w:vAlign w:val="bottom"/>
          </w:tcPr>
          <w:p>
            <w:pPr>
              <w:spacing w:after="0"/>
              <w:rPr>
                <w:sz w:val="14"/>
                <w:szCs w:val="14"/>
                <w:color w:val="auto"/>
              </w:rPr>
            </w:pPr>
          </w:p>
        </w:tc>
        <w:tc>
          <w:tcPr>
            <w:tcW w:w="1040" w:type="dxa"/>
            <w:vAlign w:val="bottom"/>
          </w:tcPr>
          <w:p>
            <w:pPr>
              <w:jc w:val="right"/>
              <w:ind w:right="42"/>
              <w:spacing w:after="0" w:line="169" w:lineRule="exact"/>
              <w:rPr>
                <w:sz w:val="20"/>
                <w:szCs w:val="20"/>
                <w:color w:val="auto"/>
              </w:rPr>
            </w:pPr>
            <w:r>
              <w:rPr>
                <w:rFonts w:ascii="Arial" w:cs="Arial" w:eastAsia="Arial" w:hAnsi="Arial"/>
                <w:sz w:val="16"/>
                <w:szCs w:val="16"/>
                <w:color w:val="auto"/>
              </w:rPr>
              <w:t>10,600,000</w:t>
            </w:r>
          </w:p>
        </w:tc>
        <w:tc>
          <w:tcPr>
            <w:tcW w:w="280" w:type="dxa"/>
            <w:vAlign w:val="bottom"/>
          </w:tcPr>
          <w:p>
            <w:pPr>
              <w:spacing w:after="0"/>
              <w:rPr>
                <w:sz w:val="14"/>
                <w:szCs w:val="14"/>
                <w:color w:val="auto"/>
              </w:rPr>
            </w:pPr>
          </w:p>
        </w:tc>
        <w:tc>
          <w:tcPr>
            <w:tcW w:w="1360" w:type="dxa"/>
            <w:vAlign w:val="bottom"/>
          </w:tcPr>
          <w:p>
            <w:pPr>
              <w:ind w:left="160"/>
              <w:spacing w:after="0" w:line="169" w:lineRule="exact"/>
              <w:rPr>
                <w:sz w:val="20"/>
                <w:szCs w:val="20"/>
                <w:color w:val="auto"/>
              </w:rPr>
            </w:pPr>
            <w:r>
              <w:rPr>
                <w:rFonts w:ascii="Arial" w:cs="Arial" w:eastAsia="Arial" w:hAnsi="Arial"/>
                <w:sz w:val="16"/>
                <w:szCs w:val="16"/>
                <w:color w:val="auto"/>
              </w:rPr>
              <w:t>7,950,000</w:t>
            </w:r>
          </w:p>
        </w:tc>
        <w:tc>
          <w:tcPr>
            <w:tcW w:w="1020" w:type="dxa"/>
            <w:vAlign w:val="bottom"/>
          </w:tcPr>
          <w:p>
            <w:pPr>
              <w:jc w:val="right"/>
              <w:ind w:right="2"/>
              <w:spacing w:after="0" w:line="169" w:lineRule="exact"/>
              <w:rPr>
                <w:sz w:val="20"/>
                <w:szCs w:val="20"/>
                <w:color w:val="auto"/>
              </w:rPr>
            </w:pPr>
            <w:r>
              <w:rPr>
                <w:rFonts w:ascii="Arial" w:cs="Arial" w:eastAsia="Arial" w:hAnsi="Arial"/>
                <w:sz w:val="16"/>
                <w:szCs w:val="16"/>
                <w:color w:val="auto"/>
              </w:rPr>
              <w:t>7,950,000</w:t>
            </w:r>
          </w:p>
        </w:tc>
        <w:tc>
          <w:tcPr>
            <w:tcW w:w="380" w:type="dxa"/>
            <w:vAlign w:val="bottom"/>
          </w:tcPr>
          <w:p>
            <w:pPr>
              <w:spacing w:after="0"/>
              <w:rPr>
                <w:sz w:val="14"/>
                <w:szCs w:val="14"/>
                <w:color w:val="auto"/>
              </w:rPr>
            </w:pPr>
          </w:p>
        </w:tc>
        <w:tc>
          <w:tcPr>
            <w:tcW w:w="1060" w:type="dxa"/>
            <w:vAlign w:val="bottom"/>
          </w:tcPr>
          <w:p>
            <w:pPr>
              <w:jc w:val="right"/>
              <w:ind w:right="1"/>
              <w:spacing w:after="0" w:line="169" w:lineRule="exact"/>
              <w:rPr>
                <w:sz w:val="20"/>
                <w:szCs w:val="20"/>
                <w:color w:val="auto"/>
              </w:rPr>
            </w:pPr>
            <w:r>
              <w:rPr>
                <w:rFonts w:ascii="Arial" w:cs="Arial" w:eastAsia="Arial" w:hAnsi="Arial"/>
                <w:sz w:val="16"/>
                <w:szCs w:val="16"/>
                <w:color w:val="auto"/>
              </w:rPr>
              <w:t>27,500,000</w:t>
            </w: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color w:val="auto"/>
              </w:rPr>
              <w:t>Co-CEO, Commercial &amp; Investment Bank</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69"/>
        </w:trPr>
        <w:tc>
          <w:tcPr>
            <w:tcW w:w="4620" w:type="dxa"/>
            <w:vAlign w:val="bottom"/>
            <w:tcBorders>
              <w:bottom w:val="single" w:sz="8" w:color="B3B3B3"/>
            </w:tcBorders>
          </w:tcPr>
          <w:p>
            <w:pPr>
              <w:spacing w:after="0"/>
              <w:rPr>
                <w:sz w:val="5"/>
                <w:szCs w:val="5"/>
                <w:color w:val="auto"/>
              </w:rPr>
            </w:pPr>
          </w:p>
        </w:tc>
        <w:tc>
          <w:tcPr>
            <w:tcW w:w="1280" w:type="dxa"/>
            <w:vAlign w:val="bottom"/>
            <w:tcBorders>
              <w:bottom w:val="single" w:sz="8" w:color="B3B3B3"/>
            </w:tcBorders>
          </w:tcPr>
          <w:p>
            <w:pPr>
              <w:spacing w:after="0"/>
              <w:rPr>
                <w:sz w:val="5"/>
                <w:szCs w:val="5"/>
                <w:color w:val="auto"/>
              </w:rPr>
            </w:pPr>
          </w:p>
        </w:tc>
        <w:tc>
          <w:tcPr>
            <w:tcW w:w="200" w:type="dxa"/>
            <w:vAlign w:val="bottom"/>
            <w:tcBorders>
              <w:bottom w:val="single" w:sz="8" w:color="B3B3B3"/>
            </w:tcBorders>
          </w:tcPr>
          <w:p>
            <w:pPr>
              <w:spacing w:after="0"/>
              <w:rPr>
                <w:sz w:val="5"/>
                <w:szCs w:val="5"/>
                <w:color w:val="auto"/>
              </w:rPr>
            </w:pPr>
          </w:p>
        </w:tc>
        <w:tc>
          <w:tcPr>
            <w:tcW w:w="1040" w:type="dxa"/>
            <w:vAlign w:val="bottom"/>
            <w:tcBorders>
              <w:bottom w:val="single" w:sz="8" w:color="B3B3B3"/>
            </w:tcBorders>
          </w:tcPr>
          <w:p>
            <w:pPr>
              <w:spacing w:after="0"/>
              <w:rPr>
                <w:sz w:val="5"/>
                <w:szCs w:val="5"/>
                <w:color w:val="auto"/>
              </w:rPr>
            </w:pPr>
          </w:p>
        </w:tc>
        <w:tc>
          <w:tcPr>
            <w:tcW w:w="280" w:type="dxa"/>
            <w:vAlign w:val="bottom"/>
            <w:tcBorders>
              <w:bottom w:val="single" w:sz="8" w:color="B3B3B3"/>
            </w:tcBorders>
          </w:tcPr>
          <w:p>
            <w:pPr>
              <w:spacing w:after="0"/>
              <w:rPr>
                <w:sz w:val="5"/>
                <w:szCs w:val="5"/>
                <w:color w:val="auto"/>
              </w:rPr>
            </w:pPr>
          </w:p>
        </w:tc>
        <w:tc>
          <w:tcPr>
            <w:tcW w:w="1360" w:type="dxa"/>
            <w:vAlign w:val="bottom"/>
            <w:tcBorders>
              <w:bottom w:val="single" w:sz="8" w:color="B3B3B3"/>
            </w:tcBorders>
          </w:tcPr>
          <w:p>
            <w:pPr>
              <w:spacing w:after="0"/>
              <w:rPr>
                <w:sz w:val="5"/>
                <w:szCs w:val="5"/>
                <w:color w:val="auto"/>
              </w:rPr>
            </w:pPr>
          </w:p>
        </w:tc>
        <w:tc>
          <w:tcPr>
            <w:tcW w:w="1020" w:type="dxa"/>
            <w:vAlign w:val="bottom"/>
            <w:tcBorders>
              <w:bottom w:val="single" w:sz="8" w:color="B3B3B3"/>
            </w:tcBorders>
          </w:tcPr>
          <w:p>
            <w:pPr>
              <w:spacing w:after="0"/>
              <w:rPr>
                <w:sz w:val="5"/>
                <w:szCs w:val="5"/>
                <w:color w:val="auto"/>
              </w:rPr>
            </w:pPr>
          </w:p>
        </w:tc>
        <w:tc>
          <w:tcPr>
            <w:tcW w:w="380" w:type="dxa"/>
            <w:vAlign w:val="bottom"/>
            <w:tcBorders>
              <w:bottom w:val="single" w:sz="8" w:color="B3B3B3"/>
            </w:tcBorders>
          </w:tcPr>
          <w:p>
            <w:pPr>
              <w:spacing w:after="0"/>
              <w:rPr>
                <w:sz w:val="5"/>
                <w:szCs w:val="5"/>
                <w:color w:val="auto"/>
              </w:rPr>
            </w:pPr>
          </w:p>
        </w:tc>
        <w:tc>
          <w:tcPr>
            <w:tcW w:w="1060" w:type="dxa"/>
            <w:vAlign w:val="bottom"/>
            <w:tcBorders>
              <w:bottom w:val="single" w:sz="8" w:color="B3B3B3"/>
            </w:tcBorders>
          </w:tcPr>
          <w:p>
            <w:pPr>
              <w:spacing w:after="0"/>
              <w:rPr>
                <w:sz w:val="5"/>
                <w:szCs w:val="5"/>
                <w:color w:val="auto"/>
              </w:rPr>
            </w:pPr>
          </w:p>
        </w:tc>
      </w:tr>
      <w:tr>
        <w:trPr>
          <w:trHeight w:val="169"/>
        </w:trPr>
        <w:tc>
          <w:tcPr>
            <w:tcW w:w="4620" w:type="dxa"/>
            <w:vAlign w:val="bottom"/>
          </w:tcPr>
          <w:p>
            <w:pPr>
              <w:ind w:left="20"/>
              <w:spacing w:after="0" w:line="169" w:lineRule="exact"/>
              <w:rPr>
                <w:sz w:val="20"/>
                <w:szCs w:val="20"/>
                <w:color w:val="auto"/>
              </w:rPr>
            </w:pPr>
            <w:r>
              <w:rPr>
                <w:rFonts w:ascii="Arial" w:cs="Arial" w:eastAsia="Arial" w:hAnsi="Arial"/>
                <w:sz w:val="16"/>
                <w:szCs w:val="16"/>
                <w:b w:val="1"/>
                <w:bCs w:val="1"/>
                <w:color w:val="8F5A39"/>
              </w:rPr>
              <w:t>Douglas Petno</w:t>
            </w:r>
          </w:p>
        </w:tc>
        <w:tc>
          <w:tcPr>
            <w:tcW w:w="1280" w:type="dxa"/>
            <w:vAlign w:val="bottom"/>
          </w:tcPr>
          <w:p>
            <w:pPr>
              <w:jc w:val="right"/>
              <w:ind w:right="101"/>
              <w:spacing w:after="0" w:line="169" w:lineRule="exact"/>
              <w:rPr>
                <w:sz w:val="20"/>
                <w:szCs w:val="20"/>
                <w:color w:val="auto"/>
              </w:rPr>
            </w:pPr>
            <w:r>
              <w:rPr>
                <w:rFonts w:ascii="Arial" w:cs="Arial" w:eastAsia="Arial" w:hAnsi="Arial"/>
                <w:sz w:val="16"/>
                <w:szCs w:val="16"/>
                <w:color w:val="auto"/>
              </w:rPr>
              <w:t>1,000,000</w:t>
            </w:r>
          </w:p>
        </w:tc>
        <w:tc>
          <w:tcPr>
            <w:tcW w:w="200" w:type="dxa"/>
            <w:vAlign w:val="bottom"/>
          </w:tcPr>
          <w:p>
            <w:pPr>
              <w:spacing w:after="0"/>
              <w:rPr>
                <w:sz w:val="14"/>
                <w:szCs w:val="14"/>
                <w:color w:val="auto"/>
              </w:rPr>
            </w:pPr>
          </w:p>
        </w:tc>
        <w:tc>
          <w:tcPr>
            <w:tcW w:w="1040" w:type="dxa"/>
            <w:vAlign w:val="bottom"/>
          </w:tcPr>
          <w:p>
            <w:pPr>
              <w:jc w:val="right"/>
              <w:ind w:right="42"/>
              <w:spacing w:after="0" w:line="169" w:lineRule="exact"/>
              <w:rPr>
                <w:sz w:val="20"/>
                <w:szCs w:val="20"/>
                <w:color w:val="auto"/>
              </w:rPr>
            </w:pPr>
            <w:r>
              <w:rPr>
                <w:rFonts w:ascii="Arial" w:cs="Arial" w:eastAsia="Arial" w:hAnsi="Arial"/>
                <w:sz w:val="16"/>
                <w:szCs w:val="16"/>
                <w:color w:val="auto"/>
              </w:rPr>
              <w:t>10,600,000</w:t>
            </w:r>
          </w:p>
        </w:tc>
        <w:tc>
          <w:tcPr>
            <w:tcW w:w="280" w:type="dxa"/>
            <w:vAlign w:val="bottom"/>
          </w:tcPr>
          <w:p>
            <w:pPr>
              <w:spacing w:after="0"/>
              <w:rPr>
                <w:sz w:val="14"/>
                <w:szCs w:val="14"/>
                <w:color w:val="auto"/>
              </w:rPr>
            </w:pPr>
          </w:p>
        </w:tc>
        <w:tc>
          <w:tcPr>
            <w:tcW w:w="1360" w:type="dxa"/>
            <w:vAlign w:val="bottom"/>
          </w:tcPr>
          <w:p>
            <w:pPr>
              <w:ind w:left="160"/>
              <w:spacing w:after="0" w:line="169" w:lineRule="exact"/>
              <w:rPr>
                <w:sz w:val="20"/>
                <w:szCs w:val="20"/>
                <w:color w:val="auto"/>
              </w:rPr>
            </w:pPr>
            <w:r>
              <w:rPr>
                <w:rFonts w:ascii="Arial" w:cs="Arial" w:eastAsia="Arial" w:hAnsi="Arial"/>
                <w:sz w:val="16"/>
                <w:szCs w:val="16"/>
                <w:color w:val="auto"/>
              </w:rPr>
              <w:t>7,950,000</w:t>
            </w:r>
          </w:p>
        </w:tc>
        <w:tc>
          <w:tcPr>
            <w:tcW w:w="1020" w:type="dxa"/>
            <w:vAlign w:val="bottom"/>
          </w:tcPr>
          <w:p>
            <w:pPr>
              <w:jc w:val="right"/>
              <w:ind w:right="2"/>
              <w:spacing w:after="0" w:line="169" w:lineRule="exact"/>
              <w:rPr>
                <w:sz w:val="20"/>
                <w:szCs w:val="20"/>
                <w:color w:val="auto"/>
              </w:rPr>
            </w:pPr>
            <w:r>
              <w:rPr>
                <w:rFonts w:ascii="Arial" w:cs="Arial" w:eastAsia="Arial" w:hAnsi="Arial"/>
                <w:sz w:val="16"/>
                <w:szCs w:val="16"/>
                <w:color w:val="auto"/>
              </w:rPr>
              <w:t>7,950,000</w:t>
            </w:r>
          </w:p>
        </w:tc>
        <w:tc>
          <w:tcPr>
            <w:tcW w:w="380" w:type="dxa"/>
            <w:vAlign w:val="bottom"/>
          </w:tcPr>
          <w:p>
            <w:pPr>
              <w:spacing w:after="0"/>
              <w:rPr>
                <w:sz w:val="14"/>
                <w:szCs w:val="14"/>
                <w:color w:val="auto"/>
              </w:rPr>
            </w:pPr>
          </w:p>
        </w:tc>
        <w:tc>
          <w:tcPr>
            <w:tcW w:w="1060" w:type="dxa"/>
            <w:vAlign w:val="bottom"/>
          </w:tcPr>
          <w:p>
            <w:pPr>
              <w:jc w:val="right"/>
              <w:ind w:right="1"/>
              <w:spacing w:after="0" w:line="169" w:lineRule="exact"/>
              <w:rPr>
                <w:sz w:val="20"/>
                <w:szCs w:val="20"/>
                <w:color w:val="auto"/>
              </w:rPr>
            </w:pPr>
            <w:r>
              <w:rPr>
                <w:rFonts w:ascii="Arial" w:cs="Arial" w:eastAsia="Arial" w:hAnsi="Arial"/>
                <w:sz w:val="16"/>
                <w:szCs w:val="16"/>
                <w:color w:val="auto"/>
              </w:rPr>
              <w:t>27,500,000</w:t>
            </w: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color w:val="auto"/>
              </w:rPr>
              <w:t>Co-CEO, Commercial &amp; Investment Bank</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69"/>
        </w:trPr>
        <w:tc>
          <w:tcPr>
            <w:tcW w:w="4620" w:type="dxa"/>
            <w:vAlign w:val="bottom"/>
            <w:tcBorders>
              <w:bottom w:val="single" w:sz="8" w:color="B3B3B3"/>
            </w:tcBorders>
          </w:tcPr>
          <w:p>
            <w:pPr>
              <w:spacing w:after="0"/>
              <w:rPr>
                <w:sz w:val="5"/>
                <w:szCs w:val="5"/>
                <w:color w:val="auto"/>
              </w:rPr>
            </w:pPr>
          </w:p>
        </w:tc>
        <w:tc>
          <w:tcPr>
            <w:tcW w:w="1280" w:type="dxa"/>
            <w:vAlign w:val="bottom"/>
            <w:tcBorders>
              <w:bottom w:val="single" w:sz="8" w:color="B3B3B3"/>
            </w:tcBorders>
          </w:tcPr>
          <w:p>
            <w:pPr>
              <w:spacing w:after="0"/>
              <w:rPr>
                <w:sz w:val="5"/>
                <w:szCs w:val="5"/>
                <w:color w:val="auto"/>
              </w:rPr>
            </w:pPr>
          </w:p>
        </w:tc>
        <w:tc>
          <w:tcPr>
            <w:tcW w:w="200" w:type="dxa"/>
            <w:vAlign w:val="bottom"/>
            <w:tcBorders>
              <w:bottom w:val="single" w:sz="8" w:color="B3B3B3"/>
            </w:tcBorders>
          </w:tcPr>
          <w:p>
            <w:pPr>
              <w:spacing w:after="0"/>
              <w:rPr>
                <w:sz w:val="5"/>
                <w:szCs w:val="5"/>
                <w:color w:val="auto"/>
              </w:rPr>
            </w:pPr>
          </w:p>
        </w:tc>
        <w:tc>
          <w:tcPr>
            <w:tcW w:w="1040" w:type="dxa"/>
            <w:vAlign w:val="bottom"/>
            <w:tcBorders>
              <w:bottom w:val="single" w:sz="8" w:color="B3B3B3"/>
            </w:tcBorders>
          </w:tcPr>
          <w:p>
            <w:pPr>
              <w:spacing w:after="0"/>
              <w:rPr>
                <w:sz w:val="5"/>
                <w:szCs w:val="5"/>
                <w:color w:val="auto"/>
              </w:rPr>
            </w:pPr>
          </w:p>
        </w:tc>
        <w:tc>
          <w:tcPr>
            <w:tcW w:w="280" w:type="dxa"/>
            <w:vAlign w:val="bottom"/>
            <w:tcBorders>
              <w:bottom w:val="single" w:sz="8" w:color="B3B3B3"/>
            </w:tcBorders>
          </w:tcPr>
          <w:p>
            <w:pPr>
              <w:spacing w:after="0"/>
              <w:rPr>
                <w:sz w:val="5"/>
                <w:szCs w:val="5"/>
                <w:color w:val="auto"/>
              </w:rPr>
            </w:pPr>
          </w:p>
        </w:tc>
        <w:tc>
          <w:tcPr>
            <w:tcW w:w="1360" w:type="dxa"/>
            <w:vAlign w:val="bottom"/>
            <w:tcBorders>
              <w:bottom w:val="single" w:sz="8" w:color="B3B3B3"/>
            </w:tcBorders>
          </w:tcPr>
          <w:p>
            <w:pPr>
              <w:spacing w:after="0"/>
              <w:rPr>
                <w:sz w:val="5"/>
                <w:szCs w:val="5"/>
                <w:color w:val="auto"/>
              </w:rPr>
            </w:pPr>
          </w:p>
        </w:tc>
        <w:tc>
          <w:tcPr>
            <w:tcW w:w="1020" w:type="dxa"/>
            <w:vAlign w:val="bottom"/>
            <w:tcBorders>
              <w:bottom w:val="single" w:sz="8" w:color="B3B3B3"/>
            </w:tcBorders>
          </w:tcPr>
          <w:p>
            <w:pPr>
              <w:spacing w:after="0"/>
              <w:rPr>
                <w:sz w:val="5"/>
                <w:szCs w:val="5"/>
                <w:color w:val="auto"/>
              </w:rPr>
            </w:pPr>
          </w:p>
        </w:tc>
        <w:tc>
          <w:tcPr>
            <w:tcW w:w="380" w:type="dxa"/>
            <w:vAlign w:val="bottom"/>
            <w:tcBorders>
              <w:bottom w:val="single" w:sz="8" w:color="B3B3B3"/>
            </w:tcBorders>
          </w:tcPr>
          <w:p>
            <w:pPr>
              <w:spacing w:after="0"/>
              <w:rPr>
                <w:sz w:val="5"/>
                <w:szCs w:val="5"/>
                <w:color w:val="auto"/>
              </w:rPr>
            </w:pPr>
          </w:p>
        </w:tc>
        <w:tc>
          <w:tcPr>
            <w:tcW w:w="1060" w:type="dxa"/>
            <w:vAlign w:val="bottom"/>
            <w:tcBorders>
              <w:bottom w:val="single" w:sz="8" w:color="B3B3B3"/>
            </w:tcBorders>
          </w:tcPr>
          <w:p>
            <w:pPr>
              <w:spacing w:after="0"/>
              <w:rPr>
                <w:sz w:val="5"/>
                <w:szCs w:val="5"/>
                <w:color w:val="auto"/>
              </w:rPr>
            </w:pPr>
          </w:p>
        </w:tc>
      </w:tr>
      <w:tr>
        <w:trPr>
          <w:trHeight w:val="169"/>
        </w:trPr>
        <w:tc>
          <w:tcPr>
            <w:tcW w:w="4620" w:type="dxa"/>
            <w:vAlign w:val="bottom"/>
          </w:tcPr>
          <w:p>
            <w:pPr>
              <w:ind w:left="20"/>
              <w:spacing w:after="0" w:line="169" w:lineRule="exact"/>
              <w:rPr>
                <w:sz w:val="20"/>
                <w:szCs w:val="20"/>
                <w:color w:val="auto"/>
              </w:rPr>
            </w:pPr>
            <w:r>
              <w:rPr>
                <w:rFonts w:ascii="Arial" w:cs="Arial" w:eastAsia="Arial" w:hAnsi="Arial"/>
                <w:sz w:val="16"/>
                <w:szCs w:val="16"/>
                <w:b w:val="1"/>
                <w:bCs w:val="1"/>
                <w:color w:val="8F5A39"/>
              </w:rPr>
              <w:t>Jeremy Barnum</w:t>
            </w:r>
          </w:p>
        </w:tc>
        <w:tc>
          <w:tcPr>
            <w:tcW w:w="1280" w:type="dxa"/>
            <w:vAlign w:val="bottom"/>
          </w:tcPr>
          <w:p>
            <w:pPr>
              <w:jc w:val="right"/>
              <w:ind w:right="101"/>
              <w:spacing w:after="0" w:line="169" w:lineRule="exact"/>
              <w:rPr>
                <w:sz w:val="20"/>
                <w:szCs w:val="20"/>
                <w:color w:val="auto"/>
              </w:rPr>
            </w:pPr>
            <w:r>
              <w:rPr>
                <w:rFonts w:ascii="Arial" w:cs="Arial" w:eastAsia="Arial" w:hAnsi="Arial"/>
                <w:sz w:val="16"/>
                <w:szCs w:val="16"/>
                <w:color w:val="auto"/>
              </w:rPr>
              <w:t>1,000,000</w:t>
            </w:r>
          </w:p>
        </w:tc>
        <w:tc>
          <w:tcPr>
            <w:tcW w:w="200" w:type="dxa"/>
            <w:vAlign w:val="bottom"/>
          </w:tcPr>
          <w:p>
            <w:pPr>
              <w:spacing w:after="0"/>
              <w:rPr>
                <w:sz w:val="14"/>
                <w:szCs w:val="14"/>
                <w:color w:val="auto"/>
              </w:rPr>
            </w:pPr>
          </w:p>
        </w:tc>
        <w:tc>
          <w:tcPr>
            <w:tcW w:w="1040" w:type="dxa"/>
            <w:vAlign w:val="bottom"/>
          </w:tcPr>
          <w:p>
            <w:pPr>
              <w:jc w:val="right"/>
              <w:ind w:right="42"/>
              <w:spacing w:after="0" w:line="169" w:lineRule="exact"/>
              <w:rPr>
                <w:sz w:val="20"/>
                <w:szCs w:val="20"/>
                <w:color w:val="auto"/>
              </w:rPr>
            </w:pPr>
            <w:r>
              <w:rPr>
                <w:rFonts w:ascii="Arial" w:cs="Arial" w:eastAsia="Arial" w:hAnsi="Arial"/>
                <w:sz w:val="16"/>
                <w:szCs w:val="16"/>
                <w:color w:val="auto"/>
              </w:rPr>
              <w:t>7,400,000</w:t>
            </w:r>
          </w:p>
        </w:tc>
        <w:tc>
          <w:tcPr>
            <w:tcW w:w="280" w:type="dxa"/>
            <w:vAlign w:val="bottom"/>
          </w:tcPr>
          <w:p>
            <w:pPr>
              <w:spacing w:after="0"/>
              <w:rPr>
                <w:sz w:val="14"/>
                <w:szCs w:val="14"/>
                <w:color w:val="auto"/>
              </w:rPr>
            </w:pPr>
          </w:p>
        </w:tc>
        <w:tc>
          <w:tcPr>
            <w:tcW w:w="1360" w:type="dxa"/>
            <w:vAlign w:val="bottom"/>
          </w:tcPr>
          <w:p>
            <w:pPr>
              <w:ind w:left="160"/>
              <w:spacing w:after="0" w:line="169" w:lineRule="exact"/>
              <w:rPr>
                <w:sz w:val="20"/>
                <w:szCs w:val="20"/>
                <w:color w:val="auto"/>
              </w:rPr>
            </w:pPr>
            <w:r>
              <w:rPr>
                <w:rFonts w:ascii="Arial" w:cs="Arial" w:eastAsia="Arial" w:hAnsi="Arial"/>
                <w:sz w:val="16"/>
                <w:szCs w:val="16"/>
                <w:color w:val="auto"/>
              </w:rPr>
              <w:t>5,550,000</w:t>
            </w:r>
          </w:p>
        </w:tc>
        <w:tc>
          <w:tcPr>
            <w:tcW w:w="1020" w:type="dxa"/>
            <w:vAlign w:val="bottom"/>
          </w:tcPr>
          <w:p>
            <w:pPr>
              <w:jc w:val="right"/>
              <w:ind w:right="2"/>
              <w:spacing w:after="0" w:line="169" w:lineRule="exact"/>
              <w:rPr>
                <w:sz w:val="20"/>
                <w:szCs w:val="20"/>
                <w:color w:val="auto"/>
              </w:rPr>
            </w:pPr>
            <w:r>
              <w:rPr>
                <w:rFonts w:ascii="Arial" w:cs="Arial" w:eastAsia="Arial" w:hAnsi="Arial"/>
                <w:sz w:val="16"/>
                <w:szCs w:val="16"/>
                <w:color w:val="auto"/>
              </w:rPr>
              <w:t>5,550,000</w:t>
            </w:r>
          </w:p>
        </w:tc>
        <w:tc>
          <w:tcPr>
            <w:tcW w:w="380" w:type="dxa"/>
            <w:vAlign w:val="bottom"/>
          </w:tcPr>
          <w:p>
            <w:pPr>
              <w:spacing w:after="0"/>
              <w:rPr>
                <w:sz w:val="14"/>
                <w:szCs w:val="14"/>
                <w:color w:val="auto"/>
              </w:rPr>
            </w:pPr>
          </w:p>
        </w:tc>
        <w:tc>
          <w:tcPr>
            <w:tcW w:w="1060" w:type="dxa"/>
            <w:vAlign w:val="bottom"/>
          </w:tcPr>
          <w:p>
            <w:pPr>
              <w:jc w:val="right"/>
              <w:ind w:right="1"/>
              <w:spacing w:after="0" w:line="169" w:lineRule="exact"/>
              <w:rPr>
                <w:sz w:val="20"/>
                <w:szCs w:val="20"/>
                <w:color w:val="auto"/>
              </w:rPr>
            </w:pPr>
            <w:r>
              <w:rPr>
                <w:rFonts w:ascii="Arial" w:cs="Arial" w:eastAsia="Arial" w:hAnsi="Arial"/>
                <w:sz w:val="16"/>
                <w:szCs w:val="16"/>
                <w:color w:val="auto"/>
              </w:rPr>
              <w:t>19,500,000</w:t>
            </w: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color w:val="auto"/>
              </w:rPr>
              <w:t>Chief Financial Officer ("CFO")</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69"/>
        </w:trPr>
        <w:tc>
          <w:tcPr>
            <w:tcW w:w="46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bl>
    <w:p>
      <w:pPr>
        <w:spacing w:after="0" w:line="144" w:lineRule="exact"/>
        <w:rPr>
          <w:sz w:val="20"/>
          <w:szCs w:val="20"/>
          <w:color w:val="auto"/>
        </w:rPr>
      </w:pPr>
    </w:p>
    <w:p>
      <w:pPr>
        <w:ind w:left="200" w:right="220" w:hanging="192"/>
        <w:spacing w:after="0" w:line="205" w:lineRule="auto"/>
        <w:tabs>
          <w:tab w:leader="none" w:pos="206" w:val="left"/>
        </w:tabs>
        <w:numPr>
          <w:ilvl w:val="0"/>
          <w:numId w:val="28"/>
        </w:numPr>
        <w:rPr>
          <w:rFonts w:ascii="Arial" w:cs="Arial" w:eastAsia="Arial" w:hAnsi="Arial"/>
          <w:sz w:val="19"/>
          <w:szCs w:val="19"/>
          <w:color w:val="auto"/>
          <w:vertAlign w:val="superscript"/>
        </w:rPr>
      </w:pPr>
      <w:r>
        <w:rPr>
          <w:rFonts w:ascii="Arial" w:cs="Arial" w:eastAsia="Arial" w:hAnsi="Arial"/>
          <w:sz w:val="13"/>
          <w:szCs w:val="13"/>
          <w:color w:val="auto"/>
        </w:rPr>
        <w:t>As previously disclosed, Daniel Pinto served as President &amp; Chief Operating Officer ("COO") of the Firm until June 2025, after which he ceased to be an Executive Officer, and is now serving as a Vice Chair through December 2026. Mr. Pinto is included in compensation disclosures elsewhere in this Proxy Statement as required pursuant to Item 402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300355</wp:posOffset>
            </wp:positionV>
            <wp:extent cx="651510"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4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68"/>
        </w:trPr>
        <w:tc>
          <w:tcPr>
            <w:tcW w:w="108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2026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788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PROPOSAL 3:</w:t>
      </w:r>
    </w:p>
    <w:p>
      <w:pPr>
        <w:sectPr>
          <w:pgSz w:w="11900" w:h="16838" w:orient="portrait"/>
          <w:cols w:equalWidth="0" w:num="1">
            <w:col w:w="11020"/>
          </w:cols>
          <w:pgMar w:left="320" w:top="157" w:right="559" w:bottom="1440" w:gutter="0" w:footer="0" w:header="0"/>
        </w:sect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28"/>
          <w:szCs w:val="28"/>
          <w:color w:val="8F5A39"/>
        </w:rPr>
        <w:t>Ratification of independent registered public accounting firm</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page 77</w:t>
      </w:r>
    </w:p>
    <w:p>
      <w:pPr>
        <w:spacing w:after="0" w:line="252" w:lineRule="exact"/>
        <w:rPr>
          <w:sz w:val="20"/>
          <w:szCs w:val="20"/>
          <w:color w:val="auto"/>
        </w:rPr>
      </w:pPr>
    </w:p>
    <w:p>
      <w:pPr>
        <w:sectPr>
          <w:pgSz w:w="11900" w:h="16838" w:orient="portrait"/>
          <w:cols w:equalWidth="0" w:num="2">
            <w:col w:w="9720" w:space="720"/>
            <w:col w:w="580"/>
          </w:cols>
          <w:pgMar w:left="320" w:top="157" w:right="559" w:bottom="1440" w:gutter="0" w:footer="0" w:header="0"/>
          <w:type w:val="continuous"/>
        </w:sectPr>
      </w:pPr>
    </w:p>
    <w:p>
      <w:pPr>
        <w:spacing w:after="0" w:line="239" w:lineRule="exact"/>
        <w:rPr>
          <w:sz w:val="20"/>
          <w:szCs w:val="20"/>
          <w:color w:val="auto"/>
        </w:rPr>
      </w:pPr>
    </w:p>
    <w:p>
      <w:pPr>
        <w:ind w:left="240" w:right="60"/>
        <w:spacing w:after="0" w:line="301" w:lineRule="auto"/>
        <w:rPr>
          <w:sz w:val="20"/>
          <w:szCs w:val="20"/>
          <w:color w:val="auto"/>
        </w:rPr>
      </w:pPr>
      <w:r>
        <w:rPr>
          <w:rFonts w:ascii="Arial" w:cs="Arial" w:eastAsia="Arial" w:hAnsi="Arial"/>
          <w:sz w:val="16"/>
          <w:szCs w:val="16"/>
          <w:color w:val="auto"/>
        </w:rPr>
        <w:t>The Audit Committee has appointed PricewaterhouseCoopers LLP (“PwC”) as the Firm’s independent registered public accounting firm to audit the Consolidated Financial Statements of JPMorganChase and its subsidiaries for the year ending December 31, 2026. A resolution is being presented to our shareholders requesting ratification of PwC’s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537845</wp:posOffset>
            </wp:positionV>
            <wp:extent cx="651510" cy="85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0" w:hanging="654"/>
        <w:spacing w:after="0"/>
        <w:tabs>
          <w:tab w:leader="none" w:pos="680" w:val="left"/>
        </w:tabs>
        <w:numPr>
          <w:ilvl w:val="0"/>
          <w:numId w:val="29"/>
        </w:numPr>
        <w:rPr>
          <w:rFonts w:ascii="Arial" w:cs="Arial" w:eastAsia="Arial" w:hAnsi="Arial"/>
          <w:sz w:val="29"/>
          <w:szCs w:val="29"/>
          <w:color w:val="auto"/>
          <w:vertAlign w:val="superscript"/>
        </w:rPr>
      </w:pP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57" w:right="5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52"/>
          <w:szCs w:val="52"/>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24771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PROPOSAL 1:</w:t>
      </w:r>
    </w:p>
    <w:p>
      <w:pPr>
        <w:spacing w:after="0" w:line="325" w:lineRule="exact"/>
        <w:rPr>
          <w:sz w:val="20"/>
          <w:szCs w:val="20"/>
          <w:color w:val="auto"/>
        </w:rPr>
      </w:pPr>
    </w:p>
    <w:p>
      <w:pPr>
        <w:ind w:left="760"/>
        <w:spacing w:after="0"/>
        <w:rPr>
          <w:sz w:val="20"/>
          <w:szCs w:val="20"/>
          <w:color w:val="auto"/>
        </w:rPr>
      </w:pPr>
      <w:r>
        <w:rPr>
          <w:rFonts w:ascii="Arial" w:cs="Arial" w:eastAsia="Arial" w:hAnsi="Arial"/>
          <w:sz w:val="40"/>
          <w:szCs w:val="40"/>
          <w:color w:val="8F5A39"/>
        </w:rPr>
        <w:t>Election of directors</w:t>
      </w:r>
    </w:p>
    <w:p>
      <w:pPr>
        <w:spacing w:after="0" w:line="200" w:lineRule="exact"/>
        <w:rPr>
          <w:sz w:val="20"/>
          <w:szCs w:val="20"/>
          <w:color w:val="auto"/>
        </w:rPr>
      </w:pPr>
    </w:p>
    <w:p>
      <w:pPr>
        <w:spacing w:after="0" w:line="298" w:lineRule="exact"/>
        <w:rPr>
          <w:sz w:val="20"/>
          <w:szCs w:val="20"/>
          <w:color w:val="auto"/>
        </w:rPr>
      </w:pPr>
    </w:p>
    <w:p>
      <w:pPr>
        <w:ind w:left="760" w:right="1500"/>
        <w:spacing w:after="0" w:line="318" w:lineRule="auto"/>
        <w:rPr>
          <w:sz w:val="20"/>
          <w:szCs w:val="20"/>
          <w:color w:val="auto"/>
        </w:rPr>
      </w:pPr>
      <w:r>
        <w:rPr>
          <w:rFonts w:ascii="Arial" w:cs="Arial" w:eastAsia="Arial" w:hAnsi="Arial"/>
          <w:sz w:val="18"/>
          <w:szCs w:val="18"/>
          <w:color w:val="auto"/>
        </w:rPr>
        <w:t>Our Board of Directors has nominated 11 directors, who, if elected by shareholders at our annual meeting, will be expected to serve until next year’s annual meeting.</w:t>
      </w:r>
    </w:p>
    <w:p>
      <w:pPr>
        <w:spacing w:after="0" w:line="38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RECOMMENDATION:</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8F5A39"/>
        </w:rPr>
        <w:t>FOR</w:t>
      </w:r>
      <w:r>
        <w:rPr>
          <w:rFonts w:ascii="Arial" w:cs="Arial" w:eastAsia="Arial" w:hAnsi="Arial"/>
          <w:sz w:val="16"/>
          <w:szCs w:val="16"/>
          <w:color w:val="auto"/>
        </w:rPr>
        <w:t xml:space="preserve">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762635</wp:posOffset>
            </wp:positionV>
            <wp:extent cx="651510" cy="85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4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8"/>
        </w:trPr>
        <w:tc>
          <w:tcPr>
            <w:tcW w:w="108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Key factors for shareholder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color w:val="auto"/>
        </w:rPr>
        <w:t>Key factors for shareholder consideration</w:t>
      </w:r>
    </w:p>
    <w:p>
      <w:pPr>
        <w:ind w:left="1600" w:hanging="1185"/>
        <w:spacing w:after="0" w:line="209" w:lineRule="auto"/>
        <w:tabs>
          <w:tab w:leader="none" w:pos="1600" w:val="left"/>
        </w:tabs>
        <w:numPr>
          <w:ilvl w:val="0"/>
          <w:numId w:val="30"/>
        </w:numPr>
        <w:rPr>
          <w:rFonts w:ascii="Arial" w:cs="Arial" w:eastAsia="Arial" w:hAnsi="Arial"/>
          <w:sz w:val="70"/>
          <w:szCs w:val="70"/>
          <w:color w:val="8F5A39"/>
          <w:vertAlign w:val="subscript"/>
        </w:rPr>
      </w:pPr>
      <w:r>
        <w:rPr>
          <w:rFonts w:ascii="Arial" w:cs="Arial" w:eastAsia="Arial" w:hAnsi="Arial"/>
          <w:sz w:val="28"/>
          <w:szCs w:val="28"/>
          <w:color w:val="auto"/>
        </w:rPr>
        <w:t>Director nominees, Director independence &amp; recruitment</w:t>
      </w:r>
    </w:p>
    <w:p>
      <w:pPr>
        <w:spacing w:after="0" w:line="209" w:lineRule="exact"/>
        <w:rPr>
          <w:rFonts w:ascii="Arial" w:cs="Arial" w:eastAsia="Arial" w:hAnsi="Arial"/>
          <w:sz w:val="70"/>
          <w:szCs w:val="70"/>
          <w:color w:val="8F5A39"/>
          <w:vertAlign w:val="subscript"/>
        </w:rPr>
      </w:pPr>
    </w:p>
    <w:p>
      <w:pPr>
        <w:ind w:left="1780" w:hanging="188"/>
        <w:spacing w:after="0"/>
        <w:tabs>
          <w:tab w:leader="none" w:pos="1780" w:val="left"/>
        </w:tabs>
        <w:numPr>
          <w:ilvl w:val="1"/>
          <w:numId w:val="30"/>
        </w:numPr>
        <w:rPr>
          <w:rFonts w:ascii="Arial" w:cs="Arial" w:eastAsia="Arial" w:hAnsi="Arial"/>
          <w:sz w:val="16"/>
          <w:szCs w:val="16"/>
          <w:b w:val="1"/>
          <w:bCs w:val="1"/>
          <w:color w:val="auto"/>
        </w:rPr>
      </w:pPr>
      <w:r>
        <w:rPr>
          <w:rFonts w:ascii="Arial" w:cs="Arial" w:eastAsia="Arial" w:hAnsi="Arial"/>
          <w:sz w:val="16"/>
          <w:szCs w:val="16"/>
          <w:color w:val="auto"/>
        </w:rPr>
        <w:t>Nominees have executive experience and skills aligned with the Firm’s business and strategy</w:t>
      </w:r>
    </w:p>
    <w:p>
      <w:pPr>
        <w:spacing w:after="0" w:line="56" w:lineRule="exact"/>
        <w:rPr>
          <w:rFonts w:ascii="Arial" w:cs="Arial" w:eastAsia="Arial" w:hAnsi="Arial"/>
          <w:sz w:val="16"/>
          <w:szCs w:val="16"/>
          <w:b w:val="1"/>
          <w:bCs w:val="1"/>
          <w:color w:val="auto"/>
        </w:rPr>
      </w:pPr>
    </w:p>
    <w:p>
      <w:pPr>
        <w:ind w:left="1780" w:hanging="188"/>
        <w:spacing w:after="0"/>
        <w:tabs>
          <w:tab w:leader="none" w:pos="1780" w:val="left"/>
        </w:tabs>
        <w:numPr>
          <w:ilvl w:val="1"/>
          <w:numId w:val="30"/>
        </w:numPr>
        <w:rPr>
          <w:rFonts w:ascii="Arial" w:cs="Arial" w:eastAsia="Arial" w:hAnsi="Arial"/>
          <w:sz w:val="16"/>
          <w:szCs w:val="16"/>
          <w:b w:val="1"/>
          <w:bCs w:val="1"/>
          <w:color w:val="auto"/>
        </w:rPr>
      </w:pPr>
      <w:r>
        <w:rPr>
          <w:rFonts w:ascii="Arial" w:cs="Arial" w:eastAsia="Arial" w:hAnsi="Arial"/>
          <w:sz w:val="16"/>
          <w:szCs w:val="16"/>
          <w:color w:val="auto"/>
        </w:rPr>
        <w:t>Ongoing recruitment and refreshment promote a balance of experience and fresh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7132320" cy="2322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Pages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663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sectPr>
          <w:pgSz w:w="11900" w:h="16838" w:orient="portrait"/>
          <w:cols w:equalWidth="0" w:num="1">
            <w:col w:w="11140"/>
          </w:cols>
          <w:pgMar w:left="320" w:top="15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52"/>
        <w:spacing w:after="0"/>
        <w:rPr>
          <w:sz w:val="20"/>
          <w:szCs w:val="20"/>
          <w:color w:val="auto"/>
        </w:rPr>
      </w:pPr>
      <w:r>
        <w:rPr>
          <w:rFonts w:ascii="Arial" w:cs="Arial" w:eastAsia="Arial" w:hAnsi="Arial"/>
          <w:sz w:val="36"/>
          <w:szCs w:val="36"/>
          <w:color w:val="8F5A39"/>
        </w:rPr>
        <w:t>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Pages</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71525" cy="17741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1774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
        <w:spacing w:after="0"/>
        <w:rPr>
          <w:sz w:val="20"/>
          <w:szCs w:val="20"/>
          <w:color w:val="auto"/>
        </w:rPr>
      </w:pPr>
      <w:r>
        <w:rPr>
          <w:rFonts w:ascii="Arial" w:cs="Arial" w:eastAsia="Arial" w:hAnsi="Arial"/>
          <w:sz w:val="29"/>
          <w:szCs w:val="29"/>
          <w:color w:val="auto"/>
        </w:rPr>
        <w:t>Board governance</w:t>
      </w:r>
    </w:p>
    <w:p>
      <w:pPr>
        <w:spacing w:after="0" w:line="238" w:lineRule="exact"/>
        <w:rPr>
          <w:sz w:val="20"/>
          <w:szCs w:val="20"/>
          <w:color w:val="auto"/>
        </w:rPr>
      </w:pPr>
    </w:p>
    <w:p>
      <w:pPr>
        <w:ind w:left="188" w:hanging="188"/>
        <w:spacing w:after="0" w:line="299" w:lineRule="auto"/>
        <w:tabs>
          <w:tab w:leader="none" w:pos="172"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Lead Independent Director provides strong independent leadership, driving independent oversight of, and appropriate challenge to, management</w:t>
      </w:r>
    </w:p>
    <w:p>
      <w:pPr>
        <w:ind w:left="188" w:hanging="188"/>
        <w:spacing w:after="0"/>
        <w:tabs>
          <w:tab w:leader="none" w:pos="188"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Board annually reviews its leadership structure to determine the leadership structure that best serves shareholders</w:t>
      </w:r>
    </w:p>
    <w:p>
      <w:pPr>
        <w:spacing w:after="0" w:line="72" w:lineRule="exact"/>
        <w:rPr>
          <w:rFonts w:ascii="Arial" w:cs="Arial" w:eastAsia="Arial" w:hAnsi="Arial"/>
          <w:sz w:val="16"/>
          <w:szCs w:val="16"/>
          <w:b w:val="1"/>
          <w:bCs w:val="1"/>
          <w:color w:val="auto"/>
        </w:rPr>
      </w:pPr>
    </w:p>
    <w:p>
      <w:pPr>
        <w:ind w:left="188" w:right="360" w:hanging="188"/>
        <w:spacing w:after="0" w:line="299" w:lineRule="auto"/>
        <w:tabs>
          <w:tab w:leader="none" w:pos="172"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A significant portion of Board oversight responsibilities of key issues is carried out by the principal standing committees, which consist solely of independent Board members</w:t>
      </w:r>
    </w:p>
    <w:p>
      <w:pPr>
        <w:ind w:left="188" w:hanging="188"/>
        <w:spacing w:after="0"/>
        <w:tabs>
          <w:tab w:leader="none" w:pos="188"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Board annually conducts a multi-phase self-assessment aimed at enhancing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518160</wp:posOffset>
            </wp:positionV>
            <wp:extent cx="6360795" cy="17741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60795" cy="1774190"/>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2">
            <w:col w:w="872" w:space="720"/>
            <w:col w:w="9548"/>
          </w:cols>
          <w:pgMar w:left="320" w:top="157" w:right="4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right"/>
        <w:ind w:right="52"/>
        <w:spacing w:after="0"/>
        <w:rPr>
          <w:sz w:val="20"/>
          <w:szCs w:val="20"/>
          <w:color w:val="auto"/>
        </w:rPr>
      </w:pPr>
      <w:r>
        <w:rPr>
          <w:rFonts w:ascii="Arial" w:cs="Arial" w:eastAsia="Arial" w:hAnsi="Arial"/>
          <w:sz w:val="36"/>
          <w:szCs w:val="36"/>
          <w:color w:val="8F5A39"/>
        </w:rPr>
        <w:t>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Pages</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71525" cy="1560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1525" cy="1560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ind w:left="8"/>
        <w:spacing w:after="0"/>
        <w:rPr>
          <w:sz w:val="20"/>
          <w:szCs w:val="20"/>
          <w:color w:val="auto"/>
        </w:rPr>
      </w:pPr>
      <w:r>
        <w:rPr>
          <w:rFonts w:ascii="Arial" w:cs="Arial" w:eastAsia="Arial" w:hAnsi="Arial"/>
          <w:sz w:val="29"/>
          <w:szCs w:val="29"/>
          <w:color w:val="auto"/>
        </w:rPr>
        <w:t>Board oversight of the business and affairs of the Firm</w:t>
      </w:r>
    </w:p>
    <w:p>
      <w:pPr>
        <w:spacing w:after="0" w:line="238" w:lineRule="exact"/>
        <w:rPr>
          <w:sz w:val="20"/>
          <w:szCs w:val="20"/>
          <w:color w:val="auto"/>
        </w:rPr>
      </w:pPr>
    </w:p>
    <w:p>
      <w:pPr>
        <w:ind w:left="188" w:right="540" w:hanging="188"/>
        <w:spacing w:after="0" w:line="299" w:lineRule="auto"/>
        <w:tabs>
          <w:tab w:leader="none" w:pos="172"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Board actively oversees the business and affairs of the Firm based on sound governance practices and effective leadership structure</w:t>
      </w:r>
    </w:p>
    <w:p>
      <w:pPr>
        <w:ind w:left="188" w:hanging="188"/>
        <w:spacing w:after="0"/>
        <w:tabs>
          <w:tab w:leader="none" w:pos="188"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Board reviews and approves the Firm’s annual strategic plan and oversees strategic objectives</w:t>
      </w:r>
    </w:p>
    <w:p>
      <w:pPr>
        <w:spacing w:after="0" w:line="72" w:lineRule="exact"/>
        <w:rPr>
          <w:rFonts w:ascii="Arial" w:cs="Arial" w:eastAsia="Arial" w:hAnsi="Arial"/>
          <w:sz w:val="16"/>
          <w:szCs w:val="16"/>
          <w:b w:val="1"/>
          <w:bCs w:val="1"/>
          <w:color w:val="auto"/>
        </w:rPr>
      </w:pPr>
    </w:p>
    <w:p>
      <w:pPr>
        <w:ind w:left="188" w:hanging="188"/>
        <w:spacing w:after="0"/>
        <w:tabs>
          <w:tab w:leader="none" w:pos="188"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Board oversees the Firm’s financial performance and condition</w:t>
      </w:r>
    </w:p>
    <w:p>
      <w:pPr>
        <w:spacing w:after="0" w:line="72" w:lineRule="exact"/>
        <w:rPr>
          <w:rFonts w:ascii="Arial" w:cs="Arial" w:eastAsia="Arial" w:hAnsi="Arial"/>
          <w:sz w:val="16"/>
          <w:szCs w:val="16"/>
          <w:b w:val="1"/>
          <w:bCs w:val="1"/>
          <w:color w:val="auto"/>
        </w:rPr>
      </w:pPr>
    </w:p>
    <w:p>
      <w:pPr>
        <w:ind w:left="188" w:hanging="188"/>
        <w:spacing w:after="0"/>
        <w:tabs>
          <w:tab w:leader="none" w:pos="188"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Board oversees the Firm’s risk management and internal control frameworks</w:t>
      </w:r>
    </w:p>
    <w:p>
      <w:pPr>
        <w:spacing w:after="0" w:line="72" w:lineRule="exact"/>
        <w:rPr>
          <w:rFonts w:ascii="Arial" w:cs="Arial" w:eastAsia="Arial" w:hAnsi="Arial"/>
          <w:sz w:val="16"/>
          <w:szCs w:val="16"/>
          <w:b w:val="1"/>
          <w:bCs w:val="1"/>
          <w:color w:val="auto"/>
        </w:rPr>
      </w:pPr>
    </w:p>
    <w:p>
      <w:pPr>
        <w:ind w:left="188" w:right="80" w:hanging="188"/>
        <w:spacing w:after="0" w:line="299" w:lineRule="auto"/>
        <w:tabs>
          <w:tab w:leader="none" w:pos="172"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Board evaluates CEO performance and compensation and oversees succession planning for the CEO and talent management for other senior executives</w:t>
      </w:r>
    </w:p>
    <w:p>
      <w:pPr>
        <w:ind w:left="188" w:hanging="188"/>
        <w:spacing w:after="0"/>
        <w:tabs>
          <w:tab w:leader="none" w:pos="188"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Board sets the cultural “tone at the 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303530</wp:posOffset>
            </wp:positionV>
            <wp:extent cx="6360795" cy="1560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60795" cy="1560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2" w:space="720"/>
            <w:col w:w="9548"/>
          </w:cols>
          <w:pgMar w:left="320" w:top="15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52"/>
        <w:spacing w:after="0"/>
        <w:rPr>
          <w:sz w:val="20"/>
          <w:szCs w:val="20"/>
          <w:color w:val="auto"/>
        </w:rPr>
      </w:pPr>
      <w:r>
        <w:rPr>
          <w:rFonts w:ascii="Arial" w:cs="Arial" w:eastAsia="Arial" w:hAnsi="Arial"/>
          <w:sz w:val="36"/>
          <w:szCs w:val="36"/>
          <w:color w:val="8F5A39"/>
        </w:rPr>
        <w:t>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Pages</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30-31</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8"/>
        <w:spacing w:after="0"/>
        <w:rPr>
          <w:sz w:val="20"/>
          <w:szCs w:val="20"/>
          <w:color w:val="auto"/>
        </w:rPr>
      </w:pPr>
      <w:r>
        <w:rPr>
          <w:rFonts w:ascii="Arial" w:cs="Arial" w:eastAsia="Arial" w:hAnsi="Arial"/>
          <w:sz w:val="29"/>
          <w:szCs w:val="29"/>
          <w:color w:val="auto"/>
        </w:rPr>
        <w:t>Engagement with the Firm’s stakeholders</w:t>
      </w:r>
    </w:p>
    <w:p>
      <w:pPr>
        <w:spacing w:after="0" w:line="238" w:lineRule="exact"/>
        <w:rPr>
          <w:sz w:val="20"/>
          <w:szCs w:val="20"/>
          <w:color w:val="auto"/>
        </w:rPr>
      </w:pPr>
    </w:p>
    <w:p>
      <w:pPr>
        <w:ind w:left="188" w:right="20" w:hanging="188"/>
        <w:spacing w:after="0" w:line="272" w:lineRule="auto"/>
        <w:tabs>
          <w:tab w:leader="none" w:pos="172"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In 2025, we engaged with approximately 338 of our shareholders and third-party stewardship firms, representing approximately 37% of the Firm's outstanding common stock, and engaged with leading proxy advisory firms and other stakeholders. We provided updates on several topics, including Board refreshment and management succession planning, executive compensation philosophy and disclosures and our approach to the regulatory environment. We also discussed the Firm’s sustainability efforts, the Firm’s human capital management strategy and shareholder voting practices, among other items. In addition, we addressed the Firm’s strategy and financial and operating performance. Directors participate in these meetings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389255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894715</wp:posOffset>
            </wp:positionV>
            <wp:extent cx="651510"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614" w:lineRule="exact"/>
        <w:rPr>
          <w:sz w:val="20"/>
          <w:szCs w:val="20"/>
          <w:color w:val="auto"/>
        </w:rPr>
      </w:pPr>
    </w:p>
    <w:p>
      <w:pPr>
        <w:sectPr>
          <w:pgSz w:w="11900" w:h="16838" w:orient="portrait"/>
          <w:cols w:equalWidth="0" w:num="2">
            <w:col w:w="872" w:space="720"/>
            <w:col w:w="9548"/>
          </w:cols>
          <w:pgMar w:left="320" w:top="15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0" w:hanging="654"/>
        <w:spacing w:after="0"/>
        <w:tabs>
          <w:tab w:leader="none" w:pos="680" w:val="left"/>
        </w:tabs>
        <w:numPr>
          <w:ilvl w:val="0"/>
          <w:numId w:val="34"/>
        </w:numPr>
        <w:rPr>
          <w:rFonts w:ascii="Arial" w:cs="Arial" w:eastAsia="Arial" w:hAnsi="Arial"/>
          <w:sz w:val="29"/>
          <w:szCs w:val="29"/>
          <w:color w:val="auto"/>
          <w:vertAlign w:val="superscript"/>
        </w:rPr>
      </w:pP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57" w:right="4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8100"/>
        <w:spacing w:after="0"/>
        <w:rPr>
          <w:sz w:val="20"/>
          <w:szCs w:val="20"/>
          <w:color w:val="auto"/>
        </w:rPr>
      </w:pPr>
      <w:r>
        <w:rPr>
          <w:rFonts w:ascii="Arial" w:cs="Arial" w:eastAsia="Arial" w:hAnsi="Arial"/>
          <w:sz w:val="14"/>
          <w:szCs w:val="14"/>
          <w:color w:val="8F5A39"/>
        </w:rPr>
        <w:t xml:space="preserve">Director nominees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232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Director nominees</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2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-213995</wp:posOffset>
            </wp:positionV>
            <wp:extent cx="120015"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946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-213995</wp:posOffset>
            </wp:positionV>
            <wp:extent cx="120015"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946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-213995</wp:posOffset>
            </wp:positionV>
            <wp:extent cx="120015"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94615"/>
                    </a:xfrm>
                    <a:prstGeom prst="rect">
                      <a:avLst/>
                    </a:prstGeom>
                    <a:noFill/>
                  </pic:spPr>
                </pic:pic>
              </a:graphicData>
            </a:graphic>
          </wp:anchor>
        </w:drawing>
      </w:r>
    </w:p>
    <w:p>
      <w:pPr>
        <w:spacing w:after="0" w:line="24" w:lineRule="exact"/>
        <w:rPr>
          <w:sz w:val="20"/>
          <w:szCs w:val="20"/>
          <w:color w:val="auto"/>
        </w:rPr>
      </w:pPr>
    </w:p>
    <w:p>
      <w:pPr>
        <w:ind w:left="1180" w:hanging="1041"/>
        <w:spacing w:after="0"/>
        <w:tabs>
          <w:tab w:leader="none" w:pos="1180" w:val="left"/>
        </w:tabs>
        <w:numPr>
          <w:ilvl w:val="0"/>
          <w:numId w:val="35"/>
        </w:numPr>
        <w:rPr>
          <w:rFonts w:ascii="Arial" w:cs="Arial" w:eastAsia="Arial" w:hAnsi="Arial"/>
          <w:sz w:val="72"/>
          <w:szCs w:val="72"/>
          <w:color w:val="auto"/>
          <w:vertAlign w:val="subscript"/>
        </w:rPr>
      </w:pPr>
      <w:r>
        <w:rPr>
          <w:rFonts w:ascii="Arial" w:cs="Arial" w:eastAsia="Arial" w:hAnsi="Arial"/>
          <w:sz w:val="36"/>
          <w:szCs w:val="36"/>
          <w:color w:val="8F5A3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-390525</wp:posOffset>
            </wp:positionV>
            <wp:extent cx="8255" cy="4889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4889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9"/>
          <w:szCs w:val="29"/>
          <w:color w:val="auto"/>
        </w:rPr>
        <w:t>Our directors</w:t>
      </w:r>
    </w:p>
    <w:p>
      <w:pPr>
        <w:spacing w:after="0" w:line="4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Board is responsible for overseeing management and promoting sound corporate governance on behalf of shareholders. JPMorganChase seeks director candidates who uphold the highest standards, are committed to the Firm’s values and are strong independent stewards of the long-term interests of shareholders, employees, customers, suppliers and communities in which we work. The Board, including the Corporate Governance &amp; Nominating Committee (“Governance Committee”), considers Board composition holistically, with a focus on recruiting directors who have the qualities required to effectively oversee the Firm, including its present and future strategy. The Board seeks directors with expertise in executive roles who will bring experienced and fresh perspectives and insight, and come together to effectively challenge and provide independent oversight of management. The Board looks for candidates with a diversity of experiences, backgrounds, perspectives and viewpoints.</w:t>
      </w:r>
    </w:p>
    <w:p>
      <w:pPr>
        <w:spacing w:after="0" w:line="10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individuals presented on the following pages have been nominated for election because they possess the skills, experience, personal attributes and tenure to guide the Firm’s strategy and to effectively oversee the Firm’s risk management and internal control frameworks and management’s execution of its responsibilities.</w:t>
      </w:r>
    </w:p>
    <w:p>
      <w:pPr>
        <w:spacing w:after="0" w:line="104"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In the biographical information about our director nominees that follows, the ages indicated are as of May 19, 2026, and the other information is as of the date of this proxy statement. There are no family relationships among the director nominees or between any director nominee and any executive officer.</w:t>
      </w:r>
    </w:p>
    <w:p>
      <w:pPr>
        <w:spacing w:after="0" w:line="75"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On December 8, 2025, JPMorganChase announced that Todd A. Combs had resigned from the Firm's Board of Directors and would join the Firm as the head of the Strategic Investment Group within the Firm’s Security and Resiliency Initiative ("SRI").</w:t>
      </w:r>
    </w:p>
    <w:p>
      <w:pPr>
        <w:spacing w:after="0" w:line="88"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All of the nominees are currently directors of the Firm. Each nominee has agreed to be named in this proxy statement and, if elected, to serve a one-year term expiring at our 2027 annual meeting.</w:t>
      </w:r>
    </w:p>
    <w:p>
      <w:pPr>
        <w:spacing w:after="0" w:line="75"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Directors are expected to attend our annual meetings. All 12 directors serving on our Board at the time of the 2025 annual meeting attended last year's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356235</wp:posOffset>
            </wp:positionV>
            <wp:extent cx="65151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4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68"/>
        </w:trPr>
        <w:tc>
          <w:tcPr>
            <w:tcW w:w="108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232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Director nominees</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2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-213360</wp:posOffset>
            </wp:positionV>
            <wp:extent cx="120015"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-213360</wp:posOffset>
            </wp:positionV>
            <wp:extent cx="120015" cy="93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-213360</wp:posOffset>
            </wp:positionV>
            <wp:extent cx="120015" cy="939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Qualifications and attributes</w:t>
      </w:r>
    </w:p>
    <w:p>
      <w:pPr>
        <w:spacing w:after="0" w:line="58"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When recruiting and selecting candidates, the Board considers a wide range of attributes, executive experience and skills. Below are brief summaries of the key qualifications of our director nominees. The following page provides a matrix of Board qualifications and attributes.</w:t>
      </w:r>
    </w:p>
    <w:p>
      <w:pPr>
        <w:spacing w:after="0" w:line="75"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8F5A39"/>
        </w:rPr>
        <w:t>All of our nominees possess: independent perspective, integrity, judgment, strong work ethic, strength of conviction, collaborative approach to engagement, inquisitiveness and willingness to appropriately challenge management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Borders>
              <w:top w:val="single" w:sz="8" w:color="auto"/>
            </w:tcBorders>
            <w:shd w:val="clear" w:color="auto" w:fill="F4EFE7"/>
          </w:tcPr>
          <w:p>
            <w:pPr>
              <w:ind w:left="100"/>
              <w:spacing w:after="0"/>
              <w:rPr>
                <w:sz w:val="20"/>
                <w:szCs w:val="20"/>
                <w:color w:val="auto"/>
              </w:rPr>
            </w:pPr>
            <w:r>
              <w:rPr>
                <w:rFonts w:ascii="Arial" w:cs="Arial" w:eastAsia="Arial" w:hAnsi="Arial"/>
                <w:sz w:val="16"/>
                <w:szCs w:val="16"/>
                <w:b w:val="1"/>
                <w:bCs w:val="1"/>
                <w:color w:val="8F5A39"/>
              </w:rPr>
              <w:t>Finance and Accounting</w:t>
            </w:r>
          </w:p>
        </w:tc>
        <w:tc>
          <w:tcPr>
            <w:tcW w:w="91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Knowledge of or experience in accounting, financial reporting or auditing processes and standards is important to effectively</w:t>
            </w:r>
          </w:p>
        </w:tc>
      </w:tr>
      <w:tr>
        <w:trPr>
          <w:trHeight w:val="215"/>
        </w:trPr>
        <w:tc>
          <w:tcPr>
            <w:tcW w:w="2080" w:type="dxa"/>
            <w:vAlign w:val="bottom"/>
            <w:shd w:val="clear" w:color="auto" w:fill="F4EFE7"/>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6"/>
                <w:szCs w:val="16"/>
                <w:color w:val="auto"/>
              </w:rPr>
              <w:t>oversee the Firm’s financial position and condition and the accurate reporting thereof and to assess the Firm’s strategic</w:t>
            </w:r>
          </w:p>
        </w:tc>
      </w:tr>
      <w:tr>
        <w:trPr>
          <w:trHeight w:val="216"/>
        </w:trPr>
        <w:tc>
          <w:tcPr>
            <w:tcW w:w="2080" w:type="dxa"/>
            <w:vAlign w:val="bottom"/>
            <w:shd w:val="clear" w:color="auto" w:fill="F4EFE7"/>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6"/>
                <w:szCs w:val="16"/>
                <w:color w:val="auto"/>
              </w:rPr>
              <w:t>objectives from a financial perspective</w:t>
            </w:r>
          </w:p>
        </w:tc>
      </w:tr>
      <w:tr>
        <w:trPr>
          <w:trHeight w:val="137"/>
        </w:trPr>
        <w:tc>
          <w:tcPr>
            <w:tcW w:w="2080" w:type="dxa"/>
            <w:vAlign w:val="bottom"/>
            <w:tcBorders>
              <w:bottom w:val="single" w:sz="8" w:color="B2B2B2"/>
            </w:tcBorders>
            <w:shd w:val="clear" w:color="auto" w:fill="F4EFE7"/>
          </w:tcPr>
          <w:p>
            <w:pPr>
              <w:spacing w:after="0"/>
              <w:rPr>
                <w:sz w:val="11"/>
                <w:szCs w:val="11"/>
                <w:color w:val="auto"/>
              </w:rPr>
            </w:pPr>
          </w:p>
        </w:tc>
        <w:tc>
          <w:tcPr>
            <w:tcW w:w="9160" w:type="dxa"/>
            <w:vAlign w:val="bottom"/>
            <w:tcBorders>
              <w:bottom w:val="single" w:sz="8" w:color="B2B2B2"/>
            </w:tcBorders>
          </w:tcPr>
          <w:p>
            <w:pPr>
              <w:spacing w:after="0"/>
              <w:rPr>
                <w:sz w:val="11"/>
                <w:szCs w:val="11"/>
                <w:color w:val="auto"/>
              </w:rPr>
            </w:pPr>
          </w:p>
        </w:tc>
      </w:tr>
      <w:tr>
        <w:trPr>
          <w:trHeight w:val="263"/>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Financial Services</w:t>
            </w:r>
          </w:p>
        </w:tc>
        <w:tc>
          <w:tcPr>
            <w:tcW w:w="9160" w:type="dxa"/>
            <w:vAlign w:val="bottom"/>
          </w:tcPr>
          <w:p>
            <w:pPr>
              <w:ind w:left="120"/>
              <w:spacing w:after="0"/>
              <w:rPr>
                <w:sz w:val="20"/>
                <w:szCs w:val="20"/>
                <w:color w:val="auto"/>
              </w:rPr>
            </w:pPr>
            <w:r>
              <w:rPr>
                <w:rFonts w:ascii="Arial" w:cs="Arial" w:eastAsia="Arial" w:hAnsi="Arial"/>
                <w:sz w:val="16"/>
                <w:szCs w:val="16"/>
                <w:color w:val="auto"/>
              </w:rPr>
              <w:t>Experience in the financial services industry, including investment banking, asset management, global financial markets or</w:t>
            </w:r>
          </w:p>
        </w:tc>
      </w:tr>
      <w:tr>
        <w:trPr>
          <w:trHeight w:val="215"/>
        </w:trPr>
        <w:tc>
          <w:tcPr>
            <w:tcW w:w="2080" w:type="dxa"/>
            <w:vAlign w:val="bottom"/>
            <w:shd w:val="clear" w:color="auto" w:fill="F4EFE7"/>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6"/>
                <w:szCs w:val="16"/>
                <w:color w:val="auto"/>
              </w:rPr>
              <w:t>consumer financial products and services, or work with the industry in an advisory or policy-making capacity, is important to</w:t>
            </w:r>
          </w:p>
        </w:tc>
      </w:tr>
      <w:tr>
        <w:trPr>
          <w:trHeight w:val="216"/>
        </w:trPr>
        <w:tc>
          <w:tcPr>
            <w:tcW w:w="2080" w:type="dxa"/>
            <w:vAlign w:val="bottom"/>
            <w:shd w:val="clear" w:color="auto" w:fill="F4EFE7"/>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6"/>
                <w:szCs w:val="16"/>
                <w:color w:val="auto"/>
              </w:rPr>
              <w:t>evaluate the Firm’s business model, strategies and the industry in which we compete</w:t>
            </w:r>
          </w:p>
        </w:tc>
      </w:tr>
      <w:tr>
        <w:trPr>
          <w:trHeight w:val="137"/>
        </w:trPr>
        <w:tc>
          <w:tcPr>
            <w:tcW w:w="2080" w:type="dxa"/>
            <w:vAlign w:val="bottom"/>
            <w:tcBorders>
              <w:bottom w:val="single" w:sz="8" w:color="B2B2B2"/>
            </w:tcBorders>
            <w:shd w:val="clear" w:color="auto" w:fill="F4EFE7"/>
          </w:tcPr>
          <w:p>
            <w:pPr>
              <w:spacing w:after="0"/>
              <w:rPr>
                <w:sz w:val="11"/>
                <w:szCs w:val="11"/>
                <w:color w:val="auto"/>
              </w:rPr>
            </w:pPr>
          </w:p>
        </w:tc>
        <w:tc>
          <w:tcPr>
            <w:tcW w:w="9160" w:type="dxa"/>
            <w:vAlign w:val="bottom"/>
            <w:tcBorders>
              <w:bottom w:val="single" w:sz="8" w:color="B2B2B2"/>
            </w:tcBorders>
          </w:tcPr>
          <w:p>
            <w:pPr>
              <w:spacing w:after="0"/>
              <w:rPr>
                <w:sz w:val="11"/>
                <w:szCs w:val="11"/>
                <w:color w:val="auto"/>
              </w:rPr>
            </w:pPr>
          </w:p>
        </w:tc>
      </w:tr>
      <w:tr>
        <w:trPr>
          <w:trHeight w:val="236"/>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International Business</w:t>
            </w:r>
          </w:p>
        </w:tc>
        <w:tc>
          <w:tcPr>
            <w:tcW w:w="9160" w:type="dxa"/>
            <w:vAlign w:val="bottom"/>
          </w:tcPr>
          <w:p>
            <w:pPr>
              <w:ind w:left="120"/>
              <w:spacing w:after="0"/>
              <w:rPr>
                <w:sz w:val="20"/>
                <w:szCs w:val="20"/>
                <w:color w:val="auto"/>
              </w:rPr>
            </w:pPr>
            <w:r>
              <w:rPr>
                <w:rFonts w:ascii="Arial" w:cs="Arial" w:eastAsia="Arial" w:hAnsi="Arial"/>
                <w:sz w:val="16"/>
                <w:szCs w:val="16"/>
                <w:color w:val="auto"/>
              </w:rPr>
              <w:t>Experience in diverse geographic, political and regulatory environments is important to effectively oversee the Firm as it</w:t>
            </w:r>
          </w:p>
        </w:tc>
      </w:tr>
      <w:tr>
        <w:trPr>
          <w:trHeight w:val="242"/>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Operations</w:t>
            </w:r>
          </w:p>
        </w:tc>
        <w:tc>
          <w:tcPr>
            <w:tcW w:w="9160" w:type="dxa"/>
            <w:vAlign w:val="bottom"/>
          </w:tcPr>
          <w:p>
            <w:pPr>
              <w:ind w:left="120"/>
              <w:spacing w:after="0"/>
              <w:rPr>
                <w:sz w:val="20"/>
                <w:szCs w:val="20"/>
                <w:color w:val="auto"/>
              </w:rPr>
            </w:pPr>
            <w:r>
              <w:rPr>
                <w:rFonts w:ascii="Arial" w:cs="Arial" w:eastAsia="Arial" w:hAnsi="Arial"/>
                <w:sz w:val="16"/>
                <w:szCs w:val="16"/>
                <w:color w:val="auto"/>
              </w:rPr>
              <w:t>serves customers and clients across the globe</w:t>
            </w:r>
          </w:p>
        </w:tc>
      </w:tr>
      <w:tr>
        <w:trPr>
          <w:trHeight w:val="137"/>
        </w:trPr>
        <w:tc>
          <w:tcPr>
            <w:tcW w:w="2080" w:type="dxa"/>
            <w:vAlign w:val="bottom"/>
            <w:tcBorders>
              <w:bottom w:val="single" w:sz="8" w:color="B2B2B2"/>
            </w:tcBorders>
            <w:shd w:val="clear" w:color="auto" w:fill="F4EFE7"/>
          </w:tcPr>
          <w:p>
            <w:pPr>
              <w:spacing w:after="0"/>
              <w:rPr>
                <w:sz w:val="11"/>
                <w:szCs w:val="11"/>
                <w:color w:val="auto"/>
              </w:rPr>
            </w:pPr>
          </w:p>
        </w:tc>
        <w:tc>
          <w:tcPr>
            <w:tcW w:w="9160" w:type="dxa"/>
            <w:vAlign w:val="bottom"/>
            <w:tcBorders>
              <w:bottom w:val="single" w:sz="8" w:color="B2B2B2"/>
            </w:tcBorders>
          </w:tcPr>
          <w:p>
            <w:pPr>
              <w:spacing w:after="0"/>
              <w:rPr>
                <w:sz w:val="11"/>
                <w:szCs w:val="11"/>
                <w:color w:val="auto"/>
              </w:rPr>
            </w:pPr>
          </w:p>
        </w:tc>
      </w:tr>
      <w:tr>
        <w:trPr>
          <w:trHeight w:val="236"/>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Leadership of a Large,</w:t>
            </w:r>
          </w:p>
        </w:tc>
        <w:tc>
          <w:tcPr>
            <w:tcW w:w="9160" w:type="dxa"/>
            <w:vAlign w:val="bottom"/>
          </w:tcPr>
          <w:p>
            <w:pPr>
              <w:ind w:left="120"/>
              <w:spacing w:after="0"/>
              <w:rPr>
                <w:sz w:val="20"/>
                <w:szCs w:val="20"/>
                <w:color w:val="auto"/>
              </w:rPr>
            </w:pPr>
            <w:r>
              <w:rPr>
                <w:rFonts w:ascii="Arial" w:cs="Arial" w:eastAsia="Arial" w:hAnsi="Arial"/>
                <w:sz w:val="16"/>
                <w:szCs w:val="16"/>
                <w:color w:val="auto"/>
              </w:rPr>
              <w:t>Executive experience managing business operations and strategic planning is important to effectively oversee the Firm’s</w:t>
            </w:r>
          </w:p>
        </w:tc>
      </w:tr>
      <w:tr>
        <w:trPr>
          <w:trHeight w:val="242"/>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Complex Organization</w:t>
            </w:r>
          </w:p>
        </w:tc>
        <w:tc>
          <w:tcPr>
            <w:tcW w:w="9160" w:type="dxa"/>
            <w:vAlign w:val="bottom"/>
          </w:tcPr>
          <w:p>
            <w:pPr>
              <w:ind w:left="120"/>
              <w:spacing w:after="0"/>
              <w:rPr>
                <w:sz w:val="20"/>
                <w:szCs w:val="20"/>
                <w:color w:val="auto"/>
              </w:rPr>
            </w:pPr>
            <w:r>
              <w:rPr>
                <w:rFonts w:ascii="Arial" w:cs="Arial" w:eastAsia="Arial" w:hAnsi="Arial"/>
                <w:sz w:val="16"/>
                <w:szCs w:val="16"/>
                <w:color w:val="auto"/>
              </w:rPr>
              <w:t>complex worldwide operations</w:t>
            </w:r>
          </w:p>
        </w:tc>
      </w:tr>
      <w:tr>
        <w:trPr>
          <w:trHeight w:val="137"/>
        </w:trPr>
        <w:tc>
          <w:tcPr>
            <w:tcW w:w="2080" w:type="dxa"/>
            <w:vAlign w:val="bottom"/>
            <w:tcBorders>
              <w:bottom w:val="single" w:sz="8" w:color="B2B2B2"/>
            </w:tcBorders>
            <w:shd w:val="clear" w:color="auto" w:fill="F4EFE7"/>
          </w:tcPr>
          <w:p>
            <w:pPr>
              <w:spacing w:after="0"/>
              <w:rPr>
                <w:sz w:val="11"/>
                <w:szCs w:val="11"/>
                <w:color w:val="auto"/>
              </w:rPr>
            </w:pPr>
          </w:p>
        </w:tc>
        <w:tc>
          <w:tcPr>
            <w:tcW w:w="9160" w:type="dxa"/>
            <w:vAlign w:val="bottom"/>
            <w:tcBorders>
              <w:bottom w:val="single" w:sz="8" w:color="B2B2B2"/>
            </w:tcBorders>
          </w:tcPr>
          <w:p>
            <w:pPr>
              <w:spacing w:after="0"/>
              <w:rPr>
                <w:sz w:val="11"/>
                <w:szCs w:val="11"/>
                <w:color w:val="auto"/>
              </w:rPr>
            </w:pPr>
          </w:p>
        </w:tc>
      </w:tr>
      <w:tr>
        <w:trPr>
          <w:trHeight w:val="236"/>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Human Capital</w:t>
            </w:r>
          </w:p>
        </w:tc>
        <w:tc>
          <w:tcPr>
            <w:tcW w:w="9160" w:type="dxa"/>
            <w:vAlign w:val="bottom"/>
          </w:tcPr>
          <w:p>
            <w:pPr>
              <w:ind w:left="120"/>
              <w:spacing w:after="0"/>
              <w:rPr>
                <w:sz w:val="20"/>
                <w:szCs w:val="20"/>
                <w:color w:val="auto"/>
              </w:rPr>
            </w:pPr>
            <w:r>
              <w:rPr>
                <w:rFonts w:ascii="Arial" w:cs="Arial" w:eastAsia="Arial" w:hAnsi="Arial"/>
                <w:sz w:val="16"/>
                <w:szCs w:val="16"/>
                <w:color w:val="auto"/>
              </w:rPr>
              <w:t>Experience in human capital management, including senior executive development, succession planning and compensation</w:t>
            </w:r>
          </w:p>
        </w:tc>
      </w:tr>
      <w:tr>
        <w:trPr>
          <w:trHeight w:val="242"/>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Management</w:t>
            </w:r>
          </w:p>
        </w:tc>
        <w:tc>
          <w:tcPr>
            <w:tcW w:w="9160" w:type="dxa"/>
            <w:vAlign w:val="bottom"/>
          </w:tcPr>
          <w:p>
            <w:pPr>
              <w:ind w:left="120"/>
              <w:spacing w:after="0"/>
              <w:rPr>
                <w:sz w:val="20"/>
                <w:szCs w:val="20"/>
                <w:color w:val="auto"/>
              </w:rPr>
            </w:pPr>
            <w:r>
              <w:rPr>
                <w:rFonts w:ascii="Arial" w:cs="Arial" w:eastAsia="Arial" w:hAnsi="Arial"/>
                <w:sz w:val="16"/>
                <w:szCs w:val="16"/>
                <w:color w:val="auto"/>
              </w:rPr>
              <w:t>matters, helps the Board to effectively oversee the Firm’s efforts to recruit, retain and develop key talent and provide valuable</w:t>
            </w:r>
          </w:p>
        </w:tc>
      </w:tr>
      <w:tr>
        <w:trPr>
          <w:trHeight w:val="216"/>
        </w:trPr>
        <w:tc>
          <w:tcPr>
            <w:tcW w:w="2080" w:type="dxa"/>
            <w:vAlign w:val="bottom"/>
            <w:shd w:val="clear" w:color="auto" w:fill="F4EFE7"/>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6"/>
                <w:szCs w:val="16"/>
                <w:color w:val="auto"/>
              </w:rPr>
              <w:t>insight in determining compensation of the CEO and other executive officers</w:t>
            </w:r>
          </w:p>
        </w:tc>
      </w:tr>
      <w:tr>
        <w:trPr>
          <w:trHeight w:val="137"/>
        </w:trPr>
        <w:tc>
          <w:tcPr>
            <w:tcW w:w="2080" w:type="dxa"/>
            <w:vAlign w:val="bottom"/>
            <w:tcBorders>
              <w:bottom w:val="single" w:sz="8" w:color="B2B2B2"/>
            </w:tcBorders>
            <w:shd w:val="clear" w:color="auto" w:fill="F4EFE7"/>
          </w:tcPr>
          <w:p>
            <w:pPr>
              <w:spacing w:after="0"/>
              <w:rPr>
                <w:sz w:val="11"/>
                <w:szCs w:val="11"/>
                <w:color w:val="auto"/>
              </w:rPr>
            </w:pPr>
          </w:p>
        </w:tc>
        <w:tc>
          <w:tcPr>
            <w:tcW w:w="9160" w:type="dxa"/>
            <w:vAlign w:val="bottom"/>
            <w:tcBorders>
              <w:bottom w:val="single" w:sz="8" w:color="B2B2B2"/>
            </w:tcBorders>
          </w:tcPr>
          <w:p>
            <w:pPr>
              <w:spacing w:after="0"/>
              <w:rPr>
                <w:sz w:val="11"/>
                <w:szCs w:val="11"/>
                <w:color w:val="auto"/>
              </w:rPr>
            </w:pPr>
          </w:p>
        </w:tc>
      </w:tr>
      <w:tr>
        <w:trPr>
          <w:trHeight w:val="236"/>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Public Company</w:t>
            </w:r>
          </w:p>
        </w:tc>
        <w:tc>
          <w:tcPr>
            <w:tcW w:w="9160" w:type="dxa"/>
            <w:vAlign w:val="bottom"/>
          </w:tcPr>
          <w:p>
            <w:pPr>
              <w:ind w:left="120"/>
              <w:spacing w:after="0"/>
              <w:rPr>
                <w:sz w:val="20"/>
                <w:szCs w:val="20"/>
                <w:color w:val="auto"/>
              </w:rPr>
            </w:pPr>
            <w:r>
              <w:rPr>
                <w:rFonts w:ascii="Arial" w:cs="Arial" w:eastAsia="Arial" w:hAnsi="Arial"/>
                <w:sz w:val="16"/>
                <w:szCs w:val="16"/>
                <w:color w:val="auto"/>
              </w:rPr>
              <w:t>Knowledge of public company governance matters, policies and best practices assists the Board in considering and adopting</w:t>
            </w:r>
          </w:p>
        </w:tc>
      </w:tr>
      <w:tr>
        <w:trPr>
          <w:trHeight w:val="242"/>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Governance</w:t>
            </w:r>
          </w:p>
        </w:tc>
        <w:tc>
          <w:tcPr>
            <w:tcW w:w="9160" w:type="dxa"/>
            <w:vAlign w:val="bottom"/>
          </w:tcPr>
          <w:p>
            <w:pPr>
              <w:ind w:left="120"/>
              <w:spacing w:after="0"/>
              <w:rPr>
                <w:sz w:val="20"/>
                <w:szCs w:val="20"/>
                <w:color w:val="auto"/>
              </w:rPr>
            </w:pPr>
            <w:r>
              <w:rPr>
                <w:rFonts w:ascii="Arial" w:cs="Arial" w:eastAsia="Arial" w:hAnsi="Arial"/>
                <w:sz w:val="16"/>
                <w:szCs w:val="16"/>
                <w:color w:val="auto"/>
              </w:rPr>
              <w:t>applicable corporate governance practices, interacting with stakeholders and understanding the impact of various policies on</w:t>
            </w:r>
          </w:p>
        </w:tc>
      </w:tr>
      <w:tr>
        <w:trPr>
          <w:trHeight w:val="216"/>
        </w:trPr>
        <w:tc>
          <w:tcPr>
            <w:tcW w:w="2080" w:type="dxa"/>
            <w:vAlign w:val="bottom"/>
            <w:shd w:val="clear" w:color="auto" w:fill="F4EFE7"/>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6"/>
                <w:szCs w:val="16"/>
                <w:color w:val="auto"/>
              </w:rPr>
              <w:t>the Firm’s functions</w:t>
            </w:r>
          </w:p>
        </w:tc>
      </w:tr>
      <w:tr>
        <w:trPr>
          <w:trHeight w:val="137"/>
        </w:trPr>
        <w:tc>
          <w:tcPr>
            <w:tcW w:w="2080" w:type="dxa"/>
            <w:vAlign w:val="bottom"/>
            <w:tcBorders>
              <w:bottom w:val="single" w:sz="8" w:color="B2B2B2"/>
            </w:tcBorders>
            <w:shd w:val="clear" w:color="auto" w:fill="F4EFE7"/>
          </w:tcPr>
          <w:p>
            <w:pPr>
              <w:spacing w:after="0"/>
              <w:rPr>
                <w:sz w:val="11"/>
                <w:szCs w:val="11"/>
                <w:color w:val="auto"/>
              </w:rPr>
            </w:pPr>
          </w:p>
        </w:tc>
        <w:tc>
          <w:tcPr>
            <w:tcW w:w="9160" w:type="dxa"/>
            <w:vAlign w:val="bottom"/>
            <w:tcBorders>
              <w:bottom w:val="single" w:sz="8" w:color="B2B2B2"/>
            </w:tcBorders>
          </w:tcPr>
          <w:p>
            <w:pPr>
              <w:spacing w:after="0"/>
              <w:rPr>
                <w:sz w:val="11"/>
                <w:szCs w:val="11"/>
                <w:color w:val="auto"/>
              </w:rPr>
            </w:pPr>
          </w:p>
        </w:tc>
      </w:tr>
      <w:tr>
        <w:trPr>
          <w:trHeight w:val="263"/>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Technology</w:t>
            </w:r>
          </w:p>
        </w:tc>
        <w:tc>
          <w:tcPr>
            <w:tcW w:w="9160" w:type="dxa"/>
            <w:vAlign w:val="bottom"/>
          </w:tcPr>
          <w:p>
            <w:pPr>
              <w:ind w:left="120"/>
              <w:spacing w:after="0"/>
              <w:rPr>
                <w:sz w:val="20"/>
                <w:szCs w:val="20"/>
                <w:color w:val="auto"/>
              </w:rPr>
            </w:pPr>
            <w:r>
              <w:rPr>
                <w:rFonts w:ascii="Arial" w:cs="Arial" w:eastAsia="Arial" w:hAnsi="Arial"/>
                <w:sz w:val="16"/>
                <w:szCs w:val="16"/>
                <w:color w:val="auto"/>
              </w:rPr>
              <w:t>Experience with or oversight of innovative technology, artificial intelligence ("AI"), cybersecurity, information systems/data</w:t>
            </w:r>
          </w:p>
        </w:tc>
      </w:tr>
      <w:tr>
        <w:trPr>
          <w:trHeight w:val="215"/>
        </w:trPr>
        <w:tc>
          <w:tcPr>
            <w:tcW w:w="2080" w:type="dxa"/>
            <w:vAlign w:val="bottom"/>
            <w:shd w:val="clear" w:color="auto" w:fill="F4EFE7"/>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6"/>
                <w:szCs w:val="16"/>
                <w:color w:val="auto"/>
              </w:rPr>
              <w:t>management, information security, fintech or privacy is important in overseeing the security of the Firm’s operations, assets</w:t>
            </w:r>
          </w:p>
        </w:tc>
      </w:tr>
      <w:tr>
        <w:trPr>
          <w:trHeight w:val="216"/>
        </w:trPr>
        <w:tc>
          <w:tcPr>
            <w:tcW w:w="2080" w:type="dxa"/>
            <w:vAlign w:val="bottom"/>
            <w:shd w:val="clear" w:color="auto" w:fill="F4EFE7"/>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6"/>
                <w:szCs w:val="16"/>
                <w:color w:val="auto"/>
              </w:rPr>
              <w:t>and systems as well as the Firm’s ongoing investment in and development of innovative technology</w:t>
            </w:r>
          </w:p>
        </w:tc>
      </w:tr>
      <w:tr>
        <w:trPr>
          <w:trHeight w:val="137"/>
        </w:trPr>
        <w:tc>
          <w:tcPr>
            <w:tcW w:w="2080" w:type="dxa"/>
            <w:vAlign w:val="bottom"/>
            <w:tcBorders>
              <w:bottom w:val="single" w:sz="8" w:color="B2B2B2"/>
            </w:tcBorders>
            <w:shd w:val="clear" w:color="auto" w:fill="F4EFE7"/>
          </w:tcPr>
          <w:p>
            <w:pPr>
              <w:spacing w:after="0"/>
              <w:rPr>
                <w:sz w:val="11"/>
                <w:szCs w:val="11"/>
                <w:color w:val="auto"/>
              </w:rPr>
            </w:pPr>
          </w:p>
        </w:tc>
        <w:tc>
          <w:tcPr>
            <w:tcW w:w="9160" w:type="dxa"/>
            <w:vAlign w:val="bottom"/>
            <w:tcBorders>
              <w:bottom w:val="single" w:sz="8" w:color="B2B2B2"/>
            </w:tcBorders>
          </w:tcPr>
          <w:p>
            <w:pPr>
              <w:spacing w:after="0"/>
              <w:rPr>
                <w:sz w:val="11"/>
                <w:szCs w:val="11"/>
                <w:color w:val="auto"/>
              </w:rPr>
            </w:pPr>
          </w:p>
        </w:tc>
      </w:tr>
      <w:tr>
        <w:trPr>
          <w:trHeight w:val="263"/>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Regulated Industries</w:t>
            </w:r>
          </w:p>
        </w:tc>
        <w:tc>
          <w:tcPr>
            <w:tcW w:w="9160" w:type="dxa"/>
            <w:vAlign w:val="bottom"/>
          </w:tcPr>
          <w:p>
            <w:pPr>
              <w:ind w:left="120"/>
              <w:spacing w:after="0"/>
              <w:rPr>
                <w:sz w:val="20"/>
                <w:szCs w:val="20"/>
                <w:color w:val="auto"/>
              </w:rPr>
            </w:pPr>
            <w:r>
              <w:rPr>
                <w:rFonts w:ascii="Arial" w:cs="Arial" w:eastAsia="Arial" w:hAnsi="Arial"/>
                <w:sz w:val="16"/>
                <w:szCs w:val="16"/>
                <w:color w:val="auto"/>
              </w:rPr>
              <w:t>Experience with regulated businesses, regulatory requirements and relationships with global regulators is important because</w:t>
            </w:r>
          </w:p>
        </w:tc>
      </w:tr>
      <w:tr>
        <w:trPr>
          <w:trHeight w:val="215"/>
        </w:trPr>
        <w:tc>
          <w:tcPr>
            <w:tcW w:w="2080" w:type="dxa"/>
            <w:vAlign w:val="bottom"/>
            <w:shd w:val="clear" w:color="auto" w:fill="F4EFE7"/>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6"/>
                <w:szCs w:val="16"/>
                <w:color w:val="auto"/>
              </w:rPr>
              <w:t>the Firm operates in a heavily regulated industry</w:t>
            </w:r>
          </w:p>
        </w:tc>
      </w:tr>
      <w:tr>
        <w:trPr>
          <w:trHeight w:val="137"/>
        </w:trPr>
        <w:tc>
          <w:tcPr>
            <w:tcW w:w="2080" w:type="dxa"/>
            <w:vAlign w:val="bottom"/>
            <w:tcBorders>
              <w:bottom w:val="single" w:sz="8" w:color="B2B2B2"/>
            </w:tcBorders>
            <w:shd w:val="clear" w:color="auto" w:fill="F4EFE7"/>
          </w:tcPr>
          <w:p>
            <w:pPr>
              <w:spacing w:after="0"/>
              <w:rPr>
                <w:sz w:val="11"/>
                <w:szCs w:val="11"/>
                <w:color w:val="auto"/>
              </w:rPr>
            </w:pPr>
          </w:p>
        </w:tc>
        <w:tc>
          <w:tcPr>
            <w:tcW w:w="9160" w:type="dxa"/>
            <w:vAlign w:val="bottom"/>
            <w:tcBorders>
              <w:bottom w:val="single" w:sz="8" w:color="B2B2B2"/>
            </w:tcBorders>
          </w:tcPr>
          <w:p>
            <w:pPr>
              <w:spacing w:after="0"/>
              <w:rPr>
                <w:sz w:val="11"/>
                <w:szCs w:val="11"/>
                <w:color w:val="auto"/>
              </w:rPr>
            </w:pPr>
          </w:p>
        </w:tc>
      </w:tr>
      <w:tr>
        <w:trPr>
          <w:trHeight w:val="236"/>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Risk Management and</w:t>
            </w:r>
          </w:p>
        </w:tc>
        <w:tc>
          <w:tcPr>
            <w:tcW w:w="9160" w:type="dxa"/>
            <w:vAlign w:val="bottom"/>
          </w:tcPr>
          <w:p>
            <w:pPr>
              <w:ind w:left="120"/>
              <w:spacing w:after="0"/>
              <w:rPr>
                <w:sz w:val="20"/>
                <w:szCs w:val="20"/>
                <w:color w:val="auto"/>
              </w:rPr>
            </w:pPr>
            <w:r>
              <w:rPr>
                <w:rFonts w:ascii="Arial" w:cs="Arial" w:eastAsia="Arial" w:hAnsi="Arial"/>
                <w:sz w:val="16"/>
                <w:szCs w:val="16"/>
                <w:color w:val="auto"/>
              </w:rPr>
              <w:t>Skills and experience in assessment and management of business and financial risk factors is important to effectively oversee</w:t>
            </w:r>
          </w:p>
        </w:tc>
      </w:tr>
      <w:tr>
        <w:trPr>
          <w:trHeight w:val="242"/>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Controls</w:t>
            </w:r>
          </w:p>
        </w:tc>
        <w:tc>
          <w:tcPr>
            <w:tcW w:w="9160" w:type="dxa"/>
            <w:vAlign w:val="bottom"/>
          </w:tcPr>
          <w:p>
            <w:pPr>
              <w:ind w:left="120"/>
              <w:spacing w:after="0"/>
              <w:rPr>
                <w:sz w:val="20"/>
                <w:szCs w:val="20"/>
                <w:color w:val="auto"/>
              </w:rPr>
            </w:pPr>
            <w:r>
              <w:rPr>
                <w:rFonts w:ascii="Arial" w:cs="Arial" w:eastAsia="Arial" w:hAnsi="Arial"/>
                <w:sz w:val="16"/>
                <w:szCs w:val="16"/>
                <w:color w:val="auto"/>
              </w:rPr>
              <w:t>risk management and understand the most significant risks facing the Firm</w:t>
            </w:r>
          </w:p>
        </w:tc>
      </w:tr>
      <w:tr>
        <w:trPr>
          <w:trHeight w:val="137"/>
        </w:trPr>
        <w:tc>
          <w:tcPr>
            <w:tcW w:w="2080" w:type="dxa"/>
            <w:vAlign w:val="bottom"/>
            <w:tcBorders>
              <w:bottom w:val="single" w:sz="8" w:color="B2B2B2"/>
            </w:tcBorders>
            <w:shd w:val="clear" w:color="auto" w:fill="F4EFE7"/>
          </w:tcPr>
          <w:p>
            <w:pPr>
              <w:spacing w:after="0"/>
              <w:rPr>
                <w:sz w:val="11"/>
                <w:szCs w:val="11"/>
                <w:color w:val="auto"/>
              </w:rPr>
            </w:pPr>
          </w:p>
        </w:tc>
        <w:tc>
          <w:tcPr>
            <w:tcW w:w="9160" w:type="dxa"/>
            <w:vAlign w:val="bottom"/>
            <w:tcBorders>
              <w:bottom w:val="single" w:sz="8" w:color="B2B2B2"/>
            </w:tcBorders>
          </w:tcPr>
          <w:p>
            <w:pPr>
              <w:spacing w:after="0"/>
              <w:rPr>
                <w:sz w:val="11"/>
                <w:szCs w:val="11"/>
                <w:color w:val="auto"/>
              </w:rPr>
            </w:pPr>
          </w:p>
        </w:tc>
      </w:tr>
      <w:tr>
        <w:trPr>
          <w:trHeight w:val="263"/>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Sustainability</w:t>
            </w:r>
          </w:p>
        </w:tc>
        <w:tc>
          <w:tcPr>
            <w:tcW w:w="9160" w:type="dxa"/>
            <w:vAlign w:val="bottom"/>
          </w:tcPr>
          <w:p>
            <w:pPr>
              <w:ind w:left="120"/>
              <w:spacing w:after="0"/>
              <w:rPr>
                <w:sz w:val="20"/>
                <w:szCs w:val="20"/>
                <w:color w:val="auto"/>
              </w:rPr>
            </w:pPr>
            <w:r>
              <w:rPr>
                <w:rFonts w:ascii="Arial" w:cs="Arial" w:eastAsia="Arial" w:hAnsi="Arial"/>
                <w:sz w:val="16"/>
                <w:szCs w:val="16"/>
                <w:color w:val="auto"/>
              </w:rPr>
              <w:t>Experience with sustainability-related matters is important to effectively oversee potential risks and opportunities related to</w:t>
            </w:r>
          </w:p>
        </w:tc>
      </w:tr>
      <w:tr>
        <w:trPr>
          <w:trHeight w:val="215"/>
        </w:trPr>
        <w:tc>
          <w:tcPr>
            <w:tcW w:w="2080" w:type="dxa"/>
            <w:vAlign w:val="bottom"/>
            <w:shd w:val="clear" w:color="auto" w:fill="F4EFE7"/>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6"/>
                <w:szCs w:val="16"/>
                <w:color w:val="auto"/>
              </w:rPr>
              <w:t>climate, nature and social factors that could affect the business, including business solutions that foster sustainable economic</w:t>
            </w:r>
          </w:p>
        </w:tc>
      </w:tr>
      <w:tr>
        <w:trPr>
          <w:trHeight w:val="216"/>
        </w:trPr>
        <w:tc>
          <w:tcPr>
            <w:tcW w:w="2080" w:type="dxa"/>
            <w:vAlign w:val="bottom"/>
            <w:shd w:val="clear" w:color="auto" w:fill="F4EFE7"/>
          </w:tcPr>
          <w:p>
            <w:pPr>
              <w:spacing w:after="0"/>
              <w:rPr>
                <w:sz w:val="18"/>
                <w:szCs w:val="18"/>
                <w:color w:val="auto"/>
              </w:rPr>
            </w:pPr>
          </w:p>
        </w:tc>
        <w:tc>
          <w:tcPr>
            <w:tcW w:w="9160" w:type="dxa"/>
            <w:vAlign w:val="bottom"/>
          </w:tcPr>
          <w:p>
            <w:pPr>
              <w:ind w:left="120"/>
              <w:spacing w:after="0"/>
              <w:rPr>
                <w:sz w:val="20"/>
                <w:szCs w:val="20"/>
                <w:color w:val="auto"/>
              </w:rPr>
            </w:pPr>
            <w:r>
              <w:rPr>
                <w:rFonts w:ascii="Arial" w:cs="Arial" w:eastAsia="Arial" w:hAnsi="Arial"/>
                <w:sz w:val="16"/>
                <w:szCs w:val="16"/>
                <w:color w:val="auto"/>
              </w:rPr>
              <w:t>growth and support our clients in pursuing their sustainability goals</w:t>
            </w:r>
          </w:p>
        </w:tc>
      </w:tr>
      <w:tr>
        <w:trPr>
          <w:trHeight w:val="137"/>
        </w:trPr>
        <w:tc>
          <w:tcPr>
            <w:tcW w:w="2080" w:type="dxa"/>
            <w:vAlign w:val="bottom"/>
            <w:tcBorders>
              <w:bottom w:val="single" w:sz="8" w:color="auto"/>
            </w:tcBorders>
            <w:shd w:val="clear" w:color="auto" w:fill="F4EFE7"/>
          </w:tcPr>
          <w:p>
            <w:pPr>
              <w:spacing w:after="0"/>
              <w:rPr>
                <w:sz w:val="11"/>
                <w:szCs w:val="11"/>
                <w:color w:val="auto"/>
              </w:rPr>
            </w:pPr>
          </w:p>
        </w:tc>
        <w:tc>
          <w:tcPr>
            <w:tcW w:w="9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506095</wp:posOffset>
            </wp:positionV>
            <wp:extent cx="65151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10</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Director nominees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232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Director nominees</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2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-213360</wp:posOffset>
            </wp:positionV>
            <wp:extent cx="120015"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946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-213360</wp:posOffset>
            </wp:positionV>
            <wp:extent cx="120015"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946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-213360</wp:posOffset>
            </wp:positionV>
            <wp:extent cx="120015"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9461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Board qualifications and composition matrix</w:t>
      </w:r>
      <w:r>
        <w:rPr>
          <w:rFonts w:ascii="Arial" w:cs="Arial" w:eastAsia="Arial" w:hAnsi="Arial"/>
          <w:sz w:val="32"/>
          <w:szCs w:val="32"/>
          <w:color w:val="auto"/>
          <w:vertAlign w:val="superscript"/>
        </w:rPr>
        <w:t>1</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Board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7029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F5A39"/>
        </w:rPr>
        <w:t>11 Director Nominees: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F5A39"/>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57785</wp:posOffset>
            </wp:positionV>
            <wp:extent cx="94615" cy="77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57785</wp:posOffset>
            </wp:positionV>
            <wp:extent cx="94615" cy="77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57785</wp:posOffset>
            </wp:positionV>
            <wp:extent cx="94615" cy="774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57785</wp:posOffset>
            </wp:positionV>
            <wp:extent cx="93980" cy="774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57785</wp:posOffset>
            </wp:positionV>
            <wp:extent cx="93980" cy="774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57785</wp:posOffset>
            </wp:positionV>
            <wp:extent cx="93980" cy="774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57785</wp:posOffset>
            </wp:positionV>
            <wp:extent cx="93980" cy="774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57785</wp:posOffset>
            </wp:positionV>
            <wp:extent cx="94615" cy="774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57785</wp:posOffset>
            </wp:positionV>
            <wp:extent cx="93980" cy="77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57785</wp:posOffset>
            </wp:positionV>
            <wp:extent cx="93980" cy="77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57785</wp:posOffset>
            </wp:positionV>
            <wp:extent cx="93980" cy="77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Finance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74930</wp:posOffset>
            </wp:positionV>
            <wp:extent cx="94615"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74930</wp:posOffset>
            </wp:positionV>
            <wp:extent cx="93980" cy="77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74930</wp:posOffset>
            </wp:positionV>
            <wp:extent cx="93980" cy="77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74930</wp:posOffset>
            </wp:positionV>
            <wp:extent cx="93980" cy="7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74930</wp:posOffset>
            </wp:positionV>
            <wp:extent cx="93980" cy="774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74930</wp:posOffset>
            </wp:positionV>
            <wp:extent cx="94615" cy="774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74930</wp:posOffset>
            </wp:positionV>
            <wp:extent cx="94615" cy="774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74930</wp:posOffset>
            </wp:positionV>
            <wp:extent cx="94615" cy="77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74930</wp:posOffset>
            </wp:positionV>
            <wp:extent cx="93980" cy="774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74930</wp:posOffset>
            </wp:positionV>
            <wp:extent cx="93980" cy="774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74930</wp:posOffset>
            </wp:positionV>
            <wp:extent cx="93980" cy="774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74930</wp:posOffset>
            </wp:positionV>
            <wp:extent cx="93980" cy="774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74930</wp:posOffset>
            </wp:positionV>
            <wp:extent cx="94615" cy="774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74930</wp:posOffset>
            </wp:positionV>
            <wp:extent cx="93980" cy="774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74930</wp:posOffset>
            </wp:positionV>
            <wp:extent cx="93980" cy="774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74930</wp:posOffset>
            </wp:positionV>
            <wp:extent cx="93980" cy="774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International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74930</wp:posOffset>
            </wp:positionV>
            <wp:extent cx="94615" cy="774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74930</wp:posOffset>
            </wp:positionV>
            <wp:extent cx="94615" cy="774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74930</wp:posOffset>
            </wp:positionV>
            <wp:extent cx="94615" cy="774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74930</wp:posOffset>
            </wp:positionV>
            <wp:extent cx="93980" cy="774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74930</wp:posOffset>
            </wp:positionV>
            <wp:extent cx="93980" cy="774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74930</wp:posOffset>
            </wp:positionV>
            <wp:extent cx="93980" cy="774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74930</wp:posOffset>
            </wp:positionV>
            <wp:extent cx="93980" cy="774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74930</wp:posOffset>
            </wp:positionV>
            <wp:extent cx="94615" cy="774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74930</wp:posOffset>
            </wp:positionV>
            <wp:extent cx="93980" cy="774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74930</wp:posOffset>
            </wp:positionV>
            <wp:extent cx="93980" cy="77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74930</wp:posOffset>
            </wp:positionV>
            <wp:extent cx="93980" cy="774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Leadership of a Large, Complex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74930</wp:posOffset>
            </wp:positionV>
            <wp:extent cx="94615" cy="768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74930</wp:posOffset>
            </wp:positionV>
            <wp:extent cx="94615" cy="768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74930</wp:posOffset>
            </wp:positionV>
            <wp:extent cx="94615" cy="768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74930</wp:posOffset>
            </wp:positionV>
            <wp:extent cx="93980" cy="768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74930</wp:posOffset>
            </wp:positionV>
            <wp:extent cx="93980" cy="768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74930</wp:posOffset>
            </wp:positionV>
            <wp:extent cx="93980" cy="768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74930</wp:posOffset>
            </wp:positionV>
            <wp:extent cx="93980" cy="768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74930</wp:posOffset>
            </wp:positionV>
            <wp:extent cx="94615" cy="768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74930</wp:posOffset>
            </wp:positionV>
            <wp:extent cx="93980" cy="768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74930</wp:posOffset>
            </wp:positionV>
            <wp:extent cx="93980" cy="768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74930</wp:posOffset>
            </wp:positionV>
            <wp:extent cx="93980" cy="768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7683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74930</wp:posOffset>
            </wp:positionV>
            <wp:extent cx="94615" cy="774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74930</wp:posOffset>
            </wp:positionV>
            <wp:extent cx="94615" cy="774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74930</wp:posOffset>
            </wp:positionV>
            <wp:extent cx="94615" cy="774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74930</wp:posOffset>
            </wp:positionV>
            <wp:extent cx="93980" cy="774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74930</wp:posOffset>
            </wp:positionV>
            <wp:extent cx="93980" cy="774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74930</wp:posOffset>
            </wp:positionV>
            <wp:extent cx="93980" cy="774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74930</wp:posOffset>
            </wp:positionV>
            <wp:extent cx="93980" cy="774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74930</wp:posOffset>
            </wp:positionV>
            <wp:extent cx="94615" cy="774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74930</wp:posOffset>
            </wp:positionV>
            <wp:extent cx="93980" cy="774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74930</wp:posOffset>
            </wp:positionV>
            <wp:extent cx="93980" cy="774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74930</wp:posOffset>
            </wp:positionV>
            <wp:extent cx="93980" cy="774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Public Company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74930</wp:posOffset>
            </wp:positionV>
            <wp:extent cx="94615" cy="774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74930</wp:posOffset>
            </wp:positionV>
            <wp:extent cx="93980" cy="774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74930</wp:posOffset>
            </wp:positionV>
            <wp:extent cx="93980" cy="774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74930</wp:posOffset>
            </wp:positionV>
            <wp:extent cx="93980" cy="774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74930</wp:posOffset>
            </wp:positionV>
            <wp:extent cx="94615" cy="774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74930</wp:posOffset>
            </wp:positionV>
            <wp:extent cx="93980" cy="774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74930</wp:posOffset>
            </wp:positionV>
            <wp:extent cx="93980" cy="774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74930</wp:posOffset>
            </wp:positionV>
            <wp:extent cx="93980" cy="774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74930</wp:posOffset>
            </wp:positionV>
            <wp:extent cx="94615" cy="774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74930</wp:posOffset>
            </wp:positionV>
            <wp:extent cx="94615" cy="774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74930</wp:posOffset>
            </wp:positionV>
            <wp:extent cx="94615" cy="774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74930</wp:posOffset>
            </wp:positionV>
            <wp:extent cx="93980" cy="774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74930</wp:posOffset>
            </wp:positionV>
            <wp:extent cx="93980" cy="774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74930</wp:posOffset>
            </wp:positionV>
            <wp:extent cx="93980" cy="774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74930</wp:posOffset>
            </wp:positionV>
            <wp:extent cx="93980" cy="774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74930</wp:posOffset>
            </wp:positionV>
            <wp:extent cx="94615" cy="774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74930</wp:posOffset>
            </wp:positionV>
            <wp:extent cx="93980" cy="774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74930</wp:posOffset>
            </wp:positionV>
            <wp:extent cx="93980" cy="774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74930</wp:posOffset>
            </wp:positionV>
            <wp:extent cx="93980" cy="774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Regulated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74930</wp:posOffset>
            </wp:positionV>
            <wp:extent cx="94615" cy="774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74930</wp:posOffset>
            </wp:positionV>
            <wp:extent cx="94615" cy="774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74930</wp:posOffset>
            </wp:positionV>
            <wp:extent cx="94615" cy="774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74930</wp:posOffset>
            </wp:positionV>
            <wp:extent cx="93980" cy="774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74930</wp:posOffset>
            </wp:positionV>
            <wp:extent cx="93980" cy="774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74930</wp:posOffset>
            </wp:positionV>
            <wp:extent cx="93980" cy="774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74930</wp:posOffset>
            </wp:positionV>
            <wp:extent cx="93980" cy="774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74930</wp:posOffset>
            </wp:positionV>
            <wp:extent cx="94615" cy="774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74930</wp:posOffset>
            </wp:positionV>
            <wp:extent cx="93980" cy="774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74930</wp:posOffset>
            </wp:positionV>
            <wp:extent cx="93980" cy="774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74930</wp:posOffset>
            </wp:positionV>
            <wp:extent cx="93980" cy="774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 Management and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74930</wp:posOffset>
            </wp:positionV>
            <wp:extent cx="94615" cy="768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74930</wp:posOffset>
            </wp:positionV>
            <wp:extent cx="93980" cy="768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74930</wp:posOffset>
            </wp:positionV>
            <wp:extent cx="93980" cy="768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74930</wp:posOffset>
            </wp:positionV>
            <wp:extent cx="93980" cy="768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74930</wp:posOffset>
            </wp:positionV>
            <wp:extent cx="93980" cy="768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74930</wp:posOffset>
            </wp:positionV>
            <wp:extent cx="94615" cy="768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74930</wp:posOffset>
            </wp:positionV>
            <wp:extent cx="93980" cy="768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74930</wp:posOffset>
            </wp:positionV>
            <wp:extent cx="93980" cy="768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74930</wp:posOffset>
            </wp:positionV>
            <wp:extent cx="93980" cy="768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7683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F5A39"/>
        </w:rPr>
        <w:t>Age/Tenure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Age</w:t>
            </w:r>
          </w:p>
        </w:tc>
        <w:tc>
          <w:tcPr>
            <w:tcW w:w="1840" w:type="dxa"/>
            <w:vAlign w:val="bottom"/>
          </w:tcPr>
          <w:p>
            <w:pPr>
              <w:jc w:val="right"/>
              <w:ind w:right="208"/>
              <w:spacing w:after="0"/>
              <w:rPr>
                <w:sz w:val="20"/>
                <w:szCs w:val="20"/>
                <w:color w:val="auto"/>
              </w:rPr>
            </w:pPr>
            <w:r>
              <w:rPr>
                <w:rFonts w:ascii="Arial" w:cs="Arial" w:eastAsia="Arial" w:hAnsi="Arial"/>
                <w:sz w:val="14"/>
                <w:szCs w:val="14"/>
                <w:color w:val="auto"/>
              </w:rPr>
              <w:t>67</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70</w:t>
            </w:r>
          </w:p>
        </w:tc>
        <w:tc>
          <w:tcPr>
            <w:tcW w:w="740" w:type="dxa"/>
            <w:vAlign w:val="bottom"/>
          </w:tcPr>
          <w:p>
            <w:pPr>
              <w:jc w:val="right"/>
              <w:ind w:right="228"/>
              <w:spacing w:after="0"/>
              <w:rPr>
                <w:sz w:val="20"/>
                <w:szCs w:val="20"/>
                <w:color w:val="auto"/>
              </w:rPr>
            </w:pPr>
            <w:r>
              <w:rPr>
                <w:rFonts w:ascii="Arial" w:cs="Arial" w:eastAsia="Arial" w:hAnsi="Arial"/>
                <w:sz w:val="14"/>
                <w:szCs w:val="14"/>
                <w:color w:val="auto"/>
              </w:rPr>
              <w:t>64</w:t>
            </w:r>
          </w:p>
        </w:tc>
        <w:tc>
          <w:tcPr>
            <w:tcW w:w="700" w:type="dxa"/>
            <w:vAlign w:val="bottom"/>
            <w:gridSpan w:val="2"/>
          </w:tcPr>
          <w:p>
            <w:pPr>
              <w:jc w:val="right"/>
              <w:ind w:right="199"/>
              <w:spacing w:after="0"/>
              <w:rPr>
                <w:sz w:val="20"/>
                <w:szCs w:val="20"/>
                <w:color w:val="auto"/>
              </w:rPr>
            </w:pPr>
            <w:r>
              <w:rPr>
                <w:rFonts w:ascii="Arial" w:cs="Arial" w:eastAsia="Arial" w:hAnsi="Arial"/>
                <w:sz w:val="14"/>
                <w:szCs w:val="14"/>
                <w:color w:val="auto"/>
              </w:rPr>
              <w:t>57</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40" w:type="dxa"/>
            <w:vAlign w:val="bottom"/>
          </w:tcPr>
          <w:p>
            <w:pPr>
              <w:jc w:val="right"/>
              <w:ind w:right="324"/>
              <w:spacing w:after="0"/>
              <w:rPr>
                <w:sz w:val="20"/>
                <w:szCs w:val="20"/>
                <w:color w:val="auto"/>
              </w:rPr>
            </w:pPr>
            <w:r>
              <w:rPr>
                <w:rFonts w:ascii="Arial" w:cs="Arial" w:eastAsia="Arial" w:hAnsi="Arial"/>
                <w:sz w:val="14"/>
                <w:szCs w:val="14"/>
                <w:color w:val="auto"/>
              </w:rPr>
              <w:t>65</w:t>
            </w:r>
          </w:p>
        </w:tc>
        <w:tc>
          <w:tcPr>
            <w:tcW w:w="600" w:type="dxa"/>
            <w:vAlign w:val="bottom"/>
          </w:tcPr>
          <w:p>
            <w:pPr>
              <w:jc w:val="right"/>
              <w:ind w:right="208"/>
              <w:spacing w:after="0"/>
              <w:rPr>
                <w:sz w:val="20"/>
                <w:szCs w:val="20"/>
                <w:color w:val="auto"/>
              </w:rPr>
            </w:pPr>
            <w:r>
              <w:rPr>
                <w:rFonts w:ascii="Arial" w:cs="Arial" w:eastAsia="Arial" w:hAnsi="Arial"/>
                <w:sz w:val="14"/>
                <w:szCs w:val="14"/>
                <w:color w:val="auto"/>
              </w:rPr>
              <w:t>57</w:t>
            </w:r>
          </w:p>
        </w:tc>
        <w:tc>
          <w:tcPr>
            <w:tcW w:w="740" w:type="dxa"/>
            <w:vAlign w:val="bottom"/>
          </w:tcPr>
          <w:p>
            <w:pPr>
              <w:jc w:val="right"/>
              <w:ind w:right="228"/>
              <w:spacing w:after="0"/>
              <w:rPr>
                <w:sz w:val="20"/>
                <w:szCs w:val="20"/>
                <w:color w:val="auto"/>
              </w:rPr>
            </w:pPr>
            <w:r>
              <w:rPr>
                <w:rFonts w:ascii="Arial" w:cs="Arial" w:eastAsia="Arial" w:hAnsi="Arial"/>
                <w:sz w:val="14"/>
                <w:szCs w:val="14"/>
                <w:color w:val="auto"/>
              </w:rPr>
              <w:t>68</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68</w:t>
            </w:r>
          </w:p>
        </w:tc>
        <w:tc>
          <w:tcPr>
            <w:tcW w:w="740" w:type="dxa"/>
            <w:vAlign w:val="bottom"/>
          </w:tcPr>
          <w:p>
            <w:pPr>
              <w:jc w:val="right"/>
              <w:ind w:right="228"/>
              <w:spacing w:after="0"/>
              <w:rPr>
                <w:sz w:val="20"/>
                <w:szCs w:val="20"/>
                <w:color w:val="auto"/>
              </w:rPr>
            </w:pPr>
            <w:r>
              <w:rPr>
                <w:rFonts w:ascii="Arial" w:cs="Arial" w:eastAsia="Arial" w:hAnsi="Arial"/>
                <w:sz w:val="14"/>
                <w:szCs w:val="14"/>
                <w:color w:val="auto"/>
              </w:rPr>
              <w:t>62</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2"/>
        </w:trPr>
        <w:tc>
          <w:tcPr>
            <w:tcW w:w="340" w:type="dxa"/>
            <w:vAlign w:val="bottom"/>
            <w:tcBorders>
              <w:bottom w:val="single" w:sz="8" w:color="B2B2B2"/>
            </w:tcBorders>
          </w:tcPr>
          <w:p>
            <w:pPr>
              <w:spacing w:after="0" w:line="20" w:lineRule="exact"/>
              <w:rPr>
                <w:sz w:val="1"/>
                <w:szCs w:val="1"/>
                <w:color w:val="auto"/>
              </w:rPr>
            </w:pPr>
          </w:p>
        </w:tc>
        <w:tc>
          <w:tcPr>
            <w:tcW w:w="1800" w:type="dxa"/>
            <w:vAlign w:val="bottom"/>
            <w:tcBorders>
              <w:bottom w:val="single" w:sz="8" w:color="B2B2B2"/>
            </w:tcBorders>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72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5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6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72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72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Years on the Board</w:t>
            </w:r>
          </w:p>
        </w:tc>
        <w:tc>
          <w:tcPr>
            <w:tcW w:w="1840" w:type="dxa"/>
            <w:vAlign w:val="bottom"/>
          </w:tcPr>
          <w:p>
            <w:pPr>
              <w:jc w:val="right"/>
              <w:ind w:right="208"/>
              <w:spacing w:after="0"/>
              <w:rPr>
                <w:sz w:val="20"/>
                <w:szCs w:val="20"/>
                <w:color w:val="auto"/>
              </w:rPr>
            </w:pPr>
            <w:r>
              <w:rPr>
                <w:rFonts w:ascii="Arial" w:cs="Arial" w:eastAsia="Arial" w:hAnsi="Arial"/>
                <w:sz w:val="14"/>
                <w:szCs w:val="14"/>
                <w:color w:val="auto"/>
              </w:rPr>
              <w:t>22</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13</w:t>
            </w: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2</w:t>
            </w:r>
          </w:p>
        </w:tc>
        <w:tc>
          <w:tcPr>
            <w:tcW w:w="700" w:type="dxa"/>
            <w:vAlign w:val="bottom"/>
            <w:gridSpan w:val="2"/>
          </w:tcPr>
          <w:p>
            <w:pPr>
              <w:jc w:val="right"/>
              <w:ind w:right="239"/>
              <w:spacing w:after="0"/>
              <w:rPr>
                <w:sz w:val="20"/>
                <w:szCs w:val="20"/>
                <w:color w:val="auto"/>
              </w:rPr>
            </w:pPr>
            <w:r>
              <w:rPr>
                <w:rFonts w:ascii="Arial" w:cs="Arial" w:eastAsia="Arial" w:hAnsi="Arial"/>
                <w:sz w:val="14"/>
                <w:szCs w:val="14"/>
                <w:color w:val="auto"/>
              </w:rPr>
              <w:t>4</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40" w:type="dxa"/>
            <w:vAlign w:val="bottom"/>
          </w:tcPr>
          <w:p>
            <w:pPr>
              <w:jc w:val="right"/>
              <w:ind w:right="364"/>
              <w:spacing w:after="0"/>
              <w:rPr>
                <w:sz w:val="20"/>
                <w:szCs w:val="20"/>
                <w:color w:val="auto"/>
              </w:rPr>
            </w:pPr>
            <w:r>
              <w:rPr>
                <w:rFonts w:ascii="Arial" w:cs="Arial" w:eastAsia="Arial" w:hAnsi="Arial"/>
                <w:sz w:val="14"/>
                <w:szCs w:val="14"/>
                <w:color w:val="auto"/>
              </w:rPr>
              <w:t>4</w:t>
            </w:r>
          </w:p>
        </w:tc>
        <w:tc>
          <w:tcPr>
            <w:tcW w:w="600" w:type="dxa"/>
            <w:vAlign w:val="bottom"/>
          </w:tcPr>
          <w:p>
            <w:pPr>
              <w:jc w:val="right"/>
              <w:ind w:right="248"/>
              <w:spacing w:after="0"/>
              <w:rPr>
                <w:sz w:val="20"/>
                <w:szCs w:val="20"/>
                <w:color w:val="auto"/>
              </w:rPr>
            </w:pPr>
            <w:r>
              <w:rPr>
                <w:rFonts w:ascii="Arial" w:cs="Arial" w:eastAsia="Arial" w:hAnsi="Arial"/>
                <w:sz w:val="14"/>
                <w:szCs w:val="14"/>
                <w:color w:val="auto"/>
              </w:rPr>
              <w:t>8</w:t>
            </w: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6</w:t>
            </w: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6</w:t>
            </w: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2</w:t>
            </w: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5"/>
        </w:trPr>
        <w:tc>
          <w:tcPr>
            <w:tcW w:w="2140" w:type="dxa"/>
            <w:vAlign w:val="bottom"/>
            <w:gridSpan w:val="2"/>
          </w:tcPr>
          <w:p>
            <w:pPr>
              <w:spacing w:after="0"/>
              <w:rPr>
                <w:sz w:val="20"/>
                <w:szCs w:val="20"/>
                <w:color w:val="auto"/>
              </w:rPr>
            </w:pPr>
            <w:r>
              <w:rPr>
                <w:rFonts w:ascii="Arial" w:cs="Arial" w:eastAsia="Arial" w:hAnsi="Arial"/>
                <w:sz w:val="16"/>
                <w:szCs w:val="16"/>
                <w:b w:val="1"/>
                <w:bCs w:val="1"/>
                <w:color w:val="8F5A39"/>
              </w:rPr>
              <w:t>Board composition</w:t>
            </w: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F4EFE7"/>
          </w:tcPr>
          <w:p>
            <w:pPr>
              <w:spacing w:after="0"/>
              <w:rPr>
                <w:sz w:val="17"/>
                <w:szCs w:val="17"/>
                <w:color w:val="auto"/>
              </w:rPr>
            </w:pPr>
          </w:p>
        </w:tc>
        <w:tc>
          <w:tcPr>
            <w:tcW w:w="1800" w:type="dxa"/>
            <w:vAlign w:val="bottom"/>
            <w:vMerge w:val="restart"/>
            <w:shd w:val="clear" w:color="auto" w:fill="F4EFE7"/>
          </w:tcPr>
          <w:p>
            <w:pPr>
              <w:jc w:val="right"/>
              <w:ind w:right="359"/>
              <w:spacing w:after="0"/>
              <w:rPr>
                <w:sz w:val="20"/>
                <w:szCs w:val="20"/>
                <w:color w:val="auto"/>
              </w:rPr>
            </w:pPr>
            <w:r>
              <w:rPr>
                <w:rFonts w:ascii="Arial" w:cs="Arial" w:eastAsia="Arial" w:hAnsi="Arial"/>
                <w:sz w:val="16"/>
                <w:szCs w:val="16"/>
                <w:b w:val="1"/>
                <w:bCs w:val="1"/>
                <w:color w:val="auto"/>
                <w:w w:val="99"/>
              </w:rPr>
              <w:t>RACE/ETHNICITY</w:t>
            </w:r>
          </w:p>
        </w:tc>
        <w:tc>
          <w:tcPr>
            <w:tcW w:w="1840" w:type="dxa"/>
            <w:vAlign w:val="bottom"/>
            <w:shd w:val="clear" w:color="auto" w:fill="F4EFE7"/>
          </w:tcPr>
          <w:p>
            <w:pPr>
              <w:spacing w:after="0"/>
              <w:rPr>
                <w:sz w:val="17"/>
                <w:szCs w:val="17"/>
                <w:color w:val="auto"/>
              </w:rPr>
            </w:pPr>
          </w:p>
        </w:tc>
        <w:tc>
          <w:tcPr>
            <w:tcW w:w="720" w:type="dxa"/>
            <w:vAlign w:val="bottom"/>
            <w:shd w:val="clear" w:color="auto" w:fill="F4EFE7"/>
          </w:tcPr>
          <w:p>
            <w:pPr>
              <w:spacing w:after="0"/>
              <w:rPr>
                <w:sz w:val="17"/>
                <w:szCs w:val="17"/>
                <w:color w:val="auto"/>
              </w:rPr>
            </w:pPr>
          </w:p>
        </w:tc>
        <w:tc>
          <w:tcPr>
            <w:tcW w:w="740" w:type="dxa"/>
            <w:vAlign w:val="bottom"/>
            <w:shd w:val="clear" w:color="auto" w:fill="F4EFE7"/>
          </w:tcPr>
          <w:p>
            <w:pPr>
              <w:spacing w:after="0"/>
              <w:rPr>
                <w:sz w:val="17"/>
                <w:szCs w:val="17"/>
                <w:color w:val="auto"/>
              </w:rPr>
            </w:pPr>
          </w:p>
        </w:tc>
        <w:tc>
          <w:tcPr>
            <w:tcW w:w="340" w:type="dxa"/>
            <w:vAlign w:val="bottom"/>
            <w:shd w:val="clear" w:color="auto" w:fill="F4EFE7"/>
          </w:tcPr>
          <w:p>
            <w:pPr>
              <w:spacing w:after="0"/>
              <w:rPr>
                <w:sz w:val="17"/>
                <w:szCs w:val="17"/>
                <w:color w:val="auto"/>
              </w:rPr>
            </w:pPr>
          </w:p>
        </w:tc>
        <w:tc>
          <w:tcPr>
            <w:tcW w:w="900" w:type="dxa"/>
            <w:vAlign w:val="bottom"/>
            <w:gridSpan w:val="2"/>
            <w:vMerge w:val="restart"/>
            <w:shd w:val="clear" w:color="auto" w:fill="F4EFE7"/>
          </w:tcPr>
          <w:p>
            <w:pPr>
              <w:jc w:val="right"/>
              <w:ind w:right="128"/>
              <w:spacing w:after="0"/>
              <w:rPr>
                <w:sz w:val="20"/>
                <w:szCs w:val="20"/>
                <w:color w:val="auto"/>
              </w:rPr>
            </w:pPr>
            <w:r>
              <w:rPr>
                <w:rFonts w:ascii="Arial" w:cs="Arial" w:eastAsia="Arial" w:hAnsi="Arial"/>
                <w:sz w:val="16"/>
                <w:szCs w:val="16"/>
                <w:b w:val="1"/>
                <w:bCs w:val="1"/>
                <w:color w:val="auto"/>
                <w:w w:val="99"/>
              </w:rPr>
              <w:t>GENDER</w:t>
            </w:r>
          </w:p>
        </w:tc>
        <w:tc>
          <w:tcPr>
            <w:tcW w:w="1040" w:type="dxa"/>
            <w:vAlign w:val="bottom"/>
            <w:shd w:val="clear" w:color="auto" w:fill="F4EFE7"/>
          </w:tcPr>
          <w:p>
            <w:pPr>
              <w:spacing w:after="0"/>
              <w:rPr>
                <w:sz w:val="17"/>
                <w:szCs w:val="17"/>
                <w:color w:val="auto"/>
              </w:rPr>
            </w:pPr>
          </w:p>
        </w:tc>
        <w:tc>
          <w:tcPr>
            <w:tcW w:w="600" w:type="dxa"/>
            <w:vAlign w:val="bottom"/>
            <w:shd w:val="clear" w:color="auto" w:fill="F4EFE7"/>
          </w:tcPr>
          <w:p>
            <w:pPr>
              <w:spacing w:after="0"/>
              <w:rPr>
                <w:sz w:val="17"/>
                <w:szCs w:val="17"/>
                <w:color w:val="auto"/>
              </w:rPr>
            </w:pPr>
          </w:p>
        </w:tc>
        <w:tc>
          <w:tcPr>
            <w:tcW w:w="740" w:type="dxa"/>
            <w:vAlign w:val="bottom"/>
            <w:shd w:val="clear" w:color="auto" w:fill="F4EFE7"/>
          </w:tcPr>
          <w:p>
            <w:pPr>
              <w:spacing w:after="0"/>
              <w:rPr>
                <w:sz w:val="17"/>
                <w:szCs w:val="17"/>
                <w:color w:val="auto"/>
              </w:rPr>
            </w:pPr>
          </w:p>
        </w:tc>
        <w:tc>
          <w:tcPr>
            <w:tcW w:w="720" w:type="dxa"/>
            <w:vAlign w:val="bottom"/>
            <w:shd w:val="clear" w:color="auto" w:fill="F4EFE7"/>
          </w:tcPr>
          <w:p>
            <w:pPr>
              <w:spacing w:after="0"/>
              <w:rPr>
                <w:sz w:val="17"/>
                <w:szCs w:val="17"/>
                <w:color w:val="auto"/>
              </w:rPr>
            </w:pPr>
          </w:p>
        </w:tc>
        <w:tc>
          <w:tcPr>
            <w:tcW w:w="740" w:type="dxa"/>
            <w:vAlign w:val="bottom"/>
            <w:shd w:val="clear" w:color="auto" w:fill="F4EFE7"/>
          </w:tcPr>
          <w:p>
            <w:pPr>
              <w:spacing w:after="0"/>
              <w:rPr>
                <w:sz w:val="17"/>
                <w:szCs w:val="17"/>
                <w:color w:val="auto"/>
              </w:rPr>
            </w:pPr>
          </w:p>
        </w:tc>
        <w:tc>
          <w:tcPr>
            <w:tcW w:w="720" w:type="dxa"/>
            <w:vAlign w:val="bottom"/>
            <w:shd w:val="clear" w:color="auto" w:fill="F4EFE7"/>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340" w:type="dxa"/>
            <w:vAlign w:val="bottom"/>
          </w:tcPr>
          <w:p>
            <w:pPr>
              <w:spacing w:after="0"/>
              <w:rPr>
                <w:sz w:val="24"/>
                <w:szCs w:val="24"/>
                <w:color w:val="auto"/>
              </w:rPr>
            </w:pPr>
          </w:p>
        </w:tc>
        <w:tc>
          <w:tcPr>
            <w:tcW w:w="1800" w:type="dxa"/>
            <w:vAlign w:val="bottom"/>
            <w:vMerge w:val="continue"/>
            <w:shd w:val="clear" w:color="auto" w:fill="F4EFE7"/>
          </w:tcPr>
          <w:p>
            <w:pPr>
              <w:spacing w:after="0"/>
              <w:rPr>
                <w:sz w:val="24"/>
                <w:szCs w:val="24"/>
                <w:color w:val="auto"/>
              </w:rPr>
            </w:pPr>
          </w:p>
        </w:tc>
        <w:tc>
          <w:tcPr>
            <w:tcW w:w="1840" w:type="dxa"/>
            <w:vAlign w:val="bottom"/>
            <w:shd w:val="clear" w:color="auto" w:fill="F4EFE7"/>
          </w:tcPr>
          <w:p>
            <w:pPr>
              <w:spacing w:after="0"/>
              <w:rPr>
                <w:sz w:val="24"/>
                <w:szCs w:val="24"/>
                <w:color w:val="auto"/>
              </w:rPr>
            </w:pPr>
          </w:p>
        </w:tc>
        <w:tc>
          <w:tcPr>
            <w:tcW w:w="720" w:type="dxa"/>
            <w:vAlign w:val="bottom"/>
            <w:shd w:val="clear" w:color="auto" w:fill="F4EFE7"/>
          </w:tcPr>
          <w:p>
            <w:pPr>
              <w:spacing w:after="0"/>
              <w:rPr>
                <w:sz w:val="24"/>
                <w:szCs w:val="24"/>
                <w:color w:val="auto"/>
              </w:rPr>
            </w:pPr>
          </w:p>
        </w:tc>
        <w:tc>
          <w:tcPr>
            <w:tcW w:w="740" w:type="dxa"/>
            <w:vAlign w:val="bottom"/>
            <w:shd w:val="clear" w:color="auto" w:fill="F4EFE7"/>
          </w:tcPr>
          <w:p>
            <w:pPr>
              <w:spacing w:after="0"/>
              <w:rPr>
                <w:sz w:val="24"/>
                <w:szCs w:val="24"/>
                <w:color w:val="auto"/>
              </w:rPr>
            </w:pPr>
          </w:p>
        </w:tc>
        <w:tc>
          <w:tcPr>
            <w:tcW w:w="340" w:type="dxa"/>
            <w:vAlign w:val="bottom"/>
            <w:shd w:val="clear" w:color="auto" w:fill="F4EFE7"/>
          </w:tcPr>
          <w:p>
            <w:pPr>
              <w:spacing w:after="0"/>
              <w:rPr>
                <w:sz w:val="24"/>
                <w:szCs w:val="24"/>
                <w:color w:val="auto"/>
              </w:rPr>
            </w:pPr>
          </w:p>
        </w:tc>
        <w:tc>
          <w:tcPr>
            <w:tcW w:w="900" w:type="dxa"/>
            <w:vAlign w:val="bottom"/>
            <w:gridSpan w:val="2"/>
            <w:vMerge w:val="continue"/>
            <w:shd w:val="clear" w:color="auto" w:fill="F4EFE7"/>
          </w:tcPr>
          <w:p>
            <w:pPr>
              <w:spacing w:after="0"/>
              <w:rPr>
                <w:sz w:val="24"/>
                <w:szCs w:val="24"/>
                <w:color w:val="auto"/>
              </w:rPr>
            </w:pPr>
          </w:p>
        </w:tc>
        <w:tc>
          <w:tcPr>
            <w:tcW w:w="1040" w:type="dxa"/>
            <w:vAlign w:val="bottom"/>
            <w:shd w:val="clear" w:color="auto" w:fill="F4EFE7"/>
          </w:tcPr>
          <w:p>
            <w:pPr>
              <w:spacing w:after="0"/>
              <w:rPr>
                <w:sz w:val="24"/>
                <w:szCs w:val="24"/>
                <w:color w:val="auto"/>
              </w:rPr>
            </w:pPr>
          </w:p>
        </w:tc>
        <w:tc>
          <w:tcPr>
            <w:tcW w:w="600" w:type="dxa"/>
            <w:vAlign w:val="bottom"/>
            <w:shd w:val="clear" w:color="auto" w:fill="F4EFE7"/>
          </w:tcPr>
          <w:p>
            <w:pPr>
              <w:spacing w:after="0"/>
              <w:rPr>
                <w:sz w:val="24"/>
                <w:szCs w:val="24"/>
                <w:color w:val="auto"/>
              </w:rPr>
            </w:pPr>
          </w:p>
        </w:tc>
        <w:tc>
          <w:tcPr>
            <w:tcW w:w="740" w:type="dxa"/>
            <w:vAlign w:val="bottom"/>
            <w:shd w:val="clear" w:color="auto" w:fill="F4EFE7"/>
          </w:tcPr>
          <w:p>
            <w:pPr>
              <w:spacing w:after="0"/>
              <w:rPr>
                <w:sz w:val="24"/>
                <w:szCs w:val="24"/>
                <w:color w:val="auto"/>
              </w:rPr>
            </w:pPr>
          </w:p>
        </w:tc>
        <w:tc>
          <w:tcPr>
            <w:tcW w:w="720" w:type="dxa"/>
            <w:vAlign w:val="bottom"/>
            <w:shd w:val="clear" w:color="auto" w:fill="F4EFE7"/>
          </w:tcPr>
          <w:p>
            <w:pPr>
              <w:spacing w:after="0"/>
              <w:rPr>
                <w:sz w:val="24"/>
                <w:szCs w:val="24"/>
                <w:color w:val="auto"/>
              </w:rPr>
            </w:pPr>
          </w:p>
        </w:tc>
        <w:tc>
          <w:tcPr>
            <w:tcW w:w="740" w:type="dxa"/>
            <w:vAlign w:val="bottom"/>
            <w:shd w:val="clear" w:color="auto" w:fill="F4EFE7"/>
          </w:tcPr>
          <w:p>
            <w:pPr>
              <w:spacing w:after="0"/>
              <w:rPr>
                <w:sz w:val="24"/>
                <w:szCs w:val="24"/>
                <w:color w:val="auto"/>
              </w:rPr>
            </w:pPr>
          </w:p>
        </w:tc>
        <w:tc>
          <w:tcPr>
            <w:tcW w:w="720" w:type="dxa"/>
            <w:vAlign w:val="bottom"/>
            <w:shd w:val="clear" w:color="auto" w:fill="F4EFE7"/>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40" w:type="dxa"/>
            <w:vAlign w:val="bottom"/>
          </w:tcPr>
          <w:p>
            <w:pPr>
              <w:spacing w:after="0"/>
              <w:rPr>
                <w:sz w:val="24"/>
                <w:szCs w:val="24"/>
                <w:color w:val="auto"/>
              </w:rPr>
            </w:pPr>
          </w:p>
        </w:tc>
        <w:tc>
          <w:tcPr>
            <w:tcW w:w="1800" w:type="dxa"/>
            <w:vAlign w:val="bottom"/>
            <w:shd w:val="clear" w:color="auto" w:fill="F4EFE7"/>
          </w:tcPr>
          <w:p>
            <w:pPr>
              <w:jc w:val="right"/>
              <w:spacing w:after="0"/>
              <w:rPr>
                <w:sz w:val="20"/>
                <w:szCs w:val="20"/>
                <w:color w:val="auto"/>
              </w:rPr>
            </w:pPr>
            <w:r>
              <w:rPr>
                <w:rFonts w:ascii="Arial" w:cs="Arial" w:eastAsia="Arial" w:hAnsi="Arial"/>
                <w:sz w:val="16"/>
                <w:szCs w:val="16"/>
                <w:b w:val="1"/>
                <w:bCs w:val="1"/>
                <w:color w:val="auto"/>
              </w:rPr>
              <w:t xml:space="preserve">9 </w:t>
            </w:r>
            <w:r>
              <w:rPr>
                <w:rFonts w:ascii="Arial" w:cs="Arial" w:eastAsia="Arial" w:hAnsi="Arial"/>
                <w:sz w:val="16"/>
                <w:szCs w:val="16"/>
                <w:color w:val="auto"/>
              </w:rPr>
              <w:t>- White</w:t>
            </w:r>
          </w:p>
        </w:tc>
        <w:tc>
          <w:tcPr>
            <w:tcW w:w="1840" w:type="dxa"/>
            <w:vAlign w:val="bottom"/>
            <w:shd w:val="clear" w:color="auto" w:fill="F4EFE7"/>
          </w:tcPr>
          <w:p>
            <w:pPr>
              <w:spacing w:after="0"/>
              <w:rPr>
                <w:sz w:val="24"/>
                <w:szCs w:val="24"/>
                <w:color w:val="auto"/>
              </w:rPr>
            </w:pPr>
          </w:p>
        </w:tc>
        <w:tc>
          <w:tcPr>
            <w:tcW w:w="720" w:type="dxa"/>
            <w:vAlign w:val="bottom"/>
            <w:shd w:val="clear" w:color="auto" w:fill="F4EFE7"/>
          </w:tcPr>
          <w:p>
            <w:pPr>
              <w:spacing w:after="0"/>
              <w:rPr>
                <w:sz w:val="24"/>
                <w:szCs w:val="24"/>
                <w:color w:val="auto"/>
              </w:rPr>
            </w:pPr>
          </w:p>
        </w:tc>
        <w:tc>
          <w:tcPr>
            <w:tcW w:w="740" w:type="dxa"/>
            <w:vAlign w:val="bottom"/>
            <w:shd w:val="clear" w:color="auto" w:fill="F4EFE7"/>
          </w:tcPr>
          <w:p>
            <w:pPr>
              <w:spacing w:after="0"/>
              <w:rPr>
                <w:sz w:val="24"/>
                <w:szCs w:val="24"/>
                <w:color w:val="auto"/>
              </w:rPr>
            </w:pPr>
          </w:p>
        </w:tc>
        <w:tc>
          <w:tcPr>
            <w:tcW w:w="340" w:type="dxa"/>
            <w:vAlign w:val="bottom"/>
            <w:shd w:val="clear" w:color="auto" w:fill="F4EFE7"/>
          </w:tcPr>
          <w:p>
            <w:pPr>
              <w:spacing w:after="0"/>
              <w:rPr>
                <w:sz w:val="24"/>
                <w:szCs w:val="24"/>
                <w:color w:val="auto"/>
              </w:rPr>
            </w:pPr>
          </w:p>
        </w:tc>
        <w:tc>
          <w:tcPr>
            <w:tcW w:w="360" w:type="dxa"/>
            <w:vAlign w:val="bottom"/>
            <w:shd w:val="clear" w:color="auto" w:fill="F4EFE7"/>
          </w:tcPr>
          <w:p>
            <w:pPr>
              <w:spacing w:after="0"/>
              <w:rPr>
                <w:sz w:val="24"/>
                <w:szCs w:val="24"/>
                <w:color w:val="auto"/>
              </w:rPr>
            </w:pPr>
          </w:p>
        </w:tc>
        <w:tc>
          <w:tcPr>
            <w:tcW w:w="540" w:type="dxa"/>
            <w:vAlign w:val="bottom"/>
            <w:shd w:val="clear" w:color="auto" w:fill="F4EFE7"/>
          </w:tcPr>
          <w:p>
            <w:pPr>
              <w:spacing w:after="0"/>
              <w:rPr>
                <w:sz w:val="24"/>
                <w:szCs w:val="24"/>
                <w:color w:val="auto"/>
              </w:rPr>
            </w:pPr>
          </w:p>
        </w:tc>
        <w:tc>
          <w:tcPr>
            <w:tcW w:w="1040" w:type="dxa"/>
            <w:vAlign w:val="bottom"/>
            <w:shd w:val="clear" w:color="auto" w:fill="F4EFE7"/>
          </w:tcPr>
          <w:p>
            <w:pPr>
              <w:jc w:val="right"/>
              <w:ind w:right="84"/>
              <w:spacing w:after="0"/>
              <w:rPr>
                <w:sz w:val="20"/>
                <w:szCs w:val="20"/>
                <w:color w:val="auto"/>
              </w:rPr>
            </w:pPr>
            <w:r>
              <w:rPr>
                <w:rFonts w:ascii="Arial" w:cs="Arial" w:eastAsia="Arial" w:hAnsi="Arial"/>
                <w:sz w:val="16"/>
                <w:szCs w:val="16"/>
                <w:b w:val="1"/>
                <w:bCs w:val="1"/>
                <w:color w:val="auto"/>
              </w:rPr>
              <w:t xml:space="preserve">5 </w:t>
            </w:r>
            <w:r>
              <w:rPr>
                <w:rFonts w:ascii="Arial" w:cs="Arial" w:eastAsia="Arial" w:hAnsi="Arial"/>
                <w:sz w:val="16"/>
                <w:szCs w:val="16"/>
                <w:color w:val="auto"/>
              </w:rPr>
              <w:t>- Male</w:t>
            </w:r>
          </w:p>
        </w:tc>
        <w:tc>
          <w:tcPr>
            <w:tcW w:w="600" w:type="dxa"/>
            <w:vAlign w:val="bottom"/>
            <w:shd w:val="clear" w:color="auto" w:fill="F4EFE7"/>
          </w:tcPr>
          <w:p>
            <w:pPr>
              <w:spacing w:after="0"/>
              <w:rPr>
                <w:sz w:val="24"/>
                <w:szCs w:val="24"/>
                <w:color w:val="auto"/>
              </w:rPr>
            </w:pPr>
          </w:p>
        </w:tc>
        <w:tc>
          <w:tcPr>
            <w:tcW w:w="740" w:type="dxa"/>
            <w:vAlign w:val="bottom"/>
            <w:shd w:val="clear" w:color="auto" w:fill="F4EFE7"/>
          </w:tcPr>
          <w:p>
            <w:pPr>
              <w:spacing w:after="0"/>
              <w:rPr>
                <w:sz w:val="24"/>
                <w:szCs w:val="24"/>
                <w:color w:val="auto"/>
              </w:rPr>
            </w:pPr>
          </w:p>
        </w:tc>
        <w:tc>
          <w:tcPr>
            <w:tcW w:w="720" w:type="dxa"/>
            <w:vAlign w:val="bottom"/>
            <w:shd w:val="clear" w:color="auto" w:fill="F4EFE7"/>
          </w:tcPr>
          <w:p>
            <w:pPr>
              <w:spacing w:after="0"/>
              <w:rPr>
                <w:sz w:val="24"/>
                <w:szCs w:val="24"/>
                <w:color w:val="auto"/>
              </w:rPr>
            </w:pPr>
          </w:p>
        </w:tc>
        <w:tc>
          <w:tcPr>
            <w:tcW w:w="740" w:type="dxa"/>
            <w:vAlign w:val="bottom"/>
            <w:shd w:val="clear" w:color="auto" w:fill="F4EFE7"/>
          </w:tcPr>
          <w:p>
            <w:pPr>
              <w:spacing w:after="0"/>
              <w:rPr>
                <w:sz w:val="24"/>
                <w:szCs w:val="24"/>
                <w:color w:val="auto"/>
              </w:rPr>
            </w:pPr>
          </w:p>
        </w:tc>
        <w:tc>
          <w:tcPr>
            <w:tcW w:w="720" w:type="dxa"/>
            <w:vAlign w:val="bottom"/>
            <w:shd w:val="clear" w:color="auto" w:fill="F4EFE7"/>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40" w:type="dxa"/>
            <w:vAlign w:val="bottom"/>
          </w:tcPr>
          <w:p>
            <w:pPr>
              <w:spacing w:after="0"/>
              <w:rPr>
                <w:sz w:val="24"/>
                <w:szCs w:val="24"/>
                <w:color w:val="auto"/>
              </w:rPr>
            </w:pPr>
          </w:p>
        </w:tc>
        <w:tc>
          <w:tcPr>
            <w:tcW w:w="1800" w:type="dxa"/>
            <w:vAlign w:val="bottom"/>
            <w:shd w:val="clear" w:color="auto" w:fill="F4EFE7"/>
          </w:tcPr>
          <w:p>
            <w:pPr>
              <w:jc w:val="right"/>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 Black</w:t>
            </w:r>
          </w:p>
        </w:tc>
        <w:tc>
          <w:tcPr>
            <w:tcW w:w="1840" w:type="dxa"/>
            <w:vAlign w:val="bottom"/>
            <w:shd w:val="clear" w:color="auto" w:fill="F4EFE7"/>
          </w:tcPr>
          <w:p>
            <w:pPr>
              <w:spacing w:after="0"/>
              <w:rPr>
                <w:sz w:val="24"/>
                <w:szCs w:val="24"/>
                <w:color w:val="auto"/>
              </w:rPr>
            </w:pPr>
          </w:p>
        </w:tc>
        <w:tc>
          <w:tcPr>
            <w:tcW w:w="720" w:type="dxa"/>
            <w:vAlign w:val="bottom"/>
            <w:shd w:val="clear" w:color="auto" w:fill="F4EFE7"/>
          </w:tcPr>
          <w:p>
            <w:pPr>
              <w:spacing w:after="0"/>
              <w:rPr>
                <w:sz w:val="24"/>
                <w:szCs w:val="24"/>
                <w:color w:val="auto"/>
              </w:rPr>
            </w:pPr>
          </w:p>
        </w:tc>
        <w:tc>
          <w:tcPr>
            <w:tcW w:w="740" w:type="dxa"/>
            <w:vAlign w:val="bottom"/>
            <w:shd w:val="clear" w:color="auto" w:fill="F4EFE7"/>
          </w:tcPr>
          <w:p>
            <w:pPr>
              <w:spacing w:after="0"/>
              <w:rPr>
                <w:sz w:val="24"/>
                <w:szCs w:val="24"/>
                <w:color w:val="auto"/>
              </w:rPr>
            </w:pPr>
          </w:p>
        </w:tc>
        <w:tc>
          <w:tcPr>
            <w:tcW w:w="340" w:type="dxa"/>
            <w:vAlign w:val="bottom"/>
            <w:shd w:val="clear" w:color="auto" w:fill="F4EFE7"/>
          </w:tcPr>
          <w:p>
            <w:pPr>
              <w:spacing w:after="0"/>
              <w:rPr>
                <w:sz w:val="24"/>
                <w:szCs w:val="24"/>
                <w:color w:val="auto"/>
              </w:rPr>
            </w:pPr>
          </w:p>
        </w:tc>
        <w:tc>
          <w:tcPr>
            <w:tcW w:w="360" w:type="dxa"/>
            <w:vAlign w:val="bottom"/>
            <w:shd w:val="clear" w:color="auto" w:fill="F4EFE7"/>
          </w:tcPr>
          <w:p>
            <w:pPr>
              <w:spacing w:after="0"/>
              <w:rPr>
                <w:sz w:val="24"/>
                <w:szCs w:val="24"/>
                <w:color w:val="auto"/>
              </w:rPr>
            </w:pPr>
          </w:p>
        </w:tc>
        <w:tc>
          <w:tcPr>
            <w:tcW w:w="540" w:type="dxa"/>
            <w:vAlign w:val="bottom"/>
            <w:shd w:val="clear" w:color="auto" w:fill="F4EFE7"/>
          </w:tcPr>
          <w:p>
            <w:pPr>
              <w:spacing w:after="0"/>
              <w:rPr>
                <w:sz w:val="24"/>
                <w:szCs w:val="24"/>
                <w:color w:val="auto"/>
              </w:rPr>
            </w:pPr>
          </w:p>
        </w:tc>
        <w:tc>
          <w:tcPr>
            <w:tcW w:w="1040" w:type="dxa"/>
            <w:vAlign w:val="bottom"/>
            <w:shd w:val="clear" w:color="auto" w:fill="F4EFE7"/>
          </w:tcPr>
          <w:p>
            <w:pPr>
              <w:jc w:val="right"/>
              <w:ind w:right="84"/>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color w:val="auto"/>
              </w:rPr>
              <w:t>- Female</w:t>
            </w:r>
          </w:p>
        </w:tc>
        <w:tc>
          <w:tcPr>
            <w:tcW w:w="600" w:type="dxa"/>
            <w:vAlign w:val="bottom"/>
            <w:shd w:val="clear" w:color="auto" w:fill="F4EFE7"/>
          </w:tcPr>
          <w:p>
            <w:pPr>
              <w:spacing w:after="0"/>
              <w:rPr>
                <w:sz w:val="24"/>
                <w:szCs w:val="24"/>
                <w:color w:val="auto"/>
              </w:rPr>
            </w:pPr>
          </w:p>
        </w:tc>
        <w:tc>
          <w:tcPr>
            <w:tcW w:w="740" w:type="dxa"/>
            <w:vAlign w:val="bottom"/>
            <w:shd w:val="clear" w:color="auto" w:fill="F4EFE7"/>
          </w:tcPr>
          <w:p>
            <w:pPr>
              <w:spacing w:after="0"/>
              <w:rPr>
                <w:sz w:val="24"/>
                <w:szCs w:val="24"/>
                <w:color w:val="auto"/>
              </w:rPr>
            </w:pPr>
          </w:p>
        </w:tc>
        <w:tc>
          <w:tcPr>
            <w:tcW w:w="720" w:type="dxa"/>
            <w:vAlign w:val="bottom"/>
            <w:shd w:val="clear" w:color="auto" w:fill="F4EFE7"/>
          </w:tcPr>
          <w:p>
            <w:pPr>
              <w:spacing w:after="0"/>
              <w:rPr>
                <w:sz w:val="24"/>
                <w:szCs w:val="24"/>
                <w:color w:val="auto"/>
              </w:rPr>
            </w:pPr>
          </w:p>
        </w:tc>
        <w:tc>
          <w:tcPr>
            <w:tcW w:w="740" w:type="dxa"/>
            <w:vAlign w:val="bottom"/>
            <w:shd w:val="clear" w:color="auto" w:fill="F4EFE7"/>
          </w:tcPr>
          <w:p>
            <w:pPr>
              <w:spacing w:after="0"/>
              <w:rPr>
                <w:sz w:val="24"/>
                <w:szCs w:val="24"/>
                <w:color w:val="auto"/>
              </w:rPr>
            </w:pPr>
          </w:p>
        </w:tc>
        <w:tc>
          <w:tcPr>
            <w:tcW w:w="720" w:type="dxa"/>
            <w:vAlign w:val="bottom"/>
            <w:shd w:val="clear" w:color="auto" w:fill="F4EFE7"/>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800" w:type="dxa"/>
            <w:vAlign w:val="bottom"/>
            <w:shd w:val="clear" w:color="auto" w:fill="F4EFE7"/>
          </w:tcPr>
          <w:p>
            <w:pPr>
              <w:spacing w:after="0"/>
              <w:rPr>
                <w:sz w:val="21"/>
                <w:szCs w:val="21"/>
                <w:color w:val="auto"/>
              </w:rPr>
            </w:pPr>
          </w:p>
        </w:tc>
        <w:tc>
          <w:tcPr>
            <w:tcW w:w="1840" w:type="dxa"/>
            <w:vAlign w:val="bottom"/>
            <w:shd w:val="clear" w:color="auto" w:fill="F4EFE7"/>
          </w:tcPr>
          <w:p>
            <w:pPr>
              <w:spacing w:after="0"/>
              <w:rPr>
                <w:sz w:val="21"/>
                <w:szCs w:val="21"/>
                <w:color w:val="auto"/>
              </w:rPr>
            </w:pPr>
          </w:p>
        </w:tc>
        <w:tc>
          <w:tcPr>
            <w:tcW w:w="720" w:type="dxa"/>
            <w:vAlign w:val="bottom"/>
            <w:shd w:val="clear" w:color="auto" w:fill="F4EFE7"/>
          </w:tcPr>
          <w:p>
            <w:pPr>
              <w:spacing w:after="0"/>
              <w:rPr>
                <w:sz w:val="21"/>
                <w:szCs w:val="21"/>
                <w:color w:val="auto"/>
              </w:rPr>
            </w:pPr>
          </w:p>
        </w:tc>
        <w:tc>
          <w:tcPr>
            <w:tcW w:w="740" w:type="dxa"/>
            <w:vAlign w:val="bottom"/>
            <w:shd w:val="clear" w:color="auto" w:fill="F4EFE7"/>
          </w:tcPr>
          <w:p>
            <w:pPr>
              <w:spacing w:after="0"/>
              <w:rPr>
                <w:sz w:val="21"/>
                <w:szCs w:val="21"/>
                <w:color w:val="auto"/>
              </w:rPr>
            </w:pPr>
          </w:p>
        </w:tc>
        <w:tc>
          <w:tcPr>
            <w:tcW w:w="340" w:type="dxa"/>
            <w:vAlign w:val="bottom"/>
            <w:shd w:val="clear" w:color="auto" w:fill="F4EFE7"/>
          </w:tcPr>
          <w:p>
            <w:pPr>
              <w:spacing w:after="0"/>
              <w:rPr>
                <w:sz w:val="21"/>
                <w:szCs w:val="21"/>
                <w:color w:val="auto"/>
              </w:rPr>
            </w:pPr>
          </w:p>
        </w:tc>
        <w:tc>
          <w:tcPr>
            <w:tcW w:w="360" w:type="dxa"/>
            <w:vAlign w:val="bottom"/>
            <w:shd w:val="clear" w:color="auto" w:fill="F4EFE7"/>
          </w:tcPr>
          <w:p>
            <w:pPr>
              <w:spacing w:after="0"/>
              <w:rPr>
                <w:sz w:val="21"/>
                <w:szCs w:val="21"/>
                <w:color w:val="auto"/>
              </w:rPr>
            </w:pPr>
          </w:p>
        </w:tc>
        <w:tc>
          <w:tcPr>
            <w:tcW w:w="540" w:type="dxa"/>
            <w:vAlign w:val="bottom"/>
            <w:shd w:val="clear" w:color="auto" w:fill="F4EFE7"/>
          </w:tcPr>
          <w:p>
            <w:pPr>
              <w:spacing w:after="0"/>
              <w:rPr>
                <w:sz w:val="21"/>
                <w:szCs w:val="21"/>
                <w:color w:val="auto"/>
              </w:rPr>
            </w:pPr>
          </w:p>
        </w:tc>
        <w:tc>
          <w:tcPr>
            <w:tcW w:w="1040" w:type="dxa"/>
            <w:vAlign w:val="bottom"/>
            <w:shd w:val="clear" w:color="auto" w:fill="F4EFE7"/>
          </w:tcPr>
          <w:p>
            <w:pPr>
              <w:spacing w:after="0"/>
              <w:rPr>
                <w:sz w:val="21"/>
                <w:szCs w:val="21"/>
                <w:color w:val="auto"/>
              </w:rPr>
            </w:pPr>
          </w:p>
        </w:tc>
        <w:tc>
          <w:tcPr>
            <w:tcW w:w="600" w:type="dxa"/>
            <w:vAlign w:val="bottom"/>
            <w:shd w:val="clear" w:color="auto" w:fill="F4EFE7"/>
          </w:tcPr>
          <w:p>
            <w:pPr>
              <w:spacing w:after="0"/>
              <w:rPr>
                <w:sz w:val="21"/>
                <w:szCs w:val="21"/>
                <w:color w:val="auto"/>
              </w:rPr>
            </w:pPr>
          </w:p>
        </w:tc>
        <w:tc>
          <w:tcPr>
            <w:tcW w:w="740" w:type="dxa"/>
            <w:vAlign w:val="bottom"/>
            <w:shd w:val="clear" w:color="auto" w:fill="F4EFE7"/>
          </w:tcPr>
          <w:p>
            <w:pPr>
              <w:spacing w:after="0"/>
              <w:rPr>
                <w:sz w:val="21"/>
                <w:szCs w:val="21"/>
                <w:color w:val="auto"/>
              </w:rPr>
            </w:pPr>
          </w:p>
        </w:tc>
        <w:tc>
          <w:tcPr>
            <w:tcW w:w="720" w:type="dxa"/>
            <w:vAlign w:val="bottom"/>
            <w:shd w:val="clear" w:color="auto" w:fill="F4EFE7"/>
          </w:tcPr>
          <w:p>
            <w:pPr>
              <w:spacing w:after="0"/>
              <w:rPr>
                <w:sz w:val="21"/>
                <w:szCs w:val="21"/>
                <w:color w:val="auto"/>
              </w:rPr>
            </w:pPr>
          </w:p>
        </w:tc>
        <w:tc>
          <w:tcPr>
            <w:tcW w:w="740" w:type="dxa"/>
            <w:vAlign w:val="bottom"/>
            <w:shd w:val="clear" w:color="auto" w:fill="F4EFE7"/>
          </w:tcPr>
          <w:p>
            <w:pPr>
              <w:spacing w:after="0"/>
              <w:rPr>
                <w:sz w:val="21"/>
                <w:szCs w:val="21"/>
                <w:color w:val="auto"/>
              </w:rPr>
            </w:pPr>
          </w:p>
        </w:tc>
        <w:tc>
          <w:tcPr>
            <w:tcW w:w="720" w:type="dxa"/>
            <w:vAlign w:val="bottom"/>
            <w:shd w:val="clear" w:color="auto" w:fill="F4EFE7"/>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1800" w:type="dxa"/>
            <w:vAlign w:val="bottom"/>
            <w:shd w:val="clear" w:color="auto" w:fill="F4EFE7"/>
          </w:tcPr>
          <w:p>
            <w:pPr>
              <w:spacing w:after="0"/>
              <w:rPr>
                <w:sz w:val="22"/>
                <w:szCs w:val="22"/>
                <w:color w:val="auto"/>
              </w:rPr>
            </w:pPr>
          </w:p>
        </w:tc>
        <w:tc>
          <w:tcPr>
            <w:tcW w:w="1840" w:type="dxa"/>
            <w:vAlign w:val="bottom"/>
            <w:shd w:val="clear" w:color="auto" w:fill="F4EFE7"/>
          </w:tcPr>
          <w:p>
            <w:pPr>
              <w:spacing w:after="0"/>
              <w:rPr>
                <w:sz w:val="22"/>
                <w:szCs w:val="22"/>
                <w:color w:val="auto"/>
              </w:rPr>
            </w:pPr>
          </w:p>
        </w:tc>
        <w:tc>
          <w:tcPr>
            <w:tcW w:w="720" w:type="dxa"/>
            <w:vAlign w:val="bottom"/>
            <w:shd w:val="clear" w:color="auto" w:fill="F4EFE7"/>
          </w:tcPr>
          <w:p>
            <w:pPr>
              <w:spacing w:after="0"/>
              <w:rPr>
                <w:sz w:val="22"/>
                <w:szCs w:val="22"/>
                <w:color w:val="auto"/>
              </w:rPr>
            </w:pPr>
          </w:p>
        </w:tc>
        <w:tc>
          <w:tcPr>
            <w:tcW w:w="740" w:type="dxa"/>
            <w:vAlign w:val="bottom"/>
            <w:shd w:val="clear" w:color="auto" w:fill="F4EFE7"/>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shd w:val="clear" w:color="auto" w:fill="F4EFE7"/>
          </w:tcPr>
          <w:p>
            <w:pPr>
              <w:spacing w:after="0"/>
              <w:rPr>
                <w:sz w:val="22"/>
                <w:szCs w:val="22"/>
                <w:color w:val="auto"/>
              </w:rPr>
            </w:pPr>
          </w:p>
        </w:tc>
        <w:tc>
          <w:tcPr>
            <w:tcW w:w="540" w:type="dxa"/>
            <w:vAlign w:val="bottom"/>
            <w:shd w:val="clear" w:color="auto" w:fill="F4EFE7"/>
          </w:tcPr>
          <w:p>
            <w:pPr>
              <w:spacing w:after="0"/>
              <w:rPr>
                <w:sz w:val="22"/>
                <w:szCs w:val="22"/>
                <w:color w:val="auto"/>
              </w:rPr>
            </w:pPr>
          </w:p>
        </w:tc>
        <w:tc>
          <w:tcPr>
            <w:tcW w:w="1040" w:type="dxa"/>
            <w:vAlign w:val="bottom"/>
            <w:shd w:val="clear" w:color="auto" w:fill="F4EFE7"/>
          </w:tcPr>
          <w:p>
            <w:pPr>
              <w:spacing w:after="0"/>
              <w:rPr>
                <w:sz w:val="22"/>
                <w:szCs w:val="22"/>
                <w:color w:val="auto"/>
              </w:rPr>
            </w:pPr>
          </w:p>
        </w:tc>
        <w:tc>
          <w:tcPr>
            <w:tcW w:w="600" w:type="dxa"/>
            <w:vAlign w:val="bottom"/>
            <w:shd w:val="clear" w:color="auto" w:fill="F4EFE7"/>
          </w:tcPr>
          <w:p>
            <w:pPr>
              <w:spacing w:after="0"/>
              <w:rPr>
                <w:sz w:val="22"/>
                <w:szCs w:val="22"/>
                <w:color w:val="auto"/>
              </w:rPr>
            </w:pPr>
          </w:p>
        </w:tc>
        <w:tc>
          <w:tcPr>
            <w:tcW w:w="740" w:type="dxa"/>
            <w:vAlign w:val="bottom"/>
            <w:shd w:val="clear" w:color="auto" w:fill="F4EFE7"/>
          </w:tcPr>
          <w:p>
            <w:pPr>
              <w:spacing w:after="0"/>
              <w:rPr>
                <w:sz w:val="22"/>
                <w:szCs w:val="22"/>
                <w:color w:val="auto"/>
              </w:rPr>
            </w:pPr>
          </w:p>
        </w:tc>
        <w:tc>
          <w:tcPr>
            <w:tcW w:w="720" w:type="dxa"/>
            <w:vAlign w:val="bottom"/>
            <w:shd w:val="clear" w:color="auto" w:fill="F4EFE7"/>
          </w:tcPr>
          <w:p>
            <w:pPr>
              <w:spacing w:after="0"/>
              <w:rPr>
                <w:sz w:val="22"/>
                <w:szCs w:val="22"/>
                <w:color w:val="auto"/>
              </w:rPr>
            </w:pPr>
          </w:p>
        </w:tc>
        <w:tc>
          <w:tcPr>
            <w:tcW w:w="740" w:type="dxa"/>
            <w:vAlign w:val="bottom"/>
            <w:shd w:val="clear" w:color="auto" w:fill="F4EFE7"/>
          </w:tcPr>
          <w:p>
            <w:pPr>
              <w:spacing w:after="0"/>
              <w:rPr>
                <w:sz w:val="22"/>
                <w:szCs w:val="22"/>
                <w:color w:val="auto"/>
              </w:rPr>
            </w:pPr>
          </w:p>
        </w:tc>
        <w:tc>
          <w:tcPr>
            <w:tcW w:w="720" w:type="dxa"/>
            <w:vAlign w:val="bottom"/>
            <w:shd w:val="clear" w:color="auto" w:fill="F4EFE7"/>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22542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2254250"/>
                    </a:xfrm>
                    <a:prstGeom prst="rect">
                      <a:avLst/>
                    </a:prstGeom>
                    <a:noFill/>
                  </pic:spPr>
                </pic:pic>
              </a:graphicData>
            </a:graphic>
          </wp:anchor>
        </w:drawing>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MILITARY/VETERAN</w:t>
      </w:r>
    </w:p>
    <w:p>
      <w:pPr>
        <w:spacing w:after="0" w:line="31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 Military/Veteran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right="140" w:hanging="192"/>
        <w:spacing w:after="0" w:line="205" w:lineRule="auto"/>
        <w:tabs>
          <w:tab w:leader="none" w:pos="206" w:val="left"/>
        </w:tabs>
        <w:numPr>
          <w:ilvl w:val="0"/>
          <w:numId w:val="36"/>
        </w:numPr>
        <w:rPr>
          <w:rFonts w:ascii="Arial" w:cs="Arial" w:eastAsia="Arial" w:hAnsi="Arial"/>
          <w:sz w:val="19"/>
          <w:szCs w:val="19"/>
          <w:color w:val="auto"/>
          <w:vertAlign w:val="superscript"/>
        </w:rPr>
      </w:pPr>
      <w:r>
        <w:rPr>
          <w:rFonts w:ascii="Arial" w:cs="Arial" w:eastAsia="Arial" w:hAnsi="Arial"/>
          <w:sz w:val="13"/>
          <w:szCs w:val="13"/>
          <w:color w:val="auto"/>
        </w:rPr>
        <w:t>The information in the Board qualifications and composition matrix was provided by the nominees. The race and ethnicity information is based on U.S. Equal Employment Opportunity race/ethnicity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292100</wp:posOffset>
            </wp:positionV>
            <wp:extent cx="651510" cy="85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2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68"/>
        </w:trPr>
        <w:tc>
          <w:tcPr>
            <w:tcW w:w="108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32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Director nominees</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2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5486400" cy="4114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86400" cy="411480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Stephen B. Burke</w:t>
      </w:r>
    </w:p>
    <w:p>
      <w:pPr>
        <w:spacing w:after="0" w:line="30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Retired Chairman and Chief</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Executive Officer of NBCUniversal,</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LLC</w:t>
      </w:r>
    </w:p>
    <w:p>
      <w:pPr>
        <w:spacing w:after="0" w:line="136" w:lineRule="exact"/>
        <w:rPr>
          <w:sz w:val="20"/>
          <w:szCs w:val="20"/>
          <w:color w:val="auto"/>
        </w:rPr>
      </w:pPr>
    </w:p>
    <w:p>
      <w:pPr>
        <w:ind w:left="140" w:right="160"/>
        <w:spacing w:after="0" w:line="305" w:lineRule="auto"/>
        <w:rPr>
          <w:sz w:val="20"/>
          <w:szCs w:val="20"/>
          <w:color w:val="auto"/>
        </w:rPr>
      </w:pPr>
      <w:r>
        <w:rPr>
          <w:rFonts w:ascii="Arial" w:cs="Arial" w:eastAsia="Arial" w:hAnsi="Arial"/>
          <w:sz w:val="14"/>
          <w:szCs w:val="14"/>
          <w:color w:val="auto"/>
        </w:rPr>
        <w:t>Lead Independent Director since 2021</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67</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2004</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Committees: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Compensation &amp; Management</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Development Committee (Chair)</w:t>
      </w:r>
    </w:p>
    <w:p>
      <w:pPr>
        <w:spacing w:after="0" w:line="1" w:lineRule="exact"/>
        <w:rPr>
          <w:sz w:val="20"/>
          <w:szCs w:val="20"/>
          <w:color w:val="auto"/>
        </w:rPr>
      </w:pPr>
    </w:p>
    <w:p>
      <w:pPr>
        <w:ind w:left="140" w:right="640"/>
        <w:spacing w:after="0" w:line="264" w:lineRule="auto"/>
        <w:rPr>
          <w:sz w:val="20"/>
          <w:szCs w:val="20"/>
          <w:color w:val="auto"/>
        </w:rPr>
      </w:pPr>
      <w:r>
        <w:rPr>
          <w:rFonts w:ascii="Arial" w:cs="Arial" w:eastAsia="Arial" w:hAnsi="Arial"/>
          <w:sz w:val="14"/>
          <w:szCs w:val="14"/>
          <w:color w:val="auto"/>
        </w:rPr>
        <w:t>Corporate Governance &amp;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1517015" cy="32492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17015" cy="3249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Qualification Highlights</w:t>
      </w:r>
    </w:p>
    <w:p>
      <w:pPr>
        <w:spacing w:after="0" w:line="35" w:lineRule="exact"/>
        <w:rPr>
          <w:sz w:val="20"/>
          <w:szCs w:val="20"/>
          <w:color w:val="auto"/>
        </w:rPr>
      </w:pPr>
    </w:p>
    <w:p>
      <w:pPr>
        <w:ind w:left="202" w:right="120" w:hanging="202"/>
        <w:spacing w:after="0" w:line="299" w:lineRule="auto"/>
        <w:tabs>
          <w:tab w:leader="none" w:pos="179"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Public Company Governance: </w:t>
      </w:r>
      <w:r>
        <w:rPr>
          <w:rFonts w:ascii="Arial" w:cs="Arial" w:eastAsia="Arial" w:hAnsi="Arial"/>
          <w:sz w:val="14"/>
          <w:szCs w:val="14"/>
          <w:color w:val="auto"/>
        </w:rPr>
        <w:t>As an experienced board</w:t>
      </w:r>
      <w:r>
        <w:rPr>
          <w:rFonts w:ascii="Arial" w:cs="Arial" w:eastAsia="Arial" w:hAnsi="Arial"/>
          <w:sz w:val="14"/>
          <w:szCs w:val="14"/>
          <w:b w:val="1"/>
          <w:bCs w:val="1"/>
          <w:color w:val="auto"/>
        </w:rPr>
        <w:t xml:space="preserve"> </w:t>
      </w:r>
      <w:r>
        <w:rPr>
          <w:rFonts w:ascii="Arial" w:cs="Arial" w:eastAsia="Arial" w:hAnsi="Arial"/>
          <w:sz w:val="14"/>
          <w:szCs w:val="14"/>
          <w:color w:val="auto"/>
        </w:rPr>
        <w:t>member and executive, brings valuable insight on corporate governance best practices and effective engagement with diverse stakeholders</w:t>
      </w:r>
    </w:p>
    <w:p>
      <w:pPr>
        <w:spacing w:after="0" w:line="13" w:lineRule="exact"/>
        <w:rPr>
          <w:rFonts w:ascii="Arial" w:cs="Arial" w:eastAsia="Arial" w:hAnsi="Arial"/>
          <w:sz w:val="14"/>
          <w:szCs w:val="14"/>
          <w:b w:val="1"/>
          <w:bCs w:val="1"/>
          <w:color w:val="auto"/>
        </w:rPr>
      </w:pPr>
    </w:p>
    <w:p>
      <w:pPr>
        <w:ind w:left="202" w:hanging="202"/>
        <w:spacing w:after="0" w:line="313" w:lineRule="auto"/>
        <w:tabs>
          <w:tab w:leader="none" w:pos="179"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Human Capital Management: </w:t>
      </w:r>
      <w:r>
        <w:rPr>
          <w:rFonts w:ascii="Arial" w:cs="Arial" w:eastAsia="Arial" w:hAnsi="Arial"/>
          <w:sz w:val="14"/>
          <w:szCs w:val="14"/>
          <w:color w:val="auto"/>
        </w:rPr>
        <w:t>Brings a balanced perspective</w:t>
      </w:r>
      <w:r>
        <w:rPr>
          <w:rFonts w:ascii="Arial" w:cs="Arial" w:eastAsia="Arial" w:hAnsi="Arial"/>
          <w:sz w:val="14"/>
          <w:szCs w:val="14"/>
          <w:b w:val="1"/>
          <w:bCs w:val="1"/>
          <w:color w:val="auto"/>
        </w:rPr>
        <w:t xml:space="preserve"> </w:t>
      </w:r>
      <w:r>
        <w:rPr>
          <w:rFonts w:ascii="Arial" w:cs="Arial" w:eastAsia="Arial" w:hAnsi="Arial"/>
          <w:sz w:val="14"/>
          <w:szCs w:val="14"/>
          <w:color w:val="auto"/>
        </w:rPr>
        <w:t>on executive development, succession planning and compensation matters</w:t>
      </w:r>
    </w:p>
    <w:p>
      <w:pPr>
        <w:spacing w:after="0" w:line="4" w:lineRule="exact"/>
        <w:rPr>
          <w:rFonts w:ascii="Arial" w:cs="Arial" w:eastAsia="Arial" w:hAnsi="Arial"/>
          <w:sz w:val="14"/>
          <w:szCs w:val="14"/>
          <w:b w:val="1"/>
          <w:bCs w:val="1"/>
          <w:color w:val="auto"/>
        </w:rPr>
      </w:pPr>
    </w:p>
    <w:p>
      <w:pPr>
        <w:ind w:left="202" w:right="40" w:hanging="202"/>
        <w:spacing w:after="0" w:line="282" w:lineRule="auto"/>
        <w:tabs>
          <w:tab w:leader="none" w:pos="179"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Leadership of a Large, Complex Organization: </w:t>
      </w:r>
      <w:r>
        <w:rPr>
          <w:rFonts w:ascii="Arial" w:cs="Arial" w:eastAsia="Arial" w:hAnsi="Arial"/>
          <w:sz w:val="14"/>
          <w:szCs w:val="14"/>
          <w:color w:val="auto"/>
        </w:rPr>
        <w:t>Experience</w:t>
      </w:r>
      <w:r>
        <w:rPr>
          <w:rFonts w:ascii="Arial" w:cs="Arial" w:eastAsia="Arial" w:hAnsi="Arial"/>
          <w:sz w:val="14"/>
          <w:szCs w:val="14"/>
          <w:b w:val="1"/>
          <w:bCs w:val="1"/>
          <w:color w:val="auto"/>
        </w:rPr>
        <w:t xml:space="preserve"> </w:t>
      </w:r>
      <w:r>
        <w:rPr>
          <w:rFonts w:ascii="Arial" w:cs="Arial" w:eastAsia="Arial" w:hAnsi="Arial"/>
          <w:sz w:val="14"/>
          <w:szCs w:val="14"/>
          <w:color w:val="auto"/>
        </w:rPr>
        <w:t>managing a complex, global business, including setting and executing</w:t>
      </w:r>
    </w:p>
    <w:p>
      <w:pPr>
        <w:ind w:left="202"/>
        <w:spacing w:after="0"/>
        <w:rPr>
          <w:rFonts w:ascii="Arial" w:cs="Arial" w:eastAsia="Arial" w:hAnsi="Arial"/>
          <w:sz w:val="14"/>
          <w:szCs w:val="14"/>
          <w:b w:val="1"/>
          <w:bCs w:val="1"/>
          <w:color w:val="auto"/>
        </w:rPr>
      </w:pPr>
      <w:r>
        <w:rPr>
          <w:rFonts w:ascii="Arial" w:cs="Arial" w:eastAsia="Arial" w:hAnsi="Arial"/>
          <w:sz w:val="14"/>
          <w:szCs w:val="14"/>
          <w:color w:val="auto"/>
        </w:rPr>
        <w:t>long-term strategic direction</w:t>
      </w:r>
    </w:p>
    <w:p>
      <w:pPr>
        <w:spacing w:after="0" w:line="80" w:lineRule="exact"/>
        <w:rPr>
          <w:rFonts w:ascii="Arial" w:cs="Arial" w:eastAsia="Arial" w:hAnsi="Arial"/>
          <w:sz w:val="14"/>
          <w:szCs w:val="14"/>
          <w:b w:val="1"/>
          <w:bCs w:val="1"/>
          <w:color w:val="auto"/>
        </w:rPr>
      </w:pPr>
    </w:p>
    <w:p>
      <w:pPr>
        <w:ind w:left="202" w:right="180" w:hanging="202"/>
        <w:spacing w:after="0" w:line="345" w:lineRule="auto"/>
        <w:tabs>
          <w:tab w:leader="none" w:pos="179"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Finance and Accounting: </w:t>
      </w:r>
      <w:r>
        <w:rPr>
          <w:rFonts w:ascii="Arial" w:cs="Arial" w:eastAsia="Arial" w:hAnsi="Arial"/>
          <w:sz w:val="14"/>
          <w:szCs w:val="14"/>
          <w:color w:val="auto"/>
        </w:rPr>
        <w:t>Strong financial acumen gained</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executive roles</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Career Highlights</w:t>
      </w:r>
    </w:p>
    <w:p>
      <w:pPr>
        <w:spacing w:after="0" w:line="35" w:lineRule="exact"/>
        <w:rPr>
          <w:sz w:val="20"/>
          <w:szCs w:val="20"/>
          <w:color w:val="auto"/>
        </w:rPr>
      </w:pPr>
    </w:p>
    <w:p>
      <w:pPr>
        <w:ind w:left="2" w:right="140"/>
        <w:spacing w:after="0" w:line="278" w:lineRule="auto"/>
        <w:rPr>
          <w:sz w:val="20"/>
          <w:szCs w:val="20"/>
          <w:color w:val="auto"/>
        </w:rPr>
      </w:pPr>
      <w:r>
        <w:rPr>
          <w:rFonts w:ascii="Arial" w:cs="Arial" w:eastAsia="Arial" w:hAnsi="Arial"/>
          <w:sz w:val="14"/>
          <w:szCs w:val="14"/>
          <w:color w:val="auto"/>
        </w:rPr>
        <w:t>Comcast Corporation/NBCUniversal, LLC, leading providers of entertainment, information and communication products and services</w:t>
      </w:r>
    </w:p>
    <w:p>
      <w:pPr>
        <w:spacing w:after="0" w:line="2" w:lineRule="exact"/>
        <w:rPr>
          <w:sz w:val="20"/>
          <w:szCs w:val="20"/>
          <w:color w:val="auto"/>
        </w:rPr>
      </w:pPr>
    </w:p>
    <w:p>
      <w:pPr>
        <w:ind w:left="182" w:hanging="182"/>
        <w:spacing w:after="0"/>
        <w:tabs>
          <w:tab w:leader="none" w:pos="182" w:val="left"/>
        </w:tabs>
        <w:numPr>
          <w:ilvl w:val="0"/>
          <w:numId w:val="38"/>
        </w:numPr>
        <w:rPr>
          <w:rFonts w:ascii="Arial" w:cs="Arial" w:eastAsia="Arial" w:hAnsi="Arial"/>
          <w:sz w:val="14"/>
          <w:szCs w:val="14"/>
          <w:b w:val="1"/>
          <w:bCs w:val="1"/>
          <w:color w:val="auto"/>
        </w:rPr>
      </w:pPr>
      <w:r>
        <w:rPr>
          <w:rFonts w:ascii="Arial" w:cs="Arial" w:eastAsia="Arial" w:hAnsi="Arial"/>
          <w:sz w:val="14"/>
          <w:szCs w:val="14"/>
          <w:color w:val="auto"/>
        </w:rPr>
        <w:t>Senior Advisor, Comcast Corporation (since 2021)</w:t>
      </w:r>
    </w:p>
    <w:p>
      <w:pPr>
        <w:spacing w:after="0" w:line="40" w:lineRule="exact"/>
        <w:rPr>
          <w:rFonts w:ascii="Arial" w:cs="Arial" w:eastAsia="Arial" w:hAnsi="Arial"/>
          <w:sz w:val="14"/>
          <w:szCs w:val="14"/>
          <w:b w:val="1"/>
          <w:bCs w:val="1"/>
          <w:color w:val="auto"/>
        </w:rPr>
      </w:pPr>
    </w:p>
    <w:p>
      <w:pPr>
        <w:ind w:left="202" w:right="180" w:hanging="202"/>
        <w:spacing w:after="0" w:line="282" w:lineRule="auto"/>
        <w:tabs>
          <w:tab w:leader="none" w:pos="179" w:val="left"/>
        </w:tabs>
        <w:numPr>
          <w:ilvl w:val="0"/>
          <w:numId w:val="38"/>
        </w:numPr>
        <w:rPr>
          <w:rFonts w:ascii="Arial" w:cs="Arial" w:eastAsia="Arial" w:hAnsi="Arial"/>
          <w:sz w:val="14"/>
          <w:szCs w:val="14"/>
          <w:b w:val="1"/>
          <w:bCs w:val="1"/>
          <w:color w:val="auto"/>
        </w:rPr>
      </w:pPr>
      <w:r>
        <w:rPr>
          <w:rFonts w:ascii="Arial" w:cs="Arial" w:eastAsia="Arial" w:hAnsi="Arial"/>
          <w:sz w:val="14"/>
          <w:szCs w:val="14"/>
          <w:color w:val="auto"/>
        </w:rPr>
        <w:t>Chairman of NBCUniversal, LLC and NBCUniversal Media, LLC (2020)</w:t>
      </w:r>
    </w:p>
    <w:p>
      <w:pPr>
        <w:ind w:left="182" w:hanging="182"/>
        <w:spacing w:after="0"/>
        <w:tabs>
          <w:tab w:leader="none" w:pos="182" w:val="left"/>
        </w:tabs>
        <w:numPr>
          <w:ilvl w:val="0"/>
          <w:numId w:val="38"/>
        </w:numPr>
        <w:rPr>
          <w:rFonts w:ascii="Arial" w:cs="Arial" w:eastAsia="Arial" w:hAnsi="Arial"/>
          <w:sz w:val="14"/>
          <w:szCs w:val="14"/>
          <w:b w:val="1"/>
          <w:bCs w:val="1"/>
          <w:color w:val="auto"/>
        </w:rPr>
      </w:pPr>
      <w:r>
        <w:rPr>
          <w:rFonts w:ascii="Arial" w:cs="Arial" w:eastAsia="Arial" w:hAnsi="Arial"/>
          <w:sz w:val="14"/>
          <w:szCs w:val="14"/>
          <w:color w:val="auto"/>
        </w:rPr>
        <w:t>Senior executive officer of Comcast Corporation (2011-2020)</w:t>
      </w:r>
    </w:p>
    <w:p>
      <w:pPr>
        <w:spacing w:after="0" w:line="34" w:lineRule="exact"/>
        <w:rPr>
          <w:rFonts w:ascii="Arial" w:cs="Arial" w:eastAsia="Arial" w:hAnsi="Arial"/>
          <w:sz w:val="14"/>
          <w:szCs w:val="14"/>
          <w:b w:val="1"/>
          <w:bCs w:val="1"/>
          <w:color w:val="auto"/>
        </w:rPr>
      </w:pPr>
    </w:p>
    <w:p>
      <w:pPr>
        <w:ind w:left="202" w:right="120" w:hanging="202"/>
        <w:spacing w:after="0" w:line="314" w:lineRule="auto"/>
        <w:tabs>
          <w:tab w:leader="none" w:pos="179" w:val="left"/>
        </w:tabs>
        <w:numPr>
          <w:ilvl w:val="0"/>
          <w:numId w:val="38"/>
        </w:numPr>
        <w:rPr>
          <w:rFonts w:ascii="Arial" w:cs="Arial" w:eastAsia="Arial" w:hAnsi="Arial"/>
          <w:sz w:val="14"/>
          <w:szCs w:val="14"/>
          <w:b w:val="1"/>
          <w:bCs w:val="1"/>
          <w:color w:val="auto"/>
        </w:rPr>
      </w:pPr>
      <w:r>
        <w:rPr>
          <w:rFonts w:ascii="Arial" w:cs="Arial" w:eastAsia="Arial" w:hAnsi="Arial"/>
          <w:sz w:val="14"/>
          <w:szCs w:val="14"/>
          <w:color w:val="auto"/>
        </w:rPr>
        <w:t>Chief Executive Officer and President of NBCUniversal, LLC and NBCUniversal Media, LLC (2011-2019)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805180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167" w:hanging="167"/>
        <w:spacing w:after="0"/>
        <w:tabs>
          <w:tab w:leader="none" w:pos="167" w:val="left"/>
        </w:tabs>
        <w:numPr>
          <w:ilvl w:val="0"/>
          <w:numId w:val="39"/>
        </w:numPr>
        <w:rPr>
          <w:rFonts w:ascii="Arial" w:cs="Arial" w:eastAsia="Arial" w:hAnsi="Arial"/>
          <w:sz w:val="14"/>
          <w:szCs w:val="14"/>
          <w:b w:val="1"/>
          <w:bCs w:val="1"/>
          <w:color w:val="auto"/>
        </w:rPr>
      </w:pPr>
      <w:r>
        <w:rPr>
          <w:rFonts w:ascii="Arial" w:cs="Arial" w:eastAsia="Arial" w:hAnsi="Arial"/>
          <w:sz w:val="14"/>
          <w:szCs w:val="14"/>
          <w:color w:val="auto"/>
        </w:rPr>
        <w:t>Chief Operating Officer, Comcast (2004-2011)</w:t>
      </w:r>
    </w:p>
    <w:p>
      <w:pPr>
        <w:spacing w:after="0" w:line="35" w:lineRule="exact"/>
        <w:rPr>
          <w:rFonts w:ascii="Arial" w:cs="Arial" w:eastAsia="Arial" w:hAnsi="Arial"/>
          <w:sz w:val="14"/>
          <w:szCs w:val="14"/>
          <w:b w:val="1"/>
          <w:bCs w:val="1"/>
          <w:color w:val="auto"/>
        </w:rPr>
      </w:pPr>
    </w:p>
    <w:p>
      <w:pPr>
        <w:ind w:left="167" w:hanging="167"/>
        <w:spacing w:after="0"/>
        <w:tabs>
          <w:tab w:leader="none" w:pos="167" w:val="left"/>
        </w:tabs>
        <w:numPr>
          <w:ilvl w:val="0"/>
          <w:numId w:val="39"/>
        </w:numPr>
        <w:rPr>
          <w:rFonts w:ascii="Arial" w:cs="Arial" w:eastAsia="Arial" w:hAnsi="Arial"/>
          <w:sz w:val="14"/>
          <w:szCs w:val="14"/>
          <w:b w:val="1"/>
          <w:bCs w:val="1"/>
          <w:color w:val="auto"/>
        </w:rPr>
      </w:pPr>
      <w:r>
        <w:rPr>
          <w:rFonts w:ascii="Arial" w:cs="Arial" w:eastAsia="Arial" w:hAnsi="Arial"/>
          <w:sz w:val="14"/>
          <w:szCs w:val="14"/>
          <w:color w:val="auto"/>
        </w:rPr>
        <w:t>President, Comcast Cable Communications Inc. (1998-2010)</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Education</w:t>
      </w:r>
    </w:p>
    <w:p>
      <w:pPr>
        <w:spacing w:after="0" w:line="35" w:lineRule="exact"/>
        <w:rPr>
          <w:sz w:val="20"/>
          <w:szCs w:val="20"/>
          <w:color w:val="auto"/>
        </w:rPr>
      </w:pPr>
    </w:p>
    <w:p>
      <w:pPr>
        <w:ind w:left="167" w:hanging="167"/>
        <w:spacing w:after="0"/>
        <w:tabs>
          <w:tab w:leader="none" w:pos="167" w:val="left"/>
        </w:tabs>
        <w:numPr>
          <w:ilvl w:val="0"/>
          <w:numId w:val="40"/>
        </w:numPr>
        <w:rPr>
          <w:rFonts w:ascii="Arial" w:cs="Arial" w:eastAsia="Arial" w:hAnsi="Arial"/>
          <w:sz w:val="14"/>
          <w:szCs w:val="14"/>
          <w:b w:val="1"/>
          <w:bCs w:val="1"/>
          <w:color w:val="auto"/>
        </w:rPr>
      </w:pPr>
      <w:r>
        <w:rPr>
          <w:rFonts w:ascii="Arial" w:cs="Arial" w:eastAsia="Arial" w:hAnsi="Arial"/>
          <w:sz w:val="14"/>
          <w:szCs w:val="14"/>
          <w:color w:val="auto"/>
        </w:rPr>
        <w:t>Graduate of Colgate University</w:t>
      </w:r>
    </w:p>
    <w:p>
      <w:pPr>
        <w:spacing w:after="0" w:line="28" w:lineRule="exact"/>
        <w:rPr>
          <w:rFonts w:ascii="Arial" w:cs="Arial" w:eastAsia="Arial" w:hAnsi="Arial"/>
          <w:sz w:val="14"/>
          <w:szCs w:val="14"/>
          <w:b w:val="1"/>
          <w:bCs w:val="1"/>
          <w:color w:val="auto"/>
        </w:rPr>
      </w:pPr>
    </w:p>
    <w:p>
      <w:pPr>
        <w:ind w:left="167" w:hanging="167"/>
        <w:spacing w:after="0"/>
        <w:tabs>
          <w:tab w:leader="none" w:pos="167" w:val="left"/>
        </w:tabs>
        <w:numPr>
          <w:ilvl w:val="0"/>
          <w:numId w:val="40"/>
        </w:numPr>
        <w:rPr>
          <w:rFonts w:ascii="Arial" w:cs="Arial" w:eastAsia="Arial" w:hAnsi="Arial"/>
          <w:sz w:val="14"/>
          <w:szCs w:val="14"/>
          <w:b w:val="1"/>
          <w:bCs w:val="1"/>
          <w:color w:val="auto"/>
        </w:rPr>
      </w:pPr>
      <w:r>
        <w:rPr>
          <w:rFonts w:ascii="Arial" w:cs="Arial" w:eastAsia="Arial" w:hAnsi="Arial"/>
          <w:sz w:val="14"/>
          <w:szCs w:val="14"/>
          <w:color w:val="auto"/>
        </w:rPr>
        <w:t>M.B.A., Harvard Business School</w:t>
      </w:r>
    </w:p>
    <w:p>
      <w:pPr>
        <w:spacing w:after="0" w:line="129" w:lineRule="exact"/>
        <w:rPr>
          <w:sz w:val="20"/>
          <w:szCs w:val="20"/>
          <w:color w:val="auto"/>
        </w:rPr>
      </w:pPr>
    </w:p>
    <w:p>
      <w:pPr>
        <w:ind w:left="7" w:right="100"/>
        <w:spacing w:after="0" w:line="291" w:lineRule="auto"/>
        <w:rPr>
          <w:sz w:val="20"/>
          <w:szCs w:val="20"/>
          <w:color w:val="auto"/>
        </w:rPr>
      </w:pPr>
      <w:r>
        <w:rPr>
          <w:rFonts w:ascii="Arial" w:cs="Arial" w:eastAsia="Arial" w:hAnsi="Arial"/>
          <w:sz w:val="14"/>
          <w:szCs w:val="14"/>
          <w:b w:val="1"/>
          <w:bCs w:val="1"/>
          <w:color w:val="8F5A39"/>
        </w:rPr>
        <w:t>Other U.S.-Listed Public Company Directorships Within the Past Five Years</w:t>
      </w:r>
    </w:p>
    <w:p>
      <w:pPr>
        <w:spacing w:after="0" w:line="1" w:lineRule="exact"/>
        <w:rPr>
          <w:sz w:val="20"/>
          <w:szCs w:val="20"/>
          <w:color w:val="auto"/>
        </w:rPr>
      </w:pPr>
    </w:p>
    <w:p>
      <w:pPr>
        <w:ind w:left="167" w:hanging="167"/>
        <w:spacing w:after="0"/>
        <w:tabs>
          <w:tab w:leader="none" w:pos="167"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Berkshire Hathaway Inc. (since 2009)</w:t>
      </w:r>
    </w:p>
    <w:p>
      <w:pPr>
        <w:spacing w:after="0" w:line="35" w:lineRule="exact"/>
        <w:rPr>
          <w:rFonts w:ascii="Arial" w:cs="Arial" w:eastAsia="Arial" w:hAnsi="Arial"/>
          <w:sz w:val="14"/>
          <w:szCs w:val="14"/>
          <w:b w:val="1"/>
          <w:bCs w:val="1"/>
          <w:color w:val="auto"/>
        </w:rPr>
      </w:pPr>
    </w:p>
    <w:p>
      <w:pPr>
        <w:ind w:left="167" w:hanging="167"/>
        <w:spacing w:after="0"/>
        <w:tabs>
          <w:tab w:leader="none" w:pos="167"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Snowflake Inc. (2023-2024)</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Other Experience</w:t>
      </w:r>
    </w:p>
    <w:p>
      <w:pPr>
        <w:spacing w:after="0" w:line="35" w:lineRule="exact"/>
        <w:rPr>
          <w:sz w:val="20"/>
          <w:szCs w:val="20"/>
          <w:color w:val="auto"/>
        </w:rPr>
      </w:pPr>
    </w:p>
    <w:p>
      <w:pPr>
        <w:ind w:left="167" w:hanging="167"/>
        <w:spacing w:after="0"/>
        <w:tabs>
          <w:tab w:leader="none" w:pos="167" w:val="left"/>
        </w:tabs>
        <w:numPr>
          <w:ilvl w:val="0"/>
          <w:numId w:val="42"/>
        </w:numPr>
        <w:rPr>
          <w:rFonts w:ascii="Arial" w:cs="Arial" w:eastAsia="Arial" w:hAnsi="Arial"/>
          <w:sz w:val="14"/>
          <w:szCs w:val="14"/>
          <w:b w:val="1"/>
          <w:bCs w:val="1"/>
          <w:color w:val="auto"/>
        </w:rPr>
      </w:pPr>
      <w:r>
        <w:rPr>
          <w:rFonts w:ascii="Arial" w:cs="Arial" w:eastAsia="Arial" w:hAnsi="Arial"/>
          <w:sz w:val="14"/>
          <w:szCs w:val="14"/>
          <w:color w:val="auto"/>
        </w:rPr>
        <w:t>Former Chairman, Children’s Hospital of Philadelphia</w:t>
      </w:r>
    </w:p>
    <w:p>
      <w:pPr>
        <w:spacing w:after="0" w:line="3234" w:lineRule="exact"/>
        <w:rPr>
          <w:sz w:val="20"/>
          <w:szCs w:val="20"/>
          <w:color w:val="auto"/>
        </w:rPr>
      </w:pPr>
    </w:p>
    <w:p>
      <w:pPr>
        <w:sectPr>
          <w:pgSz w:w="11900" w:h="16838" w:orient="portrait"/>
          <w:cols w:equalWidth="0" w:num="3">
            <w:col w:w="2380" w:space="278"/>
            <w:col w:w="4122" w:space="293"/>
            <w:col w:w="4147"/>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Linda B. Bammann</w:t>
      </w:r>
    </w:p>
    <w:p>
      <w:pPr>
        <w:spacing w:after="0" w:line="30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Retired Deputy Head of Risk</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Management of JPMorgan Chase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&amp; Co.</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70</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2013</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Committees: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Risk Committee (Chair)</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Compensation &amp; Management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Development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Qualification Highlights</w:t>
      </w:r>
    </w:p>
    <w:p>
      <w:pPr>
        <w:spacing w:after="0" w:line="35" w:lineRule="exact"/>
        <w:rPr>
          <w:sz w:val="20"/>
          <w:szCs w:val="20"/>
          <w:color w:val="auto"/>
        </w:rPr>
      </w:pPr>
    </w:p>
    <w:p>
      <w:pPr>
        <w:jc w:val="both"/>
        <w:ind w:left="202" w:right="60" w:hanging="202"/>
        <w:spacing w:after="0" w:line="308" w:lineRule="auto"/>
        <w:tabs>
          <w:tab w:leader="none" w:pos="179"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Risk Management and Controls: </w:t>
      </w:r>
      <w:r>
        <w:rPr>
          <w:rFonts w:ascii="Arial" w:cs="Arial" w:eastAsia="Arial" w:hAnsi="Arial"/>
          <w:sz w:val="14"/>
          <w:szCs w:val="14"/>
          <w:color w:val="auto"/>
        </w:rPr>
        <w:t>Retired risk management</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with deep experience in assessing and managing financial risk</w:t>
      </w:r>
    </w:p>
    <w:p>
      <w:pPr>
        <w:spacing w:after="0" w:line="7" w:lineRule="exact"/>
        <w:rPr>
          <w:rFonts w:ascii="Arial" w:cs="Arial" w:eastAsia="Arial" w:hAnsi="Arial"/>
          <w:sz w:val="14"/>
          <w:szCs w:val="14"/>
          <w:b w:val="1"/>
          <w:bCs w:val="1"/>
          <w:color w:val="auto"/>
        </w:rPr>
      </w:pPr>
    </w:p>
    <w:p>
      <w:pPr>
        <w:jc w:val="both"/>
        <w:ind w:left="202" w:hanging="202"/>
        <w:spacing w:after="0" w:line="303" w:lineRule="auto"/>
        <w:tabs>
          <w:tab w:leader="none" w:pos="179"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Financial Services: </w:t>
      </w:r>
      <w:r>
        <w:rPr>
          <w:rFonts w:ascii="Arial" w:cs="Arial" w:eastAsia="Arial" w:hAnsi="Arial"/>
          <w:sz w:val="14"/>
          <w:szCs w:val="14"/>
          <w:color w:val="auto"/>
        </w:rPr>
        <w:t>Wide-ranging experience in the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services sector, including with respect to capital markets and consumer financial products</w:t>
      </w:r>
    </w:p>
    <w:p>
      <w:pPr>
        <w:spacing w:after="0" w:line="11" w:lineRule="exact"/>
        <w:rPr>
          <w:rFonts w:ascii="Arial" w:cs="Arial" w:eastAsia="Arial" w:hAnsi="Arial"/>
          <w:sz w:val="14"/>
          <w:szCs w:val="14"/>
          <w:b w:val="1"/>
          <w:bCs w:val="1"/>
          <w:color w:val="auto"/>
        </w:rPr>
      </w:pPr>
    </w:p>
    <w:p>
      <w:pPr>
        <w:ind w:left="202" w:right="60" w:hanging="202"/>
        <w:spacing w:after="0" w:line="313" w:lineRule="auto"/>
        <w:tabs>
          <w:tab w:leader="none" w:pos="179"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Regulated Industries: </w:t>
      </w:r>
      <w:r>
        <w:rPr>
          <w:rFonts w:ascii="Arial" w:cs="Arial" w:eastAsia="Arial" w:hAnsi="Arial"/>
          <w:sz w:val="14"/>
          <w:szCs w:val="14"/>
          <w:color w:val="auto"/>
        </w:rPr>
        <w:t>Significant experience navigating the</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services regulatory landscape and engaging with regulators</w:t>
      </w:r>
    </w:p>
    <w:p>
      <w:pPr>
        <w:spacing w:after="0" w:line="4" w:lineRule="exact"/>
        <w:rPr>
          <w:rFonts w:ascii="Arial" w:cs="Arial" w:eastAsia="Arial" w:hAnsi="Arial"/>
          <w:sz w:val="14"/>
          <w:szCs w:val="14"/>
          <w:b w:val="1"/>
          <w:bCs w:val="1"/>
          <w:color w:val="auto"/>
        </w:rPr>
      </w:pPr>
    </w:p>
    <w:p>
      <w:pPr>
        <w:ind w:left="202" w:right="260" w:hanging="202"/>
        <w:spacing w:after="0" w:line="303" w:lineRule="auto"/>
        <w:tabs>
          <w:tab w:leader="none" w:pos="179"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Human Capital Management: </w:t>
      </w:r>
      <w:r>
        <w:rPr>
          <w:rFonts w:ascii="Arial" w:cs="Arial" w:eastAsia="Arial" w:hAnsi="Arial"/>
          <w:sz w:val="14"/>
          <w:szCs w:val="14"/>
          <w:color w:val="auto"/>
        </w:rPr>
        <w:t>Brings valuable insight on</w:t>
      </w:r>
      <w:r>
        <w:rPr>
          <w:rFonts w:ascii="Arial" w:cs="Arial" w:eastAsia="Arial" w:hAnsi="Arial"/>
          <w:sz w:val="14"/>
          <w:szCs w:val="14"/>
          <w:b w:val="1"/>
          <w:bCs w:val="1"/>
          <w:color w:val="auto"/>
        </w:rPr>
        <w:t xml:space="preserve"> </w:t>
      </w:r>
      <w:r>
        <w:rPr>
          <w:rFonts w:ascii="Arial" w:cs="Arial" w:eastAsia="Arial" w:hAnsi="Arial"/>
          <w:sz w:val="14"/>
          <w:szCs w:val="14"/>
          <w:color w:val="auto"/>
        </w:rPr>
        <w:t>succession planning and senior executive development matters</w:t>
      </w:r>
    </w:p>
    <w:p>
      <w:pPr>
        <w:spacing w:after="0" w:line="79"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Career Highlights</w:t>
      </w:r>
    </w:p>
    <w:p>
      <w:pPr>
        <w:spacing w:after="0" w:line="35" w:lineRule="exact"/>
        <w:rPr>
          <w:sz w:val="20"/>
          <w:szCs w:val="20"/>
          <w:color w:val="auto"/>
        </w:rPr>
      </w:pPr>
    </w:p>
    <w:p>
      <w:pPr>
        <w:ind w:left="2" w:right="80"/>
        <w:spacing w:after="0" w:line="277" w:lineRule="auto"/>
        <w:rPr>
          <w:sz w:val="20"/>
          <w:szCs w:val="20"/>
          <w:color w:val="auto"/>
        </w:rPr>
      </w:pPr>
      <w:r>
        <w:rPr>
          <w:rFonts w:ascii="Arial" w:cs="Arial" w:eastAsia="Arial" w:hAnsi="Arial"/>
          <w:sz w:val="14"/>
          <w:szCs w:val="14"/>
          <w:color w:val="auto"/>
        </w:rPr>
        <w:t>JPMorgan Chase &amp; Co. (merged with Bank One Corporation in 2004)</w:t>
      </w:r>
    </w:p>
    <w:p>
      <w:pPr>
        <w:ind w:left="182" w:hanging="182"/>
        <w:spacing w:after="0"/>
        <w:tabs>
          <w:tab w:leader="none" w:pos="182" w:val="left"/>
        </w:tabs>
        <w:numPr>
          <w:ilvl w:val="0"/>
          <w:numId w:val="44"/>
        </w:numPr>
        <w:rPr>
          <w:rFonts w:ascii="Arial" w:cs="Arial" w:eastAsia="Arial" w:hAnsi="Arial"/>
          <w:sz w:val="14"/>
          <w:szCs w:val="14"/>
          <w:b w:val="1"/>
          <w:bCs w:val="1"/>
          <w:color w:val="auto"/>
        </w:rPr>
      </w:pPr>
      <w:r>
        <w:rPr>
          <w:rFonts w:ascii="Arial" w:cs="Arial" w:eastAsia="Arial" w:hAnsi="Arial"/>
          <w:sz w:val="14"/>
          <w:szCs w:val="14"/>
          <w:color w:val="auto"/>
        </w:rPr>
        <w:t>Deputy Head of Risk Management (2004-2005)</w:t>
      </w:r>
    </w:p>
    <w:p>
      <w:pPr>
        <w:spacing w:after="0" w:line="34" w:lineRule="exact"/>
        <w:rPr>
          <w:rFonts w:ascii="Arial" w:cs="Arial" w:eastAsia="Arial" w:hAnsi="Arial"/>
          <w:sz w:val="14"/>
          <w:szCs w:val="14"/>
          <w:b w:val="1"/>
          <w:bCs w:val="1"/>
          <w:color w:val="auto"/>
        </w:rPr>
      </w:pPr>
    </w:p>
    <w:p>
      <w:pPr>
        <w:ind w:left="202" w:right="660" w:hanging="202"/>
        <w:spacing w:after="0" w:line="286" w:lineRule="auto"/>
        <w:tabs>
          <w:tab w:leader="none" w:pos="179" w:val="left"/>
        </w:tabs>
        <w:numPr>
          <w:ilvl w:val="0"/>
          <w:numId w:val="44"/>
        </w:numPr>
        <w:rPr>
          <w:rFonts w:ascii="Arial" w:cs="Arial" w:eastAsia="Arial" w:hAnsi="Arial"/>
          <w:sz w:val="14"/>
          <w:szCs w:val="14"/>
          <w:b w:val="1"/>
          <w:bCs w:val="1"/>
          <w:color w:val="auto"/>
        </w:rPr>
      </w:pPr>
      <w:r>
        <w:rPr>
          <w:rFonts w:ascii="Arial" w:cs="Arial" w:eastAsia="Arial" w:hAnsi="Arial"/>
          <w:sz w:val="14"/>
          <w:szCs w:val="14"/>
          <w:color w:val="auto"/>
        </w:rPr>
        <w:t>Chief Risk Management Officer and Executive Vice President, Bank One Corporation (2001-2004)</w:t>
      </w:r>
    </w:p>
    <w:p>
      <w:pPr>
        <w:ind w:left="202" w:right="80" w:hanging="202"/>
        <w:spacing w:after="0" w:line="325" w:lineRule="auto"/>
        <w:tabs>
          <w:tab w:leader="none" w:pos="179" w:val="left"/>
        </w:tabs>
        <w:numPr>
          <w:ilvl w:val="0"/>
          <w:numId w:val="44"/>
        </w:numPr>
        <w:rPr>
          <w:rFonts w:ascii="Arial" w:cs="Arial" w:eastAsia="Arial" w:hAnsi="Arial"/>
          <w:sz w:val="14"/>
          <w:szCs w:val="14"/>
          <w:b w:val="1"/>
          <w:bCs w:val="1"/>
          <w:color w:val="auto"/>
        </w:rPr>
      </w:pPr>
      <w:r>
        <w:rPr>
          <w:rFonts w:ascii="Arial" w:cs="Arial" w:eastAsia="Arial" w:hAnsi="Arial"/>
          <w:sz w:val="14"/>
          <w:szCs w:val="14"/>
          <w:color w:val="auto"/>
        </w:rPr>
        <w:t>Senior Managing Director, Bank One Capital Markets (2000-2001)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Education</w:t>
      </w:r>
    </w:p>
    <w:p>
      <w:pPr>
        <w:spacing w:after="0" w:line="35" w:lineRule="exact"/>
        <w:rPr>
          <w:sz w:val="20"/>
          <w:szCs w:val="20"/>
          <w:color w:val="auto"/>
        </w:rPr>
      </w:pPr>
    </w:p>
    <w:p>
      <w:pPr>
        <w:ind w:left="167" w:hanging="167"/>
        <w:spacing w:after="0"/>
        <w:tabs>
          <w:tab w:leader="none" w:pos="167" w:val="left"/>
        </w:tabs>
        <w:numPr>
          <w:ilvl w:val="0"/>
          <w:numId w:val="45"/>
        </w:numPr>
        <w:rPr>
          <w:rFonts w:ascii="Arial" w:cs="Arial" w:eastAsia="Arial" w:hAnsi="Arial"/>
          <w:sz w:val="14"/>
          <w:szCs w:val="14"/>
          <w:b w:val="1"/>
          <w:bCs w:val="1"/>
          <w:color w:val="auto"/>
        </w:rPr>
      </w:pPr>
      <w:r>
        <w:rPr>
          <w:rFonts w:ascii="Arial" w:cs="Arial" w:eastAsia="Arial" w:hAnsi="Arial"/>
          <w:sz w:val="14"/>
          <w:szCs w:val="14"/>
          <w:color w:val="auto"/>
        </w:rPr>
        <w:t>Graduate of Stanford University</w:t>
      </w:r>
    </w:p>
    <w:p>
      <w:pPr>
        <w:spacing w:after="0" w:line="34" w:lineRule="exact"/>
        <w:rPr>
          <w:rFonts w:ascii="Arial" w:cs="Arial" w:eastAsia="Arial" w:hAnsi="Arial"/>
          <w:sz w:val="14"/>
          <w:szCs w:val="14"/>
          <w:b w:val="1"/>
          <w:bCs w:val="1"/>
          <w:color w:val="auto"/>
        </w:rPr>
      </w:pPr>
    </w:p>
    <w:p>
      <w:pPr>
        <w:ind w:left="167" w:hanging="167"/>
        <w:spacing w:after="0"/>
        <w:tabs>
          <w:tab w:leader="none" w:pos="167" w:val="left"/>
        </w:tabs>
        <w:numPr>
          <w:ilvl w:val="0"/>
          <w:numId w:val="45"/>
        </w:numPr>
        <w:rPr>
          <w:rFonts w:ascii="Arial" w:cs="Arial" w:eastAsia="Arial" w:hAnsi="Arial"/>
          <w:sz w:val="14"/>
          <w:szCs w:val="14"/>
          <w:b w:val="1"/>
          <w:bCs w:val="1"/>
          <w:color w:val="auto"/>
        </w:rPr>
      </w:pPr>
      <w:r>
        <w:rPr>
          <w:rFonts w:ascii="Arial" w:cs="Arial" w:eastAsia="Arial" w:hAnsi="Arial"/>
          <w:sz w:val="14"/>
          <w:szCs w:val="14"/>
          <w:color w:val="auto"/>
        </w:rPr>
        <w:t>M.A., Public Policy, University of Michigan</w:t>
      </w:r>
    </w:p>
    <w:p>
      <w:pPr>
        <w:spacing w:after="0" w:line="136"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b w:val="1"/>
          <w:bCs w:val="1"/>
          <w:color w:val="8F5A39"/>
        </w:rPr>
        <w:t>Other U.S.-Listed Public Company Directorships Within the Past Five Years</w:t>
      </w:r>
    </w:p>
    <w:p>
      <w:pPr>
        <w:ind w:left="167" w:hanging="167"/>
        <w:spacing w:after="0"/>
        <w:tabs>
          <w:tab w:leader="none" w:pos="167" w:val="left"/>
        </w:tabs>
        <w:numPr>
          <w:ilvl w:val="0"/>
          <w:numId w:val="46"/>
        </w:numPr>
        <w:rPr>
          <w:rFonts w:ascii="Arial" w:cs="Arial" w:eastAsia="Arial" w:hAnsi="Arial"/>
          <w:sz w:val="14"/>
          <w:szCs w:val="14"/>
          <w:b w:val="1"/>
          <w:bCs w:val="1"/>
          <w:color w:val="auto"/>
        </w:rPr>
      </w:pPr>
      <w:r>
        <w:rPr>
          <w:rFonts w:ascii="Arial" w:cs="Arial" w:eastAsia="Arial" w:hAnsi="Arial"/>
          <w:sz w:val="14"/>
          <w:szCs w:val="14"/>
          <w:color w:val="auto"/>
        </w:rPr>
        <w:t>None</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Other Experience</w:t>
      </w:r>
    </w:p>
    <w:p>
      <w:pPr>
        <w:spacing w:after="0" w:line="35" w:lineRule="exact"/>
        <w:rPr>
          <w:sz w:val="20"/>
          <w:szCs w:val="20"/>
          <w:color w:val="auto"/>
        </w:rPr>
      </w:pPr>
    </w:p>
    <w:p>
      <w:pPr>
        <w:ind w:left="167" w:hanging="167"/>
        <w:spacing w:after="0"/>
        <w:tabs>
          <w:tab w:leader="none" w:pos="167"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Former Board Member, Risk Management Association</w:t>
      </w:r>
    </w:p>
    <w:p>
      <w:pPr>
        <w:spacing w:after="0" w:line="34" w:lineRule="exact"/>
        <w:rPr>
          <w:rFonts w:ascii="Arial" w:cs="Arial" w:eastAsia="Arial" w:hAnsi="Arial"/>
          <w:sz w:val="14"/>
          <w:szCs w:val="14"/>
          <w:b w:val="1"/>
          <w:bCs w:val="1"/>
          <w:color w:val="auto"/>
        </w:rPr>
      </w:pPr>
    </w:p>
    <w:p>
      <w:pPr>
        <w:ind w:left="167" w:hanging="167"/>
        <w:spacing w:after="0"/>
        <w:tabs>
          <w:tab w:leader="none" w:pos="167"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Former Chair, Loan Syndications and Trading Association</w:t>
      </w:r>
    </w:p>
    <w:p>
      <w:pPr>
        <w:spacing w:after="0" w:line="35" w:lineRule="exact"/>
        <w:rPr>
          <w:rFonts w:ascii="Arial" w:cs="Arial" w:eastAsia="Arial" w:hAnsi="Arial"/>
          <w:sz w:val="14"/>
          <w:szCs w:val="14"/>
          <w:b w:val="1"/>
          <w:bCs w:val="1"/>
          <w:color w:val="auto"/>
        </w:rPr>
      </w:pPr>
    </w:p>
    <w:p>
      <w:pPr>
        <w:ind w:left="167" w:hanging="167"/>
        <w:spacing w:after="0"/>
        <w:tabs>
          <w:tab w:leader="none" w:pos="167"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Board Member, The Marine Corps Heritage Foundation</w:t>
      </w:r>
    </w:p>
    <w:p>
      <w:pPr>
        <w:spacing w:after="0" w:line="28" w:lineRule="exact"/>
        <w:rPr>
          <w:rFonts w:ascii="Arial" w:cs="Arial" w:eastAsia="Arial" w:hAnsi="Arial"/>
          <w:sz w:val="14"/>
          <w:szCs w:val="14"/>
          <w:b w:val="1"/>
          <w:bCs w:val="1"/>
          <w:color w:val="auto"/>
        </w:rPr>
      </w:pPr>
    </w:p>
    <w:p>
      <w:pPr>
        <w:ind w:left="167" w:hanging="167"/>
        <w:spacing w:after="0"/>
        <w:tabs>
          <w:tab w:leader="none" w:pos="167"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Senior Advisor, The Brydon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2230755</wp:posOffset>
            </wp:positionV>
            <wp:extent cx="651510"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704" w:lineRule="exact"/>
        <w:rPr>
          <w:sz w:val="20"/>
          <w:szCs w:val="20"/>
          <w:color w:val="auto"/>
        </w:rPr>
      </w:pPr>
    </w:p>
    <w:p>
      <w:pPr>
        <w:sectPr>
          <w:pgSz w:w="11900" w:h="16838" w:orient="portrait"/>
          <w:cols w:equalWidth="0" w:num="3">
            <w:col w:w="2300" w:space="358"/>
            <w:col w:w="4082" w:space="333"/>
            <w:col w:w="4147"/>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12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8F5A39"/>
        </w:rPr>
        <w:t xml:space="preserve">Director nominees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1474470" cy="3346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74470" cy="3346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1517015" cy="33693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17015" cy="3369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35"/>
        </w:trPr>
        <w:tc>
          <w:tcPr>
            <w:tcW w:w="236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60" w:type="dxa"/>
            <w:vAlign w:val="bottom"/>
            <w:tcBorders>
              <w:left w:val="single" w:sz="8" w:color="auto"/>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-213995</wp:posOffset>
            </wp:positionV>
            <wp:extent cx="120015" cy="939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-213995</wp:posOffset>
            </wp:positionV>
            <wp:extent cx="120015" cy="939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-213995</wp:posOffset>
            </wp:positionV>
            <wp:extent cx="120015" cy="939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720"/>
            <w:col w:w="8280"/>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Michele G. Buck</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Retired Chairman, President and</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Chief Executive Officer of The</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Hershey Company</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2025</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Committees: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Audit Committee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Corporate Governance &amp;</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1517015" cy="34036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17015" cy="3403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Qualification Highlights</w:t>
      </w:r>
    </w:p>
    <w:p>
      <w:pPr>
        <w:spacing w:after="0" w:line="42" w:lineRule="exact"/>
        <w:rPr>
          <w:sz w:val="20"/>
          <w:szCs w:val="20"/>
          <w:color w:val="auto"/>
        </w:rPr>
      </w:pPr>
    </w:p>
    <w:p>
      <w:pPr>
        <w:ind w:left="202" w:right="40" w:hanging="202"/>
        <w:spacing w:after="0" w:line="282" w:lineRule="auto"/>
        <w:tabs>
          <w:tab w:leader="none" w:pos="179"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Finance and Accounting: </w:t>
      </w:r>
      <w:r>
        <w:rPr>
          <w:rFonts w:ascii="Arial" w:cs="Arial" w:eastAsia="Arial" w:hAnsi="Arial"/>
          <w:sz w:val="14"/>
          <w:szCs w:val="14"/>
          <w:color w:val="auto"/>
        </w:rPr>
        <w:t>Expertise in strategic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as CEO of The Hershey Company and board-level financial oversight</w:t>
      </w:r>
    </w:p>
    <w:p>
      <w:pPr>
        <w:jc w:val="both"/>
        <w:ind w:left="202" w:hanging="202"/>
        <w:spacing w:after="0" w:line="287" w:lineRule="auto"/>
        <w:tabs>
          <w:tab w:leader="none" w:pos="179"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Leadership of a Large, Complex Organization: </w:t>
      </w:r>
      <w:r>
        <w:rPr>
          <w:rFonts w:ascii="Arial" w:cs="Arial" w:eastAsia="Arial" w:hAnsi="Arial"/>
          <w:sz w:val="14"/>
          <w:szCs w:val="14"/>
          <w:color w:val="auto"/>
        </w:rPr>
        <w:t>Respected</w:t>
      </w:r>
      <w:r>
        <w:rPr>
          <w:rFonts w:ascii="Arial" w:cs="Arial" w:eastAsia="Arial" w:hAnsi="Arial"/>
          <w:sz w:val="14"/>
          <w:szCs w:val="14"/>
          <w:b w:val="1"/>
          <w:bCs w:val="1"/>
          <w:color w:val="auto"/>
        </w:rPr>
        <w:t xml:space="preserve"> </w:t>
      </w:r>
      <w:r>
        <w:rPr>
          <w:rFonts w:ascii="Arial" w:cs="Arial" w:eastAsia="Arial" w:hAnsi="Arial"/>
          <w:sz w:val="14"/>
          <w:szCs w:val="14"/>
          <w:color w:val="auto"/>
        </w:rPr>
        <w:t>leader of a large, consumer-facing business, setting strategy and direction for long-term sustainable, profitable growth</w:t>
      </w:r>
    </w:p>
    <w:p>
      <w:pPr>
        <w:spacing w:after="0" w:line="1" w:lineRule="exact"/>
        <w:rPr>
          <w:rFonts w:ascii="Arial" w:cs="Arial" w:eastAsia="Arial" w:hAnsi="Arial"/>
          <w:sz w:val="14"/>
          <w:szCs w:val="14"/>
          <w:b w:val="1"/>
          <w:bCs w:val="1"/>
          <w:color w:val="auto"/>
        </w:rPr>
      </w:pPr>
    </w:p>
    <w:p>
      <w:pPr>
        <w:ind w:left="202" w:right="180" w:hanging="202"/>
        <w:spacing w:after="0" w:line="282" w:lineRule="auto"/>
        <w:tabs>
          <w:tab w:leader="none" w:pos="179"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Public Company Governance: </w:t>
      </w:r>
      <w:r>
        <w:rPr>
          <w:rFonts w:ascii="Arial" w:cs="Arial" w:eastAsia="Arial" w:hAnsi="Arial"/>
          <w:sz w:val="14"/>
          <w:szCs w:val="14"/>
          <w:color w:val="auto"/>
        </w:rPr>
        <w:t>Significant experience in</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corporate governance leadership and with complex stakeholder structures as Chair of The Hershey Company and through other board service</w:t>
      </w:r>
    </w:p>
    <w:p>
      <w:pPr>
        <w:ind w:left="202" w:right="200" w:hanging="202"/>
        <w:spacing w:after="0" w:line="312" w:lineRule="auto"/>
        <w:tabs>
          <w:tab w:leader="none" w:pos="179"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Human Capital Management: </w:t>
      </w:r>
      <w:r>
        <w:rPr>
          <w:rFonts w:ascii="Arial" w:cs="Arial" w:eastAsia="Arial" w:hAnsi="Arial"/>
          <w:sz w:val="14"/>
          <w:szCs w:val="14"/>
          <w:color w:val="auto"/>
        </w:rPr>
        <w:t>C-suite and board director</w:t>
      </w:r>
      <w:r>
        <w:rPr>
          <w:rFonts w:ascii="Arial" w:cs="Arial" w:eastAsia="Arial" w:hAnsi="Arial"/>
          <w:sz w:val="14"/>
          <w:szCs w:val="14"/>
          <w:b w:val="1"/>
          <w:bCs w:val="1"/>
          <w:color w:val="auto"/>
        </w:rPr>
        <w:t xml:space="preserve"> </w:t>
      </w:r>
      <w:r>
        <w:rPr>
          <w:rFonts w:ascii="Arial" w:cs="Arial" w:eastAsia="Arial" w:hAnsi="Arial"/>
          <w:sz w:val="14"/>
          <w:szCs w:val="14"/>
          <w:color w:val="auto"/>
        </w:rPr>
        <w:t>experience in succession planning, compensation and organizational matters</w:t>
      </w:r>
    </w:p>
    <w:p>
      <w:pPr>
        <w:spacing w:after="0" w:line="46"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Career Highlights</w:t>
      </w:r>
    </w:p>
    <w:p>
      <w:pPr>
        <w:spacing w:after="0" w:line="29" w:lineRule="exact"/>
        <w:rPr>
          <w:sz w:val="20"/>
          <w:szCs w:val="20"/>
          <w:color w:val="auto"/>
        </w:rPr>
      </w:pPr>
    </w:p>
    <w:p>
      <w:pPr>
        <w:ind w:left="2"/>
        <w:spacing w:after="0"/>
        <w:rPr>
          <w:sz w:val="20"/>
          <w:szCs w:val="20"/>
          <w:color w:val="auto"/>
        </w:rPr>
      </w:pPr>
      <w:r>
        <w:rPr>
          <w:rFonts w:ascii="Arial" w:cs="Arial" w:eastAsia="Arial" w:hAnsi="Arial"/>
          <w:sz w:val="14"/>
          <w:szCs w:val="14"/>
          <w:color w:val="auto"/>
        </w:rPr>
        <w:t>The Hershey Company, an industry-leading snacks company</w:t>
      </w:r>
    </w:p>
    <w:p>
      <w:pPr>
        <w:spacing w:after="0" w:line="15" w:lineRule="exact"/>
        <w:rPr>
          <w:sz w:val="20"/>
          <w:szCs w:val="20"/>
          <w:color w:val="auto"/>
        </w:rPr>
      </w:pPr>
    </w:p>
    <w:p>
      <w:pPr>
        <w:ind w:left="182" w:hanging="182"/>
        <w:spacing w:after="0"/>
        <w:tabs>
          <w:tab w:leader="none" w:pos="182" w:val="left"/>
        </w:tabs>
        <w:numPr>
          <w:ilvl w:val="0"/>
          <w:numId w:val="49"/>
        </w:numPr>
        <w:rPr>
          <w:rFonts w:ascii="Arial" w:cs="Arial" w:eastAsia="Arial" w:hAnsi="Arial"/>
          <w:sz w:val="14"/>
          <w:szCs w:val="14"/>
          <w:b w:val="1"/>
          <w:bCs w:val="1"/>
          <w:color w:val="auto"/>
        </w:rPr>
      </w:pPr>
      <w:r>
        <w:rPr>
          <w:rFonts w:ascii="Arial" w:cs="Arial" w:eastAsia="Arial" w:hAnsi="Arial"/>
          <w:sz w:val="14"/>
          <w:szCs w:val="14"/>
          <w:color w:val="auto"/>
        </w:rPr>
        <w:t>Special Advisor (since 2025)</w:t>
      </w:r>
    </w:p>
    <w:p>
      <w:pPr>
        <w:spacing w:after="0" w:line="34" w:lineRule="exact"/>
        <w:rPr>
          <w:rFonts w:ascii="Arial" w:cs="Arial" w:eastAsia="Arial" w:hAnsi="Arial"/>
          <w:sz w:val="14"/>
          <w:szCs w:val="14"/>
          <w:b w:val="1"/>
          <w:bCs w:val="1"/>
          <w:color w:val="auto"/>
        </w:rPr>
      </w:pPr>
    </w:p>
    <w:p>
      <w:pPr>
        <w:ind w:left="182" w:hanging="182"/>
        <w:spacing w:after="0"/>
        <w:tabs>
          <w:tab w:leader="none" w:pos="182" w:val="left"/>
        </w:tabs>
        <w:numPr>
          <w:ilvl w:val="0"/>
          <w:numId w:val="49"/>
        </w:numPr>
        <w:rPr>
          <w:rFonts w:ascii="Arial" w:cs="Arial" w:eastAsia="Arial" w:hAnsi="Arial"/>
          <w:sz w:val="14"/>
          <w:szCs w:val="14"/>
          <w:b w:val="1"/>
          <w:bCs w:val="1"/>
          <w:color w:val="auto"/>
        </w:rPr>
      </w:pPr>
      <w:r>
        <w:rPr>
          <w:rFonts w:ascii="Arial" w:cs="Arial" w:eastAsia="Arial" w:hAnsi="Arial"/>
          <w:sz w:val="14"/>
          <w:szCs w:val="14"/>
          <w:color w:val="auto"/>
        </w:rPr>
        <w:t>Chairman of the Board (2019-2025)</w:t>
      </w:r>
    </w:p>
    <w:p>
      <w:pPr>
        <w:spacing w:after="0" w:line="21" w:lineRule="exact"/>
        <w:rPr>
          <w:rFonts w:ascii="Arial" w:cs="Arial" w:eastAsia="Arial" w:hAnsi="Arial"/>
          <w:sz w:val="14"/>
          <w:szCs w:val="14"/>
          <w:b w:val="1"/>
          <w:bCs w:val="1"/>
          <w:color w:val="auto"/>
        </w:rPr>
      </w:pPr>
    </w:p>
    <w:p>
      <w:pPr>
        <w:ind w:left="182" w:hanging="182"/>
        <w:spacing w:after="0"/>
        <w:tabs>
          <w:tab w:leader="none" w:pos="182" w:val="left"/>
        </w:tabs>
        <w:numPr>
          <w:ilvl w:val="0"/>
          <w:numId w:val="49"/>
        </w:numPr>
        <w:rPr>
          <w:rFonts w:ascii="Arial" w:cs="Arial" w:eastAsia="Arial" w:hAnsi="Arial"/>
          <w:sz w:val="14"/>
          <w:szCs w:val="14"/>
          <w:b w:val="1"/>
          <w:bCs w:val="1"/>
          <w:color w:val="auto"/>
        </w:rPr>
      </w:pPr>
      <w:r>
        <w:rPr>
          <w:rFonts w:ascii="Arial" w:cs="Arial" w:eastAsia="Arial" w:hAnsi="Arial"/>
          <w:sz w:val="14"/>
          <w:szCs w:val="14"/>
          <w:color w:val="auto"/>
        </w:rPr>
        <w:t>President and Chief Executive Officer (2017-2025)</w:t>
      </w:r>
    </w:p>
    <w:p>
      <w:pPr>
        <w:spacing w:after="0" w:line="14" w:lineRule="exact"/>
        <w:rPr>
          <w:rFonts w:ascii="Arial" w:cs="Arial" w:eastAsia="Arial" w:hAnsi="Arial"/>
          <w:sz w:val="14"/>
          <w:szCs w:val="14"/>
          <w:b w:val="1"/>
          <w:bCs w:val="1"/>
          <w:color w:val="auto"/>
        </w:rPr>
      </w:pPr>
    </w:p>
    <w:p>
      <w:pPr>
        <w:ind w:left="182" w:hanging="182"/>
        <w:spacing w:after="0"/>
        <w:tabs>
          <w:tab w:leader="none" w:pos="182" w:val="left"/>
        </w:tabs>
        <w:numPr>
          <w:ilvl w:val="0"/>
          <w:numId w:val="49"/>
        </w:numPr>
        <w:rPr>
          <w:rFonts w:ascii="Arial" w:cs="Arial" w:eastAsia="Arial" w:hAnsi="Arial"/>
          <w:sz w:val="14"/>
          <w:szCs w:val="14"/>
          <w:b w:val="1"/>
          <w:bCs w:val="1"/>
          <w:color w:val="auto"/>
        </w:rPr>
      </w:pPr>
      <w:r>
        <w:rPr>
          <w:rFonts w:ascii="Arial" w:cs="Arial" w:eastAsia="Arial" w:hAnsi="Arial"/>
          <w:sz w:val="14"/>
          <w:szCs w:val="14"/>
          <w:color w:val="auto"/>
        </w:rPr>
        <w:t>Executive Vice President, Chief Operating Officer (2016–</w:t>
      </w:r>
    </w:p>
    <w:p>
      <w:pPr>
        <w:spacing w:after="0" w:line="21" w:lineRule="exact"/>
        <w:rPr>
          <w:sz w:val="20"/>
          <w:szCs w:val="20"/>
          <w:color w:val="auto"/>
        </w:rPr>
      </w:pPr>
    </w:p>
    <w:p>
      <w:pPr>
        <w:ind w:left="202"/>
        <w:spacing w:after="0"/>
        <w:rPr>
          <w:sz w:val="20"/>
          <w:szCs w:val="20"/>
          <w:color w:val="auto"/>
        </w:rPr>
      </w:pPr>
      <w:r>
        <w:rPr>
          <w:rFonts w:ascii="Arial" w:cs="Arial" w:eastAsia="Arial" w:hAnsi="Arial"/>
          <w:sz w:val="14"/>
          <w:szCs w:val="14"/>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988060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167" w:hanging="167"/>
        <w:spacing w:after="0"/>
        <w:tabs>
          <w:tab w:leader="none" w:pos="167" w:val="left"/>
        </w:tabs>
        <w:numPr>
          <w:ilvl w:val="0"/>
          <w:numId w:val="50"/>
        </w:numPr>
        <w:rPr>
          <w:rFonts w:ascii="Arial" w:cs="Arial" w:eastAsia="Arial" w:hAnsi="Arial"/>
          <w:sz w:val="14"/>
          <w:szCs w:val="14"/>
          <w:b w:val="1"/>
          <w:bCs w:val="1"/>
          <w:color w:val="auto"/>
        </w:rPr>
      </w:pPr>
      <w:r>
        <w:rPr>
          <w:rFonts w:ascii="Arial" w:cs="Arial" w:eastAsia="Arial" w:hAnsi="Arial"/>
          <w:sz w:val="14"/>
          <w:szCs w:val="14"/>
          <w:color w:val="auto"/>
        </w:rPr>
        <w:t>President, North America (2013-2016)</w:t>
      </w:r>
    </w:p>
    <w:p>
      <w:pPr>
        <w:spacing w:after="0" w:line="35" w:lineRule="exact"/>
        <w:rPr>
          <w:rFonts w:ascii="Arial" w:cs="Arial" w:eastAsia="Arial" w:hAnsi="Arial"/>
          <w:sz w:val="14"/>
          <w:szCs w:val="14"/>
          <w:b w:val="1"/>
          <w:bCs w:val="1"/>
          <w:color w:val="auto"/>
        </w:rPr>
      </w:pPr>
    </w:p>
    <w:p>
      <w:pPr>
        <w:ind w:left="187" w:right="320" w:hanging="187"/>
        <w:spacing w:after="0" w:line="266" w:lineRule="auto"/>
        <w:tabs>
          <w:tab w:leader="none" w:pos="164" w:val="left"/>
        </w:tabs>
        <w:numPr>
          <w:ilvl w:val="0"/>
          <w:numId w:val="50"/>
        </w:numPr>
        <w:rPr>
          <w:rFonts w:ascii="Arial" w:cs="Arial" w:eastAsia="Arial" w:hAnsi="Arial"/>
          <w:sz w:val="14"/>
          <w:szCs w:val="14"/>
          <w:b w:val="1"/>
          <w:bCs w:val="1"/>
          <w:color w:val="auto"/>
        </w:rPr>
      </w:pPr>
      <w:r>
        <w:rPr>
          <w:rFonts w:ascii="Arial" w:cs="Arial" w:eastAsia="Arial" w:hAnsi="Arial"/>
          <w:sz w:val="14"/>
          <w:szCs w:val="14"/>
          <w:color w:val="auto"/>
        </w:rPr>
        <w:t>Senior Vice President, Global Chief Growth Officer (2011-2013)</w:t>
      </w:r>
    </w:p>
    <w:p>
      <w:pPr>
        <w:ind w:left="187" w:right="140" w:hanging="187"/>
        <w:spacing w:after="0" w:line="304" w:lineRule="auto"/>
        <w:tabs>
          <w:tab w:leader="none" w:pos="164" w:val="left"/>
        </w:tabs>
        <w:numPr>
          <w:ilvl w:val="0"/>
          <w:numId w:val="50"/>
        </w:numPr>
        <w:rPr>
          <w:rFonts w:ascii="Arial" w:cs="Arial" w:eastAsia="Arial" w:hAnsi="Arial"/>
          <w:sz w:val="14"/>
          <w:szCs w:val="14"/>
          <w:b w:val="1"/>
          <w:bCs w:val="1"/>
          <w:color w:val="auto"/>
        </w:rPr>
      </w:pPr>
      <w:r>
        <w:rPr>
          <w:rFonts w:ascii="Arial" w:cs="Arial" w:eastAsia="Arial" w:hAnsi="Arial"/>
          <w:sz w:val="14"/>
          <w:szCs w:val="14"/>
          <w:color w:val="auto"/>
        </w:rPr>
        <w:t>Senior Vice President, Global Chief Marketing Officer (2005-2011)</w:t>
      </w:r>
    </w:p>
    <w:p>
      <w:pPr>
        <w:spacing w:after="0" w:line="51"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Education</w:t>
      </w:r>
    </w:p>
    <w:p>
      <w:pPr>
        <w:spacing w:after="0" w:line="29" w:lineRule="exact"/>
        <w:rPr>
          <w:sz w:val="20"/>
          <w:szCs w:val="20"/>
          <w:color w:val="auto"/>
        </w:rPr>
      </w:pPr>
    </w:p>
    <w:p>
      <w:pPr>
        <w:ind w:left="167" w:hanging="167"/>
        <w:spacing w:after="0"/>
        <w:tabs>
          <w:tab w:leader="none" w:pos="167" w:val="left"/>
        </w:tabs>
        <w:numPr>
          <w:ilvl w:val="0"/>
          <w:numId w:val="51"/>
        </w:numPr>
        <w:rPr>
          <w:rFonts w:ascii="Arial" w:cs="Arial" w:eastAsia="Arial" w:hAnsi="Arial"/>
          <w:sz w:val="14"/>
          <w:szCs w:val="14"/>
          <w:b w:val="1"/>
          <w:bCs w:val="1"/>
          <w:color w:val="auto"/>
        </w:rPr>
      </w:pPr>
      <w:r>
        <w:rPr>
          <w:rFonts w:ascii="Arial" w:cs="Arial" w:eastAsia="Arial" w:hAnsi="Arial"/>
          <w:sz w:val="14"/>
          <w:szCs w:val="14"/>
          <w:color w:val="auto"/>
        </w:rPr>
        <w:t>Graduate of Shippensburg University</w:t>
      </w:r>
    </w:p>
    <w:p>
      <w:pPr>
        <w:spacing w:after="0" w:line="21" w:lineRule="exact"/>
        <w:rPr>
          <w:rFonts w:ascii="Arial" w:cs="Arial" w:eastAsia="Arial" w:hAnsi="Arial"/>
          <w:sz w:val="14"/>
          <w:szCs w:val="14"/>
          <w:b w:val="1"/>
          <w:bCs w:val="1"/>
          <w:color w:val="auto"/>
        </w:rPr>
      </w:pPr>
    </w:p>
    <w:p>
      <w:pPr>
        <w:ind w:left="167" w:hanging="167"/>
        <w:spacing w:after="0"/>
        <w:tabs>
          <w:tab w:leader="none" w:pos="167" w:val="left"/>
        </w:tabs>
        <w:numPr>
          <w:ilvl w:val="0"/>
          <w:numId w:val="51"/>
        </w:numPr>
        <w:rPr>
          <w:rFonts w:ascii="Arial" w:cs="Arial" w:eastAsia="Arial" w:hAnsi="Arial"/>
          <w:sz w:val="14"/>
          <w:szCs w:val="14"/>
          <w:b w:val="1"/>
          <w:bCs w:val="1"/>
          <w:color w:val="auto"/>
        </w:rPr>
      </w:pPr>
      <w:r>
        <w:rPr>
          <w:rFonts w:ascii="Arial" w:cs="Arial" w:eastAsia="Arial" w:hAnsi="Arial"/>
          <w:sz w:val="14"/>
          <w:szCs w:val="14"/>
          <w:color w:val="auto"/>
        </w:rPr>
        <w:t>M.B.A., University of North Carolina at Chapel Hill</w:t>
      </w:r>
    </w:p>
    <w:p>
      <w:pPr>
        <w:spacing w:after="0" w:line="115" w:lineRule="exact"/>
        <w:rPr>
          <w:sz w:val="20"/>
          <w:szCs w:val="20"/>
          <w:color w:val="auto"/>
        </w:rPr>
      </w:pPr>
    </w:p>
    <w:p>
      <w:pPr>
        <w:ind w:left="7" w:right="100"/>
        <w:spacing w:after="0" w:line="281" w:lineRule="auto"/>
        <w:rPr>
          <w:sz w:val="20"/>
          <w:szCs w:val="20"/>
          <w:color w:val="auto"/>
        </w:rPr>
      </w:pPr>
      <w:r>
        <w:rPr>
          <w:rFonts w:ascii="Arial" w:cs="Arial" w:eastAsia="Arial" w:hAnsi="Arial"/>
          <w:sz w:val="14"/>
          <w:szCs w:val="14"/>
          <w:b w:val="1"/>
          <w:bCs w:val="1"/>
          <w:color w:val="8F5A39"/>
        </w:rPr>
        <w:t>Other U.S.-Listed Public Company Directorships Within the Past Five Years</w:t>
      </w:r>
    </w:p>
    <w:p>
      <w:pPr>
        <w:spacing w:after="0" w:line="1" w:lineRule="exact"/>
        <w:rPr>
          <w:sz w:val="20"/>
          <w:szCs w:val="20"/>
          <w:color w:val="auto"/>
        </w:rPr>
      </w:pPr>
    </w:p>
    <w:p>
      <w:pPr>
        <w:ind w:left="167" w:hanging="167"/>
        <w:spacing w:after="0"/>
        <w:tabs>
          <w:tab w:leader="none" w:pos="167" w:val="left"/>
        </w:tabs>
        <w:numPr>
          <w:ilvl w:val="0"/>
          <w:numId w:val="52"/>
        </w:numPr>
        <w:rPr>
          <w:rFonts w:ascii="Arial" w:cs="Arial" w:eastAsia="Arial" w:hAnsi="Arial"/>
          <w:sz w:val="14"/>
          <w:szCs w:val="14"/>
          <w:b w:val="1"/>
          <w:bCs w:val="1"/>
          <w:color w:val="auto"/>
        </w:rPr>
      </w:pPr>
      <w:r>
        <w:rPr>
          <w:rFonts w:ascii="Arial" w:cs="Arial" w:eastAsia="Arial" w:hAnsi="Arial"/>
          <w:sz w:val="14"/>
          <w:szCs w:val="14"/>
          <w:color w:val="auto"/>
        </w:rPr>
        <w:t>The Hershey Company (2017-2025)</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Other Experience</w:t>
      </w:r>
    </w:p>
    <w:p>
      <w:pPr>
        <w:spacing w:after="0" w:line="35" w:lineRule="exact"/>
        <w:rPr>
          <w:sz w:val="20"/>
          <w:szCs w:val="20"/>
          <w:color w:val="auto"/>
        </w:rPr>
      </w:pPr>
    </w:p>
    <w:p>
      <w:pPr>
        <w:ind w:left="167" w:hanging="167"/>
        <w:spacing w:after="0"/>
        <w:tabs>
          <w:tab w:leader="none" w:pos="167" w:val="left"/>
        </w:tabs>
        <w:numPr>
          <w:ilvl w:val="0"/>
          <w:numId w:val="53"/>
        </w:numPr>
        <w:rPr>
          <w:rFonts w:ascii="Arial" w:cs="Arial" w:eastAsia="Arial" w:hAnsi="Arial"/>
          <w:sz w:val="14"/>
          <w:szCs w:val="14"/>
          <w:b w:val="1"/>
          <w:bCs w:val="1"/>
          <w:color w:val="auto"/>
        </w:rPr>
      </w:pPr>
      <w:r>
        <w:rPr>
          <w:rFonts w:ascii="Arial" w:cs="Arial" w:eastAsia="Arial" w:hAnsi="Arial"/>
          <w:sz w:val="14"/>
          <w:szCs w:val="14"/>
          <w:color w:val="auto"/>
        </w:rPr>
        <w:t>Member, The Business Council</w:t>
      </w:r>
    </w:p>
    <w:p>
      <w:pPr>
        <w:spacing w:after="0" w:line="28" w:lineRule="exact"/>
        <w:rPr>
          <w:rFonts w:ascii="Arial" w:cs="Arial" w:eastAsia="Arial" w:hAnsi="Arial"/>
          <w:sz w:val="14"/>
          <w:szCs w:val="14"/>
          <w:b w:val="1"/>
          <w:bCs w:val="1"/>
          <w:color w:val="auto"/>
        </w:rPr>
      </w:pPr>
    </w:p>
    <w:p>
      <w:pPr>
        <w:ind w:left="167" w:hanging="167"/>
        <w:spacing w:after="0"/>
        <w:tabs>
          <w:tab w:leader="none" w:pos="167" w:val="left"/>
        </w:tabs>
        <w:numPr>
          <w:ilvl w:val="0"/>
          <w:numId w:val="53"/>
        </w:numPr>
        <w:rPr>
          <w:rFonts w:ascii="Arial" w:cs="Arial" w:eastAsia="Arial" w:hAnsi="Arial"/>
          <w:sz w:val="14"/>
          <w:szCs w:val="14"/>
          <w:b w:val="1"/>
          <w:bCs w:val="1"/>
          <w:color w:val="auto"/>
        </w:rPr>
      </w:pPr>
      <w:r>
        <w:rPr>
          <w:rFonts w:ascii="Arial" w:cs="Arial" w:eastAsia="Arial" w:hAnsi="Arial"/>
          <w:sz w:val="14"/>
          <w:szCs w:val="14"/>
          <w:color w:val="auto"/>
        </w:rPr>
        <w:t>Member, American Society of Corporate Executives</w:t>
      </w:r>
    </w:p>
    <w:p>
      <w:pPr>
        <w:spacing w:after="0" w:line="34" w:lineRule="exact"/>
        <w:rPr>
          <w:rFonts w:ascii="Arial" w:cs="Arial" w:eastAsia="Arial" w:hAnsi="Arial"/>
          <w:sz w:val="14"/>
          <w:szCs w:val="14"/>
          <w:b w:val="1"/>
          <w:bCs w:val="1"/>
          <w:color w:val="auto"/>
        </w:rPr>
      </w:pPr>
    </w:p>
    <w:p>
      <w:pPr>
        <w:ind w:left="167" w:hanging="167"/>
        <w:spacing w:after="0"/>
        <w:tabs>
          <w:tab w:leader="none" w:pos="167" w:val="left"/>
        </w:tabs>
        <w:numPr>
          <w:ilvl w:val="0"/>
          <w:numId w:val="53"/>
        </w:numPr>
        <w:rPr>
          <w:rFonts w:ascii="Arial" w:cs="Arial" w:eastAsia="Arial" w:hAnsi="Arial"/>
          <w:sz w:val="14"/>
          <w:szCs w:val="14"/>
          <w:b w:val="1"/>
          <w:bCs w:val="1"/>
          <w:color w:val="auto"/>
        </w:rPr>
      </w:pPr>
      <w:r>
        <w:rPr>
          <w:rFonts w:ascii="Arial" w:cs="Arial" w:eastAsia="Arial" w:hAnsi="Arial"/>
          <w:sz w:val="14"/>
          <w:szCs w:val="14"/>
          <w:color w:val="auto"/>
        </w:rPr>
        <w:t>Former Board Member, New York Life Insurance Company</w:t>
      </w:r>
    </w:p>
    <w:p>
      <w:pPr>
        <w:spacing w:after="0" w:line="35" w:lineRule="exact"/>
        <w:rPr>
          <w:rFonts w:ascii="Arial" w:cs="Arial" w:eastAsia="Arial" w:hAnsi="Arial"/>
          <w:sz w:val="14"/>
          <w:szCs w:val="14"/>
          <w:b w:val="1"/>
          <w:bCs w:val="1"/>
          <w:color w:val="auto"/>
        </w:rPr>
      </w:pPr>
    </w:p>
    <w:p>
      <w:pPr>
        <w:ind w:left="167" w:hanging="167"/>
        <w:spacing w:after="0"/>
        <w:tabs>
          <w:tab w:leader="none" w:pos="167" w:val="left"/>
        </w:tabs>
        <w:numPr>
          <w:ilvl w:val="0"/>
          <w:numId w:val="53"/>
        </w:numPr>
        <w:rPr>
          <w:rFonts w:ascii="Arial" w:cs="Arial" w:eastAsia="Arial" w:hAnsi="Arial"/>
          <w:sz w:val="14"/>
          <w:szCs w:val="14"/>
          <w:b w:val="1"/>
          <w:bCs w:val="1"/>
          <w:color w:val="auto"/>
        </w:rPr>
      </w:pPr>
      <w:r>
        <w:rPr>
          <w:rFonts w:ascii="Arial" w:cs="Arial" w:eastAsia="Arial" w:hAnsi="Arial"/>
          <w:sz w:val="14"/>
          <w:szCs w:val="14"/>
          <w:color w:val="auto"/>
        </w:rPr>
        <w:t>Past Benefit Co-Chair, Children's Brain Tumor Foundation</w:t>
      </w:r>
    </w:p>
    <w:p>
      <w:pPr>
        <w:spacing w:after="0" w:line="1921" w:lineRule="exact"/>
        <w:rPr>
          <w:sz w:val="20"/>
          <w:szCs w:val="20"/>
          <w:color w:val="auto"/>
        </w:rPr>
      </w:pPr>
    </w:p>
    <w:p>
      <w:pPr>
        <w:sectPr>
          <w:pgSz w:w="11900" w:h="16838" w:orient="portrait"/>
          <w:cols w:equalWidth="0" w:num="3">
            <w:col w:w="2240" w:space="418"/>
            <w:col w:w="4042" w:space="373"/>
            <w:col w:w="4147"/>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Alicia Boler Davis</w:t>
      </w:r>
    </w:p>
    <w:p>
      <w:pPr>
        <w:spacing w:after="0" w:line="374" w:lineRule="exact"/>
        <w:rPr>
          <w:sz w:val="20"/>
          <w:szCs w:val="20"/>
          <w:color w:val="auto"/>
        </w:rPr>
      </w:pPr>
    </w:p>
    <w:p>
      <w:pPr>
        <w:ind w:left="140"/>
        <w:spacing w:after="0" w:line="345" w:lineRule="auto"/>
        <w:rPr>
          <w:sz w:val="20"/>
          <w:szCs w:val="20"/>
          <w:color w:val="auto"/>
        </w:rPr>
      </w:pPr>
      <w:r>
        <w:rPr>
          <w:rFonts w:ascii="Arial" w:cs="Arial" w:eastAsia="Arial" w:hAnsi="Arial"/>
          <w:sz w:val="14"/>
          <w:szCs w:val="14"/>
          <w:color w:val="auto"/>
        </w:rPr>
        <w:t>President of Ford Pro, Ford Motor Company</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57</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2023</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Committees:</w:t>
      </w:r>
    </w:p>
    <w:p>
      <w:pPr>
        <w:spacing w:after="0" w:line="35" w:lineRule="exact"/>
        <w:rPr>
          <w:sz w:val="20"/>
          <w:szCs w:val="20"/>
          <w:color w:val="auto"/>
        </w:rPr>
      </w:pPr>
    </w:p>
    <w:p>
      <w:pPr>
        <w:ind w:left="140" w:right="100"/>
        <w:spacing w:after="0" w:line="314" w:lineRule="auto"/>
        <w:rPr>
          <w:sz w:val="20"/>
          <w:szCs w:val="20"/>
          <w:color w:val="auto"/>
        </w:rPr>
      </w:pPr>
      <w:r>
        <w:rPr>
          <w:rFonts w:ascii="Arial" w:cs="Arial" w:eastAsia="Arial" w:hAnsi="Arial"/>
          <w:sz w:val="14"/>
          <w:szCs w:val="14"/>
          <w:color w:val="auto"/>
        </w:rPr>
        <w:t>Public Responsibility Committee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814070</wp:posOffset>
            </wp:positionV>
            <wp:extent cx="651510" cy="857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Qualification Highlights</w:t>
      </w:r>
    </w:p>
    <w:p>
      <w:pPr>
        <w:spacing w:after="0" w:line="42" w:lineRule="exact"/>
        <w:rPr>
          <w:sz w:val="20"/>
          <w:szCs w:val="20"/>
          <w:color w:val="auto"/>
        </w:rPr>
      </w:pPr>
    </w:p>
    <w:p>
      <w:pPr>
        <w:ind w:left="202" w:right="40" w:hanging="202"/>
        <w:spacing w:after="0" w:line="282" w:lineRule="auto"/>
        <w:tabs>
          <w:tab w:leader="none" w:pos="179"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Risk Management and Controls: </w:t>
      </w:r>
      <w:r>
        <w:rPr>
          <w:rFonts w:ascii="Arial" w:cs="Arial" w:eastAsia="Arial" w:hAnsi="Arial"/>
          <w:sz w:val="14"/>
          <w:szCs w:val="14"/>
          <w:color w:val="auto"/>
        </w:rPr>
        <w:t>Expertise in risk</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and controls matters gained from experience in senior executive roles</w:t>
      </w:r>
    </w:p>
    <w:p>
      <w:pPr>
        <w:ind w:left="202" w:right="40" w:hanging="202"/>
        <w:spacing w:after="0" w:line="286" w:lineRule="auto"/>
        <w:tabs>
          <w:tab w:leader="none" w:pos="179"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Technology: </w:t>
      </w:r>
      <w:r>
        <w:rPr>
          <w:rFonts w:ascii="Arial" w:cs="Arial" w:eastAsia="Arial" w:hAnsi="Arial"/>
          <w:sz w:val="14"/>
          <w:szCs w:val="14"/>
          <w:color w:val="auto"/>
        </w:rPr>
        <w:t>Insight into the development and deployment of</w:t>
      </w:r>
      <w:r>
        <w:rPr>
          <w:rFonts w:ascii="Arial" w:cs="Arial" w:eastAsia="Arial" w:hAnsi="Arial"/>
          <w:sz w:val="14"/>
          <w:szCs w:val="14"/>
          <w:b w:val="1"/>
          <w:bCs w:val="1"/>
          <w:color w:val="auto"/>
        </w:rPr>
        <w:t xml:space="preserve"> </w:t>
      </w:r>
      <w:r>
        <w:rPr>
          <w:rFonts w:ascii="Arial" w:cs="Arial" w:eastAsia="Arial" w:hAnsi="Arial"/>
          <w:sz w:val="14"/>
          <w:szCs w:val="14"/>
          <w:color w:val="auto"/>
        </w:rPr>
        <w:t>innovative technology including through her experience leading Amazon’s worldwide network of customer service operations, and robotics and technology</w:t>
      </w:r>
    </w:p>
    <w:p>
      <w:pPr>
        <w:spacing w:after="0" w:line="2" w:lineRule="exact"/>
        <w:rPr>
          <w:rFonts w:ascii="Arial" w:cs="Arial" w:eastAsia="Arial" w:hAnsi="Arial"/>
          <w:sz w:val="14"/>
          <w:szCs w:val="14"/>
          <w:b w:val="1"/>
          <w:bCs w:val="1"/>
          <w:color w:val="auto"/>
        </w:rPr>
      </w:pPr>
    </w:p>
    <w:p>
      <w:pPr>
        <w:ind w:left="202" w:hanging="202"/>
        <w:spacing w:after="0" w:line="281" w:lineRule="auto"/>
        <w:tabs>
          <w:tab w:leader="none" w:pos="179"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Regulated Industries: </w:t>
      </w:r>
      <w:r>
        <w:rPr>
          <w:rFonts w:ascii="Arial" w:cs="Arial" w:eastAsia="Arial" w:hAnsi="Arial"/>
          <w:sz w:val="14"/>
          <w:szCs w:val="14"/>
          <w:color w:val="auto"/>
        </w:rPr>
        <w:t>Strong understanding of regulatory</w:t>
      </w:r>
      <w:r>
        <w:rPr>
          <w:rFonts w:ascii="Arial" w:cs="Arial" w:eastAsia="Arial" w:hAnsi="Arial"/>
          <w:sz w:val="14"/>
          <w:szCs w:val="14"/>
          <w:b w:val="1"/>
          <w:bCs w:val="1"/>
          <w:color w:val="auto"/>
        </w:rPr>
        <w:t xml:space="preserve"> </w:t>
      </w:r>
      <w:r>
        <w:rPr>
          <w:rFonts w:ascii="Arial" w:cs="Arial" w:eastAsia="Arial" w:hAnsi="Arial"/>
          <w:sz w:val="14"/>
          <w:szCs w:val="14"/>
          <w:color w:val="auto"/>
        </w:rPr>
        <w:t>processes and the ability to effectively navigate the regulatory landscape as President of a business in a highly regulated industry</w:t>
      </w:r>
    </w:p>
    <w:p>
      <w:pPr>
        <w:spacing w:after="0" w:line="2" w:lineRule="exact"/>
        <w:rPr>
          <w:rFonts w:ascii="Arial" w:cs="Arial" w:eastAsia="Arial" w:hAnsi="Arial"/>
          <w:sz w:val="14"/>
          <w:szCs w:val="14"/>
          <w:b w:val="1"/>
          <w:bCs w:val="1"/>
          <w:color w:val="auto"/>
        </w:rPr>
      </w:pPr>
    </w:p>
    <w:p>
      <w:pPr>
        <w:ind w:left="202" w:right="100" w:hanging="202"/>
        <w:spacing w:after="0" w:line="312" w:lineRule="auto"/>
        <w:tabs>
          <w:tab w:leader="none" w:pos="179"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International Business Operations: </w:t>
      </w:r>
      <w:r>
        <w:rPr>
          <w:rFonts w:ascii="Arial" w:cs="Arial" w:eastAsia="Arial" w:hAnsi="Arial"/>
          <w:sz w:val="14"/>
          <w:szCs w:val="14"/>
          <w:color w:val="auto"/>
        </w:rPr>
        <w:t>Wide-ranging</w:t>
      </w:r>
      <w:r>
        <w:rPr>
          <w:rFonts w:ascii="Arial" w:cs="Arial" w:eastAsia="Arial" w:hAnsi="Arial"/>
          <w:sz w:val="14"/>
          <w:szCs w:val="14"/>
          <w:b w:val="1"/>
          <w:bCs w:val="1"/>
          <w:color w:val="auto"/>
        </w:rPr>
        <w:t xml:space="preserve"> </w:t>
      </w:r>
      <w:r>
        <w:rPr>
          <w:rFonts w:ascii="Arial" w:cs="Arial" w:eastAsia="Arial" w:hAnsi="Arial"/>
          <w:sz w:val="14"/>
          <w:szCs w:val="14"/>
          <w:color w:val="auto"/>
        </w:rPr>
        <w:t>experience in overseeing businesses with global operations, customers and stakeholders</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Career Highlights</w:t>
      </w:r>
    </w:p>
    <w:p>
      <w:pPr>
        <w:spacing w:after="0" w:line="35" w:lineRule="exact"/>
        <w:rPr>
          <w:sz w:val="20"/>
          <w:szCs w:val="20"/>
          <w:color w:val="auto"/>
        </w:rPr>
      </w:pPr>
    </w:p>
    <w:p>
      <w:pPr>
        <w:ind w:left="2" w:right="80"/>
        <w:spacing w:after="0" w:line="277" w:lineRule="auto"/>
        <w:rPr>
          <w:sz w:val="20"/>
          <w:szCs w:val="20"/>
          <w:color w:val="auto"/>
        </w:rPr>
      </w:pPr>
      <w:r>
        <w:rPr>
          <w:rFonts w:ascii="Arial" w:cs="Arial" w:eastAsia="Arial" w:hAnsi="Arial"/>
          <w:sz w:val="14"/>
          <w:szCs w:val="14"/>
          <w:color w:val="auto"/>
        </w:rPr>
        <w:t>Ford Motor Company, a multinational automotive manufacturing company</w:t>
      </w:r>
    </w:p>
    <w:p>
      <w:pPr>
        <w:ind w:left="182" w:hanging="182"/>
        <w:spacing w:after="0"/>
        <w:tabs>
          <w:tab w:leader="none" w:pos="182"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President of Ford Pro (since 2025)</w:t>
      </w:r>
    </w:p>
    <w:p>
      <w:pPr>
        <w:spacing w:after="0" w:line="94" w:lineRule="exact"/>
        <w:rPr>
          <w:sz w:val="20"/>
          <w:szCs w:val="20"/>
          <w:color w:val="auto"/>
        </w:rPr>
      </w:pPr>
    </w:p>
    <w:p>
      <w:pPr>
        <w:ind w:left="2"/>
        <w:spacing w:after="0"/>
        <w:rPr>
          <w:sz w:val="20"/>
          <w:szCs w:val="20"/>
          <w:color w:val="auto"/>
        </w:rPr>
      </w:pPr>
      <w:r>
        <w:rPr>
          <w:rFonts w:ascii="Arial" w:cs="Arial" w:eastAsia="Arial" w:hAnsi="Arial"/>
          <w:sz w:val="14"/>
          <w:szCs w:val="14"/>
          <w:color w:val="auto"/>
        </w:rPr>
        <w:t>Alto Pharmacy, LLC, a digital pharmacy</w:t>
      </w:r>
    </w:p>
    <w:p>
      <w:pPr>
        <w:spacing w:after="0" w:line="29" w:lineRule="exact"/>
        <w:rPr>
          <w:sz w:val="20"/>
          <w:szCs w:val="20"/>
          <w:color w:val="auto"/>
        </w:rPr>
      </w:pPr>
    </w:p>
    <w:p>
      <w:pPr>
        <w:ind w:left="182" w:hanging="182"/>
        <w:spacing w:after="0"/>
        <w:tabs>
          <w:tab w:leader="none" w:pos="182" w:val="left"/>
        </w:tabs>
        <w:numPr>
          <w:ilvl w:val="0"/>
          <w:numId w:val="56"/>
        </w:numPr>
        <w:rPr>
          <w:rFonts w:ascii="Arial" w:cs="Arial" w:eastAsia="Arial" w:hAnsi="Arial"/>
          <w:sz w:val="14"/>
          <w:szCs w:val="14"/>
          <w:b w:val="1"/>
          <w:bCs w:val="1"/>
          <w:color w:val="auto"/>
        </w:rPr>
      </w:pPr>
      <w:r>
        <w:rPr>
          <w:rFonts w:ascii="Arial" w:cs="Arial" w:eastAsia="Arial" w:hAnsi="Arial"/>
          <w:sz w:val="14"/>
          <w:szCs w:val="14"/>
          <w:color w:val="auto"/>
        </w:rPr>
        <w:t>Chief Executive Officer (2022-2025)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
        <w:spacing w:after="0"/>
        <w:rPr>
          <w:sz w:val="20"/>
          <w:szCs w:val="20"/>
          <w:color w:val="auto"/>
        </w:rPr>
      </w:pPr>
      <w:r>
        <w:rPr>
          <w:rFonts w:ascii="Arial" w:cs="Arial" w:eastAsia="Arial" w:hAnsi="Arial"/>
          <w:sz w:val="14"/>
          <w:szCs w:val="14"/>
          <w:color w:val="auto"/>
        </w:rPr>
        <w:t>Amazon.com, Inc., a global e-commerce company</w:t>
      </w:r>
    </w:p>
    <w:p>
      <w:pPr>
        <w:spacing w:after="0" w:line="42" w:lineRule="exact"/>
        <w:rPr>
          <w:sz w:val="20"/>
          <w:szCs w:val="20"/>
          <w:color w:val="auto"/>
        </w:rPr>
      </w:pPr>
    </w:p>
    <w:p>
      <w:pPr>
        <w:ind w:left="187" w:right="280" w:hanging="187"/>
        <w:spacing w:after="0" w:line="282" w:lineRule="auto"/>
        <w:tabs>
          <w:tab w:leader="none" w:pos="164" w:val="left"/>
        </w:tabs>
        <w:numPr>
          <w:ilvl w:val="0"/>
          <w:numId w:val="57"/>
        </w:numPr>
        <w:rPr>
          <w:rFonts w:ascii="Arial" w:cs="Arial" w:eastAsia="Arial" w:hAnsi="Arial"/>
          <w:sz w:val="14"/>
          <w:szCs w:val="14"/>
          <w:b w:val="1"/>
          <w:bCs w:val="1"/>
          <w:color w:val="auto"/>
        </w:rPr>
      </w:pPr>
      <w:r>
        <w:rPr>
          <w:rFonts w:ascii="Arial" w:cs="Arial" w:eastAsia="Arial" w:hAnsi="Arial"/>
          <w:sz w:val="14"/>
          <w:szCs w:val="14"/>
          <w:color w:val="auto"/>
        </w:rPr>
        <w:t>Senior Vice President, Global Customer Fulfillment (2021-2022)</w:t>
      </w:r>
    </w:p>
    <w:p>
      <w:pPr>
        <w:ind w:left="167" w:hanging="167"/>
        <w:spacing w:after="0"/>
        <w:tabs>
          <w:tab w:leader="none" w:pos="167" w:val="left"/>
        </w:tabs>
        <w:numPr>
          <w:ilvl w:val="0"/>
          <w:numId w:val="57"/>
        </w:numPr>
        <w:rPr>
          <w:rFonts w:ascii="Arial" w:cs="Arial" w:eastAsia="Arial" w:hAnsi="Arial"/>
          <w:sz w:val="14"/>
          <w:szCs w:val="14"/>
          <w:b w:val="1"/>
          <w:bCs w:val="1"/>
          <w:color w:val="auto"/>
        </w:rPr>
      </w:pPr>
      <w:r>
        <w:rPr>
          <w:rFonts w:ascii="Arial" w:cs="Arial" w:eastAsia="Arial" w:hAnsi="Arial"/>
          <w:sz w:val="14"/>
          <w:szCs w:val="14"/>
          <w:color w:val="auto"/>
        </w:rPr>
        <w:t>Senior Team Member (2020-2022)</w:t>
      </w:r>
    </w:p>
    <w:p>
      <w:pPr>
        <w:spacing w:after="0" w:line="34" w:lineRule="exact"/>
        <w:rPr>
          <w:rFonts w:ascii="Arial" w:cs="Arial" w:eastAsia="Arial" w:hAnsi="Arial"/>
          <w:sz w:val="14"/>
          <w:szCs w:val="14"/>
          <w:b w:val="1"/>
          <w:bCs w:val="1"/>
          <w:color w:val="auto"/>
        </w:rPr>
      </w:pPr>
    </w:p>
    <w:p>
      <w:pPr>
        <w:ind w:left="167" w:hanging="167"/>
        <w:spacing w:after="0"/>
        <w:tabs>
          <w:tab w:leader="none" w:pos="167" w:val="left"/>
        </w:tabs>
        <w:numPr>
          <w:ilvl w:val="0"/>
          <w:numId w:val="57"/>
        </w:numPr>
        <w:rPr>
          <w:rFonts w:ascii="Arial" w:cs="Arial" w:eastAsia="Arial" w:hAnsi="Arial"/>
          <w:sz w:val="14"/>
          <w:szCs w:val="14"/>
          <w:b w:val="1"/>
          <w:bCs w:val="1"/>
          <w:color w:val="auto"/>
        </w:rPr>
      </w:pPr>
      <w:r>
        <w:rPr>
          <w:rFonts w:ascii="Arial" w:cs="Arial" w:eastAsia="Arial" w:hAnsi="Arial"/>
          <w:sz w:val="14"/>
          <w:szCs w:val="14"/>
          <w:color w:val="auto"/>
        </w:rPr>
        <w:t>Vice President, Global Customer Fulfillment (2019-2021)</w:t>
      </w:r>
    </w:p>
    <w:p>
      <w:pPr>
        <w:spacing w:after="0" w:line="75" w:lineRule="exact"/>
        <w:rPr>
          <w:sz w:val="20"/>
          <w:szCs w:val="20"/>
          <w:color w:val="auto"/>
        </w:rPr>
      </w:pPr>
    </w:p>
    <w:p>
      <w:pPr>
        <w:ind w:left="7" w:right="480"/>
        <w:spacing w:after="0" w:line="291" w:lineRule="auto"/>
        <w:rPr>
          <w:sz w:val="20"/>
          <w:szCs w:val="20"/>
          <w:color w:val="auto"/>
        </w:rPr>
      </w:pPr>
      <w:r>
        <w:rPr>
          <w:rFonts w:ascii="Arial" w:cs="Arial" w:eastAsia="Arial" w:hAnsi="Arial"/>
          <w:sz w:val="14"/>
          <w:szCs w:val="14"/>
          <w:color w:val="auto"/>
        </w:rPr>
        <w:t>The General Motors Company, a multinational automotive manufacturing company</w:t>
      </w:r>
    </w:p>
    <w:p>
      <w:pPr>
        <w:spacing w:after="0" w:line="1" w:lineRule="exact"/>
        <w:rPr>
          <w:sz w:val="20"/>
          <w:szCs w:val="20"/>
          <w:color w:val="auto"/>
        </w:rPr>
      </w:pPr>
    </w:p>
    <w:p>
      <w:pPr>
        <w:ind w:left="187" w:right="260" w:hanging="187"/>
        <w:spacing w:after="0" w:line="325" w:lineRule="auto"/>
        <w:tabs>
          <w:tab w:leader="none" w:pos="164" w:val="left"/>
        </w:tabs>
        <w:numPr>
          <w:ilvl w:val="0"/>
          <w:numId w:val="58"/>
        </w:numPr>
        <w:rPr>
          <w:rFonts w:ascii="Arial" w:cs="Arial" w:eastAsia="Arial" w:hAnsi="Arial"/>
          <w:sz w:val="14"/>
          <w:szCs w:val="14"/>
          <w:b w:val="1"/>
          <w:bCs w:val="1"/>
          <w:color w:val="auto"/>
        </w:rPr>
      </w:pPr>
      <w:r>
        <w:rPr>
          <w:rFonts w:ascii="Arial" w:cs="Arial" w:eastAsia="Arial" w:hAnsi="Arial"/>
          <w:sz w:val="14"/>
          <w:szCs w:val="14"/>
          <w:color w:val="auto"/>
        </w:rPr>
        <w:t>Executive Vice President, Global Manufacturing and Labor Relations (2016-2019)</w:t>
      </w:r>
    </w:p>
    <w:p>
      <w:pPr>
        <w:spacing w:after="0" w:line="50"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Education</w:t>
      </w:r>
    </w:p>
    <w:p>
      <w:pPr>
        <w:spacing w:after="0" w:line="35" w:lineRule="exact"/>
        <w:rPr>
          <w:sz w:val="20"/>
          <w:szCs w:val="20"/>
          <w:color w:val="auto"/>
        </w:rPr>
      </w:pPr>
    </w:p>
    <w:p>
      <w:pPr>
        <w:ind w:left="167" w:hanging="167"/>
        <w:spacing w:after="0"/>
        <w:tabs>
          <w:tab w:leader="none" w:pos="167"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Graduate of Northwestern University</w:t>
      </w:r>
    </w:p>
    <w:p>
      <w:pPr>
        <w:spacing w:after="0" w:line="28" w:lineRule="exact"/>
        <w:rPr>
          <w:rFonts w:ascii="Arial" w:cs="Arial" w:eastAsia="Arial" w:hAnsi="Arial"/>
          <w:sz w:val="14"/>
          <w:szCs w:val="14"/>
          <w:b w:val="1"/>
          <w:bCs w:val="1"/>
          <w:color w:val="auto"/>
        </w:rPr>
      </w:pPr>
    </w:p>
    <w:p>
      <w:pPr>
        <w:ind w:left="187" w:right="440" w:hanging="187"/>
        <w:spacing w:after="0" w:line="286" w:lineRule="auto"/>
        <w:tabs>
          <w:tab w:leader="none" w:pos="164"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Master of Science and Honorary Doctor of Engineering, Rensselaer Polytechnic Institute</w:t>
      </w:r>
    </w:p>
    <w:p>
      <w:pPr>
        <w:ind w:left="167" w:hanging="167"/>
        <w:spacing w:after="0"/>
        <w:tabs>
          <w:tab w:leader="none" w:pos="167"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M.B.A., Indiana University</w:t>
      </w:r>
    </w:p>
    <w:p>
      <w:pPr>
        <w:spacing w:after="0" w:line="136"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b w:val="1"/>
          <w:bCs w:val="1"/>
          <w:color w:val="8F5A39"/>
        </w:rPr>
        <w:t>Other U.S.-Listed Public Company Directorships Within the Past Five Years</w:t>
      </w:r>
    </w:p>
    <w:p>
      <w:pPr>
        <w:ind w:left="167" w:hanging="167"/>
        <w:spacing w:after="0"/>
        <w:tabs>
          <w:tab w:leader="none" w:pos="167" w:val="left"/>
        </w:tabs>
        <w:numPr>
          <w:ilvl w:val="0"/>
          <w:numId w:val="60"/>
        </w:numPr>
        <w:rPr>
          <w:rFonts w:ascii="Arial" w:cs="Arial" w:eastAsia="Arial" w:hAnsi="Arial"/>
          <w:sz w:val="14"/>
          <w:szCs w:val="14"/>
          <w:b w:val="1"/>
          <w:bCs w:val="1"/>
          <w:color w:val="auto"/>
        </w:rPr>
      </w:pPr>
      <w:r>
        <w:rPr>
          <w:rFonts w:ascii="Arial" w:cs="Arial" w:eastAsia="Arial" w:hAnsi="Arial"/>
          <w:sz w:val="14"/>
          <w:szCs w:val="14"/>
          <w:color w:val="auto"/>
        </w:rPr>
        <w:t>None</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Other Experience</w:t>
      </w:r>
    </w:p>
    <w:p>
      <w:pPr>
        <w:spacing w:after="0" w:line="35" w:lineRule="exact"/>
        <w:rPr>
          <w:sz w:val="20"/>
          <w:szCs w:val="20"/>
          <w:color w:val="auto"/>
        </w:rPr>
      </w:pPr>
    </w:p>
    <w:p>
      <w:pPr>
        <w:ind w:left="167" w:hanging="167"/>
        <w:spacing w:after="0"/>
        <w:tabs>
          <w:tab w:leader="none" w:pos="167"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Trustee, Northwestern University</w:t>
      </w:r>
    </w:p>
    <w:p>
      <w:pPr>
        <w:spacing w:after="0" w:line="34" w:lineRule="exact"/>
        <w:rPr>
          <w:rFonts w:ascii="Arial" w:cs="Arial" w:eastAsia="Arial" w:hAnsi="Arial"/>
          <w:sz w:val="14"/>
          <w:szCs w:val="14"/>
          <w:b w:val="1"/>
          <w:bCs w:val="1"/>
          <w:color w:val="auto"/>
        </w:rPr>
      </w:pPr>
    </w:p>
    <w:p>
      <w:pPr>
        <w:ind w:left="167" w:hanging="167"/>
        <w:spacing w:after="0"/>
        <w:tabs>
          <w:tab w:leader="none" w:pos="167"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Former Board Member, General Mills, Inc.</w:t>
      </w:r>
    </w:p>
    <w:p>
      <w:pPr>
        <w:spacing w:after="0" w:line="35" w:lineRule="exact"/>
        <w:rPr>
          <w:rFonts w:ascii="Arial" w:cs="Arial" w:eastAsia="Arial" w:hAnsi="Arial"/>
          <w:sz w:val="14"/>
          <w:szCs w:val="14"/>
          <w:b w:val="1"/>
          <w:bCs w:val="1"/>
          <w:color w:val="auto"/>
        </w:rPr>
      </w:pPr>
    </w:p>
    <w:p>
      <w:pPr>
        <w:ind w:left="167" w:hanging="167"/>
        <w:spacing w:after="0"/>
        <w:tabs>
          <w:tab w:leader="none" w:pos="167"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Former Board Member, Beaumont Health Systems</w:t>
      </w:r>
    </w:p>
    <w:p>
      <w:pPr>
        <w:spacing w:after="0" w:line="28" w:lineRule="exact"/>
        <w:rPr>
          <w:rFonts w:ascii="Arial" w:cs="Arial" w:eastAsia="Arial" w:hAnsi="Arial"/>
          <w:sz w:val="14"/>
          <w:szCs w:val="14"/>
          <w:b w:val="1"/>
          <w:bCs w:val="1"/>
          <w:color w:val="auto"/>
        </w:rPr>
      </w:pPr>
    </w:p>
    <w:p>
      <w:pPr>
        <w:ind w:left="167" w:hanging="167"/>
        <w:spacing w:after="0"/>
        <w:tabs>
          <w:tab w:leader="none" w:pos="167"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Former Board Member, CARE House of Oakland County</w:t>
      </w:r>
    </w:p>
    <w:p>
      <w:pPr>
        <w:spacing w:after="0" w:line="379" w:lineRule="exact"/>
        <w:rPr>
          <w:sz w:val="20"/>
          <w:szCs w:val="20"/>
          <w:color w:val="auto"/>
        </w:rPr>
      </w:pPr>
    </w:p>
    <w:p>
      <w:pPr>
        <w:sectPr>
          <w:pgSz w:w="11900" w:h="16838" w:orient="portrait"/>
          <w:cols w:equalWidth="0" w:num="3">
            <w:col w:w="2300" w:space="358"/>
            <w:col w:w="4122" w:space="293"/>
            <w:col w:w="4147"/>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12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21"/>
          <w:szCs w:val="21"/>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32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Director nominees</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2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5486400" cy="38233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86400" cy="382333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James Dimon</w:t>
      </w:r>
    </w:p>
    <w:p>
      <w:pPr>
        <w:spacing w:after="0" w:line="104" w:lineRule="exact"/>
        <w:rPr>
          <w:sz w:val="20"/>
          <w:szCs w:val="20"/>
          <w:color w:val="auto"/>
        </w:rPr>
      </w:pPr>
    </w:p>
    <w:p>
      <w:pPr>
        <w:ind w:left="140" w:right="40"/>
        <w:spacing w:after="0" w:line="305" w:lineRule="auto"/>
        <w:rPr>
          <w:sz w:val="20"/>
          <w:szCs w:val="20"/>
          <w:color w:val="auto"/>
        </w:rPr>
      </w:pPr>
      <w:r>
        <w:rPr>
          <w:rFonts w:ascii="Arial" w:cs="Arial" w:eastAsia="Arial" w:hAnsi="Arial"/>
          <w:sz w:val="14"/>
          <w:szCs w:val="14"/>
          <w:color w:val="auto"/>
        </w:rPr>
        <w:t>Chairman and Chief Executive Officer of JPMorgan Chase &amp; Co.</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70</w:t>
      </w:r>
    </w:p>
    <w:p>
      <w:pPr>
        <w:spacing w:after="0" w:line="150" w:lineRule="exact"/>
        <w:rPr>
          <w:sz w:val="20"/>
          <w:szCs w:val="20"/>
          <w:color w:val="auto"/>
        </w:rPr>
      </w:pPr>
    </w:p>
    <w:p>
      <w:pPr>
        <w:ind w:left="140"/>
        <w:spacing w:after="0" w:line="305" w:lineRule="auto"/>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2004 and</w:t>
      </w:r>
      <w:r>
        <w:rPr>
          <w:rFonts w:ascii="Arial" w:cs="Arial" w:eastAsia="Arial" w:hAnsi="Arial"/>
          <w:sz w:val="14"/>
          <w:szCs w:val="14"/>
          <w:b w:val="1"/>
          <w:bCs w:val="1"/>
          <w:color w:val="auto"/>
        </w:rPr>
        <w:t xml:space="preserve"> </w:t>
      </w:r>
      <w:r>
        <w:rPr>
          <w:rFonts w:ascii="Arial" w:cs="Arial" w:eastAsia="Arial" w:hAnsi="Arial"/>
          <w:sz w:val="14"/>
          <w:szCs w:val="14"/>
          <w:color w:val="auto"/>
        </w:rPr>
        <w:t>Chairman of the Board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1203325</wp:posOffset>
            </wp:positionV>
            <wp:extent cx="1517015" cy="33350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17015" cy="3335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Qualification Highlights</w:t>
      </w:r>
    </w:p>
    <w:p>
      <w:pPr>
        <w:spacing w:after="0" w:line="29" w:lineRule="exact"/>
        <w:rPr>
          <w:sz w:val="20"/>
          <w:szCs w:val="20"/>
          <w:color w:val="auto"/>
        </w:rPr>
      </w:pPr>
    </w:p>
    <w:p>
      <w:pPr>
        <w:ind w:left="202" w:hanging="202"/>
        <w:spacing w:after="0" w:line="258" w:lineRule="auto"/>
        <w:tabs>
          <w:tab w:leader="none" w:pos="179"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Financial Services: </w:t>
      </w:r>
      <w:r>
        <w:rPr>
          <w:rFonts w:ascii="Arial" w:cs="Arial" w:eastAsia="Arial" w:hAnsi="Arial"/>
          <w:sz w:val="14"/>
          <w:szCs w:val="14"/>
          <w:color w:val="auto"/>
        </w:rPr>
        <w:t>Experienced leader in the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services industry with deep knowledge of all aspects of the Firm’s business activities, as well as its financial position and condition, corporate governance practices, technology investments and risk management and controls, in addition to the items detailed below</w:t>
      </w:r>
    </w:p>
    <w:p>
      <w:pPr>
        <w:spacing w:after="0" w:line="1" w:lineRule="exact"/>
        <w:rPr>
          <w:rFonts w:ascii="Arial" w:cs="Arial" w:eastAsia="Arial" w:hAnsi="Arial"/>
          <w:sz w:val="14"/>
          <w:szCs w:val="14"/>
          <w:b w:val="1"/>
          <w:bCs w:val="1"/>
          <w:color w:val="auto"/>
        </w:rPr>
      </w:pPr>
    </w:p>
    <w:p>
      <w:pPr>
        <w:ind w:left="202" w:right="20" w:hanging="202"/>
        <w:spacing w:after="0" w:line="257" w:lineRule="auto"/>
        <w:tabs>
          <w:tab w:leader="none" w:pos="179"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Leadership of a Large, Complex Organization: </w:t>
      </w:r>
      <w:r>
        <w:rPr>
          <w:rFonts w:ascii="Arial" w:cs="Arial" w:eastAsia="Arial" w:hAnsi="Arial"/>
          <w:sz w:val="14"/>
          <w:szCs w:val="14"/>
          <w:color w:val="auto"/>
        </w:rPr>
        <w:t>Leadership</w:t>
      </w:r>
      <w:r>
        <w:rPr>
          <w:rFonts w:ascii="Arial" w:cs="Arial" w:eastAsia="Arial" w:hAnsi="Arial"/>
          <w:sz w:val="14"/>
          <w:szCs w:val="14"/>
          <w:b w:val="1"/>
          <w:bCs w:val="1"/>
          <w:color w:val="auto"/>
        </w:rPr>
        <w:t xml:space="preserve"> </w:t>
      </w:r>
      <w:r>
        <w:rPr>
          <w:rFonts w:ascii="Arial" w:cs="Arial" w:eastAsia="Arial" w:hAnsi="Arial"/>
          <w:sz w:val="14"/>
          <w:szCs w:val="14"/>
          <w:color w:val="auto"/>
        </w:rPr>
        <w:t>of JPMorganChase and its predecessors for more than two decades, with a track record of growth, market leadership, focus on the Firm’s clients, advancing economic growth and opportunity and empowering communities</w:t>
      </w:r>
    </w:p>
    <w:p>
      <w:pPr>
        <w:spacing w:after="0" w:line="2" w:lineRule="exact"/>
        <w:rPr>
          <w:rFonts w:ascii="Arial" w:cs="Arial" w:eastAsia="Arial" w:hAnsi="Arial"/>
          <w:sz w:val="14"/>
          <w:szCs w:val="14"/>
          <w:b w:val="1"/>
          <w:bCs w:val="1"/>
          <w:color w:val="auto"/>
        </w:rPr>
      </w:pPr>
    </w:p>
    <w:p>
      <w:pPr>
        <w:jc w:val="both"/>
        <w:ind w:left="202" w:right="120" w:hanging="202"/>
        <w:spacing w:after="0" w:line="254" w:lineRule="auto"/>
        <w:tabs>
          <w:tab w:leader="none" w:pos="179" w:val="left"/>
        </w:tabs>
        <w:numPr>
          <w:ilvl w:val="0"/>
          <w:numId w:val="62"/>
        </w:numPr>
        <w:rPr>
          <w:rFonts w:ascii="Arial" w:cs="Arial" w:eastAsia="Arial" w:hAnsi="Arial"/>
          <w:sz w:val="14"/>
          <w:szCs w:val="14"/>
          <w:b w:val="1"/>
          <w:bCs w:val="1"/>
          <w:color w:val="auto"/>
        </w:rPr>
      </w:pPr>
      <w:r>
        <w:rPr>
          <w:rFonts w:ascii="Arial" w:cs="Arial" w:eastAsia="Arial" w:hAnsi="Arial"/>
          <w:sz w:val="14"/>
          <w:szCs w:val="14"/>
          <w:color w:val="auto"/>
        </w:rPr>
        <w:t>Human Capital Management: Unique insight into all aspects of recruitment, retention and development of key talent and succession planning for senior executives</w:t>
      </w:r>
    </w:p>
    <w:p>
      <w:pPr>
        <w:spacing w:after="0" w:line="1" w:lineRule="exact"/>
        <w:rPr>
          <w:rFonts w:ascii="Arial" w:cs="Arial" w:eastAsia="Arial" w:hAnsi="Arial"/>
          <w:sz w:val="14"/>
          <w:szCs w:val="14"/>
          <w:b w:val="1"/>
          <w:bCs w:val="1"/>
          <w:color w:val="auto"/>
        </w:rPr>
      </w:pPr>
    </w:p>
    <w:p>
      <w:pPr>
        <w:jc w:val="both"/>
        <w:ind w:left="202" w:right="40" w:hanging="202"/>
        <w:spacing w:after="0" w:line="256" w:lineRule="auto"/>
        <w:tabs>
          <w:tab w:leader="none" w:pos="179"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Regulated Industries: </w:t>
      </w:r>
      <w:r>
        <w:rPr>
          <w:rFonts w:ascii="Arial" w:cs="Arial" w:eastAsia="Arial" w:hAnsi="Arial"/>
          <w:sz w:val="14"/>
          <w:szCs w:val="14"/>
          <w:color w:val="auto"/>
        </w:rPr>
        <w:t>In-depth experience in responding to</w:t>
      </w:r>
      <w:r>
        <w:rPr>
          <w:rFonts w:ascii="Arial" w:cs="Arial" w:eastAsia="Arial" w:hAnsi="Arial"/>
          <w:sz w:val="14"/>
          <w:szCs w:val="14"/>
          <w:b w:val="1"/>
          <w:bCs w:val="1"/>
          <w:color w:val="auto"/>
        </w:rPr>
        <w:t xml:space="preserve"> </w:t>
      </w:r>
      <w:r>
        <w:rPr>
          <w:rFonts w:ascii="Arial" w:cs="Arial" w:eastAsia="Arial" w:hAnsi="Arial"/>
          <w:sz w:val="14"/>
          <w:szCs w:val="14"/>
          <w:color w:val="auto"/>
        </w:rPr>
        <w:t>an evolving regulatory landscape and cultivating constructive relationships with regulators and government leaders around the world</w:t>
      </w:r>
    </w:p>
    <w:p>
      <w:pPr>
        <w:spacing w:after="0" w:line="1" w:lineRule="exact"/>
        <w:rPr>
          <w:rFonts w:ascii="Arial" w:cs="Arial" w:eastAsia="Arial" w:hAnsi="Arial"/>
          <w:sz w:val="14"/>
          <w:szCs w:val="14"/>
          <w:b w:val="1"/>
          <w:bCs w:val="1"/>
          <w:color w:val="auto"/>
        </w:rPr>
      </w:pPr>
    </w:p>
    <w:p>
      <w:pPr>
        <w:ind w:left="202" w:hanging="202"/>
        <w:spacing w:after="0" w:line="269" w:lineRule="auto"/>
        <w:tabs>
          <w:tab w:leader="none" w:pos="179"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International Business Operations: </w:t>
      </w:r>
      <w:r>
        <w:rPr>
          <w:rFonts w:ascii="Arial" w:cs="Arial" w:eastAsia="Arial" w:hAnsi="Arial"/>
          <w:sz w:val="14"/>
          <w:szCs w:val="14"/>
          <w:color w:val="auto"/>
        </w:rPr>
        <w:t>Executive management</w:t>
      </w:r>
      <w:r>
        <w:rPr>
          <w:rFonts w:ascii="Arial" w:cs="Arial" w:eastAsia="Arial" w:hAnsi="Arial"/>
          <w:sz w:val="14"/>
          <w:szCs w:val="14"/>
          <w:b w:val="1"/>
          <w:bCs w:val="1"/>
          <w:color w:val="auto"/>
        </w:rPr>
        <w:t xml:space="preserve"> </w:t>
      </w:r>
      <w:r>
        <w:rPr>
          <w:rFonts w:ascii="Arial" w:cs="Arial" w:eastAsia="Arial" w:hAnsi="Arial"/>
          <w:sz w:val="14"/>
          <w:szCs w:val="14"/>
          <w:color w:val="auto"/>
        </w:rPr>
        <w:t>of business operations that serve customers and clients in 100+ global markets and across diverse geographic, political and regulatory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1090295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Career Highlights</w:t>
      </w:r>
    </w:p>
    <w:p>
      <w:pPr>
        <w:spacing w:after="0" w:line="29" w:lineRule="exact"/>
        <w:rPr>
          <w:sz w:val="20"/>
          <w:szCs w:val="20"/>
          <w:color w:val="auto"/>
        </w:rPr>
      </w:pPr>
    </w:p>
    <w:p>
      <w:pPr>
        <w:ind w:left="7" w:right="300"/>
        <w:spacing w:after="0" w:line="261" w:lineRule="auto"/>
        <w:rPr>
          <w:sz w:val="20"/>
          <w:szCs w:val="20"/>
          <w:color w:val="auto"/>
        </w:rPr>
      </w:pPr>
      <w:r>
        <w:rPr>
          <w:rFonts w:ascii="Arial" w:cs="Arial" w:eastAsia="Arial" w:hAnsi="Arial"/>
          <w:sz w:val="14"/>
          <w:szCs w:val="14"/>
          <w:color w:val="auto"/>
        </w:rPr>
        <w:t>JPMorgan Chase &amp; Co. (merged with Bank One Corporation in 2004)</w:t>
      </w:r>
    </w:p>
    <w:p>
      <w:pPr>
        <w:spacing w:after="0" w:line="1" w:lineRule="exact"/>
        <w:rPr>
          <w:sz w:val="20"/>
          <w:szCs w:val="20"/>
          <w:color w:val="auto"/>
        </w:rPr>
      </w:pPr>
    </w:p>
    <w:p>
      <w:pPr>
        <w:ind w:left="187" w:right="440" w:hanging="187"/>
        <w:spacing w:after="0" w:line="251" w:lineRule="auto"/>
        <w:tabs>
          <w:tab w:leader="none" w:pos="164" w:val="left"/>
        </w:tabs>
        <w:numPr>
          <w:ilvl w:val="0"/>
          <w:numId w:val="63"/>
        </w:numPr>
        <w:rPr>
          <w:rFonts w:ascii="Arial" w:cs="Arial" w:eastAsia="Arial" w:hAnsi="Arial"/>
          <w:sz w:val="14"/>
          <w:szCs w:val="14"/>
          <w:b w:val="1"/>
          <w:bCs w:val="1"/>
          <w:color w:val="auto"/>
        </w:rPr>
      </w:pPr>
      <w:r>
        <w:rPr>
          <w:rFonts w:ascii="Arial" w:cs="Arial" w:eastAsia="Arial" w:hAnsi="Arial"/>
          <w:sz w:val="14"/>
          <w:szCs w:val="14"/>
          <w:color w:val="auto"/>
        </w:rPr>
        <w:t>Chairman of the Board (since 2006) and Director (since 2004); Chief Executive Officer (since 2005)</w:t>
      </w:r>
    </w:p>
    <w:p>
      <w:pPr>
        <w:ind w:left="167" w:hanging="167"/>
        <w:spacing w:after="0"/>
        <w:tabs>
          <w:tab w:leader="none" w:pos="167" w:val="left"/>
        </w:tabs>
        <w:numPr>
          <w:ilvl w:val="0"/>
          <w:numId w:val="63"/>
        </w:numPr>
        <w:rPr>
          <w:rFonts w:ascii="Arial" w:cs="Arial" w:eastAsia="Arial" w:hAnsi="Arial"/>
          <w:sz w:val="14"/>
          <w:szCs w:val="14"/>
          <w:b w:val="1"/>
          <w:bCs w:val="1"/>
          <w:color w:val="auto"/>
        </w:rPr>
      </w:pPr>
      <w:r>
        <w:rPr>
          <w:rFonts w:ascii="Arial" w:cs="Arial" w:eastAsia="Arial" w:hAnsi="Arial"/>
          <w:sz w:val="14"/>
          <w:szCs w:val="14"/>
          <w:color w:val="auto"/>
        </w:rPr>
        <w:t>President (2004-2018)</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63"/>
        </w:numPr>
        <w:rPr>
          <w:rFonts w:ascii="Arial" w:cs="Arial" w:eastAsia="Arial" w:hAnsi="Arial"/>
          <w:sz w:val="14"/>
          <w:szCs w:val="14"/>
          <w:b w:val="1"/>
          <w:bCs w:val="1"/>
          <w:color w:val="auto"/>
        </w:rPr>
      </w:pPr>
      <w:r>
        <w:rPr>
          <w:rFonts w:ascii="Arial" w:cs="Arial" w:eastAsia="Arial" w:hAnsi="Arial"/>
          <w:sz w:val="14"/>
          <w:szCs w:val="14"/>
          <w:color w:val="auto"/>
        </w:rPr>
        <w:t>Chief Operating Officer (2004-2005)</w:t>
      </w:r>
    </w:p>
    <w:p>
      <w:pPr>
        <w:spacing w:after="0" w:line="14" w:lineRule="exact"/>
        <w:rPr>
          <w:rFonts w:ascii="Arial" w:cs="Arial" w:eastAsia="Arial" w:hAnsi="Arial"/>
          <w:sz w:val="14"/>
          <w:szCs w:val="14"/>
          <w:b w:val="1"/>
          <w:bCs w:val="1"/>
          <w:color w:val="auto"/>
        </w:rPr>
      </w:pPr>
    </w:p>
    <w:p>
      <w:pPr>
        <w:ind w:left="187" w:right="740" w:hanging="187"/>
        <w:spacing w:after="0" w:line="284" w:lineRule="auto"/>
        <w:tabs>
          <w:tab w:leader="none" w:pos="164" w:val="left"/>
        </w:tabs>
        <w:numPr>
          <w:ilvl w:val="0"/>
          <w:numId w:val="63"/>
        </w:numPr>
        <w:rPr>
          <w:rFonts w:ascii="Arial" w:cs="Arial" w:eastAsia="Arial" w:hAnsi="Arial"/>
          <w:sz w:val="14"/>
          <w:szCs w:val="14"/>
          <w:b w:val="1"/>
          <w:bCs w:val="1"/>
          <w:color w:val="auto"/>
        </w:rPr>
      </w:pPr>
      <w:r>
        <w:rPr>
          <w:rFonts w:ascii="Arial" w:cs="Arial" w:eastAsia="Arial" w:hAnsi="Arial"/>
          <w:sz w:val="14"/>
          <w:szCs w:val="14"/>
          <w:color w:val="auto"/>
        </w:rPr>
        <w:t>Chairman and Chief Executive Officer at Bank One Corporation (2000-2004)</w:t>
      </w:r>
    </w:p>
    <w:p>
      <w:pPr>
        <w:spacing w:after="0" w:line="50"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Education</w:t>
      </w:r>
    </w:p>
    <w:p>
      <w:pPr>
        <w:spacing w:after="0" w:line="29" w:lineRule="exact"/>
        <w:rPr>
          <w:sz w:val="20"/>
          <w:szCs w:val="20"/>
          <w:color w:val="auto"/>
        </w:rPr>
      </w:pPr>
    </w:p>
    <w:p>
      <w:pPr>
        <w:ind w:left="167" w:hanging="167"/>
        <w:spacing w:after="0"/>
        <w:tabs>
          <w:tab w:leader="none" w:pos="167" w:val="left"/>
        </w:tabs>
        <w:numPr>
          <w:ilvl w:val="0"/>
          <w:numId w:val="64"/>
        </w:numPr>
        <w:rPr>
          <w:rFonts w:ascii="Arial" w:cs="Arial" w:eastAsia="Arial" w:hAnsi="Arial"/>
          <w:sz w:val="14"/>
          <w:szCs w:val="14"/>
          <w:b w:val="1"/>
          <w:bCs w:val="1"/>
          <w:color w:val="auto"/>
        </w:rPr>
      </w:pPr>
      <w:r>
        <w:rPr>
          <w:rFonts w:ascii="Arial" w:cs="Arial" w:eastAsia="Arial" w:hAnsi="Arial"/>
          <w:sz w:val="14"/>
          <w:szCs w:val="14"/>
          <w:color w:val="auto"/>
        </w:rPr>
        <w:t>Graduate of Tufts University</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64"/>
        </w:numPr>
        <w:rPr>
          <w:rFonts w:ascii="Arial" w:cs="Arial" w:eastAsia="Arial" w:hAnsi="Arial"/>
          <w:sz w:val="14"/>
          <w:szCs w:val="14"/>
          <w:b w:val="1"/>
          <w:bCs w:val="1"/>
          <w:color w:val="auto"/>
        </w:rPr>
      </w:pPr>
      <w:r>
        <w:rPr>
          <w:rFonts w:ascii="Arial" w:cs="Arial" w:eastAsia="Arial" w:hAnsi="Arial"/>
          <w:sz w:val="14"/>
          <w:szCs w:val="14"/>
          <w:color w:val="auto"/>
        </w:rPr>
        <w:t>M.B.A., Harvard Business School</w:t>
      </w:r>
    </w:p>
    <w:p>
      <w:pPr>
        <w:spacing w:after="0" w:line="109" w:lineRule="exact"/>
        <w:rPr>
          <w:sz w:val="20"/>
          <w:szCs w:val="20"/>
          <w:color w:val="auto"/>
        </w:rPr>
      </w:pPr>
    </w:p>
    <w:p>
      <w:pPr>
        <w:ind w:left="7" w:right="100"/>
        <w:spacing w:after="0" w:line="261" w:lineRule="auto"/>
        <w:rPr>
          <w:sz w:val="20"/>
          <w:szCs w:val="20"/>
          <w:color w:val="auto"/>
        </w:rPr>
      </w:pPr>
      <w:r>
        <w:rPr>
          <w:rFonts w:ascii="Arial" w:cs="Arial" w:eastAsia="Arial" w:hAnsi="Arial"/>
          <w:sz w:val="14"/>
          <w:szCs w:val="14"/>
          <w:b w:val="1"/>
          <w:bCs w:val="1"/>
          <w:color w:val="8F5A39"/>
        </w:rPr>
        <w:t>Other U.S.-Listed Public Company Directorships Within the Past Five Years</w:t>
      </w:r>
    </w:p>
    <w:p>
      <w:pPr>
        <w:spacing w:after="0" w:line="1" w:lineRule="exact"/>
        <w:rPr>
          <w:sz w:val="20"/>
          <w:szCs w:val="20"/>
          <w:color w:val="auto"/>
        </w:rPr>
      </w:pPr>
    </w:p>
    <w:p>
      <w:pPr>
        <w:ind w:left="167" w:hanging="167"/>
        <w:spacing w:after="0"/>
        <w:tabs>
          <w:tab w:leader="none" w:pos="167" w:val="left"/>
        </w:tabs>
        <w:numPr>
          <w:ilvl w:val="0"/>
          <w:numId w:val="65"/>
        </w:numPr>
        <w:rPr>
          <w:rFonts w:ascii="Arial" w:cs="Arial" w:eastAsia="Arial" w:hAnsi="Arial"/>
          <w:sz w:val="14"/>
          <w:szCs w:val="14"/>
          <w:b w:val="1"/>
          <w:bCs w:val="1"/>
          <w:color w:val="auto"/>
        </w:rPr>
      </w:pPr>
      <w:r>
        <w:rPr>
          <w:rFonts w:ascii="Arial" w:cs="Arial" w:eastAsia="Arial" w:hAnsi="Arial"/>
          <w:sz w:val="14"/>
          <w:szCs w:val="14"/>
          <w:color w:val="auto"/>
        </w:rPr>
        <w:t>None</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Other Experience</w:t>
      </w:r>
    </w:p>
    <w:p>
      <w:pPr>
        <w:spacing w:after="0" w:line="29" w:lineRule="exact"/>
        <w:rPr>
          <w:sz w:val="20"/>
          <w:szCs w:val="20"/>
          <w:color w:val="auto"/>
        </w:rPr>
      </w:pPr>
    </w:p>
    <w:p>
      <w:pPr>
        <w:ind w:left="167" w:hanging="167"/>
        <w:spacing w:after="0"/>
        <w:tabs>
          <w:tab w:leader="none" w:pos="167" w:val="left"/>
        </w:tabs>
        <w:numPr>
          <w:ilvl w:val="0"/>
          <w:numId w:val="66"/>
        </w:numPr>
        <w:rPr>
          <w:rFonts w:ascii="Arial" w:cs="Arial" w:eastAsia="Arial" w:hAnsi="Arial"/>
          <w:sz w:val="14"/>
          <w:szCs w:val="14"/>
          <w:b w:val="1"/>
          <w:bCs w:val="1"/>
          <w:color w:val="auto"/>
        </w:rPr>
      </w:pPr>
      <w:r>
        <w:rPr>
          <w:rFonts w:ascii="Arial" w:cs="Arial" w:eastAsia="Arial" w:hAnsi="Arial"/>
          <w:sz w:val="14"/>
          <w:szCs w:val="14"/>
          <w:color w:val="auto"/>
        </w:rPr>
        <w:t>Member of Board of Deans, Harvard Business School</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66"/>
        </w:numPr>
        <w:rPr>
          <w:rFonts w:ascii="Arial" w:cs="Arial" w:eastAsia="Arial" w:hAnsi="Arial"/>
          <w:sz w:val="14"/>
          <w:szCs w:val="14"/>
          <w:b w:val="1"/>
          <w:bCs w:val="1"/>
          <w:color w:val="auto"/>
        </w:rPr>
      </w:pPr>
      <w:r>
        <w:rPr>
          <w:rFonts w:ascii="Arial" w:cs="Arial" w:eastAsia="Arial" w:hAnsi="Arial"/>
          <w:sz w:val="14"/>
          <w:szCs w:val="14"/>
          <w:color w:val="auto"/>
        </w:rPr>
        <w:t>Director, Catalyst</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66"/>
        </w:numPr>
        <w:rPr>
          <w:rFonts w:ascii="Arial" w:cs="Arial" w:eastAsia="Arial" w:hAnsi="Arial"/>
          <w:sz w:val="14"/>
          <w:szCs w:val="14"/>
          <w:b w:val="1"/>
          <w:bCs w:val="1"/>
          <w:color w:val="auto"/>
        </w:rPr>
      </w:pPr>
      <w:r>
        <w:rPr>
          <w:rFonts w:ascii="Arial" w:cs="Arial" w:eastAsia="Arial" w:hAnsi="Arial"/>
          <w:sz w:val="14"/>
          <w:szCs w:val="14"/>
          <w:color w:val="auto"/>
        </w:rPr>
        <w:t>Member and former Chairman, Business Roundtable</w:t>
      </w:r>
    </w:p>
    <w:p>
      <w:pPr>
        <w:spacing w:after="0" w:line="1" w:lineRule="exact"/>
        <w:rPr>
          <w:rFonts w:ascii="Arial" w:cs="Arial" w:eastAsia="Arial" w:hAnsi="Arial"/>
          <w:sz w:val="14"/>
          <w:szCs w:val="14"/>
          <w:b w:val="1"/>
          <w:bCs w:val="1"/>
          <w:color w:val="auto"/>
        </w:rPr>
      </w:pPr>
    </w:p>
    <w:p>
      <w:pPr>
        <w:ind w:left="167" w:hanging="167"/>
        <w:spacing w:after="0"/>
        <w:tabs>
          <w:tab w:leader="none" w:pos="167" w:val="left"/>
        </w:tabs>
        <w:numPr>
          <w:ilvl w:val="0"/>
          <w:numId w:val="66"/>
        </w:numPr>
        <w:rPr>
          <w:rFonts w:ascii="Arial" w:cs="Arial" w:eastAsia="Arial" w:hAnsi="Arial"/>
          <w:sz w:val="14"/>
          <w:szCs w:val="14"/>
          <w:b w:val="1"/>
          <w:bCs w:val="1"/>
          <w:color w:val="auto"/>
        </w:rPr>
      </w:pPr>
      <w:r>
        <w:rPr>
          <w:rFonts w:ascii="Arial" w:cs="Arial" w:eastAsia="Arial" w:hAnsi="Arial"/>
          <w:sz w:val="14"/>
          <w:szCs w:val="14"/>
          <w:color w:val="auto"/>
        </w:rPr>
        <w:t>Member, Business Council</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66"/>
        </w:numPr>
        <w:rPr>
          <w:rFonts w:ascii="Arial" w:cs="Arial" w:eastAsia="Arial" w:hAnsi="Arial"/>
          <w:sz w:val="14"/>
          <w:szCs w:val="14"/>
          <w:b w:val="1"/>
          <w:bCs w:val="1"/>
          <w:color w:val="auto"/>
        </w:rPr>
      </w:pPr>
      <w:r>
        <w:rPr>
          <w:rFonts w:ascii="Arial" w:cs="Arial" w:eastAsia="Arial" w:hAnsi="Arial"/>
          <w:sz w:val="14"/>
          <w:szCs w:val="14"/>
          <w:color w:val="auto"/>
        </w:rPr>
        <w:t>Trustee, New York University School of Medicine</w:t>
      </w:r>
    </w:p>
    <w:p>
      <w:pPr>
        <w:spacing w:after="0" w:line="261" w:lineRule="exact"/>
        <w:rPr>
          <w:sz w:val="20"/>
          <w:szCs w:val="20"/>
          <w:color w:val="auto"/>
        </w:rPr>
      </w:pPr>
    </w:p>
    <w:p>
      <w:pPr>
        <w:sectPr>
          <w:pgSz w:w="11900" w:h="16838" w:orient="portrait"/>
          <w:cols w:equalWidth="0" w:num="3">
            <w:col w:w="2320" w:space="338"/>
            <w:col w:w="4102" w:space="313"/>
            <w:col w:w="4147"/>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Alex Gorsky</w:t>
      </w:r>
    </w:p>
    <w:p>
      <w:pPr>
        <w:spacing w:after="0" w:line="104" w:lineRule="exact"/>
        <w:rPr>
          <w:sz w:val="20"/>
          <w:szCs w:val="20"/>
          <w:color w:val="auto"/>
        </w:rPr>
      </w:pPr>
    </w:p>
    <w:p>
      <w:pPr>
        <w:ind w:left="140"/>
        <w:spacing w:after="0" w:line="283" w:lineRule="auto"/>
        <w:rPr>
          <w:sz w:val="20"/>
          <w:szCs w:val="20"/>
          <w:color w:val="auto"/>
        </w:rPr>
      </w:pPr>
      <w:r>
        <w:rPr>
          <w:rFonts w:ascii="Arial" w:cs="Arial" w:eastAsia="Arial" w:hAnsi="Arial"/>
          <w:sz w:val="14"/>
          <w:szCs w:val="14"/>
          <w:color w:val="auto"/>
        </w:rPr>
        <w:t>Retired Chairman and Chief Executive Officer of Johnson &amp; Johnson</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2022</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Committees:</w:t>
      </w:r>
    </w:p>
    <w:p>
      <w:pPr>
        <w:spacing w:after="0" w:line="29" w:lineRule="exact"/>
        <w:rPr>
          <w:sz w:val="20"/>
          <w:szCs w:val="20"/>
          <w:color w:val="auto"/>
        </w:rPr>
      </w:pPr>
    </w:p>
    <w:p>
      <w:pPr>
        <w:ind w:left="140" w:right="360"/>
        <w:spacing w:after="0" w:line="272" w:lineRule="auto"/>
        <w:rPr>
          <w:sz w:val="20"/>
          <w:szCs w:val="20"/>
          <w:color w:val="auto"/>
        </w:rPr>
      </w:pPr>
      <w:r>
        <w:rPr>
          <w:rFonts w:ascii="Arial" w:cs="Arial" w:eastAsia="Arial" w:hAnsi="Arial"/>
          <w:sz w:val="14"/>
          <w:szCs w:val="14"/>
          <w:color w:val="auto"/>
        </w:rPr>
        <w:t>Audit Committee Corporate Governance &amp;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Qualification Highlights</w:t>
      </w:r>
    </w:p>
    <w:p>
      <w:pPr>
        <w:spacing w:after="0" w:line="29" w:lineRule="exact"/>
        <w:rPr>
          <w:sz w:val="20"/>
          <w:szCs w:val="20"/>
          <w:color w:val="auto"/>
        </w:rPr>
      </w:pPr>
    </w:p>
    <w:p>
      <w:pPr>
        <w:ind w:left="202" w:right="180" w:hanging="202"/>
        <w:spacing w:after="0" w:line="254" w:lineRule="auto"/>
        <w:tabs>
          <w:tab w:leader="none" w:pos="179"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Finance and Accounting: </w:t>
      </w:r>
      <w:r>
        <w:rPr>
          <w:rFonts w:ascii="Arial" w:cs="Arial" w:eastAsia="Arial" w:hAnsi="Arial"/>
          <w:sz w:val="14"/>
          <w:szCs w:val="14"/>
          <w:color w:val="auto"/>
        </w:rPr>
        <w:t>Deep understanding of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reporting standards and oversight of enterprise financial condition from experience as CEO of Johnson &amp; Johnson</w:t>
      </w:r>
    </w:p>
    <w:p>
      <w:pPr>
        <w:spacing w:after="0" w:line="1" w:lineRule="exact"/>
        <w:rPr>
          <w:rFonts w:ascii="Arial" w:cs="Arial" w:eastAsia="Arial" w:hAnsi="Arial"/>
          <w:sz w:val="14"/>
          <w:szCs w:val="14"/>
          <w:b w:val="1"/>
          <w:bCs w:val="1"/>
          <w:color w:val="auto"/>
        </w:rPr>
      </w:pPr>
    </w:p>
    <w:p>
      <w:pPr>
        <w:ind w:left="202" w:right="380" w:hanging="202"/>
        <w:spacing w:after="0" w:line="261" w:lineRule="auto"/>
        <w:tabs>
          <w:tab w:leader="none" w:pos="179"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Technology: </w:t>
      </w:r>
      <w:r>
        <w:rPr>
          <w:rFonts w:ascii="Arial" w:cs="Arial" w:eastAsia="Arial" w:hAnsi="Arial"/>
          <w:sz w:val="14"/>
          <w:szCs w:val="14"/>
          <w:color w:val="auto"/>
        </w:rPr>
        <w:t>Expertise in overseeing innovative</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technologies, AI, information security and privacy issues through executive and board positions</w:t>
      </w:r>
    </w:p>
    <w:p>
      <w:pPr>
        <w:spacing w:after="0" w:line="1" w:lineRule="exact"/>
        <w:rPr>
          <w:rFonts w:ascii="Arial" w:cs="Arial" w:eastAsia="Arial" w:hAnsi="Arial"/>
          <w:sz w:val="14"/>
          <w:szCs w:val="14"/>
          <w:b w:val="1"/>
          <w:bCs w:val="1"/>
          <w:color w:val="auto"/>
        </w:rPr>
      </w:pPr>
    </w:p>
    <w:p>
      <w:pPr>
        <w:ind w:left="202" w:right="240" w:hanging="202"/>
        <w:spacing w:after="0" w:line="254" w:lineRule="auto"/>
        <w:tabs>
          <w:tab w:leader="none" w:pos="179"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International Business Operations: </w:t>
      </w:r>
      <w:r>
        <w:rPr>
          <w:rFonts w:ascii="Arial" w:cs="Arial" w:eastAsia="Arial" w:hAnsi="Arial"/>
          <w:sz w:val="14"/>
          <w:szCs w:val="14"/>
          <w:color w:val="auto"/>
        </w:rPr>
        <w:t>Seasoned executive</w:t>
      </w:r>
      <w:r>
        <w:rPr>
          <w:rFonts w:ascii="Arial" w:cs="Arial" w:eastAsia="Arial" w:hAnsi="Arial"/>
          <w:sz w:val="14"/>
          <w:szCs w:val="14"/>
          <w:b w:val="1"/>
          <w:bCs w:val="1"/>
          <w:color w:val="auto"/>
        </w:rPr>
        <w:t xml:space="preserve"> </w:t>
      </w:r>
      <w:r>
        <w:rPr>
          <w:rFonts w:ascii="Arial" w:cs="Arial" w:eastAsia="Arial" w:hAnsi="Arial"/>
          <w:sz w:val="14"/>
          <w:szCs w:val="14"/>
          <w:color w:val="auto"/>
        </w:rPr>
        <w:t>experience operating in diverse geographic, political and regulatory environments</w:t>
      </w:r>
    </w:p>
    <w:p>
      <w:pPr>
        <w:spacing w:after="0" w:line="1" w:lineRule="exact"/>
        <w:rPr>
          <w:rFonts w:ascii="Arial" w:cs="Arial" w:eastAsia="Arial" w:hAnsi="Arial"/>
          <w:sz w:val="14"/>
          <w:szCs w:val="14"/>
          <w:b w:val="1"/>
          <w:bCs w:val="1"/>
          <w:color w:val="auto"/>
        </w:rPr>
      </w:pPr>
    </w:p>
    <w:p>
      <w:pPr>
        <w:jc w:val="both"/>
        <w:ind w:left="202" w:hanging="202"/>
        <w:spacing w:after="0" w:line="272" w:lineRule="auto"/>
        <w:tabs>
          <w:tab w:leader="none" w:pos="179"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Public Company Governance: </w:t>
      </w:r>
      <w:r>
        <w:rPr>
          <w:rFonts w:ascii="Arial" w:cs="Arial" w:eastAsia="Arial" w:hAnsi="Arial"/>
          <w:sz w:val="14"/>
          <w:szCs w:val="14"/>
          <w:color w:val="auto"/>
        </w:rPr>
        <w:t>Broad governance expertise</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public company board service and as former Chair of the Business Roundtable’s Corporate Governance Committee</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Career Highlights</w:t>
      </w:r>
    </w:p>
    <w:p>
      <w:pPr>
        <w:spacing w:after="0" w:line="29" w:lineRule="exact"/>
        <w:rPr>
          <w:sz w:val="20"/>
          <w:szCs w:val="20"/>
          <w:color w:val="auto"/>
        </w:rPr>
      </w:pPr>
    </w:p>
    <w:p>
      <w:pPr>
        <w:ind w:left="2"/>
        <w:spacing w:after="0"/>
        <w:rPr>
          <w:sz w:val="20"/>
          <w:szCs w:val="20"/>
          <w:color w:val="auto"/>
        </w:rPr>
      </w:pPr>
      <w:r>
        <w:rPr>
          <w:rFonts w:ascii="Arial" w:cs="Arial" w:eastAsia="Arial" w:hAnsi="Arial"/>
          <w:sz w:val="14"/>
          <w:szCs w:val="14"/>
          <w:color w:val="auto"/>
        </w:rPr>
        <w:t>Johnson &amp; Johnson, a global healthcare company</w:t>
      </w:r>
    </w:p>
    <w:p>
      <w:pPr>
        <w:spacing w:after="0" w:line="15" w:lineRule="exact"/>
        <w:rPr>
          <w:sz w:val="20"/>
          <w:szCs w:val="20"/>
          <w:color w:val="auto"/>
        </w:rPr>
      </w:pPr>
    </w:p>
    <w:p>
      <w:pPr>
        <w:ind w:left="182" w:hanging="182"/>
        <w:spacing w:after="0"/>
        <w:tabs>
          <w:tab w:leader="none" w:pos="182" w:val="left"/>
        </w:tabs>
        <w:numPr>
          <w:ilvl w:val="0"/>
          <w:numId w:val="68"/>
        </w:numPr>
        <w:rPr>
          <w:rFonts w:ascii="Arial" w:cs="Arial" w:eastAsia="Arial" w:hAnsi="Arial"/>
          <w:sz w:val="14"/>
          <w:szCs w:val="14"/>
          <w:b w:val="1"/>
          <w:bCs w:val="1"/>
          <w:color w:val="auto"/>
        </w:rPr>
      </w:pPr>
      <w:r>
        <w:rPr>
          <w:rFonts w:ascii="Arial" w:cs="Arial" w:eastAsia="Arial" w:hAnsi="Arial"/>
          <w:sz w:val="14"/>
          <w:szCs w:val="14"/>
          <w:color w:val="auto"/>
        </w:rPr>
        <w:t>Executive Chairman (2022)</w:t>
      </w:r>
    </w:p>
    <w:p>
      <w:pPr>
        <w:spacing w:after="0" w:line="1" w:lineRule="exact"/>
        <w:rPr>
          <w:rFonts w:ascii="Arial" w:cs="Arial" w:eastAsia="Arial" w:hAnsi="Arial"/>
          <w:sz w:val="14"/>
          <w:szCs w:val="14"/>
          <w:b w:val="1"/>
          <w:bCs w:val="1"/>
          <w:color w:val="auto"/>
        </w:rPr>
      </w:pPr>
    </w:p>
    <w:p>
      <w:pPr>
        <w:ind w:left="182" w:hanging="182"/>
        <w:spacing w:after="0"/>
        <w:tabs>
          <w:tab w:leader="none" w:pos="182" w:val="left"/>
        </w:tabs>
        <w:numPr>
          <w:ilvl w:val="0"/>
          <w:numId w:val="68"/>
        </w:numPr>
        <w:rPr>
          <w:rFonts w:ascii="Arial" w:cs="Arial" w:eastAsia="Arial" w:hAnsi="Arial"/>
          <w:sz w:val="14"/>
          <w:szCs w:val="14"/>
          <w:b w:val="1"/>
          <w:bCs w:val="1"/>
          <w:color w:val="auto"/>
        </w:rPr>
      </w:pPr>
      <w:r>
        <w:rPr>
          <w:rFonts w:ascii="Arial" w:cs="Arial" w:eastAsia="Arial" w:hAnsi="Arial"/>
          <w:sz w:val="14"/>
          <w:szCs w:val="14"/>
          <w:color w:val="auto"/>
        </w:rPr>
        <w:t>Chairman, Chief Executive Officer, Chairman of the</w:t>
      </w:r>
    </w:p>
    <w:p>
      <w:pPr>
        <w:spacing w:after="0" w:line="15" w:lineRule="exact"/>
        <w:rPr>
          <w:sz w:val="20"/>
          <w:szCs w:val="20"/>
          <w:color w:val="auto"/>
        </w:rPr>
      </w:pPr>
    </w:p>
    <w:p>
      <w:pPr>
        <w:ind w:left="202"/>
        <w:spacing w:after="0"/>
        <w:rPr>
          <w:sz w:val="20"/>
          <w:szCs w:val="20"/>
          <w:color w:val="auto"/>
        </w:rPr>
      </w:pPr>
      <w:r>
        <w:rPr>
          <w:rFonts w:ascii="Arial" w:cs="Arial" w:eastAsia="Arial" w:hAnsi="Arial"/>
          <w:sz w:val="14"/>
          <w:szCs w:val="14"/>
          <w:color w:val="auto"/>
        </w:rPr>
        <w:t>Executive Committee (2012-2021)</w:t>
      </w:r>
    </w:p>
    <w:p>
      <w:pPr>
        <w:spacing w:after="0" w:line="15" w:lineRule="exact"/>
        <w:rPr>
          <w:sz w:val="20"/>
          <w:szCs w:val="20"/>
          <w:color w:val="auto"/>
        </w:rPr>
      </w:pPr>
    </w:p>
    <w:p>
      <w:pPr>
        <w:ind w:left="202" w:right="140" w:hanging="202"/>
        <w:spacing w:after="0" w:line="254" w:lineRule="auto"/>
        <w:tabs>
          <w:tab w:leader="none" w:pos="179" w:val="left"/>
        </w:tabs>
        <w:numPr>
          <w:ilvl w:val="0"/>
          <w:numId w:val="69"/>
        </w:numPr>
        <w:rPr>
          <w:rFonts w:ascii="Arial" w:cs="Arial" w:eastAsia="Arial" w:hAnsi="Arial"/>
          <w:sz w:val="14"/>
          <w:szCs w:val="14"/>
          <w:b w:val="1"/>
          <w:bCs w:val="1"/>
          <w:color w:val="auto"/>
        </w:rPr>
      </w:pPr>
      <w:r>
        <w:rPr>
          <w:rFonts w:ascii="Arial" w:cs="Arial" w:eastAsia="Arial" w:hAnsi="Arial"/>
          <w:sz w:val="14"/>
          <w:szCs w:val="14"/>
          <w:color w:val="auto"/>
        </w:rPr>
        <w:t>Worldwide Chairman of the Surgical Care Group and the Medical Devices and Diagnostics Group and member of the Executive Committee (2009)</w:t>
      </w:r>
    </w:p>
    <w:p>
      <w:pPr>
        <w:spacing w:after="0" w:line="1" w:lineRule="exact"/>
        <w:rPr>
          <w:rFonts w:ascii="Arial" w:cs="Arial" w:eastAsia="Arial" w:hAnsi="Arial"/>
          <w:sz w:val="14"/>
          <w:szCs w:val="14"/>
          <w:b w:val="1"/>
          <w:bCs w:val="1"/>
          <w:color w:val="auto"/>
        </w:rPr>
      </w:pPr>
    </w:p>
    <w:p>
      <w:pPr>
        <w:ind w:left="182" w:hanging="182"/>
        <w:spacing w:after="0"/>
        <w:tabs>
          <w:tab w:leader="none" w:pos="182" w:val="left"/>
        </w:tabs>
        <w:numPr>
          <w:ilvl w:val="0"/>
          <w:numId w:val="69"/>
        </w:numPr>
        <w:rPr>
          <w:rFonts w:ascii="Arial" w:cs="Arial" w:eastAsia="Arial" w:hAnsi="Arial"/>
          <w:sz w:val="14"/>
          <w:szCs w:val="14"/>
          <w:b w:val="1"/>
          <w:bCs w:val="1"/>
          <w:color w:val="auto"/>
        </w:rPr>
      </w:pPr>
      <w:r>
        <w:rPr>
          <w:rFonts w:ascii="Arial" w:cs="Arial" w:eastAsia="Arial" w:hAnsi="Arial"/>
          <w:sz w:val="14"/>
          <w:szCs w:val="14"/>
          <w:color w:val="auto"/>
        </w:rPr>
        <w:t>Company Group Chairman, Ethicon (2008-2009)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 w:right="20"/>
        <w:spacing w:after="0" w:line="272" w:lineRule="auto"/>
        <w:rPr>
          <w:sz w:val="20"/>
          <w:szCs w:val="20"/>
          <w:color w:val="auto"/>
        </w:rPr>
      </w:pPr>
      <w:r>
        <w:rPr>
          <w:rFonts w:ascii="Arial" w:cs="Arial" w:eastAsia="Arial" w:hAnsi="Arial"/>
          <w:sz w:val="14"/>
          <w:szCs w:val="14"/>
          <w:color w:val="auto"/>
        </w:rPr>
        <w:t>Novartis Pharmaceuticals Corporation, a multinational medicines company</w:t>
      </w:r>
    </w:p>
    <w:p>
      <w:pPr>
        <w:ind w:left="167" w:hanging="167"/>
        <w:spacing w:after="0"/>
        <w:tabs>
          <w:tab w:leader="none" w:pos="167" w:val="left"/>
        </w:tabs>
        <w:numPr>
          <w:ilvl w:val="0"/>
          <w:numId w:val="70"/>
        </w:numPr>
        <w:rPr>
          <w:rFonts w:ascii="Arial" w:cs="Arial" w:eastAsia="Arial" w:hAnsi="Arial"/>
          <w:sz w:val="14"/>
          <w:szCs w:val="14"/>
          <w:b w:val="1"/>
          <w:bCs w:val="1"/>
          <w:color w:val="auto"/>
        </w:rPr>
      </w:pPr>
      <w:r>
        <w:rPr>
          <w:rFonts w:ascii="Arial" w:cs="Arial" w:eastAsia="Arial" w:hAnsi="Arial"/>
          <w:sz w:val="14"/>
          <w:szCs w:val="14"/>
          <w:color w:val="auto"/>
        </w:rPr>
        <w:t>Head of North America pharmaceutical business (2004-2008)</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Education</w:t>
      </w:r>
    </w:p>
    <w:p>
      <w:pPr>
        <w:spacing w:after="0" w:line="15" w:lineRule="exact"/>
        <w:rPr>
          <w:sz w:val="20"/>
          <w:szCs w:val="20"/>
          <w:color w:val="auto"/>
        </w:rPr>
      </w:pPr>
    </w:p>
    <w:p>
      <w:pPr>
        <w:ind w:left="167" w:hanging="167"/>
        <w:spacing w:after="0"/>
        <w:tabs>
          <w:tab w:leader="none" w:pos="167" w:val="left"/>
        </w:tabs>
        <w:numPr>
          <w:ilvl w:val="0"/>
          <w:numId w:val="71"/>
        </w:numPr>
        <w:rPr>
          <w:rFonts w:ascii="Arial" w:cs="Arial" w:eastAsia="Arial" w:hAnsi="Arial"/>
          <w:sz w:val="14"/>
          <w:szCs w:val="14"/>
          <w:b w:val="1"/>
          <w:bCs w:val="1"/>
          <w:color w:val="auto"/>
        </w:rPr>
      </w:pPr>
      <w:r>
        <w:rPr>
          <w:rFonts w:ascii="Arial" w:cs="Arial" w:eastAsia="Arial" w:hAnsi="Arial"/>
          <w:sz w:val="14"/>
          <w:szCs w:val="14"/>
          <w:color w:val="auto"/>
        </w:rPr>
        <w:t>Graduate of the U.S. Military Academy at West Point</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71"/>
        </w:numPr>
        <w:rPr>
          <w:rFonts w:ascii="Arial" w:cs="Arial" w:eastAsia="Arial" w:hAnsi="Arial"/>
          <w:sz w:val="14"/>
          <w:szCs w:val="14"/>
          <w:b w:val="1"/>
          <w:bCs w:val="1"/>
          <w:color w:val="auto"/>
        </w:rPr>
      </w:pPr>
      <w:r>
        <w:rPr>
          <w:rFonts w:ascii="Arial" w:cs="Arial" w:eastAsia="Arial" w:hAnsi="Arial"/>
          <w:sz w:val="14"/>
          <w:szCs w:val="14"/>
          <w:color w:val="auto"/>
        </w:rPr>
        <w:t>M.B.A., The Wharton School of the University of Pennsylvania</w:t>
      </w:r>
    </w:p>
    <w:p>
      <w:pPr>
        <w:spacing w:after="0" w:line="109" w:lineRule="exact"/>
        <w:rPr>
          <w:sz w:val="20"/>
          <w:szCs w:val="20"/>
          <w:color w:val="auto"/>
        </w:rPr>
      </w:pPr>
    </w:p>
    <w:p>
      <w:pPr>
        <w:ind w:left="7" w:right="100"/>
        <w:spacing w:after="0" w:line="272" w:lineRule="auto"/>
        <w:rPr>
          <w:sz w:val="20"/>
          <w:szCs w:val="20"/>
          <w:color w:val="auto"/>
        </w:rPr>
      </w:pPr>
      <w:r>
        <w:rPr>
          <w:rFonts w:ascii="Arial" w:cs="Arial" w:eastAsia="Arial" w:hAnsi="Arial"/>
          <w:sz w:val="14"/>
          <w:szCs w:val="14"/>
          <w:b w:val="1"/>
          <w:bCs w:val="1"/>
          <w:color w:val="8F5A39"/>
        </w:rPr>
        <w:t>Other U.S.-Listed Public Company Directorships Within the Past Five Years</w:t>
      </w:r>
    </w:p>
    <w:p>
      <w:pPr>
        <w:ind w:left="167" w:hanging="167"/>
        <w:spacing w:after="0"/>
        <w:tabs>
          <w:tab w:leader="none" w:pos="167" w:val="left"/>
        </w:tabs>
        <w:numPr>
          <w:ilvl w:val="0"/>
          <w:numId w:val="72"/>
        </w:numPr>
        <w:rPr>
          <w:rFonts w:ascii="Arial" w:cs="Arial" w:eastAsia="Arial" w:hAnsi="Arial"/>
          <w:sz w:val="14"/>
          <w:szCs w:val="14"/>
          <w:b w:val="1"/>
          <w:bCs w:val="1"/>
          <w:color w:val="auto"/>
        </w:rPr>
      </w:pPr>
      <w:r>
        <w:rPr>
          <w:rFonts w:ascii="Arial" w:cs="Arial" w:eastAsia="Arial" w:hAnsi="Arial"/>
          <w:sz w:val="14"/>
          <w:szCs w:val="14"/>
          <w:color w:val="auto"/>
        </w:rPr>
        <w:t>Apple Inc. (since 2021)</w:t>
      </w:r>
    </w:p>
    <w:p>
      <w:pPr>
        <w:spacing w:after="0" w:line="1" w:lineRule="exact"/>
        <w:rPr>
          <w:rFonts w:ascii="Arial" w:cs="Arial" w:eastAsia="Arial" w:hAnsi="Arial"/>
          <w:sz w:val="14"/>
          <w:szCs w:val="14"/>
          <w:b w:val="1"/>
          <w:bCs w:val="1"/>
          <w:color w:val="auto"/>
        </w:rPr>
      </w:pPr>
    </w:p>
    <w:p>
      <w:pPr>
        <w:ind w:left="167" w:hanging="167"/>
        <w:spacing w:after="0"/>
        <w:tabs>
          <w:tab w:leader="none" w:pos="167" w:val="left"/>
        </w:tabs>
        <w:numPr>
          <w:ilvl w:val="0"/>
          <w:numId w:val="72"/>
        </w:numPr>
        <w:rPr>
          <w:rFonts w:ascii="Arial" w:cs="Arial" w:eastAsia="Arial" w:hAnsi="Arial"/>
          <w:sz w:val="14"/>
          <w:szCs w:val="14"/>
          <w:b w:val="1"/>
          <w:bCs w:val="1"/>
          <w:color w:val="auto"/>
        </w:rPr>
      </w:pPr>
      <w:r>
        <w:rPr>
          <w:rFonts w:ascii="Arial" w:cs="Arial" w:eastAsia="Arial" w:hAnsi="Arial"/>
          <w:sz w:val="14"/>
          <w:szCs w:val="14"/>
          <w:color w:val="auto"/>
        </w:rPr>
        <w:t>IBM (since 2014)</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72"/>
        </w:numPr>
        <w:rPr>
          <w:rFonts w:ascii="Arial" w:cs="Arial" w:eastAsia="Arial" w:hAnsi="Arial"/>
          <w:sz w:val="14"/>
          <w:szCs w:val="14"/>
          <w:b w:val="1"/>
          <w:bCs w:val="1"/>
          <w:color w:val="auto"/>
        </w:rPr>
      </w:pPr>
      <w:r>
        <w:rPr>
          <w:rFonts w:ascii="Arial" w:cs="Arial" w:eastAsia="Arial" w:hAnsi="Arial"/>
          <w:sz w:val="14"/>
          <w:szCs w:val="14"/>
          <w:color w:val="auto"/>
        </w:rPr>
        <w:t>Johnson &amp; Johnson (2012-2022)</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Other Experience</w:t>
      </w:r>
    </w:p>
    <w:p>
      <w:pPr>
        <w:spacing w:after="0" w:line="29" w:lineRule="exact"/>
        <w:rPr>
          <w:sz w:val="20"/>
          <w:szCs w:val="20"/>
          <w:color w:val="auto"/>
        </w:rPr>
      </w:pPr>
    </w:p>
    <w:p>
      <w:pPr>
        <w:ind w:left="167" w:hanging="167"/>
        <w:spacing w:after="0"/>
        <w:tabs>
          <w:tab w:leader="none" w:pos="167" w:val="left"/>
        </w:tabs>
        <w:numPr>
          <w:ilvl w:val="0"/>
          <w:numId w:val="73"/>
        </w:numPr>
        <w:rPr>
          <w:rFonts w:ascii="Arial" w:cs="Arial" w:eastAsia="Arial" w:hAnsi="Arial"/>
          <w:sz w:val="14"/>
          <w:szCs w:val="14"/>
          <w:b w:val="1"/>
          <w:bCs w:val="1"/>
          <w:color w:val="auto"/>
        </w:rPr>
      </w:pPr>
      <w:r>
        <w:rPr>
          <w:rFonts w:ascii="Arial" w:cs="Arial" w:eastAsia="Arial" w:hAnsi="Arial"/>
          <w:sz w:val="14"/>
          <w:szCs w:val="14"/>
          <w:color w:val="auto"/>
        </w:rPr>
        <w:t>Managing Director, ICONIQ Capital, LLC</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73"/>
        </w:numPr>
        <w:rPr>
          <w:rFonts w:ascii="Arial" w:cs="Arial" w:eastAsia="Arial" w:hAnsi="Arial"/>
          <w:sz w:val="14"/>
          <w:szCs w:val="14"/>
          <w:b w:val="1"/>
          <w:bCs w:val="1"/>
          <w:color w:val="auto"/>
        </w:rPr>
      </w:pPr>
      <w:r>
        <w:rPr>
          <w:rFonts w:ascii="Arial" w:cs="Arial" w:eastAsia="Arial" w:hAnsi="Arial"/>
          <w:sz w:val="14"/>
          <w:szCs w:val="14"/>
          <w:color w:val="auto"/>
        </w:rPr>
        <w:t>Board Member, Neurotech Pharmaceuticals, Inc.</w:t>
      </w:r>
    </w:p>
    <w:p>
      <w:pPr>
        <w:spacing w:after="0" w:line="1" w:lineRule="exact"/>
        <w:rPr>
          <w:rFonts w:ascii="Arial" w:cs="Arial" w:eastAsia="Arial" w:hAnsi="Arial"/>
          <w:sz w:val="14"/>
          <w:szCs w:val="14"/>
          <w:b w:val="1"/>
          <w:bCs w:val="1"/>
          <w:color w:val="auto"/>
        </w:rPr>
      </w:pPr>
    </w:p>
    <w:p>
      <w:pPr>
        <w:ind w:left="167" w:hanging="167"/>
        <w:spacing w:after="0"/>
        <w:tabs>
          <w:tab w:leader="none" w:pos="167" w:val="left"/>
        </w:tabs>
        <w:numPr>
          <w:ilvl w:val="0"/>
          <w:numId w:val="73"/>
        </w:numPr>
        <w:rPr>
          <w:rFonts w:ascii="Arial" w:cs="Arial" w:eastAsia="Arial" w:hAnsi="Arial"/>
          <w:sz w:val="14"/>
          <w:szCs w:val="14"/>
          <w:b w:val="1"/>
          <w:bCs w:val="1"/>
          <w:color w:val="auto"/>
        </w:rPr>
      </w:pPr>
      <w:r>
        <w:rPr>
          <w:rFonts w:ascii="Arial" w:cs="Arial" w:eastAsia="Arial" w:hAnsi="Arial"/>
          <w:sz w:val="14"/>
          <w:szCs w:val="14"/>
          <w:color w:val="auto"/>
        </w:rPr>
        <w:t>Board Member, Xiara Therapeutics, Inc.</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73"/>
        </w:numPr>
        <w:rPr>
          <w:rFonts w:ascii="Arial" w:cs="Arial" w:eastAsia="Arial" w:hAnsi="Arial"/>
          <w:sz w:val="14"/>
          <w:szCs w:val="14"/>
          <w:b w:val="1"/>
          <w:bCs w:val="1"/>
          <w:color w:val="auto"/>
        </w:rPr>
      </w:pPr>
      <w:r>
        <w:rPr>
          <w:rFonts w:ascii="Arial" w:cs="Arial" w:eastAsia="Arial" w:hAnsi="Arial"/>
          <w:sz w:val="14"/>
          <w:szCs w:val="14"/>
          <w:color w:val="auto"/>
        </w:rPr>
        <w:t>Board Member, Travis Manion Foundation</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73"/>
        </w:numPr>
        <w:rPr>
          <w:rFonts w:ascii="Arial" w:cs="Arial" w:eastAsia="Arial" w:hAnsi="Arial"/>
          <w:sz w:val="14"/>
          <w:szCs w:val="14"/>
          <w:b w:val="1"/>
          <w:bCs w:val="1"/>
          <w:color w:val="auto"/>
        </w:rPr>
      </w:pPr>
      <w:r>
        <w:rPr>
          <w:rFonts w:ascii="Arial" w:cs="Arial" w:eastAsia="Arial" w:hAnsi="Arial"/>
          <w:sz w:val="14"/>
          <w:szCs w:val="14"/>
          <w:color w:val="auto"/>
        </w:rPr>
        <w:t>Board Member, Wharton Board of Overseers</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73"/>
        </w:numPr>
        <w:rPr>
          <w:rFonts w:ascii="Arial" w:cs="Arial" w:eastAsia="Arial" w:hAnsi="Arial"/>
          <w:sz w:val="14"/>
          <w:szCs w:val="14"/>
          <w:b w:val="1"/>
          <w:bCs w:val="1"/>
          <w:color w:val="auto"/>
        </w:rPr>
      </w:pPr>
      <w:r>
        <w:rPr>
          <w:rFonts w:ascii="Arial" w:cs="Arial" w:eastAsia="Arial" w:hAnsi="Arial"/>
          <w:sz w:val="14"/>
          <w:szCs w:val="14"/>
          <w:color w:val="auto"/>
        </w:rPr>
        <w:t>Board Member, Cleveland Clinic</w:t>
      </w:r>
    </w:p>
    <w:p>
      <w:pPr>
        <w:spacing w:after="0" w:line="14" w:lineRule="exact"/>
        <w:rPr>
          <w:rFonts w:ascii="Arial" w:cs="Arial" w:eastAsia="Arial" w:hAnsi="Arial"/>
          <w:sz w:val="14"/>
          <w:szCs w:val="14"/>
          <w:b w:val="1"/>
          <w:bCs w:val="1"/>
          <w:color w:val="auto"/>
        </w:rPr>
      </w:pPr>
    </w:p>
    <w:p>
      <w:pPr>
        <w:ind w:left="187" w:right="380" w:hanging="187"/>
        <w:spacing w:after="0" w:line="264" w:lineRule="auto"/>
        <w:tabs>
          <w:tab w:leader="none" w:pos="164" w:val="left"/>
        </w:tabs>
        <w:numPr>
          <w:ilvl w:val="0"/>
          <w:numId w:val="73"/>
        </w:numPr>
        <w:rPr>
          <w:rFonts w:ascii="Arial" w:cs="Arial" w:eastAsia="Arial" w:hAnsi="Arial"/>
          <w:sz w:val="14"/>
          <w:szCs w:val="14"/>
          <w:b w:val="1"/>
          <w:bCs w:val="1"/>
          <w:color w:val="auto"/>
        </w:rPr>
      </w:pPr>
      <w:r>
        <w:rPr>
          <w:rFonts w:ascii="Arial" w:cs="Arial" w:eastAsia="Arial" w:hAnsi="Arial"/>
          <w:sz w:val="14"/>
          <w:szCs w:val="14"/>
          <w:color w:val="auto"/>
        </w:rPr>
        <w:t>Former Member and Chair of the Corporate Governance Committee, Business Roundtable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1272540</wp:posOffset>
            </wp:positionV>
            <wp:extent cx="651510" cy="857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1095" w:lineRule="exact"/>
        <w:rPr>
          <w:sz w:val="20"/>
          <w:szCs w:val="20"/>
          <w:color w:val="auto"/>
        </w:rPr>
      </w:pPr>
    </w:p>
    <w:p>
      <w:pPr>
        <w:sectPr>
          <w:pgSz w:w="11900" w:h="16838" w:orient="portrait"/>
          <w:cols w:equalWidth="0" w:num="3">
            <w:col w:w="2100" w:space="558"/>
            <w:col w:w="4142" w:space="273"/>
            <w:col w:w="4147"/>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14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8100"/>
        <w:spacing w:after="0"/>
        <w:rPr>
          <w:sz w:val="20"/>
          <w:szCs w:val="20"/>
          <w:color w:val="auto"/>
        </w:rPr>
      </w:pPr>
      <w:r>
        <w:rPr>
          <w:rFonts w:ascii="Arial" w:cs="Arial" w:eastAsia="Arial" w:hAnsi="Arial"/>
          <w:sz w:val="14"/>
          <w:szCs w:val="14"/>
          <w:color w:val="8F5A39"/>
        </w:rPr>
        <w:t xml:space="preserve">Director nominees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232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Director nominees</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2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5486400" cy="36779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86400" cy="367792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Mellody Hobson</w:t>
      </w:r>
    </w:p>
    <w:p>
      <w:pPr>
        <w:spacing w:after="0" w:line="37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Co-Chief Executive Officer and</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President of Ariel Investments,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LLC</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57</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Committees:</w:t>
      </w:r>
    </w:p>
    <w:p>
      <w:pPr>
        <w:spacing w:after="0" w:line="35" w:lineRule="exact"/>
        <w:rPr>
          <w:sz w:val="20"/>
          <w:szCs w:val="20"/>
          <w:color w:val="auto"/>
        </w:rPr>
      </w:pPr>
    </w:p>
    <w:p>
      <w:pPr>
        <w:ind w:left="140"/>
        <w:spacing w:after="0" w:line="287" w:lineRule="auto"/>
        <w:rPr>
          <w:sz w:val="20"/>
          <w:szCs w:val="20"/>
          <w:color w:val="auto"/>
        </w:rPr>
      </w:pPr>
      <w:r>
        <w:rPr>
          <w:rFonts w:ascii="Arial" w:cs="Arial" w:eastAsia="Arial" w:hAnsi="Arial"/>
          <w:sz w:val="14"/>
          <w:szCs w:val="14"/>
          <w:color w:val="auto"/>
        </w:rPr>
        <w:t>Public Responsibility Committee (Chair)</w:t>
      </w:r>
    </w:p>
    <w:p>
      <w:pPr>
        <w:ind w:left="140"/>
        <w:spacing w:after="0"/>
        <w:rPr>
          <w:sz w:val="20"/>
          <w:szCs w:val="20"/>
          <w:color w:val="auto"/>
        </w:rPr>
      </w:pPr>
      <w:r>
        <w:rPr>
          <w:rFonts w:ascii="Arial" w:cs="Arial" w:eastAsia="Arial" w:hAnsi="Arial"/>
          <w:sz w:val="14"/>
          <w:szCs w:val="14"/>
          <w:color w:val="auto"/>
        </w:rPr>
        <w:t>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517015" cy="36607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17015" cy="3660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Qualification Highlights</w:t>
      </w:r>
    </w:p>
    <w:p>
      <w:pPr>
        <w:spacing w:after="0" w:line="42" w:lineRule="exact"/>
        <w:rPr>
          <w:sz w:val="20"/>
          <w:szCs w:val="20"/>
          <w:color w:val="auto"/>
        </w:rPr>
      </w:pPr>
    </w:p>
    <w:p>
      <w:pPr>
        <w:ind w:left="202" w:right="180" w:hanging="202"/>
        <w:spacing w:after="0" w:line="282" w:lineRule="auto"/>
        <w:tabs>
          <w:tab w:leader="none" w:pos="179"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Financial Services: </w:t>
      </w:r>
      <w:r>
        <w:rPr>
          <w:rFonts w:ascii="Arial" w:cs="Arial" w:eastAsia="Arial" w:hAnsi="Arial"/>
          <w:sz w:val="14"/>
          <w:szCs w:val="14"/>
          <w:color w:val="auto"/>
        </w:rPr>
        <w:t>Co-CEO and President of Ariel</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Investments, LLC with over three decades of experience in asset management</w:t>
      </w:r>
    </w:p>
    <w:p>
      <w:pPr>
        <w:ind w:left="202" w:hanging="202"/>
        <w:spacing w:after="0" w:line="287" w:lineRule="auto"/>
        <w:tabs>
          <w:tab w:leader="none" w:pos="179"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Risk Management and Controls: </w:t>
      </w:r>
      <w:r>
        <w:rPr>
          <w:rFonts w:ascii="Arial" w:cs="Arial" w:eastAsia="Arial" w:hAnsi="Arial"/>
          <w:sz w:val="14"/>
          <w:szCs w:val="14"/>
          <w:color w:val="auto"/>
        </w:rPr>
        <w:t>Deep understanding of</w:t>
      </w:r>
      <w:r>
        <w:rPr>
          <w:rFonts w:ascii="Arial" w:cs="Arial" w:eastAsia="Arial" w:hAnsi="Arial"/>
          <w:sz w:val="14"/>
          <w:szCs w:val="14"/>
          <w:b w:val="1"/>
          <w:bCs w:val="1"/>
          <w:color w:val="auto"/>
        </w:rPr>
        <w:t xml:space="preserve"> </w:t>
      </w:r>
      <w:r>
        <w:rPr>
          <w:rFonts w:ascii="Arial" w:cs="Arial" w:eastAsia="Arial" w:hAnsi="Arial"/>
          <w:sz w:val="14"/>
          <w:szCs w:val="14"/>
          <w:color w:val="auto"/>
        </w:rPr>
        <w:t>risk management developed through C-suite positions at Ariel and current and prior service on public company boards</w:t>
      </w:r>
    </w:p>
    <w:p>
      <w:pPr>
        <w:spacing w:after="0" w:line="1" w:lineRule="exact"/>
        <w:rPr>
          <w:rFonts w:ascii="Arial" w:cs="Arial" w:eastAsia="Arial" w:hAnsi="Arial"/>
          <w:sz w:val="14"/>
          <w:szCs w:val="14"/>
          <w:b w:val="1"/>
          <w:bCs w:val="1"/>
          <w:color w:val="auto"/>
        </w:rPr>
      </w:pPr>
    </w:p>
    <w:p>
      <w:pPr>
        <w:ind w:left="202" w:right="200" w:hanging="202"/>
        <w:spacing w:after="0" w:line="282" w:lineRule="auto"/>
        <w:tabs>
          <w:tab w:leader="none" w:pos="179"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Public Company Governance: </w:t>
      </w:r>
      <w:r>
        <w:rPr>
          <w:rFonts w:ascii="Arial" w:cs="Arial" w:eastAsia="Arial" w:hAnsi="Arial"/>
          <w:sz w:val="14"/>
          <w:szCs w:val="14"/>
          <w:color w:val="auto"/>
        </w:rPr>
        <w:t>Significant corporate</w:t>
      </w:r>
      <w:r>
        <w:rPr>
          <w:rFonts w:ascii="Arial" w:cs="Arial" w:eastAsia="Arial" w:hAnsi="Arial"/>
          <w:sz w:val="14"/>
          <w:szCs w:val="14"/>
          <w:b w:val="1"/>
          <w:bCs w:val="1"/>
          <w:color w:val="auto"/>
        </w:rPr>
        <w:t xml:space="preserve"> </w:t>
      </w:r>
      <w:r>
        <w:rPr>
          <w:rFonts w:ascii="Arial" w:cs="Arial" w:eastAsia="Arial" w:hAnsi="Arial"/>
          <w:sz w:val="14"/>
          <w:szCs w:val="14"/>
          <w:color w:val="auto"/>
        </w:rPr>
        <w:t>governance experience and insights gained from roles at Ariel Investments, LLC and through service on other public company boards</w:t>
      </w:r>
    </w:p>
    <w:p>
      <w:pPr>
        <w:ind w:left="202" w:right="160" w:hanging="202"/>
        <w:spacing w:after="0" w:line="312" w:lineRule="auto"/>
        <w:tabs>
          <w:tab w:leader="none" w:pos="179" w:val="left"/>
        </w:tabs>
        <w:numPr>
          <w:ilvl w:val="0"/>
          <w:numId w:val="74"/>
        </w:numPr>
        <w:rPr>
          <w:rFonts w:ascii="Arial" w:cs="Arial" w:eastAsia="Arial" w:hAnsi="Arial"/>
          <w:sz w:val="14"/>
          <w:szCs w:val="14"/>
          <w:b w:val="1"/>
          <w:bCs w:val="1"/>
          <w:color w:val="auto"/>
        </w:rPr>
      </w:pPr>
      <w:r>
        <w:rPr>
          <w:rFonts w:ascii="Arial" w:cs="Arial" w:eastAsia="Arial" w:hAnsi="Arial"/>
          <w:sz w:val="14"/>
          <w:szCs w:val="14"/>
          <w:color w:val="auto"/>
        </w:rPr>
        <w:t>Sustainability: A recognized leader in civic and industry associations with focus on financial education and inclusive economic growth</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Career Highlights</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4"/>
          <w:szCs w:val="14"/>
          <w:color w:val="auto"/>
        </w:rPr>
        <w:t>Ariel Investments, LLC, a private global asset management firm</w:t>
      </w:r>
    </w:p>
    <w:p>
      <w:pPr>
        <w:spacing w:after="0" w:line="22" w:lineRule="exact"/>
        <w:rPr>
          <w:sz w:val="20"/>
          <w:szCs w:val="20"/>
          <w:color w:val="auto"/>
        </w:rPr>
      </w:pPr>
    </w:p>
    <w:p>
      <w:pPr>
        <w:ind w:left="182" w:hanging="182"/>
        <w:spacing w:after="0"/>
        <w:tabs>
          <w:tab w:leader="none" w:pos="182"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Co-Chief Executive Officer (since 2019)</w:t>
      </w:r>
    </w:p>
    <w:p>
      <w:pPr>
        <w:spacing w:after="0" w:line="34" w:lineRule="exact"/>
        <w:rPr>
          <w:rFonts w:ascii="Arial" w:cs="Arial" w:eastAsia="Arial" w:hAnsi="Arial"/>
          <w:sz w:val="14"/>
          <w:szCs w:val="14"/>
          <w:b w:val="1"/>
          <w:bCs w:val="1"/>
          <w:color w:val="auto"/>
        </w:rPr>
      </w:pPr>
    </w:p>
    <w:p>
      <w:pPr>
        <w:ind w:left="182" w:hanging="182"/>
        <w:spacing w:after="0"/>
        <w:tabs>
          <w:tab w:leader="none" w:pos="182"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President and Director (since 2000)</w:t>
      </w:r>
    </w:p>
    <w:p>
      <w:pPr>
        <w:spacing w:after="0" w:line="28" w:lineRule="exact"/>
        <w:rPr>
          <w:rFonts w:ascii="Arial" w:cs="Arial" w:eastAsia="Arial" w:hAnsi="Arial"/>
          <w:sz w:val="14"/>
          <w:szCs w:val="14"/>
          <w:b w:val="1"/>
          <w:bCs w:val="1"/>
          <w:color w:val="auto"/>
        </w:rPr>
      </w:pPr>
    </w:p>
    <w:p>
      <w:pPr>
        <w:ind w:left="202" w:right="120" w:hanging="202"/>
        <w:spacing w:after="0" w:line="334" w:lineRule="auto"/>
        <w:tabs>
          <w:tab w:leader="none" w:pos="179"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Chairman of the Board of Trustees of Ariel Investment Trust, a registered investment company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873760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Education</w:t>
      </w:r>
    </w:p>
    <w:p>
      <w:pPr>
        <w:spacing w:after="0" w:line="42" w:lineRule="exact"/>
        <w:rPr>
          <w:sz w:val="20"/>
          <w:szCs w:val="20"/>
          <w:color w:val="auto"/>
        </w:rPr>
      </w:pPr>
    </w:p>
    <w:p>
      <w:pPr>
        <w:ind w:left="187" w:right="180" w:hanging="187"/>
        <w:spacing w:after="0" w:line="325" w:lineRule="auto"/>
        <w:tabs>
          <w:tab w:leader="none" w:pos="164" w:val="left"/>
        </w:tabs>
        <w:numPr>
          <w:ilvl w:val="0"/>
          <w:numId w:val="76"/>
        </w:numPr>
        <w:rPr>
          <w:rFonts w:ascii="Arial" w:cs="Arial" w:eastAsia="Arial" w:hAnsi="Arial"/>
          <w:sz w:val="14"/>
          <w:szCs w:val="14"/>
          <w:b w:val="1"/>
          <w:bCs w:val="1"/>
          <w:color w:val="auto"/>
        </w:rPr>
      </w:pPr>
      <w:r>
        <w:rPr>
          <w:rFonts w:ascii="Arial" w:cs="Arial" w:eastAsia="Arial" w:hAnsi="Arial"/>
          <w:sz w:val="14"/>
          <w:szCs w:val="14"/>
          <w:color w:val="auto"/>
        </w:rPr>
        <w:t>Graduate of the School of Public and International Affairs at Princeton University</w:t>
      </w:r>
    </w:p>
    <w:p>
      <w:pPr>
        <w:spacing w:after="0" w:line="50"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b w:val="1"/>
          <w:bCs w:val="1"/>
          <w:color w:val="8F5A39"/>
        </w:rPr>
        <w:t>Other U.S.-Listed Public Company Directorships Within the Past Five Years</w:t>
      </w:r>
    </w:p>
    <w:p>
      <w:pPr>
        <w:ind w:left="167" w:hanging="167"/>
        <w:spacing w:after="0"/>
        <w:tabs>
          <w:tab w:leader="none" w:pos="167" w:val="left"/>
        </w:tabs>
        <w:numPr>
          <w:ilvl w:val="0"/>
          <w:numId w:val="77"/>
        </w:numPr>
        <w:rPr>
          <w:rFonts w:ascii="Arial" w:cs="Arial" w:eastAsia="Arial" w:hAnsi="Arial"/>
          <w:sz w:val="14"/>
          <w:szCs w:val="14"/>
          <w:b w:val="1"/>
          <w:bCs w:val="1"/>
          <w:color w:val="auto"/>
        </w:rPr>
      </w:pPr>
      <w:r>
        <w:rPr>
          <w:rFonts w:ascii="Arial" w:cs="Arial" w:eastAsia="Arial" w:hAnsi="Arial"/>
          <w:sz w:val="14"/>
          <w:szCs w:val="14"/>
          <w:color w:val="auto"/>
        </w:rPr>
        <w:t>Starbucks Corporation (2005-2025)</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Other Experience</w:t>
      </w:r>
    </w:p>
    <w:p>
      <w:pPr>
        <w:spacing w:after="0" w:line="42" w:lineRule="exact"/>
        <w:rPr>
          <w:sz w:val="20"/>
          <w:szCs w:val="20"/>
          <w:color w:val="auto"/>
        </w:rPr>
      </w:pPr>
    </w:p>
    <w:p>
      <w:pPr>
        <w:ind w:left="167" w:hanging="167"/>
        <w:spacing w:after="0"/>
        <w:tabs>
          <w:tab w:leader="none" w:pos="167" w:val="left"/>
        </w:tabs>
        <w:numPr>
          <w:ilvl w:val="0"/>
          <w:numId w:val="78"/>
        </w:numPr>
        <w:rPr>
          <w:rFonts w:ascii="Arial" w:cs="Arial" w:eastAsia="Arial" w:hAnsi="Arial"/>
          <w:sz w:val="14"/>
          <w:szCs w:val="14"/>
          <w:b w:val="1"/>
          <w:bCs w:val="1"/>
          <w:color w:val="auto"/>
        </w:rPr>
      </w:pPr>
      <w:r>
        <w:rPr>
          <w:rFonts w:ascii="Arial" w:cs="Arial" w:eastAsia="Arial" w:hAnsi="Arial"/>
          <w:sz w:val="14"/>
          <w:szCs w:val="14"/>
          <w:color w:val="auto"/>
        </w:rPr>
        <w:t>Chair, After School Matters</w:t>
      </w:r>
    </w:p>
    <w:p>
      <w:pPr>
        <w:spacing w:after="0" w:line="35" w:lineRule="exact"/>
        <w:rPr>
          <w:rFonts w:ascii="Arial" w:cs="Arial" w:eastAsia="Arial" w:hAnsi="Arial"/>
          <w:sz w:val="14"/>
          <w:szCs w:val="14"/>
          <w:b w:val="1"/>
          <w:bCs w:val="1"/>
          <w:color w:val="auto"/>
        </w:rPr>
      </w:pPr>
    </w:p>
    <w:p>
      <w:pPr>
        <w:ind w:left="167" w:hanging="167"/>
        <w:spacing w:after="0"/>
        <w:tabs>
          <w:tab w:leader="none" w:pos="167" w:val="left"/>
        </w:tabs>
        <w:numPr>
          <w:ilvl w:val="0"/>
          <w:numId w:val="78"/>
        </w:numPr>
        <w:rPr>
          <w:rFonts w:ascii="Arial" w:cs="Arial" w:eastAsia="Arial" w:hAnsi="Arial"/>
          <w:sz w:val="14"/>
          <w:szCs w:val="14"/>
          <w:b w:val="1"/>
          <w:bCs w:val="1"/>
          <w:color w:val="auto"/>
        </w:rPr>
      </w:pPr>
      <w:r>
        <w:rPr>
          <w:rFonts w:ascii="Arial" w:cs="Arial" w:eastAsia="Arial" w:hAnsi="Arial"/>
          <w:sz w:val="14"/>
          <w:szCs w:val="14"/>
          <w:color w:val="auto"/>
        </w:rPr>
        <w:t>Member, Executive Committee, Investment Company Institute</w:t>
      </w:r>
    </w:p>
    <w:p>
      <w:pPr>
        <w:spacing w:after="0" w:line="28" w:lineRule="exact"/>
        <w:rPr>
          <w:rFonts w:ascii="Arial" w:cs="Arial" w:eastAsia="Arial" w:hAnsi="Arial"/>
          <w:sz w:val="14"/>
          <w:szCs w:val="14"/>
          <w:b w:val="1"/>
          <w:bCs w:val="1"/>
          <w:color w:val="auto"/>
        </w:rPr>
      </w:pPr>
    </w:p>
    <w:p>
      <w:pPr>
        <w:ind w:left="167" w:hanging="167"/>
        <w:spacing w:after="0"/>
        <w:tabs>
          <w:tab w:leader="none" w:pos="167" w:val="left"/>
        </w:tabs>
        <w:numPr>
          <w:ilvl w:val="0"/>
          <w:numId w:val="78"/>
        </w:numPr>
        <w:rPr>
          <w:rFonts w:ascii="Arial" w:cs="Arial" w:eastAsia="Arial" w:hAnsi="Arial"/>
          <w:sz w:val="14"/>
          <w:szCs w:val="14"/>
          <w:b w:val="1"/>
          <w:bCs w:val="1"/>
          <w:color w:val="auto"/>
        </w:rPr>
      </w:pPr>
      <w:r>
        <w:rPr>
          <w:rFonts w:ascii="Arial" w:cs="Arial" w:eastAsia="Arial" w:hAnsi="Arial"/>
          <w:sz w:val="14"/>
          <w:szCs w:val="14"/>
          <w:color w:val="auto"/>
        </w:rPr>
        <w:t>Ex Officio/Former Chair, The Economic Club of Chicago</w:t>
      </w:r>
    </w:p>
    <w:p>
      <w:pPr>
        <w:spacing w:after="0" w:line="28" w:lineRule="exact"/>
        <w:rPr>
          <w:rFonts w:ascii="Arial" w:cs="Arial" w:eastAsia="Arial" w:hAnsi="Arial"/>
          <w:sz w:val="14"/>
          <w:szCs w:val="14"/>
          <w:b w:val="1"/>
          <w:bCs w:val="1"/>
          <w:color w:val="auto"/>
        </w:rPr>
      </w:pPr>
    </w:p>
    <w:p>
      <w:pPr>
        <w:ind w:left="167" w:hanging="167"/>
        <w:spacing w:after="0"/>
        <w:tabs>
          <w:tab w:leader="none" w:pos="167" w:val="left"/>
        </w:tabs>
        <w:numPr>
          <w:ilvl w:val="0"/>
          <w:numId w:val="78"/>
        </w:numPr>
        <w:rPr>
          <w:rFonts w:ascii="Arial" w:cs="Arial" w:eastAsia="Arial" w:hAnsi="Arial"/>
          <w:sz w:val="14"/>
          <w:szCs w:val="14"/>
          <w:b w:val="1"/>
          <w:bCs w:val="1"/>
          <w:color w:val="auto"/>
        </w:rPr>
      </w:pPr>
      <w:r>
        <w:rPr>
          <w:rFonts w:ascii="Arial" w:cs="Arial" w:eastAsia="Arial" w:hAnsi="Arial"/>
          <w:sz w:val="14"/>
          <w:szCs w:val="14"/>
          <w:color w:val="auto"/>
        </w:rPr>
        <w:t>Board Member and Former Vice Chair, World</w:t>
      </w:r>
    </w:p>
    <w:p>
      <w:pPr>
        <w:spacing w:after="0" w:line="28" w:lineRule="exact"/>
        <w:rPr>
          <w:sz w:val="20"/>
          <w:szCs w:val="20"/>
          <w:color w:val="auto"/>
        </w:rPr>
      </w:pPr>
    </w:p>
    <w:p>
      <w:pPr>
        <w:ind w:left="187"/>
        <w:spacing w:after="0"/>
        <w:rPr>
          <w:sz w:val="20"/>
          <w:szCs w:val="20"/>
          <w:color w:val="auto"/>
        </w:rPr>
      </w:pPr>
      <w:r>
        <w:rPr>
          <w:rFonts w:ascii="Arial" w:cs="Arial" w:eastAsia="Arial" w:hAnsi="Arial"/>
          <w:sz w:val="14"/>
          <w:szCs w:val="14"/>
          <w:color w:val="auto"/>
        </w:rPr>
        <w:t>Business Chicago</w:t>
      </w:r>
    </w:p>
    <w:p>
      <w:pPr>
        <w:spacing w:after="0" w:line="22" w:lineRule="exact"/>
        <w:rPr>
          <w:sz w:val="20"/>
          <w:szCs w:val="20"/>
          <w:color w:val="auto"/>
        </w:rPr>
      </w:pPr>
    </w:p>
    <w:p>
      <w:pPr>
        <w:ind w:left="187" w:right="540" w:hanging="187"/>
        <w:spacing w:after="0" w:line="343" w:lineRule="auto"/>
        <w:tabs>
          <w:tab w:leader="none" w:pos="164" w:val="left"/>
        </w:tabs>
        <w:numPr>
          <w:ilvl w:val="0"/>
          <w:numId w:val="79"/>
        </w:numPr>
        <w:rPr>
          <w:rFonts w:ascii="Arial" w:cs="Arial" w:eastAsia="Arial" w:hAnsi="Arial"/>
          <w:sz w:val="14"/>
          <w:szCs w:val="14"/>
          <w:b w:val="1"/>
          <w:bCs w:val="1"/>
          <w:color w:val="auto"/>
        </w:rPr>
      </w:pPr>
      <w:r>
        <w:rPr>
          <w:rFonts w:ascii="Arial" w:cs="Arial" w:eastAsia="Arial" w:hAnsi="Arial"/>
          <w:sz w:val="14"/>
          <w:szCs w:val="14"/>
          <w:color w:val="auto"/>
        </w:rPr>
        <w:t>Former regular contributor and analyst on finance, the markets and economic trends for CBS News</w:t>
      </w:r>
    </w:p>
    <w:p>
      <w:pPr>
        <w:spacing w:after="0" w:line="2290" w:lineRule="exact"/>
        <w:rPr>
          <w:sz w:val="20"/>
          <w:szCs w:val="20"/>
          <w:color w:val="auto"/>
        </w:rPr>
      </w:pPr>
    </w:p>
    <w:p>
      <w:pPr>
        <w:sectPr>
          <w:pgSz w:w="11900" w:h="16838" w:orient="portrait"/>
          <w:cols w:equalWidth="0" w:num="3">
            <w:col w:w="2200" w:space="458"/>
            <w:col w:w="4122" w:space="293"/>
            <w:col w:w="4147"/>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Phebe N.</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Novakovic</w:t>
      </w:r>
    </w:p>
    <w:p>
      <w:pPr>
        <w:spacing w:after="0" w:line="104" w:lineRule="exact"/>
        <w:rPr>
          <w:sz w:val="20"/>
          <w:szCs w:val="20"/>
          <w:color w:val="auto"/>
        </w:rPr>
      </w:pPr>
    </w:p>
    <w:p>
      <w:pPr>
        <w:ind w:left="140" w:right="120"/>
        <w:spacing w:after="0" w:line="283" w:lineRule="auto"/>
        <w:rPr>
          <w:sz w:val="20"/>
          <w:szCs w:val="20"/>
          <w:color w:val="auto"/>
        </w:rPr>
      </w:pPr>
      <w:r>
        <w:rPr>
          <w:rFonts w:ascii="Arial" w:cs="Arial" w:eastAsia="Arial" w:hAnsi="Arial"/>
          <w:sz w:val="14"/>
          <w:szCs w:val="14"/>
          <w:color w:val="auto"/>
        </w:rPr>
        <w:t>Chairman and Chief Executive Officer of General Dynamics Corporation</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68</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2020</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Committees: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Audit Committee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Public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991870</wp:posOffset>
            </wp:positionV>
            <wp:extent cx="651510" cy="857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Qualification Highlights</w:t>
      </w:r>
    </w:p>
    <w:p>
      <w:pPr>
        <w:spacing w:after="0" w:line="29" w:lineRule="exact"/>
        <w:rPr>
          <w:sz w:val="20"/>
          <w:szCs w:val="20"/>
          <w:color w:val="auto"/>
        </w:rPr>
      </w:pPr>
    </w:p>
    <w:p>
      <w:pPr>
        <w:ind w:left="202" w:right="120" w:hanging="202"/>
        <w:spacing w:after="0" w:line="277" w:lineRule="auto"/>
        <w:tabs>
          <w:tab w:leader="none" w:pos="179"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Technology: </w:t>
      </w:r>
      <w:r>
        <w:rPr>
          <w:rFonts w:ascii="Arial" w:cs="Arial" w:eastAsia="Arial" w:hAnsi="Arial"/>
          <w:sz w:val="14"/>
          <w:szCs w:val="14"/>
          <w:color w:val="auto"/>
        </w:rPr>
        <w:t>In-depth understanding and experience</w:t>
      </w:r>
      <w:r>
        <w:rPr>
          <w:rFonts w:ascii="Arial" w:cs="Arial" w:eastAsia="Arial" w:hAnsi="Arial"/>
          <w:sz w:val="14"/>
          <w:szCs w:val="14"/>
          <w:b w:val="1"/>
          <w:bCs w:val="1"/>
          <w:color w:val="auto"/>
        </w:rPr>
        <w:t xml:space="preserve"> </w:t>
      </w:r>
      <w:r>
        <w:rPr>
          <w:rFonts w:ascii="Arial" w:cs="Arial" w:eastAsia="Arial" w:hAnsi="Arial"/>
          <w:sz w:val="14"/>
          <w:szCs w:val="14"/>
          <w:color w:val="auto"/>
        </w:rPr>
        <w:t>overseeing innovative technology, AI, information security, data management systems and other technology-related matters as Chairman and CEO of General Dynamics and a former director of Abbott Laboratories</w:t>
      </w:r>
    </w:p>
    <w:p>
      <w:pPr>
        <w:spacing w:after="0" w:line="2" w:lineRule="exact"/>
        <w:rPr>
          <w:rFonts w:ascii="Arial" w:cs="Arial" w:eastAsia="Arial" w:hAnsi="Arial"/>
          <w:sz w:val="14"/>
          <w:szCs w:val="14"/>
          <w:b w:val="1"/>
          <w:bCs w:val="1"/>
          <w:color w:val="auto"/>
        </w:rPr>
      </w:pPr>
    </w:p>
    <w:p>
      <w:pPr>
        <w:ind w:left="202" w:right="20" w:hanging="202"/>
        <w:spacing w:after="0" w:line="275" w:lineRule="auto"/>
        <w:tabs>
          <w:tab w:leader="none" w:pos="179"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Finance and Accounting: </w:t>
      </w:r>
      <w:r>
        <w:rPr>
          <w:rFonts w:ascii="Arial" w:cs="Arial" w:eastAsia="Arial" w:hAnsi="Arial"/>
          <w:sz w:val="14"/>
          <w:szCs w:val="14"/>
          <w:color w:val="auto"/>
        </w:rPr>
        <w:t>Strong background in overseeing</w:t>
      </w:r>
      <w:r>
        <w:rPr>
          <w:rFonts w:ascii="Arial" w:cs="Arial" w:eastAsia="Arial" w:hAnsi="Arial"/>
          <w:sz w:val="14"/>
          <w:szCs w:val="14"/>
          <w:b w:val="1"/>
          <w:bCs w:val="1"/>
          <w:color w:val="auto"/>
        </w:rPr>
        <w:t xml:space="preserve"> </w:t>
      </w:r>
      <w:r>
        <w:rPr>
          <w:rFonts w:ascii="Arial" w:cs="Arial" w:eastAsia="Arial" w:hAnsi="Arial"/>
          <w:sz w:val="14"/>
          <w:szCs w:val="14"/>
          <w:color w:val="auto"/>
        </w:rPr>
        <w:t>strategic objectives from a financial perspective gained through executive leadership roles</w:t>
      </w:r>
    </w:p>
    <w:p>
      <w:pPr>
        <w:ind w:left="202" w:right="20" w:hanging="202"/>
        <w:spacing w:after="0" w:line="281" w:lineRule="auto"/>
        <w:tabs>
          <w:tab w:leader="none" w:pos="179"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Leadership of a Large, Complex Organization: </w:t>
      </w:r>
      <w:r>
        <w:rPr>
          <w:rFonts w:ascii="Arial" w:cs="Arial" w:eastAsia="Arial" w:hAnsi="Arial"/>
          <w:sz w:val="14"/>
          <w:szCs w:val="14"/>
          <w:color w:val="auto"/>
        </w:rPr>
        <w:t>Trusted</w:t>
      </w:r>
      <w:r>
        <w:rPr>
          <w:rFonts w:ascii="Arial" w:cs="Arial" w:eastAsia="Arial" w:hAnsi="Arial"/>
          <w:sz w:val="14"/>
          <w:szCs w:val="14"/>
          <w:b w:val="1"/>
          <w:bCs w:val="1"/>
          <w:color w:val="auto"/>
        </w:rPr>
        <w:t xml:space="preserve"> </w:t>
      </w:r>
      <w:r>
        <w:rPr>
          <w:rFonts w:ascii="Arial" w:cs="Arial" w:eastAsia="Arial" w:hAnsi="Arial"/>
          <w:sz w:val="14"/>
          <w:szCs w:val="14"/>
          <w:color w:val="auto"/>
        </w:rPr>
        <w:t>leader with experience in various senior officer positions at a global public company</w:t>
      </w:r>
    </w:p>
    <w:p>
      <w:pPr>
        <w:spacing w:after="0" w:line="1" w:lineRule="exact"/>
        <w:rPr>
          <w:rFonts w:ascii="Arial" w:cs="Arial" w:eastAsia="Arial" w:hAnsi="Arial"/>
          <w:sz w:val="14"/>
          <w:szCs w:val="14"/>
          <w:b w:val="1"/>
          <w:bCs w:val="1"/>
          <w:color w:val="auto"/>
        </w:rPr>
      </w:pPr>
    </w:p>
    <w:p>
      <w:pPr>
        <w:jc w:val="both"/>
        <w:ind w:left="202" w:hanging="202"/>
        <w:spacing w:after="0" w:line="292" w:lineRule="auto"/>
        <w:tabs>
          <w:tab w:leader="none" w:pos="179"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Sustainability: </w:t>
      </w:r>
      <w:r>
        <w:rPr>
          <w:rFonts w:ascii="Arial" w:cs="Arial" w:eastAsia="Arial" w:hAnsi="Arial"/>
          <w:sz w:val="14"/>
          <w:szCs w:val="14"/>
          <w:color w:val="auto"/>
        </w:rPr>
        <w:t>Unique perspective on environmental, safety,</w:t>
      </w:r>
      <w:r>
        <w:rPr>
          <w:rFonts w:ascii="Arial" w:cs="Arial" w:eastAsia="Arial" w:hAnsi="Arial"/>
          <w:sz w:val="14"/>
          <w:szCs w:val="14"/>
          <w:b w:val="1"/>
          <w:bCs w:val="1"/>
          <w:color w:val="auto"/>
        </w:rPr>
        <w:t xml:space="preserve"> </w:t>
      </w:r>
      <w:r>
        <w:rPr>
          <w:rFonts w:ascii="Arial" w:cs="Arial" w:eastAsia="Arial" w:hAnsi="Arial"/>
          <w:sz w:val="14"/>
          <w:szCs w:val="14"/>
          <w:color w:val="auto"/>
        </w:rPr>
        <w:t>and human rights matters gained through leadership roles in the public and private sectors</w:t>
      </w:r>
    </w:p>
    <w:p>
      <w:pPr>
        <w:spacing w:after="0" w:line="73"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Career Highlights</w:t>
      </w:r>
    </w:p>
    <w:p>
      <w:pPr>
        <w:spacing w:after="0" w:line="35" w:lineRule="exact"/>
        <w:rPr>
          <w:sz w:val="20"/>
          <w:szCs w:val="20"/>
          <w:color w:val="auto"/>
        </w:rPr>
      </w:pPr>
    </w:p>
    <w:p>
      <w:pPr>
        <w:ind w:left="2" w:right="520"/>
        <w:spacing w:after="0" w:line="277" w:lineRule="auto"/>
        <w:rPr>
          <w:sz w:val="20"/>
          <w:szCs w:val="20"/>
          <w:color w:val="auto"/>
        </w:rPr>
      </w:pPr>
      <w:r>
        <w:rPr>
          <w:rFonts w:ascii="Arial" w:cs="Arial" w:eastAsia="Arial" w:hAnsi="Arial"/>
          <w:sz w:val="14"/>
          <w:szCs w:val="14"/>
          <w:color w:val="auto"/>
        </w:rPr>
        <w:t>General Dynamics Corporation, a global aerospace and defense company</w:t>
      </w:r>
    </w:p>
    <w:p>
      <w:pPr>
        <w:ind w:left="182" w:hanging="182"/>
        <w:spacing w:after="0"/>
        <w:tabs>
          <w:tab w:leader="none" w:pos="182" w:val="left"/>
        </w:tabs>
        <w:numPr>
          <w:ilvl w:val="0"/>
          <w:numId w:val="81"/>
        </w:numPr>
        <w:rPr>
          <w:rFonts w:ascii="Arial" w:cs="Arial" w:eastAsia="Arial" w:hAnsi="Arial"/>
          <w:sz w:val="14"/>
          <w:szCs w:val="14"/>
          <w:b w:val="1"/>
          <w:bCs w:val="1"/>
          <w:color w:val="auto"/>
        </w:rPr>
      </w:pPr>
      <w:r>
        <w:rPr>
          <w:rFonts w:ascii="Arial" w:cs="Arial" w:eastAsia="Arial" w:hAnsi="Arial"/>
          <w:sz w:val="14"/>
          <w:szCs w:val="14"/>
          <w:color w:val="auto"/>
        </w:rPr>
        <w:t>Chairman and Chief Executive Officer (since 2013)</w:t>
      </w:r>
    </w:p>
    <w:p>
      <w:pPr>
        <w:spacing w:after="0" w:line="34" w:lineRule="exact"/>
        <w:rPr>
          <w:rFonts w:ascii="Arial" w:cs="Arial" w:eastAsia="Arial" w:hAnsi="Arial"/>
          <w:sz w:val="14"/>
          <w:szCs w:val="14"/>
          <w:b w:val="1"/>
          <w:bCs w:val="1"/>
          <w:color w:val="auto"/>
        </w:rPr>
      </w:pPr>
    </w:p>
    <w:p>
      <w:pPr>
        <w:ind w:left="182" w:hanging="182"/>
        <w:spacing w:after="0"/>
        <w:tabs>
          <w:tab w:leader="none" w:pos="182" w:val="left"/>
        </w:tabs>
        <w:numPr>
          <w:ilvl w:val="0"/>
          <w:numId w:val="81"/>
        </w:numPr>
        <w:rPr>
          <w:rFonts w:ascii="Arial" w:cs="Arial" w:eastAsia="Arial" w:hAnsi="Arial"/>
          <w:sz w:val="14"/>
          <w:szCs w:val="14"/>
          <w:b w:val="1"/>
          <w:bCs w:val="1"/>
          <w:color w:val="auto"/>
        </w:rPr>
      </w:pPr>
      <w:r>
        <w:rPr>
          <w:rFonts w:ascii="Arial" w:cs="Arial" w:eastAsia="Arial" w:hAnsi="Arial"/>
          <w:sz w:val="14"/>
          <w:szCs w:val="14"/>
          <w:color w:val="auto"/>
        </w:rPr>
        <w:t>President and Chief Operating Officer (2012)</w:t>
      </w:r>
    </w:p>
    <w:p>
      <w:pPr>
        <w:spacing w:after="0" w:line="21" w:lineRule="exact"/>
        <w:rPr>
          <w:rFonts w:ascii="Arial" w:cs="Arial" w:eastAsia="Arial" w:hAnsi="Arial"/>
          <w:sz w:val="14"/>
          <w:szCs w:val="14"/>
          <w:b w:val="1"/>
          <w:bCs w:val="1"/>
          <w:color w:val="auto"/>
        </w:rPr>
      </w:pPr>
    </w:p>
    <w:p>
      <w:pPr>
        <w:ind w:left="182" w:hanging="182"/>
        <w:spacing w:after="0"/>
        <w:tabs>
          <w:tab w:leader="none" w:pos="182" w:val="left"/>
        </w:tabs>
        <w:numPr>
          <w:ilvl w:val="0"/>
          <w:numId w:val="81"/>
        </w:numPr>
        <w:rPr>
          <w:rFonts w:ascii="Arial" w:cs="Arial" w:eastAsia="Arial" w:hAnsi="Arial"/>
          <w:sz w:val="14"/>
          <w:szCs w:val="14"/>
          <w:b w:val="1"/>
          <w:bCs w:val="1"/>
          <w:color w:val="auto"/>
        </w:rPr>
      </w:pPr>
      <w:r>
        <w:rPr>
          <w:rFonts w:ascii="Arial" w:cs="Arial" w:eastAsia="Arial" w:hAnsi="Arial"/>
          <w:sz w:val="14"/>
          <w:szCs w:val="14"/>
          <w:color w:val="auto"/>
        </w:rPr>
        <w:t>Executive Vice President, Marine Systems (2010-2012)</w:t>
      </w:r>
    </w:p>
    <w:p>
      <w:pPr>
        <w:spacing w:after="0" w:line="21" w:lineRule="exact"/>
        <w:rPr>
          <w:rFonts w:ascii="Arial" w:cs="Arial" w:eastAsia="Arial" w:hAnsi="Arial"/>
          <w:sz w:val="14"/>
          <w:szCs w:val="14"/>
          <w:b w:val="1"/>
          <w:bCs w:val="1"/>
          <w:color w:val="auto"/>
        </w:rPr>
      </w:pPr>
    </w:p>
    <w:p>
      <w:pPr>
        <w:ind w:left="202" w:right="240" w:hanging="202"/>
        <w:spacing w:after="0" w:line="277" w:lineRule="auto"/>
        <w:tabs>
          <w:tab w:leader="none" w:pos="179" w:val="left"/>
        </w:tabs>
        <w:numPr>
          <w:ilvl w:val="0"/>
          <w:numId w:val="81"/>
        </w:numPr>
        <w:rPr>
          <w:rFonts w:ascii="Arial" w:cs="Arial" w:eastAsia="Arial" w:hAnsi="Arial"/>
          <w:sz w:val="14"/>
          <w:szCs w:val="14"/>
          <w:b w:val="1"/>
          <w:bCs w:val="1"/>
          <w:color w:val="auto"/>
        </w:rPr>
      </w:pPr>
      <w:r>
        <w:rPr>
          <w:rFonts w:ascii="Arial" w:cs="Arial" w:eastAsia="Arial" w:hAnsi="Arial"/>
          <w:sz w:val="14"/>
          <w:szCs w:val="14"/>
          <w:color w:val="auto"/>
        </w:rPr>
        <w:t>Senior Vice President, Planning and Development (2005-2010)</w:t>
      </w:r>
    </w:p>
    <w:p>
      <w:pPr>
        <w:ind w:left="182" w:hanging="182"/>
        <w:spacing w:after="0"/>
        <w:tabs>
          <w:tab w:leader="none" w:pos="182" w:val="left"/>
        </w:tabs>
        <w:numPr>
          <w:ilvl w:val="0"/>
          <w:numId w:val="81"/>
        </w:numPr>
        <w:rPr>
          <w:rFonts w:ascii="Arial" w:cs="Arial" w:eastAsia="Arial" w:hAnsi="Arial"/>
          <w:sz w:val="14"/>
          <w:szCs w:val="14"/>
          <w:b w:val="1"/>
          <w:bCs w:val="1"/>
          <w:color w:val="auto"/>
        </w:rPr>
      </w:pPr>
      <w:r>
        <w:rPr>
          <w:rFonts w:ascii="Arial" w:cs="Arial" w:eastAsia="Arial" w:hAnsi="Arial"/>
          <w:sz w:val="14"/>
          <w:szCs w:val="14"/>
          <w:color w:val="auto"/>
        </w:rPr>
        <w:t>Vice President (2002-2005)</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Education</w:t>
      </w:r>
    </w:p>
    <w:p>
      <w:pPr>
        <w:spacing w:after="0" w:line="35" w:lineRule="exact"/>
        <w:rPr>
          <w:sz w:val="20"/>
          <w:szCs w:val="20"/>
          <w:color w:val="auto"/>
        </w:rPr>
      </w:pPr>
    </w:p>
    <w:p>
      <w:pPr>
        <w:ind w:left="167" w:hanging="167"/>
        <w:spacing w:after="0"/>
        <w:tabs>
          <w:tab w:leader="none" w:pos="167" w:val="left"/>
        </w:tabs>
        <w:numPr>
          <w:ilvl w:val="0"/>
          <w:numId w:val="82"/>
        </w:numPr>
        <w:rPr>
          <w:rFonts w:ascii="Arial" w:cs="Arial" w:eastAsia="Arial" w:hAnsi="Arial"/>
          <w:sz w:val="14"/>
          <w:szCs w:val="14"/>
          <w:b w:val="1"/>
          <w:bCs w:val="1"/>
          <w:color w:val="auto"/>
        </w:rPr>
      </w:pPr>
      <w:r>
        <w:rPr>
          <w:rFonts w:ascii="Arial" w:cs="Arial" w:eastAsia="Arial" w:hAnsi="Arial"/>
          <w:sz w:val="14"/>
          <w:szCs w:val="14"/>
          <w:color w:val="auto"/>
        </w:rPr>
        <w:t>Graduate of Smith College</w:t>
      </w:r>
    </w:p>
    <w:p>
      <w:pPr>
        <w:spacing w:after="0" w:line="7" w:lineRule="exact"/>
        <w:rPr>
          <w:rFonts w:ascii="Arial" w:cs="Arial" w:eastAsia="Arial" w:hAnsi="Arial"/>
          <w:sz w:val="14"/>
          <w:szCs w:val="14"/>
          <w:b w:val="1"/>
          <w:bCs w:val="1"/>
          <w:color w:val="auto"/>
        </w:rPr>
      </w:pPr>
    </w:p>
    <w:p>
      <w:pPr>
        <w:ind w:left="167" w:hanging="167"/>
        <w:spacing w:after="0"/>
        <w:tabs>
          <w:tab w:leader="none" w:pos="167" w:val="left"/>
        </w:tabs>
        <w:numPr>
          <w:ilvl w:val="0"/>
          <w:numId w:val="82"/>
        </w:numPr>
        <w:rPr>
          <w:rFonts w:ascii="Arial" w:cs="Arial" w:eastAsia="Arial" w:hAnsi="Arial"/>
          <w:sz w:val="14"/>
          <w:szCs w:val="14"/>
          <w:b w:val="1"/>
          <w:bCs w:val="1"/>
          <w:color w:val="auto"/>
        </w:rPr>
      </w:pPr>
      <w:r>
        <w:rPr>
          <w:rFonts w:ascii="Arial" w:cs="Arial" w:eastAsia="Arial" w:hAnsi="Arial"/>
          <w:sz w:val="14"/>
          <w:szCs w:val="14"/>
          <w:color w:val="auto"/>
        </w:rPr>
        <w:t>M.B.A., The Wharton School of the University of Pennsylvania</w:t>
      </w:r>
    </w:p>
    <w:p>
      <w:pPr>
        <w:spacing w:after="0" w:line="122" w:lineRule="exact"/>
        <w:rPr>
          <w:sz w:val="20"/>
          <w:szCs w:val="20"/>
          <w:color w:val="auto"/>
        </w:rPr>
      </w:pPr>
    </w:p>
    <w:p>
      <w:pPr>
        <w:ind w:left="7" w:right="100"/>
        <w:spacing w:after="0" w:line="272" w:lineRule="auto"/>
        <w:rPr>
          <w:sz w:val="20"/>
          <w:szCs w:val="20"/>
          <w:color w:val="auto"/>
        </w:rPr>
      </w:pPr>
      <w:r>
        <w:rPr>
          <w:rFonts w:ascii="Arial" w:cs="Arial" w:eastAsia="Arial" w:hAnsi="Arial"/>
          <w:sz w:val="14"/>
          <w:szCs w:val="14"/>
          <w:b w:val="1"/>
          <w:bCs w:val="1"/>
          <w:color w:val="8F5A39"/>
        </w:rPr>
        <w:t>Other U.S.-Listed Public Company Directorships Within the Past Five Years</w:t>
      </w:r>
    </w:p>
    <w:p>
      <w:pPr>
        <w:ind w:left="187" w:right="280" w:hanging="187"/>
        <w:spacing w:after="0" w:line="271" w:lineRule="auto"/>
        <w:tabs>
          <w:tab w:leader="none" w:pos="164" w:val="left"/>
        </w:tabs>
        <w:numPr>
          <w:ilvl w:val="0"/>
          <w:numId w:val="83"/>
        </w:numPr>
        <w:rPr>
          <w:rFonts w:ascii="Arial" w:cs="Arial" w:eastAsia="Arial" w:hAnsi="Arial"/>
          <w:sz w:val="14"/>
          <w:szCs w:val="14"/>
          <w:b w:val="1"/>
          <w:bCs w:val="1"/>
          <w:color w:val="auto"/>
        </w:rPr>
      </w:pPr>
      <w:r>
        <w:rPr>
          <w:rFonts w:ascii="Arial" w:cs="Arial" w:eastAsia="Arial" w:hAnsi="Arial"/>
          <w:sz w:val="14"/>
          <w:szCs w:val="14"/>
          <w:color w:val="auto"/>
        </w:rPr>
        <w:t>General Dynamics Corporation — Chairman (since 2013); member (since 2012)</w:t>
      </w:r>
    </w:p>
    <w:p>
      <w:pPr>
        <w:ind w:left="167" w:hanging="167"/>
        <w:spacing w:after="0"/>
        <w:tabs>
          <w:tab w:leader="none" w:pos="167" w:val="left"/>
        </w:tabs>
        <w:numPr>
          <w:ilvl w:val="0"/>
          <w:numId w:val="83"/>
        </w:numPr>
        <w:rPr>
          <w:rFonts w:ascii="Arial" w:cs="Arial" w:eastAsia="Arial" w:hAnsi="Arial"/>
          <w:sz w:val="14"/>
          <w:szCs w:val="14"/>
          <w:b w:val="1"/>
          <w:bCs w:val="1"/>
          <w:color w:val="auto"/>
        </w:rPr>
      </w:pPr>
      <w:r>
        <w:rPr>
          <w:rFonts w:ascii="Arial" w:cs="Arial" w:eastAsia="Arial" w:hAnsi="Arial"/>
          <w:sz w:val="14"/>
          <w:szCs w:val="14"/>
          <w:color w:val="auto"/>
        </w:rPr>
        <w:t>Abbott Laboratories (2010-2021)</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Other Experience</w:t>
      </w:r>
    </w:p>
    <w:p>
      <w:pPr>
        <w:spacing w:after="0" w:line="35" w:lineRule="exact"/>
        <w:rPr>
          <w:sz w:val="20"/>
          <w:szCs w:val="20"/>
          <w:color w:val="auto"/>
        </w:rPr>
      </w:pPr>
    </w:p>
    <w:p>
      <w:pPr>
        <w:ind w:left="187" w:right="440" w:hanging="187"/>
        <w:spacing w:after="0" w:line="266" w:lineRule="auto"/>
        <w:tabs>
          <w:tab w:leader="none" w:pos="164" w:val="left"/>
        </w:tabs>
        <w:numPr>
          <w:ilvl w:val="0"/>
          <w:numId w:val="84"/>
        </w:numPr>
        <w:rPr>
          <w:rFonts w:ascii="Arial" w:cs="Arial" w:eastAsia="Arial" w:hAnsi="Arial"/>
          <w:sz w:val="14"/>
          <w:szCs w:val="14"/>
          <w:b w:val="1"/>
          <w:bCs w:val="1"/>
          <w:color w:val="auto"/>
        </w:rPr>
      </w:pPr>
      <w:r>
        <w:rPr>
          <w:rFonts w:ascii="Arial" w:cs="Arial" w:eastAsia="Arial" w:hAnsi="Arial"/>
          <w:sz w:val="14"/>
          <w:szCs w:val="14"/>
          <w:color w:val="auto"/>
        </w:rPr>
        <w:t>Chairman, Board of Directors, Association of the United States Army</w:t>
      </w:r>
    </w:p>
    <w:p>
      <w:pPr>
        <w:ind w:left="167" w:hanging="167"/>
        <w:spacing w:after="0"/>
        <w:tabs>
          <w:tab w:leader="none" w:pos="167" w:val="left"/>
        </w:tabs>
        <w:numPr>
          <w:ilvl w:val="0"/>
          <w:numId w:val="84"/>
        </w:numPr>
        <w:rPr>
          <w:rFonts w:ascii="Arial" w:cs="Arial" w:eastAsia="Arial" w:hAnsi="Arial"/>
          <w:sz w:val="14"/>
          <w:szCs w:val="14"/>
          <w:b w:val="1"/>
          <w:bCs w:val="1"/>
          <w:color w:val="auto"/>
        </w:rPr>
      </w:pPr>
      <w:r>
        <w:rPr>
          <w:rFonts w:ascii="Arial" w:cs="Arial" w:eastAsia="Arial" w:hAnsi="Arial"/>
          <w:sz w:val="14"/>
          <w:szCs w:val="14"/>
          <w:color w:val="auto"/>
        </w:rPr>
        <w:t>Chairman, Board of Trustees, Ford’s Theatre</w:t>
      </w:r>
    </w:p>
    <w:p>
      <w:pPr>
        <w:spacing w:after="0" w:line="21" w:lineRule="exact"/>
        <w:rPr>
          <w:rFonts w:ascii="Arial" w:cs="Arial" w:eastAsia="Arial" w:hAnsi="Arial"/>
          <w:sz w:val="14"/>
          <w:szCs w:val="14"/>
          <w:b w:val="1"/>
          <w:bCs w:val="1"/>
          <w:color w:val="auto"/>
        </w:rPr>
      </w:pPr>
    </w:p>
    <w:p>
      <w:pPr>
        <w:ind w:left="167" w:hanging="167"/>
        <w:spacing w:after="0"/>
        <w:tabs>
          <w:tab w:leader="none" w:pos="167" w:val="left"/>
        </w:tabs>
        <w:numPr>
          <w:ilvl w:val="0"/>
          <w:numId w:val="84"/>
        </w:numPr>
        <w:rPr>
          <w:rFonts w:ascii="Arial" w:cs="Arial" w:eastAsia="Arial" w:hAnsi="Arial"/>
          <w:sz w:val="14"/>
          <w:szCs w:val="14"/>
          <w:b w:val="1"/>
          <w:bCs w:val="1"/>
          <w:color w:val="auto"/>
        </w:rPr>
      </w:pPr>
      <w:r>
        <w:rPr>
          <w:rFonts w:ascii="Arial" w:cs="Arial" w:eastAsia="Arial" w:hAnsi="Arial"/>
          <w:sz w:val="14"/>
          <w:szCs w:val="14"/>
          <w:color w:val="auto"/>
        </w:rPr>
        <w:t>Chair, Aerospace Industries Association</w:t>
      </w:r>
    </w:p>
    <w:p>
      <w:pPr>
        <w:spacing w:after="0" w:line="21" w:lineRule="exact"/>
        <w:rPr>
          <w:rFonts w:ascii="Arial" w:cs="Arial" w:eastAsia="Arial" w:hAnsi="Arial"/>
          <w:sz w:val="14"/>
          <w:szCs w:val="14"/>
          <w:b w:val="1"/>
          <w:bCs w:val="1"/>
          <w:color w:val="auto"/>
        </w:rPr>
      </w:pPr>
    </w:p>
    <w:p>
      <w:pPr>
        <w:ind w:left="167" w:hanging="167"/>
        <w:spacing w:after="0"/>
        <w:tabs>
          <w:tab w:leader="none" w:pos="167" w:val="left"/>
        </w:tabs>
        <w:numPr>
          <w:ilvl w:val="0"/>
          <w:numId w:val="84"/>
        </w:numPr>
        <w:rPr>
          <w:rFonts w:ascii="Arial" w:cs="Arial" w:eastAsia="Arial" w:hAnsi="Arial"/>
          <w:sz w:val="14"/>
          <w:szCs w:val="14"/>
          <w:b w:val="1"/>
          <w:bCs w:val="1"/>
          <w:color w:val="auto"/>
        </w:rPr>
      </w:pPr>
      <w:r>
        <w:rPr>
          <w:rFonts w:ascii="Arial" w:cs="Arial" w:eastAsia="Arial" w:hAnsi="Arial"/>
          <w:sz w:val="14"/>
          <w:szCs w:val="14"/>
          <w:color w:val="auto"/>
        </w:rPr>
        <w:t>Member, Business Roundtable</w:t>
      </w:r>
    </w:p>
    <w:p>
      <w:pPr>
        <w:spacing w:after="0" w:line="21" w:lineRule="exact"/>
        <w:rPr>
          <w:rFonts w:ascii="Arial" w:cs="Arial" w:eastAsia="Arial" w:hAnsi="Arial"/>
          <w:sz w:val="14"/>
          <w:szCs w:val="14"/>
          <w:b w:val="1"/>
          <w:bCs w:val="1"/>
          <w:color w:val="auto"/>
        </w:rPr>
      </w:pPr>
    </w:p>
    <w:p>
      <w:pPr>
        <w:ind w:left="187" w:hanging="187"/>
        <w:spacing w:after="0"/>
        <w:tabs>
          <w:tab w:leader="none" w:pos="187" w:val="left"/>
        </w:tabs>
        <w:numPr>
          <w:ilvl w:val="0"/>
          <w:numId w:val="84"/>
        </w:numPr>
        <w:rPr>
          <w:rFonts w:ascii="Arial" w:cs="Arial" w:eastAsia="Arial" w:hAnsi="Arial"/>
          <w:sz w:val="16"/>
          <w:szCs w:val="16"/>
          <w:b w:val="1"/>
          <w:bCs w:val="1"/>
          <w:color w:val="auto"/>
        </w:rPr>
      </w:pPr>
      <w:r>
        <w:rPr>
          <w:rFonts w:ascii="Arial" w:cs="Arial" w:eastAsia="Arial" w:hAnsi="Arial"/>
          <w:sz w:val="14"/>
          <w:szCs w:val="14"/>
          <w:color w:val="auto"/>
        </w:rPr>
        <w:t>Trustee, Baylor Scott &amp; White Health</w:t>
      </w:r>
    </w:p>
    <w:p>
      <w:pPr>
        <w:spacing w:after="0" w:line="2087" w:lineRule="exact"/>
        <w:rPr>
          <w:sz w:val="20"/>
          <w:szCs w:val="20"/>
          <w:color w:val="auto"/>
        </w:rPr>
      </w:pPr>
    </w:p>
    <w:p>
      <w:pPr>
        <w:sectPr>
          <w:pgSz w:w="11900" w:h="16838" w:orient="portrait"/>
          <w:cols w:equalWidth="0" w:num="3">
            <w:col w:w="2200" w:space="458"/>
            <w:col w:w="4062" w:space="353"/>
            <w:col w:w="4147"/>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12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21"/>
          <w:szCs w:val="2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32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Director nominees</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2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5486400" cy="40208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86400" cy="402082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Virginia M. Rometty</w:t>
      </w:r>
    </w:p>
    <w:p>
      <w:pPr>
        <w:spacing w:after="0" w:line="360" w:lineRule="exact"/>
        <w:rPr>
          <w:sz w:val="20"/>
          <w:szCs w:val="20"/>
          <w:color w:val="auto"/>
        </w:rPr>
      </w:pPr>
    </w:p>
    <w:p>
      <w:pPr>
        <w:ind w:left="140" w:right="280"/>
        <w:spacing w:after="0" w:line="283" w:lineRule="auto"/>
        <w:rPr>
          <w:sz w:val="20"/>
          <w:szCs w:val="20"/>
          <w:color w:val="auto"/>
        </w:rPr>
      </w:pPr>
      <w:r>
        <w:rPr>
          <w:rFonts w:ascii="Arial" w:cs="Arial" w:eastAsia="Arial" w:hAnsi="Arial"/>
          <w:sz w:val="14"/>
          <w:szCs w:val="14"/>
          <w:color w:val="auto"/>
        </w:rPr>
        <w:t>Retired Executive Chairman, President and Chief Executive Officer of IBM</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68</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2020</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Committees: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Corporate Governance &amp;</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Nominating Committee (Chair)</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Compensation &amp; Management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1517015" cy="3437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17015" cy="3437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Qualification Highlights</w:t>
      </w:r>
    </w:p>
    <w:p>
      <w:pPr>
        <w:spacing w:after="0" w:line="35" w:lineRule="exact"/>
        <w:rPr>
          <w:sz w:val="20"/>
          <w:szCs w:val="20"/>
          <w:color w:val="auto"/>
        </w:rPr>
      </w:pPr>
    </w:p>
    <w:p>
      <w:pPr>
        <w:ind w:left="202" w:hanging="202"/>
        <w:spacing w:after="0" w:line="279" w:lineRule="auto"/>
        <w:tabs>
          <w:tab w:leader="none" w:pos="179"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Technology: </w:t>
      </w:r>
      <w:r>
        <w:rPr>
          <w:rFonts w:ascii="Arial" w:cs="Arial" w:eastAsia="Arial" w:hAnsi="Arial"/>
          <w:sz w:val="14"/>
          <w:szCs w:val="14"/>
          <w:color w:val="auto"/>
        </w:rPr>
        <w:t>Exceptional leader in the technology sector with</w:t>
      </w:r>
      <w:r>
        <w:rPr>
          <w:rFonts w:ascii="Arial" w:cs="Arial" w:eastAsia="Arial" w:hAnsi="Arial"/>
          <w:sz w:val="14"/>
          <w:szCs w:val="14"/>
          <w:b w:val="1"/>
          <w:bCs w:val="1"/>
          <w:color w:val="auto"/>
        </w:rPr>
        <w:t xml:space="preserve"> </w:t>
      </w:r>
      <w:r>
        <w:rPr>
          <w:rFonts w:ascii="Arial" w:cs="Arial" w:eastAsia="Arial" w:hAnsi="Arial"/>
          <w:sz w:val="14"/>
          <w:szCs w:val="14"/>
          <w:color w:val="auto"/>
        </w:rPr>
        <w:t>deep knowledge of innovative technology, AI, quantum, information security and data management gained through four decades at IBM</w:t>
      </w:r>
    </w:p>
    <w:p>
      <w:pPr>
        <w:spacing w:after="0" w:line="1" w:lineRule="exact"/>
        <w:rPr>
          <w:rFonts w:ascii="Arial" w:cs="Arial" w:eastAsia="Arial" w:hAnsi="Arial"/>
          <w:sz w:val="14"/>
          <w:szCs w:val="14"/>
          <w:b w:val="1"/>
          <w:bCs w:val="1"/>
          <w:color w:val="auto"/>
        </w:rPr>
      </w:pPr>
    </w:p>
    <w:p>
      <w:pPr>
        <w:ind w:left="202" w:right="180" w:hanging="202"/>
        <w:spacing w:after="0" w:line="271" w:lineRule="auto"/>
        <w:tabs>
          <w:tab w:leader="none" w:pos="179"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Public Company Governance: </w:t>
      </w:r>
      <w:r>
        <w:rPr>
          <w:rFonts w:ascii="Arial" w:cs="Arial" w:eastAsia="Arial" w:hAnsi="Arial"/>
          <w:sz w:val="14"/>
          <w:szCs w:val="14"/>
          <w:color w:val="auto"/>
        </w:rPr>
        <w:t>Extensive public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governance experience as Chairman of IBM</w:t>
      </w:r>
    </w:p>
    <w:p>
      <w:pPr>
        <w:ind w:left="202" w:hanging="202"/>
        <w:spacing w:after="0" w:line="281" w:lineRule="auto"/>
        <w:tabs>
          <w:tab w:leader="none" w:pos="179" w:val="left"/>
        </w:tabs>
        <w:numPr>
          <w:ilvl w:val="0"/>
          <w:numId w:val="85"/>
        </w:numPr>
        <w:rPr>
          <w:rFonts w:ascii="Arial" w:cs="Arial" w:eastAsia="Arial" w:hAnsi="Arial"/>
          <w:sz w:val="14"/>
          <w:szCs w:val="14"/>
          <w:b w:val="1"/>
          <w:bCs w:val="1"/>
          <w:color w:val="auto"/>
        </w:rPr>
      </w:pPr>
      <w:r>
        <w:rPr>
          <w:rFonts w:ascii="Arial" w:cs="Arial" w:eastAsia="Arial" w:hAnsi="Arial"/>
          <w:sz w:val="14"/>
          <w:szCs w:val="14"/>
          <w:color w:val="auto"/>
        </w:rPr>
        <w:t>Human Capital Management: C-suite and director positions at both public and private companies provide comprehensive understanding of human capital management matters</w:t>
      </w:r>
    </w:p>
    <w:p>
      <w:pPr>
        <w:spacing w:after="0" w:line="1" w:lineRule="exact"/>
        <w:rPr>
          <w:rFonts w:ascii="Arial" w:cs="Arial" w:eastAsia="Arial" w:hAnsi="Arial"/>
          <w:sz w:val="14"/>
          <w:szCs w:val="14"/>
          <w:b w:val="1"/>
          <w:bCs w:val="1"/>
          <w:color w:val="auto"/>
        </w:rPr>
      </w:pPr>
    </w:p>
    <w:p>
      <w:pPr>
        <w:ind w:left="202" w:right="20" w:hanging="202"/>
        <w:spacing w:after="0" w:line="288" w:lineRule="auto"/>
        <w:tabs>
          <w:tab w:leader="none" w:pos="179"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International Business Operations: </w:t>
      </w:r>
      <w:r>
        <w:rPr>
          <w:rFonts w:ascii="Arial" w:cs="Arial" w:eastAsia="Arial" w:hAnsi="Arial"/>
          <w:sz w:val="14"/>
          <w:szCs w:val="14"/>
          <w:color w:val="auto"/>
        </w:rPr>
        <w:t>In-depth experience</w:t>
      </w:r>
      <w:r>
        <w:rPr>
          <w:rFonts w:ascii="Arial" w:cs="Arial" w:eastAsia="Arial" w:hAnsi="Arial"/>
          <w:sz w:val="14"/>
          <w:szCs w:val="14"/>
          <w:b w:val="1"/>
          <w:bCs w:val="1"/>
          <w:color w:val="auto"/>
        </w:rPr>
        <w:t xml:space="preserve"> </w:t>
      </w:r>
      <w:r>
        <w:rPr>
          <w:rFonts w:ascii="Arial" w:cs="Arial" w:eastAsia="Arial" w:hAnsi="Arial"/>
          <w:sz w:val="14"/>
          <w:szCs w:val="14"/>
          <w:color w:val="auto"/>
        </w:rPr>
        <w:t>managing international business operations as CEO of IBM and in senior oversight and advisory roles including with respect to international trade and global supply chain matters</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Career Highlights</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4"/>
          <w:szCs w:val="14"/>
          <w:color w:val="auto"/>
        </w:rPr>
        <w:t>IBM, a global information technology company</w:t>
      </w:r>
    </w:p>
    <w:p>
      <w:pPr>
        <w:spacing w:after="0" w:line="22" w:lineRule="exact"/>
        <w:rPr>
          <w:sz w:val="20"/>
          <w:szCs w:val="20"/>
          <w:color w:val="auto"/>
        </w:rPr>
      </w:pPr>
    </w:p>
    <w:p>
      <w:pPr>
        <w:ind w:left="182" w:hanging="182"/>
        <w:spacing w:after="0"/>
        <w:tabs>
          <w:tab w:leader="none" w:pos="182" w:val="left"/>
        </w:tabs>
        <w:numPr>
          <w:ilvl w:val="0"/>
          <w:numId w:val="86"/>
        </w:numPr>
        <w:rPr>
          <w:rFonts w:ascii="Arial" w:cs="Arial" w:eastAsia="Arial" w:hAnsi="Arial"/>
          <w:sz w:val="14"/>
          <w:szCs w:val="14"/>
          <w:b w:val="1"/>
          <w:bCs w:val="1"/>
          <w:color w:val="auto"/>
        </w:rPr>
      </w:pPr>
      <w:r>
        <w:rPr>
          <w:rFonts w:ascii="Arial" w:cs="Arial" w:eastAsia="Arial" w:hAnsi="Arial"/>
          <w:sz w:val="14"/>
          <w:szCs w:val="14"/>
          <w:color w:val="auto"/>
        </w:rPr>
        <w:t>Executive Chairman (2020)</w:t>
      </w:r>
    </w:p>
    <w:p>
      <w:pPr>
        <w:spacing w:after="0" w:line="34" w:lineRule="exact"/>
        <w:rPr>
          <w:rFonts w:ascii="Arial" w:cs="Arial" w:eastAsia="Arial" w:hAnsi="Arial"/>
          <w:sz w:val="14"/>
          <w:szCs w:val="14"/>
          <w:b w:val="1"/>
          <w:bCs w:val="1"/>
          <w:color w:val="auto"/>
        </w:rPr>
      </w:pPr>
    </w:p>
    <w:p>
      <w:pPr>
        <w:ind w:left="182" w:hanging="182"/>
        <w:spacing w:after="0"/>
        <w:tabs>
          <w:tab w:leader="none" w:pos="182" w:val="left"/>
        </w:tabs>
        <w:numPr>
          <w:ilvl w:val="0"/>
          <w:numId w:val="86"/>
        </w:numPr>
        <w:rPr>
          <w:rFonts w:ascii="Arial" w:cs="Arial" w:eastAsia="Arial" w:hAnsi="Arial"/>
          <w:sz w:val="14"/>
          <w:szCs w:val="14"/>
          <w:b w:val="1"/>
          <w:bCs w:val="1"/>
          <w:color w:val="auto"/>
        </w:rPr>
      </w:pPr>
      <w:r>
        <w:rPr>
          <w:rFonts w:ascii="Arial" w:cs="Arial" w:eastAsia="Arial" w:hAnsi="Arial"/>
          <w:sz w:val="14"/>
          <w:szCs w:val="14"/>
          <w:color w:val="auto"/>
        </w:rPr>
        <w:t>Chairman, President and Chief Executive Officer (2012-2020)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1544955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Education</w:t>
      </w:r>
    </w:p>
    <w:p>
      <w:pPr>
        <w:spacing w:after="0" w:line="29" w:lineRule="exact"/>
        <w:rPr>
          <w:sz w:val="20"/>
          <w:szCs w:val="20"/>
          <w:color w:val="auto"/>
        </w:rPr>
      </w:pPr>
    </w:p>
    <w:p>
      <w:pPr>
        <w:ind w:left="167" w:hanging="167"/>
        <w:spacing w:after="0"/>
        <w:tabs>
          <w:tab w:leader="none" w:pos="167" w:val="left"/>
        </w:tabs>
        <w:numPr>
          <w:ilvl w:val="0"/>
          <w:numId w:val="87"/>
        </w:numPr>
        <w:rPr>
          <w:rFonts w:ascii="Arial" w:cs="Arial" w:eastAsia="Arial" w:hAnsi="Arial"/>
          <w:sz w:val="14"/>
          <w:szCs w:val="14"/>
          <w:b w:val="1"/>
          <w:bCs w:val="1"/>
          <w:color w:val="auto"/>
        </w:rPr>
      </w:pPr>
      <w:r>
        <w:rPr>
          <w:rFonts w:ascii="Arial" w:cs="Arial" w:eastAsia="Arial" w:hAnsi="Arial"/>
          <w:sz w:val="14"/>
          <w:szCs w:val="14"/>
          <w:color w:val="auto"/>
        </w:rPr>
        <w:t>Graduate of Northwestern University</w:t>
      </w:r>
    </w:p>
    <w:p>
      <w:pPr>
        <w:spacing w:after="0" w:line="109" w:lineRule="exact"/>
        <w:rPr>
          <w:sz w:val="20"/>
          <w:szCs w:val="20"/>
          <w:color w:val="auto"/>
        </w:rPr>
      </w:pPr>
    </w:p>
    <w:p>
      <w:pPr>
        <w:ind w:left="7" w:right="100"/>
        <w:spacing w:after="0" w:line="282" w:lineRule="auto"/>
        <w:rPr>
          <w:sz w:val="20"/>
          <w:szCs w:val="20"/>
          <w:color w:val="auto"/>
        </w:rPr>
      </w:pPr>
      <w:r>
        <w:rPr>
          <w:rFonts w:ascii="Arial" w:cs="Arial" w:eastAsia="Arial" w:hAnsi="Arial"/>
          <w:sz w:val="14"/>
          <w:szCs w:val="14"/>
          <w:b w:val="1"/>
          <w:bCs w:val="1"/>
          <w:color w:val="8F5A39"/>
        </w:rPr>
        <w:t>Other U.S.-Listed Public Company Directorships Within the Past Five Years</w:t>
      </w:r>
    </w:p>
    <w:p>
      <w:pPr>
        <w:ind w:left="167" w:hanging="167"/>
        <w:spacing w:after="0"/>
        <w:tabs>
          <w:tab w:leader="none" w:pos="167" w:val="left"/>
        </w:tabs>
        <w:numPr>
          <w:ilvl w:val="0"/>
          <w:numId w:val="88"/>
        </w:numPr>
        <w:rPr>
          <w:rFonts w:ascii="Arial" w:cs="Arial" w:eastAsia="Arial" w:hAnsi="Arial"/>
          <w:sz w:val="14"/>
          <w:szCs w:val="14"/>
          <w:b w:val="1"/>
          <w:bCs w:val="1"/>
          <w:color w:val="auto"/>
        </w:rPr>
      </w:pPr>
      <w:r>
        <w:rPr>
          <w:rFonts w:ascii="Arial" w:cs="Arial" w:eastAsia="Arial" w:hAnsi="Arial"/>
          <w:sz w:val="14"/>
          <w:szCs w:val="14"/>
          <w:color w:val="auto"/>
        </w:rPr>
        <w:t>None</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Other Experience</w:t>
      </w:r>
    </w:p>
    <w:p>
      <w:pPr>
        <w:spacing w:after="0" w:line="35" w:lineRule="exact"/>
        <w:rPr>
          <w:sz w:val="20"/>
          <w:szCs w:val="20"/>
          <w:color w:val="auto"/>
        </w:rPr>
      </w:pPr>
    </w:p>
    <w:p>
      <w:pPr>
        <w:ind w:left="167" w:hanging="167"/>
        <w:spacing w:after="0"/>
        <w:tabs>
          <w:tab w:leader="none" w:pos="167" w:val="left"/>
        </w:tabs>
        <w:numPr>
          <w:ilvl w:val="0"/>
          <w:numId w:val="89"/>
        </w:numPr>
        <w:rPr>
          <w:rFonts w:ascii="Arial" w:cs="Arial" w:eastAsia="Arial" w:hAnsi="Arial"/>
          <w:sz w:val="14"/>
          <w:szCs w:val="14"/>
          <w:b w:val="1"/>
          <w:bCs w:val="1"/>
          <w:color w:val="auto"/>
        </w:rPr>
      </w:pPr>
      <w:r>
        <w:rPr>
          <w:rFonts w:ascii="Arial" w:cs="Arial" w:eastAsia="Arial" w:hAnsi="Arial"/>
          <w:sz w:val="14"/>
          <w:szCs w:val="14"/>
          <w:color w:val="auto"/>
        </w:rPr>
        <w:t>Board Member, GlobalAI Cloud Inc.</w:t>
      </w:r>
    </w:p>
    <w:p>
      <w:pPr>
        <w:spacing w:after="0" w:line="21" w:lineRule="exact"/>
        <w:rPr>
          <w:rFonts w:ascii="Arial" w:cs="Arial" w:eastAsia="Arial" w:hAnsi="Arial"/>
          <w:sz w:val="14"/>
          <w:szCs w:val="14"/>
          <w:b w:val="1"/>
          <w:bCs w:val="1"/>
          <w:color w:val="auto"/>
        </w:rPr>
      </w:pPr>
    </w:p>
    <w:p>
      <w:pPr>
        <w:ind w:left="167" w:hanging="167"/>
        <w:spacing w:after="0"/>
        <w:tabs>
          <w:tab w:leader="none" w:pos="167" w:val="left"/>
        </w:tabs>
        <w:numPr>
          <w:ilvl w:val="0"/>
          <w:numId w:val="89"/>
        </w:numPr>
        <w:rPr>
          <w:rFonts w:ascii="Arial" w:cs="Arial" w:eastAsia="Arial" w:hAnsi="Arial"/>
          <w:sz w:val="14"/>
          <w:szCs w:val="14"/>
          <w:b w:val="1"/>
          <w:bCs w:val="1"/>
          <w:color w:val="auto"/>
        </w:rPr>
      </w:pPr>
      <w:r>
        <w:rPr>
          <w:rFonts w:ascii="Arial" w:cs="Arial" w:eastAsia="Arial" w:hAnsi="Arial"/>
          <w:sz w:val="14"/>
          <w:szCs w:val="14"/>
          <w:color w:val="auto"/>
        </w:rPr>
        <w:t>Board Member, Cargill Corporation</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89"/>
        </w:numPr>
        <w:rPr>
          <w:rFonts w:ascii="Arial" w:cs="Arial" w:eastAsia="Arial" w:hAnsi="Arial"/>
          <w:sz w:val="14"/>
          <w:szCs w:val="14"/>
          <w:b w:val="1"/>
          <w:bCs w:val="1"/>
          <w:color w:val="auto"/>
        </w:rPr>
      </w:pPr>
      <w:r>
        <w:rPr>
          <w:rFonts w:ascii="Arial" w:cs="Arial" w:eastAsia="Arial" w:hAnsi="Arial"/>
          <w:sz w:val="14"/>
          <w:szCs w:val="14"/>
          <w:color w:val="auto"/>
        </w:rPr>
        <w:t>Member, Mitsubishi UFJ Financial Group Global Advisory</w:t>
      </w:r>
    </w:p>
    <w:p>
      <w:pPr>
        <w:spacing w:after="0" w:line="21" w:lineRule="exact"/>
        <w:rPr>
          <w:sz w:val="20"/>
          <w:szCs w:val="20"/>
          <w:color w:val="auto"/>
        </w:rPr>
      </w:pPr>
    </w:p>
    <w:p>
      <w:pPr>
        <w:ind w:left="187"/>
        <w:spacing w:after="0"/>
        <w:rPr>
          <w:sz w:val="20"/>
          <w:szCs w:val="20"/>
          <w:color w:val="auto"/>
        </w:rPr>
      </w:pPr>
      <w:r>
        <w:rPr>
          <w:rFonts w:ascii="Arial" w:cs="Arial" w:eastAsia="Arial" w:hAnsi="Arial"/>
          <w:sz w:val="14"/>
          <w:szCs w:val="14"/>
          <w:color w:val="auto"/>
        </w:rPr>
        <w:t>Board</w:t>
      </w:r>
    </w:p>
    <w:p>
      <w:pPr>
        <w:spacing w:after="0" w:line="21" w:lineRule="exact"/>
        <w:rPr>
          <w:sz w:val="20"/>
          <w:szCs w:val="20"/>
          <w:color w:val="auto"/>
        </w:rPr>
      </w:pPr>
    </w:p>
    <w:p>
      <w:pPr>
        <w:ind w:left="167" w:hanging="167"/>
        <w:spacing w:after="0"/>
        <w:tabs>
          <w:tab w:leader="none" w:pos="167" w:val="left"/>
        </w:tabs>
        <w:numPr>
          <w:ilvl w:val="0"/>
          <w:numId w:val="90"/>
        </w:numPr>
        <w:rPr>
          <w:rFonts w:ascii="Arial" w:cs="Arial" w:eastAsia="Arial" w:hAnsi="Arial"/>
          <w:sz w:val="14"/>
          <w:szCs w:val="14"/>
          <w:b w:val="1"/>
          <w:bCs w:val="1"/>
          <w:color w:val="auto"/>
        </w:rPr>
      </w:pPr>
      <w:r>
        <w:rPr>
          <w:rFonts w:ascii="Arial" w:cs="Arial" w:eastAsia="Arial" w:hAnsi="Arial"/>
          <w:sz w:val="14"/>
          <w:szCs w:val="14"/>
          <w:color w:val="auto"/>
        </w:rPr>
        <w:t>Trustee, Brookings Institution</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90"/>
        </w:numPr>
        <w:rPr>
          <w:rFonts w:ascii="Arial" w:cs="Arial" w:eastAsia="Arial" w:hAnsi="Arial"/>
          <w:sz w:val="14"/>
          <w:szCs w:val="14"/>
          <w:b w:val="1"/>
          <w:bCs w:val="1"/>
          <w:color w:val="auto"/>
        </w:rPr>
      </w:pPr>
      <w:r>
        <w:rPr>
          <w:rFonts w:ascii="Arial" w:cs="Arial" w:eastAsia="Arial" w:hAnsi="Arial"/>
          <w:sz w:val="14"/>
          <w:szCs w:val="14"/>
          <w:color w:val="auto"/>
        </w:rPr>
        <w:t>Member, BDT Capital Advisory Board</w:t>
      </w:r>
    </w:p>
    <w:p>
      <w:pPr>
        <w:spacing w:after="0" w:line="21" w:lineRule="exact"/>
        <w:rPr>
          <w:rFonts w:ascii="Arial" w:cs="Arial" w:eastAsia="Arial" w:hAnsi="Arial"/>
          <w:sz w:val="14"/>
          <w:szCs w:val="14"/>
          <w:b w:val="1"/>
          <w:bCs w:val="1"/>
          <w:color w:val="auto"/>
        </w:rPr>
      </w:pPr>
    </w:p>
    <w:p>
      <w:pPr>
        <w:ind w:left="167" w:hanging="167"/>
        <w:spacing w:after="0"/>
        <w:tabs>
          <w:tab w:leader="none" w:pos="167" w:val="left"/>
        </w:tabs>
        <w:numPr>
          <w:ilvl w:val="0"/>
          <w:numId w:val="90"/>
        </w:numPr>
        <w:rPr>
          <w:rFonts w:ascii="Arial" w:cs="Arial" w:eastAsia="Arial" w:hAnsi="Arial"/>
          <w:sz w:val="14"/>
          <w:szCs w:val="14"/>
          <w:b w:val="1"/>
          <w:bCs w:val="1"/>
          <w:color w:val="auto"/>
        </w:rPr>
      </w:pPr>
      <w:r>
        <w:rPr>
          <w:rFonts w:ascii="Arial" w:cs="Arial" w:eastAsia="Arial" w:hAnsi="Arial"/>
          <w:sz w:val="14"/>
          <w:szCs w:val="14"/>
          <w:color w:val="auto"/>
        </w:rPr>
        <w:t>Co-Chair, OneTen</w:t>
      </w:r>
    </w:p>
    <w:p>
      <w:pPr>
        <w:spacing w:after="0" w:line="21" w:lineRule="exact"/>
        <w:rPr>
          <w:rFonts w:ascii="Arial" w:cs="Arial" w:eastAsia="Arial" w:hAnsi="Arial"/>
          <w:sz w:val="14"/>
          <w:szCs w:val="14"/>
          <w:b w:val="1"/>
          <w:bCs w:val="1"/>
          <w:color w:val="auto"/>
        </w:rPr>
      </w:pPr>
    </w:p>
    <w:p>
      <w:pPr>
        <w:ind w:left="167" w:hanging="167"/>
        <w:spacing w:after="0"/>
        <w:tabs>
          <w:tab w:leader="none" w:pos="167" w:val="left"/>
        </w:tabs>
        <w:numPr>
          <w:ilvl w:val="0"/>
          <w:numId w:val="90"/>
        </w:numPr>
        <w:rPr>
          <w:rFonts w:ascii="Arial" w:cs="Arial" w:eastAsia="Arial" w:hAnsi="Arial"/>
          <w:sz w:val="14"/>
          <w:szCs w:val="14"/>
          <w:b w:val="1"/>
          <w:bCs w:val="1"/>
          <w:color w:val="auto"/>
        </w:rPr>
      </w:pPr>
      <w:r>
        <w:rPr>
          <w:rFonts w:ascii="Arial" w:cs="Arial" w:eastAsia="Arial" w:hAnsi="Arial"/>
          <w:sz w:val="14"/>
          <w:szCs w:val="14"/>
          <w:color w:val="auto"/>
        </w:rPr>
        <w:t>Member, Council on Foreign Relations</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90"/>
        </w:numPr>
        <w:rPr>
          <w:rFonts w:ascii="Arial" w:cs="Arial" w:eastAsia="Arial" w:hAnsi="Arial"/>
          <w:sz w:val="14"/>
          <w:szCs w:val="14"/>
          <w:b w:val="1"/>
          <w:bCs w:val="1"/>
          <w:color w:val="auto"/>
        </w:rPr>
      </w:pPr>
      <w:r>
        <w:rPr>
          <w:rFonts w:ascii="Arial" w:cs="Arial" w:eastAsia="Arial" w:hAnsi="Arial"/>
          <w:sz w:val="14"/>
          <w:szCs w:val="14"/>
          <w:color w:val="auto"/>
        </w:rPr>
        <w:t>Member and Trustee, Peterson Institute for International</w:t>
      </w:r>
    </w:p>
    <w:p>
      <w:pPr>
        <w:spacing w:after="0" w:line="21" w:lineRule="exact"/>
        <w:rPr>
          <w:sz w:val="20"/>
          <w:szCs w:val="20"/>
          <w:color w:val="auto"/>
        </w:rPr>
      </w:pPr>
    </w:p>
    <w:p>
      <w:pPr>
        <w:ind w:left="187"/>
        <w:spacing w:after="0"/>
        <w:rPr>
          <w:sz w:val="20"/>
          <w:szCs w:val="20"/>
          <w:color w:val="auto"/>
        </w:rPr>
      </w:pPr>
      <w:r>
        <w:rPr>
          <w:rFonts w:ascii="Arial" w:cs="Arial" w:eastAsia="Arial" w:hAnsi="Arial"/>
          <w:sz w:val="14"/>
          <w:szCs w:val="14"/>
          <w:color w:val="auto"/>
        </w:rPr>
        <w:t>Economics</w:t>
      </w:r>
    </w:p>
    <w:p>
      <w:pPr>
        <w:spacing w:after="0" w:line="21" w:lineRule="exact"/>
        <w:rPr>
          <w:sz w:val="20"/>
          <w:szCs w:val="20"/>
          <w:color w:val="auto"/>
        </w:rPr>
      </w:pPr>
    </w:p>
    <w:p>
      <w:pPr>
        <w:ind w:left="167" w:hanging="167"/>
        <w:spacing w:after="0"/>
        <w:tabs>
          <w:tab w:leader="none" w:pos="167" w:val="left"/>
        </w:tabs>
        <w:numPr>
          <w:ilvl w:val="0"/>
          <w:numId w:val="91"/>
        </w:numPr>
        <w:rPr>
          <w:rFonts w:ascii="Arial" w:cs="Arial" w:eastAsia="Arial" w:hAnsi="Arial"/>
          <w:sz w:val="14"/>
          <w:szCs w:val="14"/>
          <w:b w:val="1"/>
          <w:bCs w:val="1"/>
          <w:color w:val="auto"/>
        </w:rPr>
      </w:pPr>
      <w:r>
        <w:rPr>
          <w:rFonts w:ascii="Arial" w:cs="Arial" w:eastAsia="Arial" w:hAnsi="Arial"/>
          <w:sz w:val="14"/>
          <w:szCs w:val="14"/>
          <w:color w:val="auto"/>
        </w:rPr>
        <w:t>Vice Chairman, Board of Trustees, Northwestern University</w:t>
      </w:r>
    </w:p>
    <w:p>
      <w:pPr>
        <w:spacing w:after="0" w:line="14" w:lineRule="exact"/>
        <w:rPr>
          <w:rFonts w:ascii="Arial" w:cs="Arial" w:eastAsia="Arial" w:hAnsi="Arial"/>
          <w:sz w:val="14"/>
          <w:szCs w:val="14"/>
          <w:b w:val="1"/>
          <w:bCs w:val="1"/>
          <w:color w:val="auto"/>
        </w:rPr>
      </w:pPr>
    </w:p>
    <w:p>
      <w:pPr>
        <w:ind w:left="167" w:hanging="167"/>
        <w:spacing w:after="0"/>
        <w:tabs>
          <w:tab w:leader="none" w:pos="167" w:val="left"/>
        </w:tabs>
        <w:numPr>
          <w:ilvl w:val="0"/>
          <w:numId w:val="91"/>
        </w:numPr>
        <w:rPr>
          <w:rFonts w:ascii="Arial" w:cs="Arial" w:eastAsia="Arial" w:hAnsi="Arial"/>
          <w:sz w:val="14"/>
          <w:szCs w:val="14"/>
          <w:b w:val="1"/>
          <w:bCs w:val="1"/>
          <w:color w:val="auto"/>
        </w:rPr>
      </w:pPr>
      <w:r>
        <w:rPr>
          <w:rFonts w:ascii="Arial" w:cs="Arial" w:eastAsia="Arial" w:hAnsi="Arial"/>
          <w:sz w:val="14"/>
          <w:szCs w:val="14"/>
          <w:color w:val="auto"/>
        </w:rPr>
        <w:t>Trustee, Memorial Sloan-Kettering Cancer Center</w:t>
      </w:r>
    </w:p>
    <w:p>
      <w:pPr>
        <w:spacing w:after="0" w:line="21" w:lineRule="exact"/>
        <w:rPr>
          <w:rFonts w:ascii="Arial" w:cs="Arial" w:eastAsia="Arial" w:hAnsi="Arial"/>
          <w:sz w:val="14"/>
          <w:szCs w:val="14"/>
          <w:b w:val="1"/>
          <w:bCs w:val="1"/>
          <w:color w:val="auto"/>
        </w:rPr>
      </w:pPr>
    </w:p>
    <w:p>
      <w:pPr>
        <w:ind w:left="187" w:right="380" w:hanging="187"/>
        <w:spacing w:after="0" w:line="266" w:lineRule="auto"/>
        <w:tabs>
          <w:tab w:leader="none" w:pos="164" w:val="left"/>
        </w:tabs>
        <w:numPr>
          <w:ilvl w:val="0"/>
          <w:numId w:val="91"/>
        </w:numPr>
        <w:rPr>
          <w:rFonts w:ascii="Arial" w:cs="Arial" w:eastAsia="Arial" w:hAnsi="Arial"/>
          <w:sz w:val="14"/>
          <w:szCs w:val="14"/>
          <w:b w:val="1"/>
          <w:bCs w:val="1"/>
          <w:color w:val="auto"/>
        </w:rPr>
      </w:pPr>
      <w:r>
        <w:rPr>
          <w:rFonts w:ascii="Arial" w:cs="Arial" w:eastAsia="Arial" w:hAnsi="Arial"/>
          <w:sz w:val="14"/>
          <w:szCs w:val="14"/>
          <w:color w:val="auto"/>
        </w:rPr>
        <w:t>Former Member and Chair of the Education &amp; Workforce Committee, Business Roundtable</w:t>
      </w:r>
    </w:p>
    <w:p>
      <w:pPr>
        <w:ind w:left="167" w:hanging="167"/>
        <w:spacing w:after="0"/>
        <w:tabs>
          <w:tab w:leader="none" w:pos="167" w:val="left"/>
        </w:tabs>
        <w:numPr>
          <w:ilvl w:val="0"/>
          <w:numId w:val="91"/>
        </w:numPr>
        <w:rPr>
          <w:rFonts w:ascii="Arial" w:cs="Arial" w:eastAsia="Arial" w:hAnsi="Arial"/>
          <w:sz w:val="14"/>
          <w:szCs w:val="14"/>
          <w:b w:val="1"/>
          <w:bCs w:val="1"/>
          <w:color w:val="auto"/>
        </w:rPr>
      </w:pPr>
      <w:r>
        <w:rPr>
          <w:rFonts w:ascii="Arial" w:cs="Arial" w:eastAsia="Arial" w:hAnsi="Arial"/>
          <w:sz w:val="14"/>
          <w:szCs w:val="14"/>
          <w:color w:val="auto"/>
        </w:rPr>
        <w:t>Former Member, President’s Export Council</w:t>
      </w:r>
    </w:p>
    <w:p>
      <w:pPr>
        <w:spacing w:after="0" w:line="1307" w:lineRule="exact"/>
        <w:rPr>
          <w:sz w:val="20"/>
          <w:szCs w:val="20"/>
          <w:color w:val="auto"/>
        </w:rPr>
      </w:pPr>
    </w:p>
    <w:p>
      <w:pPr>
        <w:sectPr>
          <w:pgSz w:w="11900" w:h="16838" w:orient="portrait"/>
          <w:cols w:equalWidth="0" w:num="3">
            <w:col w:w="2340" w:space="318"/>
            <w:col w:w="4102" w:space="313"/>
            <w:col w:w="4147"/>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Brad D. Smith</w:t>
      </w:r>
    </w:p>
    <w:p>
      <w:pPr>
        <w:spacing w:after="0" w:line="104" w:lineRule="exact"/>
        <w:rPr>
          <w:sz w:val="20"/>
          <w:szCs w:val="20"/>
          <w:color w:val="auto"/>
        </w:rPr>
      </w:pPr>
    </w:p>
    <w:p>
      <w:pPr>
        <w:ind w:left="140"/>
        <w:spacing w:after="0" w:line="261" w:lineRule="auto"/>
        <w:rPr>
          <w:sz w:val="20"/>
          <w:szCs w:val="20"/>
          <w:color w:val="auto"/>
        </w:rPr>
      </w:pPr>
      <w:r>
        <w:rPr>
          <w:rFonts w:ascii="Arial" w:cs="Arial" w:eastAsia="Arial" w:hAnsi="Arial"/>
          <w:sz w:val="14"/>
          <w:szCs w:val="14"/>
          <w:color w:val="auto"/>
        </w:rPr>
        <w:t>President of Marshall University and Retired Executive Chairman,</w:t>
      </w:r>
    </w:p>
    <w:p>
      <w:pPr>
        <w:spacing w:after="0" w:line="1" w:lineRule="exact"/>
        <w:rPr>
          <w:sz w:val="20"/>
          <w:szCs w:val="20"/>
          <w:color w:val="auto"/>
        </w:rPr>
      </w:pPr>
    </w:p>
    <w:p>
      <w:pPr>
        <w:ind w:left="140" w:right="200"/>
        <w:spacing w:after="0" w:line="284" w:lineRule="auto"/>
        <w:rPr>
          <w:sz w:val="20"/>
          <w:szCs w:val="20"/>
          <w:color w:val="auto"/>
        </w:rPr>
      </w:pPr>
      <w:r>
        <w:rPr>
          <w:rFonts w:ascii="Arial" w:cs="Arial" w:eastAsia="Arial" w:hAnsi="Arial"/>
          <w:sz w:val="14"/>
          <w:szCs w:val="14"/>
          <w:color w:val="auto"/>
        </w:rPr>
        <w:t>President and Chief Executive Officer of Intuit Inc.</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2025</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Committees:</w:t>
      </w:r>
    </w:p>
    <w:p>
      <w:pPr>
        <w:spacing w:after="0" w:line="29" w:lineRule="exact"/>
        <w:rPr>
          <w:sz w:val="20"/>
          <w:szCs w:val="20"/>
          <w:color w:val="auto"/>
        </w:rPr>
      </w:pPr>
    </w:p>
    <w:p>
      <w:pPr>
        <w:ind w:left="140" w:right="60"/>
        <w:spacing w:after="0" w:line="304" w:lineRule="auto"/>
        <w:rPr>
          <w:sz w:val="20"/>
          <w:szCs w:val="20"/>
          <w:color w:val="auto"/>
        </w:rPr>
      </w:pPr>
      <w:r>
        <w:rPr>
          <w:rFonts w:ascii="Arial" w:cs="Arial" w:eastAsia="Arial" w:hAnsi="Arial"/>
          <w:sz w:val="14"/>
          <w:szCs w:val="14"/>
          <w:color w:val="auto"/>
        </w:rPr>
        <w:t>Public Responsibility Committee Risk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Qualification Highlights</w:t>
      </w:r>
    </w:p>
    <w:p>
      <w:pPr>
        <w:spacing w:after="0" w:line="15" w:lineRule="exact"/>
        <w:rPr>
          <w:sz w:val="20"/>
          <w:szCs w:val="20"/>
          <w:color w:val="auto"/>
        </w:rPr>
      </w:pPr>
    </w:p>
    <w:p>
      <w:pPr>
        <w:ind w:left="202" w:hanging="202"/>
        <w:spacing w:after="0" w:line="275" w:lineRule="auto"/>
        <w:tabs>
          <w:tab w:leader="none" w:pos="179" w:val="left"/>
        </w:tabs>
        <w:numPr>
          <w:ilvl w:val="0"/>
          <w:numId w:val="9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Technology: </w:t>
      </w:r>
      <w:r>
        <w:rPr>
          <w:rFonts w:ascii="Arial" w:cs="Arial" w:eastAsia="Arial" w:hAnsi="Arial"/>
          <w:sz w:val="14"/>
          <w:szCs w:val="14"/>
          <w:color w:val="auto"/>
        </w:rPr>
        <w:t>As former CEO of Intuit, brings valuable insight</w:t>
      </w:r>
      <w:r>
        <w:rPr>
          <w:rFonts w:ascii="Arial" w:cs="Arial" w:eastAsia="Arial" w:hAnsi="Arial"/>
          <w:sz w:val="14"/>
          <w:szCs w:val="14"/>
          <w:b w:val="1"/>
          <w:bCs w:val="1"/>
          <w:color w:val="auto"/>
        </w:rPr>
        <w:t xml:space="preserve"> </w:t>
      </w:r>
      <w:r>
        <w:rPr>
          <w:rFonts w:ascii="Arial" w:cs="Arial" w:eastAsia="Arial" w:hAnsi="Arial"/>
          <w:sz w:val="14"/>
          <w:szCs w:val="14"/>
          <w:color w:val="auto"/>
        </w:rPr>
        <w:t>on transformational technology, cybersecurity and data privacy and security</w:t>
      </w:r>
    </w:p>
    <w:p>
      <w:pPr>
        <w:ind w:left="202" w:right="40" w:hanging="202"/>
        <w:spacing w:after="0" w:line="281" w:lineRule="auto"/>
        <w:tabs>
          <w:tab w:leader="none" w:pos="179" w:val="left"/>
        </w:tabs>
        <w:numPr>
          <w:ilvl w:val="0"/>
          <w:numId w:val="9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Risk Management and Controls: </w:t>
      </w:r>
      <w:r>
        <w:rPr>
          <w:rFonts w:ascii="Arial" w:cs="Arial" w:eastAsia="Arial" w:hAnsi="Arial"/>
          <w:sz w:val="14"/>
          <w:szCs w:val="14"/>
          <w:color w:val="auto"/>
        </w:rPr>
        <w:t>Expertise in navigating</w:t>
      </w:r>
      <w:r>
        <w:rPr>
          <w:rFonts w:ascii="Arial" w:cs="Arial" w:eastAsia="Arial" w:hAnsi="Arial"/>
          <w:sz w:val="14"/>
          <w:szCs w:val="14"/>
          <w:b w:val="1"/>
          <w:bCs w:val="1"/>
          <w:color w:val="auto"/>
        </w:rPr>
        <w:t xml:space="preserve"> </w:t>
      </w:r>
      <w:r>
        <w:rPr>
          <w:rFonts w:ascii="Arial" w:cs="Arial" w:eastAsia="Arial" w:hAnsi="Arial"/>
          <w:sz w:val="14"/>
          <w:szCs w:val="14"/>
          <w:color w:val="auto"/>
        </w:rPr>
        <w:t>complex business and financial risks in an innovative sector</w:t>
      </w:r>
    </w:p>
    <w:p>
      <w:pPr>
        <w:spacing w:after="0" w:line="1" w:lineRule="exact"/>
        <w:rPr>
          <w:rFonts w:ascii="Arial" w:cs="Arial" w:eastAsia="Arial" w:hAnsi="Arial"/>
          <w:sz w:val="14"/>
          <w:szCs w:val="14"/>
          <w:b w:val="1"/>
          <w:bCs w:val="1"/>
          <w:color w:val="auto"/>
        </w:rPr>
      </w:pPr>
    </w:p>
    <w:p>
      <w:pPr>
        <w:ind w:left="202" w:right="40" w:hanging="202"/>
        <w:spacing w:after="0" w:line="275" w:lineRule="auto"/>
        <w:tabs>
          <w:tab w:leader="none" w:pos="179" w:val="left"/>
        </w:tabs>
        <w:numPr>
          <w:ilvl w:val="0"/>
          <w:numId w:val="9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Financial Services: </w:t>
      </w:r>
      <w:r>
        <w:rPr>
          <w:rFonts w:ascii="Arial" w:cs="Arial" w:eastAsia="Arial" w:hAnsi="Arial"/>
          <w:sz w:val="14"/>
          <w:szCs w:val="14"/>
          <w:color w:val="auto"/>
        </w:rPr>
        <w:t>Executive leadership focused on data-driven growth and innovation in the financial technology and consumer financial services industry</w:t>
      </w:r>
    </w:p>
    <w:p>
      <w:pPr>
        <w:jc w:val="both"/>
        <w:ind w:left="202" w:right="520" w:hanging="202"/>
        <w:spacing w:after="0" w:line="302" w:lineRule="auto"/>
        <w:tabs>
          <w:tab w:leader="none" w:pos="179" w:val="left"/>
        </w:tabs>
        <w:numPr>
          <w:ilvl w:val="0"/>
          <w:numId w:val="9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Sustainability: </w:t>
      </w:r>
      <w:r>
        <w:rPr>
          <w:rFonts w:ascii="Arial" w:cs="Arial" w:eastAsia="Arial" w:hAnsi="Arial"/>
          <w:sz w:val="14"/>
          <w:szCs w:val="14"/>
          <w:color w:val="auto"/>
        </w:rPr>
        <w:t>Demonstrated leadership in creating</w:t>
      </w:r>
      <w:r>
        <w:rPr>
          <w:rFonts w:ascii="Arial" w:cs="Arial" w:eastAsia="Arial" w:hAnsi="Arial"/>
          <w:sz w:val="14"/>
          <w:szCs w:val="14"/>
          <w:b w:val="1"/>
          <w:bCs w:val="1"/>
          <w:color w:val="auto"/>
        </w:rPr>
        <w:t xml:space="preserve"> </w:t>
      </w:r>
      <w:r>
        <w:rPr>
          <w:rFonts w:ascii="Arial" w:cs="Arial" w:eastAsia="Arial" w:hAnsi="Arial"/>
          <w:sz w:val="14"/>
          <w:szCs w:val="14"/>
          <w:color w:val="auto"/>
        </w:rPr>
        <w:t>opportunities for inclusive educational and economic development for underserved communities</w:t>
      </w:r>
    </w:p>
    <w:p>
      <w:pPr>
        <w:spacing w:after="0" w:line="66"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Career Highlights</w:t>
      </w:r>
    </w:p>
    <w:p>
      <w:pPr>
        <w:spacing w:after="0" w:line="29" w:lineRule="exact"/>
        <w:rPr>
          <w:sz w:val="20"/>
          <w:szCs w:val="20"/>
          <w:color w:val="auto"/>
        </w:rPr>
      </w:pPr>
    </w:p>
    <w:p>
      <w:pPr>
        <w:ind w:left="2"/>
        <w:spacing w:after="0"/>
        <w:rPr>
          <w:sz w:val="20"/>
          <w:szCs w:val="20"/>
          <w:color w:val="auto"/>
        </w:rPr>
      </w:pPr>
      <w:r>
        <w:rPr>
          <w:rFonts w:ascii="Arial" w:cs="Arial" w:eastAsia="Arial" w:hAnsi="Arial"/>
          <w:sz w:val="14"/>
          <w:szCs w:val="14"/>
          <w:color w:val="auto"/>
        </w:rPr>
        <w:t>Marshall University, a public research university</w:t>
      </w:r>
    </w:p>
    <w:p>
      <w:pPr>
        <w:spacing w:after="0" w:line="15" w:lineRule="exact"/>
        <w:rPr>
          <w:sz w:val="20"/>
          <w:szCs w:val="20"/>
          <w:color w:val="auto"/>
        </w:rPr>
      </w:pPr>
    </w:p>
    <w:p>
      <w:pPr>
        <w:ind w:left="182" w:hanging="182"/>
        <w:spacing w:after="0"/>
        <w:tabs>
          <w:tab w:leader="none" w:pos="182" w:val="left"/>
        </w:tabs>
        <w:numPr>
          <w:ilvl w:val="0"/>
          <w:numId w:val="93"/>
        </w:numPr>
        <w:rPr>
          <w:rFonts w:ascii="Arial" w:cs="Arial" w:eastAsia="Arial" w:hAnsi="Arial"/>
          <w:sz w:val="14"/>
          <w:szCs w:val="14"/>
          <w:b w:val="1"/>
          <w:bCs w:val="1"/>
          <w:color w:val="auto"/>
        </w:rPr>
      </w:pPr>
      <w:r>
        <w:rPr>
          <w:rFonts w:ascii="Arial" w:cs="Arial" w:eastAsia="Arial" w:hAnsi="Arial"/>
          <w:sz w:val="14"/>
          <w:szCs w:val="14"/>
          <w:color w:val="auto"/>
        </w:rPr>
        <w:t>President (since 2022)</w:t>
      </w:r>
    </w:p>
    <w:p>
      <w:pPr>
        <w:spacing w:after="0" w:line="67" w:lineRule="exact"/>
        <w:rPr>
          <w:sz w:val="20"/>
          <w:szCs w:val="20"/>
          <w:color w:val="auto"/>
        </w:rPr>
      </w:pPr>
    </w:p>
    <w:p>
      <w:pPr>
        <w:ind w:left="2"/>
        <w:spacing w:after="0"/>
        <w:rPr>
          <w:sz w:val="20"/>
          <w:szCs w:val="20"/>
          <w:color w:val="auto"/>
        </w:rPr>
      </w:pPr>
      <w:r>
        <w:rPr>
          <w:rFonts w:ascii="Arial" w:cs="Arial" w:eastAsia="Arial" w:hAnsi="Arial"/>
          <w:sz w:val="14"/>
          <w:szCs w:val="14"/>
          <w:color w:val="auto"/>
        </w:rPr>
        <w:t>Intuit Inc., a global financial technology company</w:t>
      </w:r>
    </w:p>
    <w:p>
      <w:pPr>
        <w:spacing w:after="0" w:line="29" w:lineRule="exact"/>
        <w:rPr>
          <w:sz w:val="20"/>
          <w:szCs w:val="20"/>
          <w:color w:val="auto"/>
        </w:rPr>
      </w:pPr>
    </w:p>
    <w:p>
      <w:pPr>
        <w:ind w:left="182" w:hanging="182"/>
        <w:spacing w:after="0"/>
        <w:tabs>
          <w:tab w:leader="none" w:pos="182" w:val="left"/>
        </w:tabs>
        <w:numPr>
          <w:ilvl w:val="0"/>
          <w:numId w:val="94"/>
        </w:numPr>
        <w:rPr>
          <w:rFonts w:ascii="Arial" w:cs="Arial" w:eastAsia="Arial" w:hAnsi="Arial"/>
          <w:sz w:val="14"/>
          <w:szCs w:val="14"/>
          <w:b w:val="1"/>
          <w:bCs w:val="1"/>
          <w:color w:val="auto"/>
        </w:rPr>
      </w:pPr>
      <w:r>
        <w:rPr>
          <w:rFonts w:ascii="Arial" w:cs="Arial" w:eastAsia="Arial" w:hAnsi="Arial"/>
          <w:sz w:val="14"/>
          <w:szCs w:val="14"/>
          <w:color w:val="auto"/>
        </w:rPr>
        <w:t>Executive Chairman (2019-2021)</w:t>
      </w:r>
    </w:p>
    <w:p>
      <w:pPr>
        <w:spacing w:after="0" w:line="27" w:lineRule="exact"/>
        <w:rPr>
          <w:rFonts w:ascii="Arial" w:cs="Arial" w:eastAsia="Arial" w:hAnsi="Arial"/>
          <w:sz w:val="14"/>
          <w:szCs w:val="14"/>
          <w:b w:val="1"/>
          <w:bCs w:val="1"/>
          <w:color w:val="auto"/>
        </w:rPr>
      </w:pPr>
    </w:p>
    <w:p>
      <w:pPr>
        <w:ind w:left="182" w:hanging="182"/>
        <w:spacing w:after="0"/>
        <w:tabs>
          <w:tab w:leader="none" w:pos="182" w:val="left"/>
        </w:tabs>
        <w:numPr>
          <w:ilvl w:val="0"/>
          <w:numId w:val="94"/>
        </w:numPr>
        <w:rPr>
          <w:rFonts w:ascii="Arial" w:cs="Arial" w:eastAsia="Arial" w:hAnsi="Arial"/>
          <w:sz w:val="14"/>
          <w:szCs w:val="14"/>
          <w:b w:val="1"/>
          <w:bCs w:val="1"/>
          <w:color w:val="auto"/>
        </w:rPr>
      </w:pPr>
      <w:r>
        <w:rPr>
          <w:rFonts w:ascii="Arial" w:cs="Arial" w:eastAsia="Arial" w:hAnsi="Arial"/>
          <w:sz w:val="14"/>
          <w:szCs w:val="14"/>
          <w:color w:val="auto"/>
        </w:rPr>
        <w:t>Chairman (2016-2018)</w:t>
      </w:r>
    </w:p>
    <w:p>
      <w:pPr>
        <w:spacing w:after="0" w:line="21" w:lineRule="exact"/>
        <w:rPr>
          <w:rFonts w:ascii="Arial" w:cs="Arial" w:eastAsia="Arial" w:hAnsi="Arial"/>
          <w:sz w:val="14"/>
          <w:szCs w:val="14"/>
          <w:b w:val="1"/>
          <w:bCs w:val="1"/>
          <w:color w:val="auto"/>
        </w:rPr>
      </w:pPr>
    </w:p>
    <w:p>
      <w:pPr>
        <w:ind w:left="182" w:hanging="182"/>
        <w:spacing w:after="0"/>
        <w:tabs>
          <w:tab w:leader="none" w:pos="182" w:val="left"/>
        </w:tabs>
        <w:numPr>
          <w:ilvl w:val="0"/>
          <w:numId w:val="94"/>
        </w:numPr>
        <w:rPr>
          <w:rFonts w:ascii="Arial" w:cs="Arial" w:eastAsia="Arial" w:hAnsi="Arial"/>
          <w:sz w:val="14"/>
          <w:szCs w:val="14"/>
          <w:b w:val="1"/>
          <w:bCs w:val="1"/>
          <w:color w:val="auto"/>
        </w:rPr>
      </w:pPr>
      <w:r>
        <w:rPr>
          <w:rFonts w:ascii="Arial" w:cs="Arial" w:eastAsia="Arial" w:hAnsi="Arial"/>
          <w:sz w:val="14"/>
          <w:szCs w:val="14"/>
          <w:color w:val="auto"/>
        </w:rPr>
        <w:t>President and Chief Executive Officer (2008-2018)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Education</w:t>
      </w:r>
    </w:p>
    <w:p>
      <w:pPr>
        <w:spacing w:after="0" w:line="29" w:lineRule="exact"/>
        <w:rPr>
          <w:sz w:val="20"/>
          <w:szCs w:val="20"/>
          <w:color w:val="auto"/>
        </w:rPr>
      </w:pPr>
    </w:p>
    <w:p>
      <w:pPr>
        <w:ind w:left="167" w:hanging="167"/>
        <w:spacing w:after="0"/>
        <w:tabs>
          <w:tab w:leader="none" w:pos="167" w:val="left"/>
        </w:tabs>
        <w:numPr>
          <w:ilvl w:val="0"/>
          <w:numId w:val="95"/>
        </w:numPr>
        <w:rPr>
          <w:rFonts w:ascii="Arial" w:cs="Arial" w:eastAsia="Arial" w:hAnsi="Arial"/>
          <w:sz w:val="14"/>
          <w:szCs w:val="14"/>
          <w:b w:val="1"/>
          <w:bCs w:val="1"/>
          <w:color w:val="auto"/>
        </w:rPr>
      </w:pPr>
      <w:r>
        <w:rPr>
          <w:rFonts w:ascii="Arial" w:cs="Arial" w:eastAsia="Arial" w:hAnsi="Arial"/>
          <w:sz w:val="14"/>
          <w:szCs w:val="14"/>
          <w:color w:val="auto"/>
        </w:rPr>
        <w:t>Graduate of Marshall University</w:t>
      </w:r>
    </w:p>
    <w:p>
      <w:pPr>
        <w:spacing w:after="0" w:line="21" w:lineRule="exact"/>
        <w:rPr>
          <w:rFonts w:ascii="Arial" w:cs="Arial" w:eastAsia="Arial" w:hAnsi="Arial"/>
          <w:sz w:val="14"/>
          <w:szCs w:val="14"/>
          <w:b w:val="1"/>
          <w:bCs w:val="1"/>
          <w:color w:val="auto"/>
        </w:rPr>
      </w:pPr>
    </w:p>
    <w:p>
      <w:pPr>
        <w:ind w:left="167" w:hanging="167"/>
        <w:spacing w:after="0"/>
        <w:tabs>
          <w:tab w:leader="none" w:pos="167" w:val="left"/>
        </w:tabs>
        <w:numPr>
          <w:ilvl w:val="0"/>
          <w:numId w:val="95"/>
        </w:numPr>
        <w:rPr>
          <w:rFonts w:ascii="Arial" w:cs="Arial" w:eastAsia="Arial" w:hAnsi="Arial"/>
          <w:sz w:val="14"/>
          <w:szCs w:val="14"/>
          <w:b w:val="1"/>
          <w:bCs w:val="1"/>
          <w:color w:val="auto"/>
        </w:rPr>
      </w:pPr>
      <w:r>
        <w:rPr>
          <w:rFonts w:ascii="Arial" w:cs="Arial" w:eastAsia="Arial" w:hAnsi="Arial"/>
          <w:sz w:val="14"/>
          <w:szCs w:val="14"/>
          <w:color w:val="auto"/>
        </w:rPr>
        <w:t>Master of Management, Aquinas College</w:t>
      </w:r>
    </w:p>
    <w:p>
      <w:pPr>
        <w:spacing w:after="0" w:line="129"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b w:val="1"/>
          <w:bCs w:val="1"/>
          <w:color w:val="8F5A39"/>
        </w:rPr>
        <w:t>Other U.S.-Listed Public Company Directorships Within the Past Five Years</w:t>
      </w:r>
    </w:p>
    <w:p>
      <w:pPr>
        <w:ind w:left="167" w:hanging="167"/>
        <w:spacing w:after="0"/>
        <w:tabs>
          <w:tab w:leader="none" w:pos="167" w:val="left"/>
        </w:tabs>
        <w:numPr>
          <w:ilvl w:val="0"/>
          <w:numId w:val="96"/>
        </w:numPr>
        <w:rPr>
          <w:rFonts w:ascii="Arial" w:cs="Arial" w:eastAsia="Arial" w:hAnsi="Arial"/>
          <w:sz w:val="14"/>
          <w:szCs w:val="14"/>
          <w:b w:val="1"/>
          <w:bCs w:val="1"/>
          <w:color w:val="auto"/>
        </w:rPr>
      </w:pPr>
      <w:r>
        <w:rPr>
          <w:rFonts w:ascii="Arial" w:cs="Arial" w:eastAsia="Arial" w:hAnsi="Arial"/>
          <w:sz w:val="14"/>
          <w:szCs w:val="14"/>
          <w:color w:val="auto"/>
        </w:rPr>
        <w:t>Amazon.com, Inc. (since 2023)</w:t>
      </w:r>
    </w:p>
    <w:p>
      <w:pPr>
        <w:spacing w:after="0" w:line="28" w:lineRule="exact"/>
        <w:rPr>
          <w:rFonts w:ascii="Arial" w:cs="Arial" w:eastAsia="Arial" w:hAnsi="Arial"/>
          <w:sz w:val="14"/>
          <w:szCs w:val="14"/>
          <w:b w:val="1"/>
          <w:bCs w:val="1"/>
          <w:color w:val="auto"/>
        </w:rPr>
      </w:pPr>
    </w:p>
    <w:p>
      <w:pPr>
        <w:ind w:left="167" w:hanging="167"/>
        <w:spacing w:after="0"/>
        <w:tabs>
          <w:tab w:leader="none" w:pos="167" w:val="left"/>
        </w:tabs>
        <w:numPr>
          <w:ilvl w:val="0"/>
          <w:numId w:val="96"/>
        </w:numPr>
        <w:rPr>
          <w:rFonts w:ascii="Arial" w:cs="Arial" w:eastAsia="Arial" w:hAnsi="Arial"/>
          <w:sz w:val="14"/>
          <w:szCs w:val="14"/>
          <w:b w:val="1"/>
          <w:bCs w:val="1"/>
          <w:color w:val="auto"/>
        </w:rPr>
      </w:pPr>
      <w:r>
        <w:rPr>
          <w:rFonts w:ascii="Arial" w:cs="Arial" w:eastAsia="Arial" w:hAnsi="Arial"/>
          <w:sz w:val="14"/>
          <w:szCs w:val="14"/>
          <w:color w:val="auto"/>
        </w:rPr>
        <w:t>Humana Inc. (2022-2025)</w:t>
      </w:r>
    </w:p>
    <w:p>
      <w:pPr>
        <w:spacing w:after="0" w:line="28" w:lineRule="exact"/>
        <w:rPr>
          <w:rFonts w:ascii="Arial" w:cs="Arial" w:eastAsia="Arial" w:hAnsi="Arial"/>
          <w:sz w:val="14"/>
          <w:szCs w:val="14"/>
          <w:b w:val="1"/>
          <w:bCs w:val="1"/>
          <w:color w:val="auto"/>
        </w:rPr>
      </w:pPr>
    </w:p>
    <w:p>
      <w:pPr>
        <w:ind w:left="187" w:right="240" w:hanging="187"/>
        <w:spacing w:after="0" w:line="276" w:lineRule="auto"/>
        <w:tabs>
          <w:tab w:leader="none" w:pos="164" w:val="left"/>
        </w:tabs>
        <w:numPr>
          <w:ilvl w:val="0"/>
          <w:numId w:val="96"/>
        </w:numPr>
        <w:rPr>
          <w:rFonts w:ascii="Arial" w:cs="Arial" w:eastAsia="Arial" w:hAnsi="Arial"/>
          <w:sz w:val="14"/>
          <w:szCs w:val="14"/>
          <w:b w:val="1"/>
          <w:bCs w:val="1"/>
          <w:color w:val="auto"/>
        </w:rPr>
      </w:pPr>
      <w:r>
        <w:rPr>
          <w:rFonts w:ascii="Arial" w:cs="Arial" w:eastAsia="Arial" w:hAnsi="Arial"/>
          <w:sz w:val="14"/>
          <w:szCs w:val="14"/>
          <w:color w:val="auto"/>
        </w:rPr>
        <w:t>SurveyMonkey, formerly Momentive Global Inc. and SVMK Inc. (2017-2022)</w:t>
      </w:r>
    </w:p>
    <w:p>
      <w:pPr>
        <w:ind w:left="167" w:hanging="167"/>
        <w:spacing w:after="0"/>
        <w:tabs>
          <w:tab w:leader="none" w:pos="167" w:val="left"/>
        </w:tabs>
        <w:numPr>
          <w:ilvl w:val="0"/>
          <w:numId w:val="96"/>
        </w:numPr>
        <w:rPr>
          <w:rFonts w:ascii="Arial" w:cs="Arial" w:eastAsia="Arial" w:hAnsi="Arial"/>
          <w:sz w:val="14"/>
          <w:szCs w:val="14"/>
          <w:b w:val="1"/>
          <w:bCs w:val="1"/>
          <w:color w:val="auto"/>
        </w:rPr>
      </w:pPr>
      <w:r>
        <w:rPr>
          <w:rFonts w:ascii="Arial" w:cs="Arial" w:eastAsia="Arial" w:hAnsi="Arial"/>
          <w:sz w:val="14"/>
          <w:szCs w:val="14"/>
          <w:color w:val="auto"/>
        </w:rPr>
        <w:t>Nordstrom, Inc. (2013-2022)</w:t>
      </w:r>
    </w:p>
    <w:p>
      <w:pPr>
        <w:spacing w:after="0" w:line="21" w:lineRule="exact"/>
        <w:rPr>
          <w:rFonts w:ascii="Arial" w:cs="Arial" w:eastAsia="Arial" w:hAnsi="Arial"/>
          <w:sz w:val="14"/>
          <w:szCs w:val="14"/>
          <w:b w:val="1"/>
          <w:bCs w:val="1"/>
          <w:color w:val="auto"/>
        </w:rPr>
      </w:pPr>
    </w:p>
    <w:p>
      <w:pPr>
        <w:ind w:left="167" w:hanging="167"/>
        <w:spacing w:after="0"/>
        <w:tabs>
          <w:tab w:leader="none" w:pos="167" w:val="left"/>
        </w:tabs>
        <w:numPr>
          <w:ilvl w:val="0"/>
          <w:numId w:val="96"/>
        </w:numPr>
        <w:rPr>
          <w:rFonts w:ascii="Arial" w:cs="Arial" w:eastAsia="Arial" w:hAnsi="Arial"/>
          <w:sz w:val="14"/>
          <w:szCs w:val="14"/>
          <w:b w:val="1"/>
          <w:bCs w:val="1"/>
          <w:color w:val="auto"/>
        </w:rPr>
      </w:pPr>
      <w:r>
        <w:rPr>
          <w:rFonts w:ascii="Arial" w:cs="Arial" w:eastAsia="Arial" w:hAnsi="Arial"/>
          <w:sz w:val="14"/>
          <w:szCs w:val="14"/>
          <w:color w:val="auto"/>
        </w:rPr>
        <w:t>Intuit Inc. (2008-2022)</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Other Experience</w:t>
      </w:r>
    </w:p>
    <w:p>
      <w:pPr>
        <w:spacing w:after="0" w:line="35" w:lineRule="exact"/>
        <w:rPr>
          <w:sz w:val="20"/>
          <w:szCs w:val="20"/>
          <w:color w:val="auto"/>
        </w:rPr>
      </w:pPr>
    </w:p>
    <w:p>
      <w:pPr>
        <w:ind w:left="167" w:hanging="167"/>
        <w:spacing w:after="0"/>
        <w:tabs>
          <w:tab w:leader="none" w:pos="167" w:val="left"/>
        </w:tabs>
        <w:numPr>
          <w:ilvl w:val="0"/>
          <w:numId w:val="97"/>
        </w:numPr>
        <w:rPr>
          <w:rFonts w:ascii="Arial" w:cs="Arial" w:eastAsia="Arial" w:hAnsi="Arial"/>
          <w:sz w:val="14"/>
          <w:szCs w:val="14"/>
          <w:b w:val="1"/>
          <w:bCs w:val="1"/>
          <w:color w:val="auto"/>
        </w:rPr>
      </w:pPr>
      <w:r>
        <w:rPr>
          <w:rFonts w:ascii="Arial" w:cs="Arial" w:eastAsia="Arial" w:hAnsi="Arial"/>
          <w:sz w:val="14"/>
          <w:szCs w:val="14"/>
          <w:color w:val="auto"/>
        </w:rPr>
        <w:t>Co-Founder, Wing 2 Wing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2170430</wp:posOffset>
            </wp:positionV>
            <wp:extent cx="651510" cy="857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343" w:lineRule="exact"/>
        <w:rPr>
          <w:sz w:val="20"/>
          <w:szCs w:val="20"/>
          <w:color w:val="auto"/>
        </w:rPr>
      </w:pPr>
    </w:p>
    <w:p>
      <w:pPr>
        <w:sectPr>
          <w:pgSz w:w="11900" w:h="16838" w:orient="portrait"/>
          <w:cols w:equalWidth="0" w:num="3">
            <w:col w:w="2260" w:space="398"/>
            <w:col w:w="4042" w:space="373"/>
            <w:col w:w="4147"/>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16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8100"/>
        <w:spacing w:after="0"/>
        <w:rPr>
          <w:sz w:val="20"/>
          <w:szCs w:val="20"/>
          <w:color w:val="auto"/>
        </w:rPr>
      </w:pPr>
      <w:r>
        <w:rPr>
          <w:rFonts w:ascii="Arial" w:cs="Arial" w:eastAsia="Arial" w:hAnsi="Arial"/>
          <w:sz w:val="14"/>
          <w:szCs w:val="14"/>
          <w:color w:val="8F5A39"/>
        </w:rPr>
        <w:t xml:space="preserve">Director nominees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232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Director nominees</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2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5486400" cy="41922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86400" cy="419227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rPr>
          <w:sz w:val="20"/>
          <w:szCs w:val="20"/>
          <w:color w:val="auto"/>
        </w:rPr>
      </w:pPr>
      <w:r>
        <w:rPr>
          <w:rFonts w:ascii="Arial" w:cs="Arial" w:eastAsia="Arial" w:hAnsi="Arial"/>
          <w:sz w:val="25"/>
          <w:szCs w:val="25"/>
          <w:color w:val="8F5A39"/>
        </w:rPr>
        <w:t>Mark A. Weinberger</w:t>
      </w:r>
    </w:p>
    <w:p>
      <w:pPr>
        <w:spacing w:after="0" w:line="360" w:lineRule="exact"/>
        <w:rPr>
          <w:sz w:val="20"/>
          <w:szCs w:val="20"/>
          <w:color w:val="auto"/>
        </w:rPr>
      </w:pPr>
    </w:p>
    <w:p>
      <w:pPr>
        <w:ind w:left="140" w:right="100"/>
        <w:spacing w:after="0" w:line="303" w:lineRule="auto"/>
        <w:rPr>
          <w:sz w:val="20"/>
          <w:szCs w:val="20"/>
          <w:color w:val="auto"/>
        </w:rPr>
      </w:pPr>
      <w:r>
        <w:rPr>
          <w:rFonts w:ascii="Arial" w:cs="Arial" w:eastAsia="Arial" w:hAnsi="Arial"/>
          <w:sz w:val="14"/>
          <w:szCs w:val="14"/>
          <w:color w:val="auto"/>
        </w:rPr>
        <w:t>Retired Global Chairman and Chief Executive Officer of Ernst &amp; Young LLP (“EY”)</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2024</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Committees: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1244600</wp:posOffset>
            </wp:positionV>
            <wp:extent cx="651510" cy="857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Qualification Highlights</w:t>
      </w:r>
    </w:p>
    <w:p>
      <w:pPr>
        <w:spacing w:after="0" w:line="35" w:lineRule="exact"/>
        <w:rPr>
          <w:sz w:val="20"/>
          <w:szCs w:val="20"/>
          <w:color w:val="auto"/>
        </w:rPr>
      </w:pPr>
    </w:p>
    <w:p>
      <w:pPr>
        <w:ind w:left="202" w:right="100" w:hanging="202"/>
        <w:spacing w:after="0" w:line="271" w:lineRule="auto"/>
        <w:tabs>
          <w:tab w:leader="none" w:pos="179"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Finance and Accounting: </w:t>
      </w:r>
      <w:r>
        <w:rPr>
          <w:rFonts w:ascii="Arial" w:cs="Arial" w:eastAsia="Arial" w:hAnsi="Arial"/>
          <w:sz w:val="14"/>
          <w:szCs w:val="14"/>
          <w:color w:val="auto"/>
        </w:rPr>
        <w:t>Distinctive expertise in finance,</w:t>
      </w:r>
      <w:r>
        <w:rPr>
          <w:rFonts w:ascii="Arial" w:cs="Arial" w:eastAsia="Arial" w:hAnsi="Arial"/>
          <w:sz w:val="14"/>
          <w:szCs w:val="14"/>
          <w:b w:val="1"/>
          <w:bCs w:val="1"/>
          <w:color w:val="auto"/>
        </w:rPr>
        <w:t xml:space="preserve"> </w:t>
      </w:r>
      <w:r>
        <w:rPr>
          <w:rFonts w:ascii="Arial" w:cs="Arial" w:eastAsia="Arial" w:hAnsi="Arial"/>
          <w:sz w:val="14"/>
          <w:szCs w:val="14"/>
          <w:color w:val="auto"/>
        </w:rPr>
        <w:t>tax and accountancy from leadership roles in those fields for over three decades prior to his retirement</w:t>
      </w:r>
    </w:p>
    <w:p>
      <w:pPr>
        <w:spacing w:after="0" w:line="1" w:lineRule="exact"/>
        <w:rPr>
          <w:rFonts w:ascii="Arial" w:cs="Arial" w:eastAsia="Arial" w:hAnsi="Arial"/>
          <w:sz w:val="14"/>
          <w:szCs w:val="14"/>
          <w:b w:val="1"/>
          <w:bCs w:val="1"/>
          <w:color w:val="auto"/>
        </w:rPr>
      </w:pPr>
    </w:p>
    <w:p>
      <w:pPr>
        <w:jc w:val="both"/>
        <w:ind w:left="202" w:right="160" w:hanging="202"/>
        <w:spacing w:after="0" w:line="271" w:lineRule="auto"/>
        <w:tabs>
          <w:tab w:leader="none" w:pos="179"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Leadership of a Large, Complex Organization: </w:t>
      </w:r>
      <w:r>
        <w:rPr>
          <w:rFonts w:ascii="Arial" w:cs="Arial" w:eastAsia="Arial" w:hAnsi="Arial"/>
          <w:sz w:val="14"/>
          <w:szCs w:val="14"/>
          <w:color w:val="auto"/>
        </w:rPr>
        <w:t>Led over</w:t>
      </w:r>
      <w:r>
        <w:rPr>
          <w:rFonts w:ascii="Arial" w:cs="Arial" w:eastAsia="Arial" w:hAnsi="Arial"/>
          <w:sz w:val="14"/>
          <w:szCs w:val="14"/>
          <w:b w:val="1"/>
          <w:bCs w:val="1"/>
          <w:color w:val="auto"/>
        </w:rPr>
        <w:t xml:space="preserve"> </w:t>
      </w:r>
      <w:r>
        <w:rPr>
          <w:rFonts w:ascii="Arial" w:cs="Arial" w:eastAsia="Arial" w:hAnsi="Arial"/>
          <w:sz w:val="14"/>
          <w:szCs w:val="14"/>
          <w:color w:val="auto"/>
        </w:rPr>
        <w:t>270,000 people in over 150 countries as the former CEO of</w:t>
      </w:r>
    </w:p>
    <w:p>
      <w:pPr>
        <w:ind w:left="202"/>
        <w:spacing w:after="0"/>
        <w:rPr>
          <w:rFonts w:ascii="Arial" w:cs="Arial" w:eastAsia="Arial" w:hAnsi="Arial"/>
          <w:sz w:val="14"/>
          <w:szCs w:val="14"/>
          <w:b w:val="1"/>
          <w:bCs w:val="1"/>
          <w:color w:val="auto"/>
        </w:rPr>
      </w:pPr>
      <w:r>
        <w:rPr>
          <w:rFonts w:ascii="Arial" w:cs="Arial" w:eastAsia="Arial" w:hAnsi="Arial"/>
          <w:sz w:val="14"/>
          <w:szCs w:val="14"/>
          <w:color w:val="auto"/>
        </w:rPr>
        <w:t>EY</w:t>
      </w:r>
    </w:p>
    <w:p>
      <w:pPr>
        <w:spacing w:after="0" w:line="14" w:lineRule="exact"/>
        <w:rPr>
          <w:rFonts w:ascii="Arial" w:cs="Arial" w:eastAsia="Arial" w:hAnsi="Arial"/>
          <w:sz w:val="14"/>
          <w:szCs w:val="14"/>
          <w:b w:val="1"/>
          <w:bCs w:val="1"/>
          <w:color w:val="auto"/>
        </w:rPr>
      </w:pPr>
    </w:p>
    <w:p>
      <w:pPr>
        <w:ind w:left="202" w:hanging="202"/>
        <w:spacing w:after="0" w:line="268" w:lineRule="auto"/>
        <w:tabs>
          <w:tab w:leader="none" w:pos="179"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Regulated Industries: </w:t>
      </w:r>
      <w:r>
        <w:rPr>
          <w:rFonts w:ascii="Arial" w:cs="Arial" w:eastAsia="Arial" w:hAnsi="Arial"/>
          <w:sz w:val="14"/>
          <w:szCs w:val="14"/>
          <w:color w:val="auto"/>
        </w:rPr>
        <w:t>Comprehensive experience in a highly</w:t>
      </w:r>
      <w:r>
        <w:rPr>
          <w:rFonts w:ascii="Arial" w:cs="Arial" w:eastAsia="Arial" w:hAnsi="Arial"/>
          <w:sz w:val="14"/>
          <w:szCs w:val="14"/>
          <w:b w:val="1"/>
          <w:bCs w:val="1"/>
          <w:color w:val="auto"/>
        </w:rPr>
        <w:t xml:space="preserve"> </w:t>
      </w:r>
      <w:r>
        <w:rPr>
          <w:rFonts w:ascii="Arial" w:cs="Arial" w:eastAsia="Arial" w:hAnsi="Arial"/>
          <w:sz w:val="14"/>
          <w:szCs w:val="14"/>
          <w:color w:val="auto"/>
        </w:rPr>
        <w:t>regulated industry combined with government policy and legislative positions</w:t>
      </w:r>
    </w:p>
    <w:p>
      <w:pPr>
        <w:ind w:left="202" w:right="500" w:hanging="202"/>
        <w:spacing w:after="0" w:line="283" w:lineRule="auto"/>
        <w:tabs>
          <w:tab w:leader="none" w:pos="179"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Sustainability: </w:t>
      </w:r>
      <w:r>
        <w:rPr>
          <w:rFonts w:ascii="Arial" w:cs="Arial" w:eastAsia="Arial" w:hAnsi="Arial"/>
          <w:sz w:val="14"/>
          <w:szCs w:val="14"/>
          <w:color w:val="auto"/>
        </w:rPr>
        <w:t>Unique perspective gained through</w:t>
      </w:r>
      <w:r>
        <w:rPr>
          <w:rFonts w:ascii="Arial" w:cs="Arial" w:eastAsia="Arial" w:hAnsi="Arial"/>
          <w:sz w:val="14"/>
          <w:szCs w:val="14"/>
          <w:b w:val="1"/>
          <w:bCs w:val="1"/>
          <w:color w:val="auto"/>
        </w:rPr>
        <w:t xml:space="preserve"> </w:t>
      </w:r>
      <w:r>
        <w:rPr>
          <w:rFonts w:ascii="Arial" w:cs="Arial" w:eastAsia="Arial" w:hAnsi="Arial"/>
          <w:sz w:val="14"/>
          <w:szCs w:val="14"/>
          <w:color w:val="auto"/>
        </w:rPr>
        <w:t>leadership roles at JUST Capital, Council for Inclusive Capitalism and World Economic Forum</w:t>
      </w:r>
    </w:p>
    <w:p>
      <w:pPr>
        <w:spacing w:after="0" w:line="64"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8F5A39"/>
        </w:rPr>
        <w:t>Career Highlights</w:t>
      </w:r>
    </w:p>
    <w:p>
      <w:pPr>
        <w:spacing w:after="0" w:line="35" w:lineRule="exact"/>
        <w:rPr>
          <w:sz w:val="20"/>
          <w:szCs w:val="20"/>
          <w:color w:val="auto"/>
        </w:rPr>
      </w:pPr>
    </w:p>
    <w:p>
      <w:pPr>
        <w:ind w:left="2" w:right="380"/>
        <w:spacing w:after="0" w:line="271" w:lineRule="auto"/>
        <w:rPr>
          <w:sz w:val="20"/>
          <w:szCs w:val="20"/>
          <w:color w:val="auto"/>
        </w:rPr>
      </w:pPr>
      <w:r>
        <w:rPr>
          <w:rFonts w:ascii="Arial" w:cs="Arial" w:eastAsia="Arial" w:hAnsi="Arial"/>
          <w:sz w:val="14"/>
          <w:szCs w:val="14"/>
          <w:color w:val="auto"/>
        </w:rPr>
        <w:t>EY, a leading global professional services organization providing assurance, consulting, strategy and transactions, and tax services</w:t>
      </w:r>
    </w:p>
    <w:p>
      <w:pPr>
        <w:spacing w:after="0" w:line="1" w:lineRule="exact"/>
        <w:rPr>
          <w:sz w:val="20"/>
          <w:szCs w:val="20"/>
          <w:color w:val="auto"/>
        </w:rPr>
      </w:pPr>
    </w:p>
    <w:p>
      <w:pPr>
        <w:ind w:left="182" w:hanging="182"/>
        <w:spacing w:after="0"/>
        <w:tabs>
          <w:tab w:leader="none" w:pos="182" w:val="left"/>
        </w:tabs>
        <w:numPr>
          <w:ilvl w:val="0"/>
          <w:numId w:val="99"/>
        </w:numPr>
        <w:rPr>
          <w:rFonts w:ascii="Arial" w:cs="Arial" w:eastAsia="Arial" w:hAnsi="Arial"/>
          <w:sz w:val="14"/>
          <w:szCs w:val="14"/>
          <w:b w:val="1"/>
          <w:bCs w:val="1"/>
          <w:color w:val="auto"/>
        </w:rPr>
      </w:pPr>
      <w:r>
        <w:rPr>
          <w:rFonts w:ascii="Arial" w:cs="Arial" w:eastAsia="Arial" w:hAnsi="Arial"/>
          <w:sz w:val="14"/>
          <w:szCs w:val="14"/>
          <w:color w:val="auto"/>
        </w:rPr>
        <w:t>Global Chairman and Chief Executive Officer (2013–2019)</w:t>
      </w:r>
    </w:p>
    <w:p>
      <w:pPr>
        <w:spacing w:after="0" w:line="14" w:lineRule="exact"/>
        <w:rPr>
          <w:rFonts w:ascii="Arial" w:cs="Arial" w:eastAsia="Arial" w:hAnsi="Arial"/>
          <w:sz w:val="14"/>
          <w:szCs w:val="14"/>
          <w:b w:val="1"/>
          <w:bCs w:val="1"/>
          <w:color w:val="auto"/>
        </w:rPr>
      </w:pPr>
    </w:p>
    <w:p>
      <w:pPr>
        <w:ind w:left="182" w:hanging="182"/>
        <w:spacing w:after="0"/>
        <w:tabs>
          <w:tab w:leader="none" w:pos="182" w:val="left"/>
        </w:tabs>
        <w:numPr>
          <w:ilvl w:val="0"/>
          <w:numId w:val="99"/>
        </w:numPr>
        <w:rPr>
          <w:rFonts w:ascii="Arial" w:cs="Arial" w:eastAsia="Arial" w:hAnsi="Arial"/>
          <w:sz w:val="14"/>
          <w:szCs w:val="14"/>
          <w:b w:val="1"/>
          <w:bCs w:val="1"/>
          <w:color w:val="auto"/>
        </w:rPr>
      </w:pPr>
      <w:r>
        <w:rPr>
          <w:rFonts w:ascii="Arial" w:cs="Arial" w:eastAsia="Arial" w:hAnsi="Arial"/>
          <w:sz w:val="14"/>
          <w:szCs w:val="14"/>
          <w:color w:val="auto"/>
        </w:rPr>
        <w:t>Member, Global Executive Board (2008–2019)</w:t>
      </w:r>
    </w:p>
    <w:p>
      <w:pPr>
        <w:spacing w:after="0" w:line="68" w:lineRule="exact"/>
        <w:rPr>
          <w:sz w:val="20"/>
          <w:szCs w:val="20"/>
          <w:color w:val="auto"/>
        </w:rPr>
      </w:pPr>
    </w:p>
    <w:p>
      <w:pPr>
        <w:ind w:left="2" w:right="820"/>
        <w:spacing w:after="0" w:line="272" w:lineRule="auto"/>
        <w:rPr>
          <w:sz w:val="20"/>
          <w:szCs w:val="20"/>
          <w:color w:val="auto"/>
        </w:rPr>
      </w:pPr>
      <w:r>
        <w:rPr>
          <w:rFonts w:ascii="Arial" w:cs="Arial" w:eastAsia="Arial" w:hAnsi="Arial"/>
          <w:sz w:val="14"/>
          <w:szCs w:val="14"/>
          <w:color w:val="auto"/>
        </w:rPr>
        <w:t>U.S. Government, appointments by four presidential administrations</w:t>
      </w:r>
    </w:p>
    <w:p>
      <w:pPr>
        <w:ind w:left="182" w:hanging="182"/>
        <w:spacing w:after="0"/>
        <w:tabs>
          <w:tab w:leader="none" w:pos="182" w:val="left"/>
        </w:tabs>
        <w:numPr>
          <w:ilvl w:val="0"/>
          <w:numId w:val="100"/>
        </w:numPr>
        <w:rPr>
          <w:rFonts w:ascii="Arial" w:cs="Arial" w:eastAsia="Arial" w:hAnsi="Arial"/>
          <w:sz w:val="14"/>
          <w:szCs w:val="14"/>
          <w:b w:val="1"/>
          <w:bCs w:val="1"/>
          <w:color w:val="auto"/>
        </w:rPr>
      </w:pPr>
      <w:r>
        <w:rPr>
          <w:rFonts w:ascii="Arial" w:cs="Arial" w:eastAsia="Arial" w:hAnsi="Arial"/>
          <w:sz w:val="14"/>
          <w:szCs w:val="14"/>
          <w:color w:val="auto"/>
        </w:rPr>
        <w:t>Member, President’s Strategic and Policy Forum (2017)</w:t>
      </w:r>
    </w:p>
    <w:p>
      <w:pPr>
        <w:spacing w:after="0" w:line="21" w:lineRule="exact"/>
        <w:rPr>
          <w:rFonts w:ascii="Arial" w:cs="Arial" w:eastAsia="Arial" w:hAnsi="Arial"/>
          <w:sz w:val="14"/>
          <w:szCs w:val="14"/>
          <w:b w:val="1"/>
          <w:bCs w:val="1"/>
          <w:color w:val="auto"/>
        </w:rPr>
      </w:pPr>
    </w:p>
    <w:p>
      <w:pPr>
        <w:ind w:left="182" w:hanging="182"/>
        <w:spacing w:after="0"/>
        <w:tabs>
          <w:tab w:leader="none" w:pos="182" w:val="left"/>
        </w:tabs>
        <w:numPr>
          <w:ilvl w:val="0"/>
          <w:numId w:val="100"/>
        </w:numPr>
        <w:rPr>
          <w:rFonts w:ascii="Arial" w:cs="Arial" w:eastAsia="Arial" w:hAnsi="Arial"/>
          <w:sz w:val="14"/>
          <w:szCs w:val="14"/>
          <w:b w:val="1"/>
          <w:bCs w:val="1"/>
          <w:color w:val="auto"/>
        </w:rPr>
      </w:pPr>
      <w:r>
        <w:rPr>
          <w:rFonts w:ascii="Arial" w:cs="Arial" w:eastAsia="Arial" w:hAnsi="Arial"/>
          <w:sz w:val="14"/>
          <w:szCs w:val="14"/>
          <w:color w:val="auto"/>
        </w:rPr>
        <w:t>Member, President’s Infrastructure Task Force (2015-2016)</w:t>
      </w:r>
    </w:p>
    <w:p>
      <w:pPr>
        <w:spacing w:after="0" w:line="21" w:lineRule="exact"/>
        <w:rPr>
          <w:rFonts w:ascii="Arial" w:cs="Arial" w:eastAsia="Arial" w:hAnsi="Arial"/>
          <w:sz w:val="14"/>
          <w:szCs w:val="14"/>
          <w:b w:val="1"/>
          <w:bCs w:val="1"/>
          <w:color w:val="auto"/>
        </w:rPr>
      </w:pPr>
    </w:p>
    <w:p>
      <w:pPr>
        <w:ind w:left="202" w:right="20" w:hanging="202"/>
        <w:spacing w:after="0" w:line="284" w:lineRule="auto"/>
        <w:tabs>
          <w:tab w:leader="none" w:pos="179" w:val="left"/>
        </w:tabs>
        <w:numPr>
          <w:ilvl w:val="0"/>
          <w:numId w:val="100"/>
        </w:numPr>
        <w:rPr>
          <w:rFonts w:ascii="Arial" w:cs="Arial" w:eastAsia="Arial" w:hAnsi="Arial"/>
          <w:sz w:val="14"/>
          <w:szCs w:val="14"/>
          <w:b w:val="1"/>
          <w:bCs w:val="1"/>
          <w:color w:val="auto"/>
        </w:rPr>
      </w:pPr>
      <w:r>
        <w:rPr>
          <w:rFonts w:ascii="Arial" w:cs="Arial" w:eastAsia="Arial" w:hAnsi="Arial"/>
          <w:sz w:val="14"/>
          <w:szCs w:val="14"/>
          <w:color w:val="auto"/>
        </w:rPr>
        <w:t>Assistant Secretary, U.S. Department of Treasury (Tax Policy) (2001-2002)</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187" w:right="160" w:hanging="187"/>
        <w:spacing w:after="0" w:line="282" w:lineRule="auto"/>
        <w:tabs>
          <w:tab w:leader="none" w:pos="164" w:val="left"/>
        </w:tabs>
        <w:numPr>
          <w:ilvl w:val="0"/>
          <w:numId w:val="101"/>
        </w:numPr>
        <w:rPr>
          <w:rFonts w:ascii="Arial" w:cs="Arial" w:eastAsia="Arial" w:hAnsi="Arial"/>
          <w:sz w:val="14"/>
          <w:szCs w:val="14"/>
          <w:b w:val="1"/>
          <w:bCs w:val="1"/>
          <w:color w:val="auto"/>
        </w:rPr>
      </w:pPr>
      <w:r>
        <w:rPr>
          <w:rFonts w:ascii="Arial" w:cs="Arial" w:eastAsia="Arial" w:hAnsi="Arial"/>
          <w:sz w:val="14"/>
          <w:szCs w:val="14"/>
          <w:color w:val="auto"/>
        </w:rPr>
        <w:t>Member, U.S. Social Security Administration Advisory Board (2000)</w:t>
      </w:r>
    </w:p>
    <w:p>
      <w:pPr>
        <w:ind w:left="167" w:hanging="167"/>
        <w:spacing w:after="0"/>
        <w:tabs>
          <w:tab w:leader="none" w:pos="167" w:val="left"/>
        </w:tabs>
        <w:numPr>
          <w:ilvl w:val="0"/>
          <w:numId w:val="101"/>
        </w:numPr>
        <w:rPr>
          <w:rFonts w:ascii="Arial" w:cs="Arial" w:eastAsia="Arial" w:hAnsi="Arial"/>
          <w:sz w:val="14"/>
          <w:szCs w:val="14"/>
          <w:b w:val="1"/>
          <w:bCs w:val="1"/>
          <w:color w:val="auto"/>
        </w:rPr>
      </w:pPr>
      <w:r>
        <w:rPr>
          <w:rFonts w:ascii="Arial" w:cs="Arial" w:eastAsia="Arial" w:hAnsi="Arial"/>
          <w:sz w:val="14"/>
          <w:szCs w:val="14"/>
          <w:color w:val="auto"/>
        </w:rPr>
        <w:t>Chief Tax and Budget Counsel, U.S. Senate (1991-1994)</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Education</w:t>
      </w:r>
    </w:p>
    <w:p>
      <w:pPr>
        <w:spacing w:after="0" w:line="35" w:lineRule="exact"/>
        <w:rPr>
          <w:sz w:val="20"/>
          <w:szCs w:val="20"/>
          <w:color w:val="auto"/>
        </w:rPr>
      </w:pPr>
    </w:p>
    <w:p>
      <w:pPr>
        <w:ind w:left="167" w:hanging="167"/>
        <w:spacing w:after="0"/>
        <w:tabs>
          <w:tab w:leader="none" w:pos="167" w:val="left"/>
        </w:tabs>
        <w:numPr>
          <w:ilvl w:val="0"/>
          <w:numId w:val="102"/>
        </w:numPr>
        <w:rPr>
          <w:rFonts w:ascii="Arial" w:cs="Arial" w:eastAsia="Arial" w:hAnsi="Arial"/>
          <w:sz w:val="14"/>
          <w:szCs w:val="14"/>
          <w:b w:val="1"/>
          <w:bCs w:val="1"/>
          <w:color w:val="auto"/>
        </w:rPr>
      </w:pPr>
      <w:r>
        <w:rPr>
          <w:rFonts w:ascii="Arial" w:cs="Arial" w:eastAsia="Arial" w:hAnsi="Arial"/>
          <w:sz w:val="14"/>
          <w:szCs w:val="14"/>
          <w:color w:val="auto"/>
        </w:rPr>
        <w:t>Graduate of Emory University</w:t>
      </w:r>
    </w:p>
    <w:p>
      <w:pPr>
        <w:spacing w:after="0" w:line="28" w:lineRule="exact"/>
        <w:rPr>
          <w:rFonts w:ascii="Arial" w:cs="Arial" w:eastAsia="Arial" w:hAnsi="Arial"/>
          <w:sz w:val="14"/>
          <w:szCs w:val="14"/>
          <w:b w:val="1"/>
          <w:bCs w:val="1"/>
          <w:color w:val="auto"/>
        </w:rPr>
      </w:pPr>
    </w:p>
    <w:p>
      <w:pPr>
        <w:ind w:left="167" w:hanging="167"/>
        <w:spacing w:after="0"/>
        <w:tabs>
          <w:tab w:leader="none" w:pos="167" w:val="left"/>
        </w:tabs>
        <w:numPr>
          <w:ilvl w:val="0"/>
          <w:numId w:val="102"/>
        </w:numPr>
        <w:rPr>
          <w:rFonts w:ascii="Arial" w:cs="Arial" w:eastAsia="Arial" w:hAnsi="Arial"/>
          <w:sz w:val="14"/>
          <w:szCs w:val="14"/>
          <w:b w:val="1"/>
          <w:bCs w:val="1"/>
          <w:color w:val="auto"/>
        </w:rPr>
      </w:pPr>
      <w:r>
        <w:rPr>
          <w:rFonts w:ascii="Arial" w:cs="Arial" w:eastAsia="Arial" w:hAnsi="Arial"/>
          <w:sz w:val="14"/>
          <w:szCs w:val="14"/>
          <w:color w:val="auto"/>
        </w:rPr>
        <w:t>M.B.A. and J.D., Case Western Reserve University</w:t>
      </w:r>
    </w:p>
    <w:p>
      <w:pPr>
        <w:spacing w:after="0" w:line="28" w:lineRule="exact"/>
        <w:rPr>
          <w:rFonts w:ascii="Arial" w:cs="Arial" w:eastAsia="Arial" w:hAnsi="Arial"/>
          <w:sz w:val="14"/>
          <w:szCs w:val="14"/>
          <w:b w:val="1"/>
          <w:bCs w:val="1"/>
          <w:color w:val="auto"/>
        </w:rPr>
      </w:pPr>
    </w:p>
    <w:p>
      <w:pPr>
        <w:ind w:left="187" w:right="460" w:hanging="187"/>
        <w:spacing w:after="0" w:line="294" w:lineRule="auto"/>
        <w:tabs>
          <w:tab w:leader="none" w:pos="164" w:val="left"/>
        </w:tabs>
        <w:numPr>
          <w:ilvl w:val="0"/>
          <w:numId w:val="102"/>
        </w:numPr>
        <w:rPr>
          <w:rFonts w:ascii="Arial" w:cs="Arial" w:eastAsia="Arial" w:hAnsi="Arial"/>
          <w:sz w:val="14"/>
          <w:szCs w:val="14"/>
          <w:b w:val="1"/>
          <w:bCs w:val="1"/>
          <w:color w:val="auto"/>
        </w:rPr>
      </w:pPr>
      <w:r>
        <w:rPr>
          <w:rFonts w:ascii="Arial" w:cs="Arial" w:eastAsia="Arial" w:hAnsi="Arial"/>
          <w:sz w:val="14"/>
          <w:szCs w:val="14"/>
          <w:color w:val="auto"/>
        </w:rPr>
        <w:t>Master of Laws in Taxation, Georgetown University Law Center</w:t>
      </w:r>
    </w:p>
    <w:p>
      <w:pPr>
        <w:spacing w:after="0" w:line="71" w:lineRule="exact"/>
        <w:rPr>
          <w:sz w:val="20"/>
          <w:szCs w:val="20"/>
          <w:color w:val="auto"/>
        </w:rPr>
      </w:pPr>
    </w:p>
    <w:p>
      <w:pPr>
        <w:ind w:left="7" w:right="120"/>
        <w:spacing w:after="0" w:line="287" w:lineRule="auto"/>
        <w:rPr>
          <w:sz w:val="20"/>
          <w:szCs w:val="20"/>
          <w:color w:val="auto"/>
        </w:rPr>
      </w:pPr>
      <w:r>
        <w:rPr>
          <w:rFonts w:ascii="Arial" w:cs="Arial" w:eastAsia="Arial" w:hAnsi="Arial"/>
          <w:sz w:val="14"/>
          <w:szCs w:val="14"/>
          <w:b w:val="1"/>
          <w:bCs w:val="1"/>
          <w:color w:val="8F5A39"/>
        </w:rPr>
        <w:t>Other U.S.-Listed Public Company Directorships Within the Past Five Years</w:t>
      </w:r>
    </w:p>
    <w:p>
      <w:pPr>
        <w:ind w:left="167" w:hanging="167"/>
        <w:spacing w:after="0"/>
        <w:tabs>
          <w:tab w:leader="none" w:pos="167" w:val="left"/>
        </w:tabs>
        <w:numPr>
          <w:ilvl w:val="0"/>
          <w:numId w:val="103"/>
        </w:numPr>
        <w:rPr>
          <w:rFonts w:ascii="Arial" w:cs="Arial" w:eastAsia="Arial" w:hAnsi="Arial"/>
          <w:sz w:val="14"/>
          <w:szCs w:val="14"/>
          <w:b w:val="1"/>
          <w:bCs w:val="1"/>
          <w:color w:val="auto"/>
        </w:rPr>
      </w:pPr>
      <w:r>
        <w:rPr>
          <w:rFonts w:ascii="Arial" w:cs="Arial" w:eastAsia="Arial" w:hAnsi="Arial"/>
          <w:sz w:val="14"/>
          <w:szCs w:val="14"/>
          <w:color w:val="auto"/>
        </w:rPr>
        <w:t>Johnson &amp; Johnson (since 2019)</w:t>
      </w:r>
    </w:p>
    <w:p>
      <w:pPr>
        <w:spacing w:after="0" w:line="28" w:lineRule="exact"/>
        <w:rPr>
          <w:rFonts w:ascii="Arial" w:cs="Arial" w:eastAsia="Arial" w:hAnsi="Arial"/>
          <w:sz w:val="14"/>
          <w:szCs w:val="14"/>
          <w:b w:val="1"/>
          <w:bCs w:val="1"/>
          <w:color w:val="auto"/>
        </w:rPr>
      </w:pPr>
    </w:p>
    <w:p>
      <w:pPr>
        <w:ind w:left="167" w:hanging="167"/>
        <w:spacing w:after="0"/>
        <w:tabs>
          <w:tab w:leader="none" w:pos="167" w:val="left"/>
        </w:tabs>
        <w:numPr>
          <w:ilvl w:val="0"/>
          <w:numId w:val="103"/>
        </w:numPr>
        <w:rPr>
          <w:rFonts w:ascii="Arial" w:cs="Arial" w:eastAsia="Arial" w:hAnsi="Arial"/>
          <w:sz w:val="14"/>
          <w:szCs w:val="14"/>
          <w:b w:val="1"/>
          <w:bCs w:val="1"/>
          <w:color w:val="auto"/>
        </w:rPr>
      </w:pPr>
      <w:r>
        <w:rPr>
          <w:rFonts w:ascii="Arial" w:cs="Arial" w:eastAsia="Arial" w:hAnsi="Arial"/>
          <w:sz w:val="14"/>
          <w:szCs w:val="14"/>
          <w:color w:val="auto"/>
        </w:rPr>
        <w:t>MetLife, Inc. (since 2019)</w:t>
      </w:r>
    </w:p>
    <w:p>
      <w:pPr>
        <w:spacing w:after="0" w:line="28" w:lineRule="exact"/>
        <w:rPr>
          <w:rFonts w:ascii="Arial" w:cs="Arial" w:eastAsia="Arial" w:hAnsi="Arial"/>
          <w:sz w:val="14"/>
          <w:szCs w:val="14"/>
          <w:b w:val="1"/>
          <w:bCs w:val="1"/>
          <w:color w:val="auto"/>
        </w:rPr>
      </w:pPr>
    </w:p>
    <w:p>
      <w:pPr>
        <w:ind w:left="167" w:hanging="167"/>
        <w:spacing w:after="0"/>
        <w:tabs>
          <w:tab w:leader="none" w:pos="167" w:val="left"/>
        </w:tabs>
        <w:numPr>
          <w:ilvl w:val="0"/>
          <w:numId w:val="103"/>
        </w:numPr>
        <w:rPr>
          <w:rFonts w:ascii="Arial" w:cs="Arial" w:eastAsia="Arial" w:hAnsi="Arial"/>
          <w:sz w:val="14"/>
          <w:szCs w:val="14"/>
          <w:b w:val="1"/>
          <w:bCs w:val="1"/>
          <w:color w:val="auto"/>
        </w:rPr>
      </w:pPr>
      <w:r>
        <w:rPr>
          <w:rFonts w:ascii="Arial" w:cs="Arial" w:eastAsia="Arial" w:hAnsi="Arial"/>
          <w:sz w:val="14"/>
          <w:szCs w:val="14"/>
          <w:color w:val="auto"/>
        </w:rPr>
        <w:t>Accelerate Acquisition Corp. (2021-2022)</w:t>
      </w:r>
    </w:p>
    <w:p>
      <w:pPr>
        <w:spacing w:after="0" w:line="129" w:lineRule="exact"/>
        <w:rPr>
          <w:sz w:val="20"/>
          <w:szCs w:val="20"/>
          <w:color w:val="auto"/>
        </w:rPr>
      </w:pPr>
    </w:p>
    <w:p>
      <w:pPr>
        <w:ind w:left="7" w:right="220"/>
        <w:spacing w:after="0" w:line="277" w:lineRule="auto"/>
        <w:rPr>
          <w:sz w:val="20"/>
          <w:szCs w:val="20"/>
          <w:color w:val="auto"/>
        </w:rPr>
      </w:pPr>
      <w:r>
        <w:rPr>
          <w:rFonts w:ascii="Arial" w:cs="Arial" w:eastAsia="Arial" w:hAnsi="Arial"/>
          <w:sz w:val="14"/>
          <w:szCs w:val="14"/>
          <w:b w:val="1"/>
          <w:bCs w:val="1"/>
          <w:color w:val="8F5A39"/>
        </w:rPr>
        <w:t>Non-U.S.-Listed Public Company Directorships Within the Past Five Years</w:t>
      </w:r>
    </w:p>
    <w:p>
      <w:pPr>
        <w:ind w:left="167" w:hanging="167"/>
        <w:spacing w:after="0"/>
        <w:tabs>
          <w:tab w:leader="none" w:pos="167" w:val="left"/>
        </w:tabs>
        <w:numPr>
          <w:ilvl w:val="0"/>
          <w:numId w:val="104"/>
        </w:numPr>
        <w:rPr>
          <w:rFonts w:ascii="Arial" w:cs="Arial" w:eastAsia="Arial" w:hAnsi="Arial"/>
          <w:sz w:val="14"/>
          <w:szCs w:val="14"/>
          <w:b w:val="1"/>
          <w:bCs w:val="1"/>
          <w:color w:val="auto"/>
        </w:rPr>
      </w:pPr>
      <w:r>
        <w:rPr>
          <w:rFonts w:ascii="Arial" w:cs="Arial" w:eastAsia="Arial" w:hAnsi="Arial"/>
          <w:sz w:val="14"/>
          <w:szCs w:val="14"/>
          <w:color w:val="auto"/>
        </w:rPr>
        <w:t>Saudi Arabian Oil Co. (Saudi Aramco) (since 2019)</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8F5A39"/>
        </w:rPr>
        <w:t>Other Experience</w:t>
      </w:r>
    </w:p>
    <w:p>
      <w:pPr>
        <w:spacing w:after="0" w:line="35" w:lineRule="exact"/>
        <w:rPr>
          <w:sz w:val="20"/>
          <w:szCs w:val="20"/>
          <w:color w:val="auto"/>
        </w:rPr>
      </w:pPr>
    </w:p>
    <w:p>
      <w:pPr>
        <w:ind w:left="167" w:hanging="167"/>
        <w:spacing w:after="0"/>
        <w:tabs>
          <w:tab w:leader="none" w:pos="167" w:val="left"/>
        </w:tabs>
        <w:numPr>
          <w:ilvl w:val="0"/>
          <w:numId w:val="105"/>
        </w:numPr>
        <w:rPr>
          <w:rFonts w:ascii="Arial" w:cs="Arial" w:eastAsia="Arial" w:hAnsi="Arial"/>
          <w:sz w:val="14"/>
          <w:szCs w:val="14"/>
          <w:b w:val="1"/>
          <w:bCs w:val="1"/>
          <w:color w:val="auto"/>
        </w:rPr>
      </w:pPr>
      <w:r>
        <w:rPr>
          <w:rFonts w:ascii="Arial" w:cs="Arial" w:eastAsia="Arial" w:hAnsi="Arial"/>
          <w:sz w:val="14"/>
          <w:szCs w:val="14"/>
          <w:color w:val="auto"/>
        </w:rPr>
        <w:t>Board Member, GlobalAI Cloud Inc.</w:t>
      </w:r>
    </w:p>
    <w:p>
      <w:pPr>
        <w:spacing w:after="0" w:line="28" w:lineRule="exact"/>
        <w:rPr>
          <w:rFonts w:ascii="Arial" w:cs="Arial" w:eastAsia="Arial" w:hAnsi="Arial"/>
          <w:sz w:val="14"/>
          <w:szCs w:val="14"/>
          <w:b w:val="1"/>
          <w:bCs w:val="1"/>
          <w:color w:val="auto"/>
        </w:rPr>
      </w:pPr>
    </w:p>
    <w:p>
      <w:pPr>
        <w:ind w:left="167" w:hanging="167"/>
        <w:spacing w:after="0"/>
        <w:tabs>
          <w:tab w:leader="none" w:pos="167" w:val="left"/>
        </w:tabs>
        <w:numPr>
          <w:ilvl w:val="0"/>
          <w:numId w:val="105"/>
        </w:numPr>
        <w:rPr>
          <w:rFonts w:ascii="Arial" w:cs="Arial" w:eastAsia="Arial" w:hAnsi="Arial"/>
          <w:sz w:val="14"/>
          <w:szCs w:val="14"/>
          <w:b w:val="1"/>
          <w:bCs w:val="1"/>
          <w:color w:val="auto"/>
        </w:rPr>
      </w:pPr>
      <w:r>
        <w:rPr>
          <w:rFonts w:ascii="Arial" w:cs="Arial" w:eastAsia="Arial" w:hAnsi="Arial"/>
          <w:sz w:val="14"/>
          <w:szCs w:val="14"/>
          <w:color w:val="auto"/>
        </w:rPr>
        <w:t>Board Member, JUST Capital</w:t>
      </w:r>
    </w:p>
    <w:p>
      <w:pPr>
        <w:spacing w:after="0" w:line="21" w:lineRule="exact"/>
        <w:rPr>
          <w:rFonts w:ascii="Arial" w:cs="Arial" w:eastAsia="Arial" w:hAnsi="Arial"/>
          <w:sz w:val="14"/>
          <w:szCs w:val="14"/>
          <w:b w:val="1"/>
          <w:bCs w:val="1"/>
          <w:color w:val="auto"/>
        </w:rPr>
      </w:pPr>
    </w:p>
    <w:p>
      <w:pPr>
        <w:ind w:left="167" w:hanging="167"/>
        <w:spacing w:after="0"/>
        <w:tabs>
          <w:tab w:leader="none" w:pos="167" w:val="left"/>
        </w:tabs>
        <w:numPr>
          <w:ilvl w:val="0"/>
          <w:numId w:val="105"/>
        </w:numPr>
        <w:rPr>
          <w:rFonts w:ascii="Arial" w:cs="Arial" w:eastAsia="Arial" w:hAnsi="Arial"/>
          <w:sz w:val="14"/>
          <w:szCs w:val="14"/>
          <w:b w:val="1"/>
          <w:bCs w:val="1"/>
          <w:color w:val="auto"/>
        </w:rPr>
      </w:pPr>
      <w:r>
        <w:rPr>
          <w:rFonts w:ascii="Arial" w:cs="Arial" w:eastAsia="Arial" w:hAnsi="Arial"/>
          <w:sz w:val="14"/>
          <w:szCs w:val="14"/>
          <w:color w:val="auto"/>
        </w:rPr>
        <w:t>Board Member, National Bureau of Economic Research</w:t>
      </w:r>
    </w:p>
    <w:p>
      <w:pPr>
        <w:spacing w:after="0" w:line="21" w:lineRule="exact"/>
        <w:rPr>
          <w:rFonts w:ascii="Arial" w:cs="Arial" w:eastAsia="Arial" w:hAnsi="Arial"/>
          <w:sz w:val="14"/>
          <w:szCs w:val="14"/>
          <w:b w:val="1"/>
          <w:bCs w:val="1"/>
          <w:color w:val="auto"/>
        </w:rPr>
      </w:pPr>
    </w:p>
    <w:p>
      <w:pPr>
        <w:ind w:left="167" w:hanging="167"/>
        <w:spacing w:after="0"/>
        <w:tabs>
          <w:tab w:leader="none" w:pos="167" w:val="left"/>
        </w:tabs>
        <w:numPr>
          <w:ilvl w:val="0"/>
          <w:numId w:val="105"/>
        </w:numPr>
        <w:rPr>
          <w:rFonts w:ascii="Arial" w:cs="Arial" w:eastAsia="Arial" w:hAnsi="Arial"/>
          <w:sz w:val="14"/>
          <w:szCs w:val="14"/>
          <w:b w:val="1"/>
          <w:bCs w:val="1"/>
          <w:color w:val="auto"/>
        </w:rPr>
      </w:pPr>
      <w:r>
        <w:rPr>
          <w:rFonts w:ascii="Arial" w:cs="Arial" w:eastAsia="Arial" w:hAnsi="Arial"/>
          <w:sz w:val="14"/>
          <w:szCs w:val="14"/>
          <w:color w:val="auto"/>
        </w:rPr>
        <w:t>Advisor and Member, Council for Inclusive Capitalism</w:t>
      </w:r>
    </w:p>
    <w:p>
      <w:pPr>
        <w:spacing w:after="0" w:line="28" w:lineRule="exact"/>
        <w:rPr>
          <w:rFonts w:ascii="Arial" w:cs="Arial" w:eastAsia="Arial" w:hAnsi="Arial"/>
          <w:sz w:val="14"/>
          <w:szCs w:val="14"/>
          <w:b w:val="1"/>
          <w:bCs w:val="1"/>
          <w:color w:val="auto"/>
        </w:rPr>
      </w:pPr>
    </w:p>
    <w:p>
      <w:pPr>
        <w:ind w:left="187" w:right="300" w:hanging="187"/>
        <w:spacing w:after="0" w:line="298" w:lineRule="auto"/>
        <w:tabs>
          <w:tab w:leader="none" w:pos="164" w:val="left"/>
        </w:tabs>
        <w:numPr>
          <w:ilvl w:val="0"/>
          <w:numId w:val="105"/>
        </w:numPr>
        <w:rPr>
          <w:rFonts w:ascii="Arial" w:cs="Arial" w:eastAsia="Arial" w:hAnsi="Arial"/>
          <w:sz w:val="14"/>
          <w:szCs w:val="14"/>
          <w:b w:val="1"/>
          <w:bCs w:val="1"/>
          <w:color w:val="auto"/>
        </w:rPr>
      </w:pPr>
      <w:r>
        <w:rPr>
          <w:rFonts w:ascii="Arial" w:cs="Arial" w:eastAsia="Arial" w:hAnsi="Arial"/>
          <w:sz w:val="14"/>
          <w:szCs w:val="14"/>
          <w:color w:val="auto"/>
        </w:rPr>
        <w:t>Former Member of the International Business Council and Global Agenda Steward for Economic Progress, World Economic Forum</w:t>
      </w:r>
    </w:p>
    <w:p>
      <w:pPr>
        <w:spacing w:after="0" w:line="200" w:lineRule="exact"/>
        <w:rPr>
          <w:sz w:val="20"/>
          <w:szCs w:val="20"/>
          <w:color w:val="auto"/>
        </w:rPr>
      </w:pPr>
    </w:p>
    <w:p>
      <w:pPr>
        <w:sectPr>
          <w:pgSz w:w="11900" w:h="16838" w:orient="portrait"/>
          <w:cols w:equalWidth="0" w:num="3">
            <w:col w:w="2380" w:space="278"/>
            <w:col w:w="4122" w:space="293"/>
            <w:col w:w="4167"/>
          </w:cols>
          <w:pgMar w:left="320" w:top="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32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Director nominees</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2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-213995</wp:posOffset>
            </wp:positionV>
            <wp:extent cx="120015" cy="939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-213995</wp:posOffset>
            </wp:positionV>
            <wp:extent cx="120015" cy="939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-213995</wp:posOffset>
            </wp:positionV>
            <wp:extent cx="120015" cy="939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Director independence</w:t>
      </w:r>
    </w:p>
    <w:p>
      <w:pPr>
        <w:spacing w:after="0" w:line="63"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All of the Firm’s non-management Board members are independent, under both the New York Stock Exchange (“NYSE”) corporate governance listing standards and the Firm’s independence standards as set forth in its Governance Principles.</w:t>
      </w:r>
    </w:p>
    <w:p>
      <w:pPr>
        <w:spacing w:after="0" w:line="10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To be considered independent, a director must have no disqualifying relationships, as defined by the NYSE, and the Board must have affirmatively determined that he or she has no material relationships with JPMorganChase, either directly or as a partner, shareholder or officer of another organization that has a relationship with the Firm.</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assessing the materiality of relationships with the Firm, the Board considers relevant facts and circumstances. Given the nature and broad scope of the products and services provided by the Firm, there are from time to time ordinary course of business transactions between the Firm and a director, his or her immediate family members, or principal business affiliations. These may include, among other relationships: extensions of credit; provision of other financial and financial advisory products and services; business transactions for property or services; and charitable contributions made by the JPMorgan Chase Foundation or the Firm to a nonprofit organization of which a director is an officer. The Board reviews these relationships to assess their materiality and determine if any such relationship would impair the independence and judgment of the relevant director. The Board considered:</w:t>
      </w:r>
    </w:p>
    <w:p>
      <w:pPr>
        <w:spacing w:after="0" w:line="116" w:lineRule="exact"/>
        <w:rPr>
          <w:sz w:val="20"/>
          <w:szCs w:val="20"/>
          <w:color w:val="auto"/>
        </w:rPr>
      </w:pPr>
    </w:p>
    <w:p>
      <w:pPr>
        <w:ind w:left="200" w:right="280" w:hanging="192"/>
        <w:spacing w:after="0" w:line="316" w:lineRule="auto"/>
        <w:tabs>
          <w:tab w:leader="none" w:pos="184" w:val="left"/>
        </w:tabs>
        <w:numPr>
          <w:ilvl w:val="0"/>
          <w:numId w:val="106"/>
        </w:numPr>
        <w:rPr>
          <w:rFonts w:ascii="Arial" w:cs="Arial" w:eastAsia="Arial" w:hAnsi="Arial"/>
          <w:sz w:val="16"/>
          <w:szCs w:val="16"/>
          <w:b w:val="1"/>
          <w:bCs w:val="1"/>
          <w:color w:val="auto"/>
        </w:rPr>
      </w:pPr>
      <w:r>
        <w:rPr>
          <w:rFonts w:ascii="Arial" w:cs="Arial" w:eastAsia="Arial" w:hAnsi="Arial"/>
          <w:sz w:val="16"/>
          <w:szCs w:val="16"/>
          <w:color w:val="auto"/>
        </w:rPr>
        <w:t>Consumer credit: credit cards and other lines of credit and loans for directors Bammann, Buck, Burke, Gorsky, Hobson, Novakovic, Weinberger and/or their immediate family members.</w:t>
      </w:r>
    </w:p>
    <w:p>
      <w:pPr>
        <w:spacing w:after="0" w:line="1" w:lineRule="exact"/>
        <w:rPr>
          <w:rFonts w:ascii="Arial" w:cs="Arial" w:eastAsia="Arial" w:hAnsi="Arial"/>
          <w:sz w:val="16"/>
          <w:szCs w:val="16"/>
          <w:b w:val="1"/>
          <w:bCs w:val="1"/>
          <w:color w:val="auto"/>
        </w:rPr>
      </w:pPr>
    </w:p>
    <w:p>
      <w:pPr>
        <w:ind w:left="200" w:right="80" w:hanging="192"/>
        <w:spacing w:after="0" w:line="288" w:lineRule="auto"/>
        <w:tabs>
          <w:tab w:leader="none" w:pos="18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Wholesale/commercial credit: extensions of credit and other financial and financial advisory products and services provided to: Ford Motor Company, for which Ms. Davis is the Chief Executive Officer of the Ford Pro segment, and its subsidiaries; ICONIQ Capital, LLC, for which Mr. Gorsky serves as a Managing Director, and its subsidiaries, affiliates and funds; Ariel Investments, LLC, for which Ms. Hobson is Co-Chief Executive Officer and President, and its subsidiaries, affiliates and funds; certain entities wholly-owned by Ms. Hobson’s spouse; General Dynamics Corporation, for which Ms. Novakovic is Chairman and Chief Executive Officer, and its subsidiaries; Louis Dreyfus Company B.V., for which a sibling of Mrs. Rometty serves as the Trading Operations Officer and Cotton Platform Head, and its subsidiaries; Hearthside Food Solutions, LLC, d/b/a Maker's Pride, for which a sibling of Mrs. Rometty serves as Chief Executive Officer, and its affiliates; and Marshall University, for which Mr. Smith is the President.</w:t>
      </w:r>
    </w:p>
    <w:p>
      <w:pPr>
        <w:spacing w:after="0" w:line="20" w:lineRule="exact"/>
        <w:rPr>
          <w:rFonts w:ascii="Arial" w:cs="Arial" w:eastAsia="Arial" w:hAnsi="Arial"/>
          <w:sz w:val="16"/>
          <w:szCs w:val="16"/>
          <w:color w:val="auto"/>
        </w:rPr>
      </w:pPr>
    </w:p>
    <w:p>
      <w:pPr>
        <w:ind w:left="180" w:hanging="172"/>
        <w:spacing w:after="0"/>
        <w:tabs>
          <w:tab w:leader="none" w:pos="180" w:val="left"/>
        </w:tabs>
        <w:numPr>
          <w:ilvl w:val="0"/>
          <w:numId w:val="106"/>
        </w:numPr>
        <w:rPr>
          <w:rFonts w:ascii="Arial" w:cs="Arial" w:eastAsia="Arial" w:hAnsi="Arial"/>
          <w:sz w:val="16"/>
          <w:szCs w:val="16"/>
          <w:b w:val="1"/>
          <w:bCs w:val="1"/>
          <w:color w:val="auto"/>
        </w:rPr>
      </w:pPr>
      <w:r>
        <w:rPr>
          <w:rFonts w:ascii="Arial" w:cs="Arial" w:eastAsia="Arial" w:hAnsi="Arial"/>
          <w:sz w:val="16"/>
          <w:szCs w:val="16"/>
          <w:color w:val="auto"/>
        </w:rPr>
        <w:t>Goods, services: purchases of corporate aircraft and associated maintenance services and parts provided by General Dynamics subsidiaries.</w:t>
      </w:r>
    </w:p>
    <w:p>
      <w:pPr>
        <w:spacing w:after="0" w:line="72" w:lineRule="exact"/>
        <w:rPr>
          <w:rFonts w:ascii="Arial" w:cs="Arial" w:eastAsia="Arial" w:hAnsi="Arial"/>
          <w:sz w:val="16"/>
          <w:szCs w:val="16"/>
          <w:b w:val="1"/>
          <w:bCs w:val="1"/>
          <w:color w:val="auto"/>
        </w:rPr>
      </w:pPr>
    </w:p>
    <w:p>
      <w:pPr>
        <w:ind w:left="200" w:hanging="192"/>
        <w:spacing w:after="0" w:line="291" w:lineRule="auto"/>
        <w:tabs>
          <w:tab w:leader="none" w:pos="184" w:val="left"/>
        </w:tabs>
        <w:numPr>
          <w:ilvl w:val="0"/>
          <w:numId w:val="106"/>
        </w:numPr>
        <w:rPr>
          <w:rFonts w:ascii="Arial" w:cs="Arial" w:eastAsia="Arial" w:hAnsi="Arial"/>
          <w:sz w:val="16"/>
          <w:szCs w:val="16"/>
          <w:b w:val="1"/>
          <w:bCs w:val="1"/>
          <w:color w:val="auto"/>
        </w:rPr>
      </w:pPr>
      <w:r>
        <w:rPr>
          <w:rFonts w:ascii="Arial" w:cs="Arial" w:eastAsia="Arial" w:hAnsi="Arial"/>
          <w:sz w:val="16"/>
          <w:szCs w:val="16"/>
          <w:color w:val="auto"/>
        </w:rPr>
        <w:t>Other relationships: a son-in-law of Mr. Burke is a non-executive employed by the Firm and in 2025, was provided compensation of less than $120,000. He became Mr. Burke’s son-in-law in 2024. He has been employed by the Firm since 2021 and is currently a Business Relationship Manager in Consumer &amp; Community Banking. In 2025, a son of Ms. Davis participated in a Summer Fellowship program in Consumer &amp; Community Banking, and was provided compensation of less than $120,000. Mr. Burke's son-in-law and Ms. Davis' son received benefits in accordance with the Firm's employment and compensation practices applicable to employees holding comparable positions.</w:t>
      </w:r>
    </w:p>
    <w:p>
      <w:pPr>
        <w:spacing w:after="0" w:line="113"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Board, having reviewed the relevant relationships between the Firm and each non-management director, determined, in accordance with the NYSE’s listing standards and the Firm’s independence standards, that each non-management director (Linda B. Bammann, Michele G. Buck, Stephen B. Burke, Alicia Boler Davis, Alex Gorsky, Mellody Hobson, Phebe N. Novakovic, Virginia M. Rometty, Brad D. Smith, and Mark A. Weinberger) had only immaterial relationships with JPMorganChase and accordingly is independent. Todd A. Combs, who resigned from the Board in December 2025, had only immaterial relationships with JPMorganChase while a member of the Board and accordingly, was an independent director during the term of his service. In 2026, Mr. Combs was hired by the Firm and additional information is provided on page 35.</w:t>
      </w:r>
    </w:p>
    <w:p>
      <w:pPr>
        <w:spacing w:after="0" w:line="10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All directors who served on the Audit and Compensation &amp; Management Development Committees of the Board were also determined to meet the additional independence and qualitative criteria of the NYSE listing standards applicable to directors serving on those committees. For more information about the committees of the Board, see pages 23-26.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323850</wp:posOffset>
            </wp:positionV>
            <wp:extent cx="651510" cy="857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18</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Director nominees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2280" w:type="dxa"/>
            <w:vAlign w:val="bottom"/>
            <w:tcBorders>
              <w:top w:val="single" w:sz="8" w:color="A6D7F0"/>
            </w:tcBorders>
            <w:shd w:val="clear" w:color="auto" w:fill="A6D7F0"/>
          </w:tcPr>
          <w:p>
            <w:pPr>
              <w:ind w:left="440"/>
              <w:spacing w:after="0"/>
              <w:rPr>
                <w:sz w:val="20"/>
                <w:szCs w:val="20"/>
                <w:color w:val="auto"/>
              </w:rPr>
            </w:pPr>
            <w:r>
              <w:rPr>
                <w:rFonts w:ascii="Arial" w:cs="Arial" w:eastAsia="Arial" w:hAnsi="Arial"/>
                <w:sz w:val="16"/>
                <w:szCs w:val="16"/>
                <w:b w:val="1"/>
                <w:bCs w:val="1"/>
                <w:color w:val="auto"/>
              </w:rPr>
              <w:t>Director nominees</w:t>
            </w:r>
          </w:p>
        </w:tc>
        <w:tc>
          <w:tcPr>
            <w:tcW w:w="620" w:type="dxa"/>
            <w:vAlign w:val="bottom"/>
            <w:tcBorders>
              <w:right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6"/>
                <w:szCs w:val="16"/>
                <w:color w:val="8F5A39"/>
              </w:rPr>
              <w:t>Board governance</w:t>
            </w:r>
          </w:p>
        </w:tc>
        <w:tc>
          <w:tcPr>
            <w:tcW w:w="580" w:type="dxa"/>
            <w:vAlign w:val="bottom"/>
            <w:tcBorders>
              <w:right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00" w:type="dxa"/>
            <w:vAlign w:val="bottom"/>
            <w:tcBorders>
              <w:right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280" w:type="dxa"/>
            <w:vAlign w:val="bottom"/>
            <w:shd w:val="clear" w:color="auto" w:fill="A6D7F0"/>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-213995</wp:posOffset>
            </wp:positionV>
            <wp:extent cx="120015" cy="939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-213995</wp:posOffset>
            </wp:positionV>
            <wp:extent cx="120015" cy="939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-213995</wp:posOffset>
            </wp:positionV>
            <wp:extent cx="120015" cy="939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Director recruitment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Committee oversees the ongoing evaluation of candidates for Board membership and the candidate nomination process.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2100" w:type="dxa"/>
            <w:vAlign w:val="bottom"/>
          </w:tcPr>
          <w:p>
            <w:pPr>
              <w:ind w:left="20"/>
              <w:spacing w:after="0"/>
              <w:rPr>
                <w:sz w:val="20"/>
                <w:szCs w:val="20"/>
                <w:color w:val="auto"/>
              </w:rPr>
            </w:pPr>
            <w:r>
              <w:rPr>
                <w:rFonts w:ascii="Arial" w:cs="Arial" w:eastAsia="Arial" w:hAnsi="Arial"/>
                <w:sz w:val="16"/>
                <w:szCs w:val="16"/>
                <w:b w:val="1"/>
                <w:bCs w:val="1"/>
                <w:color w:val="auto"/>
              </w:rPr>
              <w:t>BOARD REVIEWS ITS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CANDIDATE</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ASSESSMENT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0" w:type="dxa"/>
            <w:vAlign w:val="bottom"/>
          </w:tcPr>
          <w:p>
            <w:pPr>
              <w:spacing w:after="0"/>
              <w:rPr>
                <w:sz w:val="8"/>
                <w:szCs w:val="8"/>
                <w:color w:val="auto"/>
              </w:rPr>
            </w:pPr>
          </w:p>
        </w:tc>
        <w:tc>
          <w:tcPr>
            <w:tcW w:w="2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NEEDS</w:t>
            </w: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RECOMMENDATIONS</w:t>
            </w: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400" w:type="dxa"/>
            <w:vAlign w:val="bottom"/>
            <w:tcBorders>
              <w:top w:val="single" w:sz="8" w:color="auto"/>
            </w:tcBorders>
          </w:tcPr>
          <w:p>
            <w:pPr>
              <w:spacing w:after="0"/>
              <w:rPr>
                <w:sz w:val="9"/>
                <w:szCs w:val="9"/>
                <w:color w:val="auto"/>
              </w:rPr>
            </w:pPr>
          </w:p>
        </w:tc>
        <w:tc>
          <w:tcPr>
            <w:tcW w:w="3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0" w:type="dxa"/>
            <w:vAlign w:val="bottom"/>
            <w:shd w:val="clear" w:color="auto" w:fill="F4EFE7"/>
          </w:tcPr>
          <w:p>
            <w:pPr>
              <w:spacing w:after="0"/>
              <w:rPr>
                <w:sz w:val="24"/>
                <w:szCs w:val="24"/>
                <w:color w:val="auto"/>
              </w:rPr>
            </w:pPr>
          </w:p>
        </w:tc>
        <w:tc>
          <w:tcPr>
            <w:tcW w:w="2100" w:type="dxa"/>
            <w:vAlign w:val="bottom"/>
            <w:shd w:val="clear" w:color="auto" w:fill="F4EFE7"/>
          </w:tcPr>
          <w:p>
            <w:pPr>
              <w:ind w:left="20"/>
              <w:spacing w:after="0"/>
              <w:rPr>
                <w:sz w:val="20"/>
                <w:szCs w:val="20"/>
                <w:color w:val="auto"/>
              </w:rPr>
            </w:pPr>
            <w:r>
              <w:rPr>
                <w:rFonts w:ascii="Arial" w:cs="Arial" w:eastAsia="Arial" w:hAnsi="Arial"/>
                <w:sz w:val="16"/>
                <w:szCs w:val="16"/>
                <w:color w:val="auto"/>
              </w:rPr>
              <w:t>The Board considers its</w:t>
            </w:r>
          </w:p>
        </w:tc>
        <w:tc>
          <w:tcPr>
            <w:tcW w:w="520" w:type="dxa"/>
            <w:vAlign w:val="bottom"/>
          </w:tcPr>
          <w:p>
            <w:pPr>
              <w:spacing w:after="0"/>
              <w:rPr>
                <w:sz w:val="24"/>
                <w:szCs w:val="24"/>
                <w:color w:val="auto"/>
              </w:rPr>
            </w:pPr>
          </w:p>
        </w:tc>
        <w:tc>
          <w:tcPr>
            <w:tcW w:w="140" w:type="dxa"/>
            <w:vAlign w:val="bottom"/>
            <w:shd w:val="clear" w:color="auto" w:fill="F4EFE7"/>
          </w:tcPr>
          <w:p>
            <w:pPr>
              <w:spacing w:after="0"/>
              <w:rPr>
                <w:sz w:val="24"/>
                <w:szCs w:val="24"/>
                <w:color w:val="auto"/>
              </w:rPr>
            </w:pPr>
          </w:p>
        </w:tc>
        <w:tc>
          <w:tcPr>
            <w:tcW w:w="2420" w:type="dxa"/>
            <w:vAlign w:val="bottom"/>
            <w:shd w:val="clear" w:color="auto" w:fill="F4EFE7"/>
          </w:tcPr>
          <w:p>
            <w:pPr>
              <w:ind w:left="20"/>
              <w:spacing w:after="0"/>
              <w:rPr>
                <w:sz w:val="20"/>
                <w:szCs w:val="20"/>
                <w:color w:val="auto"/>
              </w:rPr>
            </w:pPr>
            <w:r>
              <w:rPr>
                <w:rFonts w:ascii="Arial" w:cs="Arial" w:eastAsia="Arial" w:hAnsi="Arial"/>
                <w:sz w:val="16"/>
                <w:szCs w:val="16"/>
                <w:color w:val="auto"/>
              </w:rPr>
              <w:t>The Governance Committee</w:t>
            </w:r>
          </w:p>
        </w:tc>
        <w:tc>
          <w:tcPr>
            <w:tcW w:w="560" w:type="dxa"/>
            <w:vAlign w:val="bottom"/>
          </w:tcPr>
          <w:p>
            <w:pPr>
              <w:spacing w:after="0"/>
              <w:rPr>
                <w:sz w:val="24"/>
                <w:szCs w:val="24"/>
                <w:color w:val="auto"/>
              </w:rPr>
            </w:pPr>
          </w:p>
        </w:tc>
        <w:tc>
          <w:tcPr>
            <w:tcW w:w="240" w:type="dxa"/>
            <w:vAlign w:val="bottom"/>
            <w:shd w:val="clear" w:color="auto" w:fill="F4EFE7"/>
          </w:tcPr>
          <w:p>
            <w:pPr>
              <w:spacing w:after="0"/>
              <w:rPr>
                <w:sz w:val="24"/>
                <w:szCs w:val="24"/>
                <w:color w:val="auto"/>
              </w:rPr>
            </w:pPr>
          </w:p>
        </w:tc>
        <w:tc>
          <w:tcPr>
            <w:tcW w:w="3840" w:type="dxa"/>
            <w:vAlign w:val="bottom"/>
            <w:gridSpan w:val="2"/>
            <w:shd w:val="clear" w:color="auto" w:fill="F4EFE7"/>
          </w:tcPr>
          <w:p>
            <w:pPr>
              <w:ind w:left="20"/>
              <w:spacing w:after="0"/>
              <w:rPr>
                <w:sz w:val="20"/>
                <w:szCs w:val="20"/>
                <w:color w:val="auto"/>
              </w:rPr>
            </w:pPr>
            <w:r>
              <w:rPr>
                <w:rFonts w:ascii="Arial" w:cs="Arial" w:eastAsia="Arial" w:hAnsi="Arial"/>
                <w:sz w:val="16"/>
                <w:szCs w:val="16"/>
                <w:color w:val="auto"/>
              </w:rPr>
              <w:t>The Governance Committee considers the</w:t>
            </w: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F4EFE7"/>
          </w:tcPr>
          <w:p>
            <w:pPr>
              <w:spacing w:after="0"/>
              <w:rPr>
                <w:sz w:val="18"/>
                <w:szCs w:val="18"/>
                <w:color w:val="auto"/>
              </w:rPr>
            </w:pPr>
          </w:p>
        </w:tc>
        <w:tc>
          <w:tcPr>
            <w:tcW w:w="2100" w:type="dxa"/>
            <w:vAlign w:val="bottom"/>
            <w:shd w:val="clear" w:color="auto" w:fill="F4EFE7"/>
          </w:tcPr>
          <w:p>
            <w:pPr>
              <w:ind w:left="20"/>
              <w:spacing w:after="0"/>
              <w:rPr>
                <w:sz w:val="20"/>
                <w:szCs w:val="20"/>
                <w:color w:val="auto"/>
              </w:rPr>
            </w:pPr>
            <w:r>
              <w:rPr>
                <w:rFonts w:ascii="Arial" w:cs="Arial" w:eastAsia="Arial" w:hAnsi="Arial"/>
                <w:sz w:val="16"/>
                <w:szCs w:val="16"/>
                <w:color w:val="auto"/>
              </w:rPr>
              <w:t>composition and needs</w:t>
            </w:r>
          </w:p>
        </w:tc>
        <w:tc>
          <w:tcPr>
            <w:tcW w:w="520" w:type="dxa"/>
            <w:vAlign w:val="bottom"/>
          </w:tcPr>
          <w:p>
            <w:pPr>
              <w:spacing w:after="0"/>
              <w:rPr>
                <w:sz w:val="18"/>
                <w:szCs w:val="18"/>
                <w:color w:val="auto"/>
              </w:rPr>
            </w:pPr>
          </w:p>
        </w:tc>
        <w:tc>
          <w:tcPr>
            <w:tcW w:w="140" w:type="dxa"/>
            <w:vAlign w:val="bottom"/>
            <w:shd w:val="clear" w:color="auto" w:fill="F4EFE7"/>
          </w:tcPr>
          <w:p>
            <w:pPr>
              <w:spacing w:after="0"/>
              <w:rPr>
                <w:sz w:val="18"/>
                <w:szCs w:val="18"/>
                <w:color w:val="auto"/>
              </w:rPr>
            </w:pPr>
          </w:p>
        </w:tc>
        <w:tc>
          <w:tcPr>
            <w:tcW w:w="2420" w:type="dxa"/>
            <w:vAlign w:val="bottom"/>
            <w:shd w:val="clear" w:color="auto" w:fill="F4EFE7"/>
          </w:tcPr>
          <w:p>
            <w:pPr>
              <w:ind w:left="20"/>
              <w:spacing w:after="0"/>
              <w:rPr>
                <w:sz w:val="20"/>
                <w:szCs w:val="20"/>
                <w:color w:val="auto"/>
              </w:rPr>
            </w:pPr>
            <w:r>
              <w:rPr>
                <w:rFonts w:ascii="Arial" w:cs="Arial" w:eastAsia="Arial" w:hAnsi="Arial"/>
                <w:sz w:val="16"/>
                <w:szCs w:val="16"/>
                <w:color w:val="auto"/>
              </w:rPr>
              <w:t>solicits candidate</w:t>
            </w:r>
          </w:p>
        </w:tc>
        <w:tc>
          <w:tcPr>
            <w:tcW w:w="560" w:type="dxa"/>
            <w:vAlign w:val="bottom"/>
          </w:tcPr>
          <w:p>
            <w:pPr>
              <w:spacing w:after="0"/>
              <w:rPr>
                <w:sz w:val="18"/>
                <w:szCs w:val="18"/>
                <w:color w:val="auto"/>
              </w:rPr>
            </w:pPr>
          </w:p>
        </w:tc>
        <w:tc>
          <w:tcPr>
            <w:tcW w:w="240" w:type="dxa"/>
            <w:vAlign w:val="bottom"/>
            <w:shd w:val="clear" w:color="auto" w:fill="F4EFE7"/>
          </w:tcPr>
          <w:p>
            <w:pPr>
              <w:spacing w:after="0"/>
              <w:rPr>
                <w:sz w:val="18"/>
                <w:szCs w:val="18"/>
                <w:color w:val="auto"/>
              </w:rPr>
            </w:pPr>
          </w:p>
        </w:tc>
        <w:tc>
          <w:tcPr>
            <w:tcW w:w="3840" w:type="dxa"/>
            <w:vAlign w:val="bottom"/>
            <w:gridSpan w:val="2"/>
            <w:shd w:val="clear" w:color="auto" w:fill="F4EFE7"/>
          </w:tcPr>
          <w:p>
            <w:pPr>
              <w:ind w:left="20"/>
              <w:spacing w:after="0"/>
              <w:rPr>
                <w:sz w:val="20"/>
                <w:szCs w:val="20"/>
                <w:color w:val="auto"/>
              </w:rPr>
            </w:pPr>
            <w:r>
              <w:rPr>
                <w:rFonts w:ascii="Arial" w:cs="Arial" w:eastAsia="Arial" w:hAnsi="Arial"/>
                <w:sz w:val="16"/>
                <w:szCs w:val="16"/>
                <w:color w:val="auto"/>
              </w:rPr>
              <w:t>following in evaluating prospective directors,</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F4EFE7"/>
          </w:tcPr>
          <w:p>
            <w:pPr>
              <w:spacing w:after="0"/>
              <w:rPr>
                <w:sz w:val="18"/>
                <w:szCs w:val="18"/>
                <w:color w:val="auto"/>
              </w:rPr>
            </w:pPr>
          </w:p>
        </w:tc>
        <w:tc>
          <w:tcPr>
            <w:tcW w:w="2100" w:type="dxa"/>
            <w:vAlign w:val="bottom"/>
            <w:shd w:val="clear" w:color="auto" w:fill="F4EFE7"/>
          </w:tcPr>
          <w:p>
            <w:pPr>
              <w:ind w:left="20"/>
              <w:spacing w:after="0"/>
              <w:rPr>
                <w:sz w:val="20"/>
                <w:szCs w:val="20"/>
                <w:color w:val="auto"/>
              </w:rPr>
            </w:pPr>
            <w:r>
              <w:rPr>
                <w:rFonts w:ascii="Arial" w:cs="Arial" w:eastAsia="Arial" w:hAnsi="Arial"/>
                <w:sz w:val="16"/>
                <w:szCs w:val="16"/>
                <w:color w:val="auto"/>
              </w:rPr>
              <w:t>holistically, determining the</w:t>
            </w:r>
          </w:p>
        </w:tc>
        <w:tc>
          <w:tcPr>
            <w:tcW w:w="520" w:type="dxa"/>
            <w:vAlign w:val="bottom"/>
          </w:tcPr>
          <w:p>
            <w:pPr>
              <w:spacing w:after="0"/>
              <w:rPr>
                <w:sz w:val="18"/>
                <w:szCs w:val="18"/>
                <w:color w:val="auto"/>
              </w:rPr>
            </w:pPr>
          </w:p>
        </w:tc>
        <w:tc>
          <w:tcPr>
            <w:tcW w:w="140" w:type="dxa"/>
            <w:vAlign w:val="bottom"/>
            <w:shd w:val="clear" w:color="auto" w:fill="F4EFE7"/>
          </w:tcPr>
          <w:p>
            <w:pPr>
              <w:spacing w:after="0"/>
              <w:rPr>
                <w:sz w:val="18"/>
                <w:szCs w:val="18"/>
                <w:color w:val="auto"/>
              </w:rPr>
            </w:pPr>
          </w:p>
        </w:tc>
        <w:tc>
          <w:tcPr>
            <w:tcW w:w="2420" w:type="dxa"/>
            <w:vAlign w:val="bottom"/>
            <w:shd w:val="clear" w:color="auto" w:fill="F4EFE7"/>
          </w:tcPr>
          <w:p>
            <w:pPr>
              <w:ind w:left="20"/>
              <w:spacing w:after="0"/>
              <w:rPr>
                <w:sz w:val="20"/>
                <w:szCs w:val="20"/>
                <w:color w:val="auto"/>
              </w:rPr>
            </w:pPr>
            <w:r>
              <w:rPr>
                <w:rFonts w:ascii="Arial" w:cs="Arial" w:eastAsia="Arial" w:hAnsi="Arial"/>
                <w:sz w:val="16"/>
                <w:szCs w:val="16"/>
                <w:color w:val="auto"/>
              </w:rPr>
              <w:t>recommendations from</w:t>
            </w:r>
          </w:p>
        </w:tc>
        <w:tc>
          <w:tcPr>
            <w:tcW w:w="560" w:type="dxa"/>
            <w:vAlign w:val="bottom"/>
          </w:tcPr>
          <w:p>
            <w:pPr>
              <w:spacing w:after="0"/>
              <w:rPr>
                <w:sz w:val="18"/>
                <w:szCs w:val="18"/>
                <w:color w:val="auto"/>
              </w:rPr>
            </w:pPr>
          </w:p>
        </w:tc>
        <w:tc>
          <w:tcPr>
            <w:tcW w:w="240" w:type="dxa"/>
            <w:vAlign w:val="bottom"/>
            <w:shd w:val="clear" w:color="auto" w:fill="F4EFE7"/>
          </w:tcPr>
          <w:p>
            <w:pPr>
              <w:spacing w:after="0"/>
              <w:rPr>
                <w:sz w:val="18"/>
                <w:szCs w:val="18"/>
                <w:color w:val="auto"/>
              </w:rPr>
            </w:pPr>
          </w:p>
        </w:tc>
        <w:tc>
          <w:tcPr>
            <w:tcW w:w="3840" w:type="dxa"/>
            <w:vAlign w:val="bottom"/>
            <w:gridSpan w:val="2"/>
            <w:shd w:val="clear" w:color="auto" w:fill="F4EFE7"/>
          </w:tcPr>
          <w:p>
            <w:pPr>
              <w:ind w:left="20"/>
              <w:spacing w:after="0"/>
              <w:rPr>
                <w:sz w:val="20"/>
                <w:szCs w:val="20"/>
                <w:color w:val="auto"/>
              </w:rPr>
            </w:pPr>
            <w:r>
              <w:rPr>
                <w:rFonts w:ascii="Arial" w:cs="Arial" w:eastAsia="Arial" w:hAnsi="Arial"/>
                <w:sz w:val="16"/>
                <w:szCs w:val="16"/>
                <w:color w:val="auto"/>
              </w:rPr>
              <w:t>among other items:</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F4EFE7"/>
          </w:tcPr>
          <w:p>
            <w:pPr>
              <w:spacing w:after="0"/>
              <w:rPr>
                <w:sz w:val="18"/>
                <w:szCs w:val="18"/>
                <w:color w:val="auto"/>
              </w:rPr>
            </w:pPr>
          </w:p>
        </w:tc>
        <w:tc>
          <w:tcPr>
            <w:tcW w:w="2100" w:type="dxa"/>
            <w:vAlign w:val="bottom"/>
            <w:shd w:val="clear" w:color="auto" w:fill="F4EFE7"/>
          </w:tcPr>
          <w:p>
            <w:pPr>
              <w:ind w:left="20"/>
              <w:spacing w:after="0"/>
              <w:rPr>
                <w:sz w:val="20"/>
                <w:szCs w:val="20"/>
                <w:color w:val="auto"/>
              </w:rPr>
            </w:pPr>
            <w:r>
              <w:rPr>
                <w:rFonts w:ascii="Arial" w:cs="Arial" w:eastAsia="Arial" w:hAnsi="Arial"/>
                <w:sz w:val="16"/>
                <w:szCs w:val="16"/>
                <w:color w:val="auto"/>
              </w:rPr>
              <w:t>diversity of experiences,</w:t>
            </w:r>
          </w:p>
        </w:tc>
        <w:tc>
          <w:tcPr>
            <w:tcW w:w="520" w:type="dxa"/>
            <w:vAlign w:val="bottom"/>
          </w:tcPr>
          <w:p>
            <w:pPr>
              <w:spacing w:after="0"/>
              <w:rPr>
                <w:sz w:val="18"/>
                <w:szCs w:val="18"/>
                <w:color w:val="auto"/>
              </w:rPr>
            </w:pPr>
          </w:p>
        </w:tc>
        <w:tc>
          <w:tcPr>
            <w:tcW w:w="140" w:type="dxa"/>
            <w:vAlign w:val="bottom"/>
            <w:shd w:val="clear" w:color="auto" w:fill="F4EFE7"/>
          </w:tcPr>
          <w:p>
            <w:pPr>
              <w:spacing w:after="0"/>
              <w:rPr>
                <w:sz w:val="18"/>
                <w:szCs w:val="18"/>
                <w:color w:val="auto"/>
              </w:rPr>
            </w:pPr>
          </w:p>
        </w:tc>
        <w:tc>
          <w:tcPr>
            <w:tcW w:w="2420" w:type="dxa"/>
            <w:vAlign w:val="bottom"/>
            <w:shd w:val="clear" w:color="auto" w:fill="F4EFE7"/>
          </w:tcPr>
          <w:p>
            <w:pPr>
              <w:ind w:left="20"/>
              <w:spacing w:after="0"/>
              <w:rPr>
                <w:sz w:val="20"/>
                <w:szCs w:val="20"/>
                <w:color w:val="auto"/>
              </w:rPr>
            </w:pPr>
            <w:r>
              <w:rPr>
                <w:rFonts w:ascii="Arial" w:cs="Arial" w:eastAsia="Arial" w:hAnsi="Arial"/>
                <w:sz w:val="16"/>
                <w:szCs w:val="16"/>
                <w:color w:val="auto"/>
              </w:rPr>
              <w:t>shareholders, directors and</w:t>
            </w:r>
          </w:p>
        </w:tc>
        <w:tc>
          <w:tcPr>
            <w:tcW w:w="560" w:type="dxa"/>
            <w:vAlign w:val="bottom"/>
          </w:tcPr>
          <w:p>
            <w:pPr>
              <w:spacing w:after="0"/>
              <w:rPr>
                <w:sz w:val="18"/>
                <w:szCs w:val="18"/>
                <w:color w:val="auto"/>
              </w:rPr>
            </w:pPr>
          </w:p>
        </w:tc>
        <w:tc>
          <w:tcPr>
            <w:tcW w:w="240" w:type="dxa"/>
            <w:vAlign w:val="bottom"/>
            <w:shd w:val="clear" w:color="auto" w:fill="F4EFE7"/>
          </w:tcPr>
          <w:p>
            <w:pPr>
              <w:spacing w:after="0"/>
              <w:rPr>
                <w:sz w:val="18"/>
                <w:szCs w:val="18"/>
                <w:color w:val="auto"/>
              </w:rPr>
            </w:pPr>
          </w:p>
        </w:tc>
        <w:tc>
          <w:tcPr>
            <w:tcW w:w="3840" w:type="dxa"/>
            <w:vAlign w:val="bottom"/>
            <w:gridSpan w:val="2"/>
            <w:vMerge w:val="restart"/>
            <w:shd w:val="clear" w:color="auto" w:fill="F4EFE7"/>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The Firm’s Governance Principles</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0" w:type="dxa"/>
            <w:vAlign w:val="bottom"/>
            <w:shd w:val="clear" w:color="auto" w:fill="F4EFE7"/>
          </w:tcPr>
          <w:p>
            <w:pPr>
              <w:spacing w:after="0"/>
              <w:rPr>
                <w:sz w:val="13"/>
                <w:szCs w:val="13"/>
                <w:color w:val="auto"/>
              </w:rPr>
            </w:pPr>
          </w:p>
        </w:tc>
        <w:tc>
          <w:tcPr>
            <w:tcW w:w="2100" w:type="dxa"/>
            <w:vAlign w:val="bottom"/>
            <w:vMerge w:val="restart"/>
            <w:shd w:val="clear" w:color="auto" w:fill="F4EFE7"/>
          </w:tcPr>
          <w:p>
            <w:pPr>
              <w:ind w:left="20"/>
              <w:spacing w:after="0"/>
              <w:rPr>
                <w:sz w:val="20"/>
                <w:szCs w:val="20"/>
                <w:color w:val="auto"/>
              </w:rPr>
            </w:pPr>
            <w:r>
              <w:rPr>
                <w:rFonts w:ascii="Arial" w:cs="Arial" w:eastAsia="Arial" w:hAnsi="Arial"/>
                <w:sz w:val="16"/>
                <w:szCs w:val="16"/>
                <w:color w:val="auto"/>
              </w:rPr>
              <w:t>backgrounds, perspectives</w:t>
            </w:r>
          </w:p>
        </w:tc>
        <w:tc>
          <w:tcPr>
            <w:tcW w:w="520" w:type="dxa"/>
            <w:vAlign w:val="bottom"/>
          </w:tcPr>
          <w:p>
            <w:pPr>
              <w:spacing w:after="0"/>
              <w:rPr>
                <w:sz w:val="13"/>
                <w:szCs w:val="13"/>
                <w:color w:val="auto"/>
              </w:rPr>
            </w:pPr>
          </w:p>
        </w:tc>
        <w:tc>
          <w:tcPr>
            <w:tcW w:w="140" w:type="dxa"/>
            <w:vAlign w:val="bottom"/>
            <w:shd w:val="clear" w:color="auto" w:fill="F4EFE7"/>
          </w:tcPr>
          <w:p>
            <w:pPr>
              <w:spacing w:after="0"/>
              <w:rPr>
                <w:sz w:val="13"/>
                <w:szCs w:val="13"/>
                <w:color w:val="auto"/>
              </w:rPr>
            </w:pPr>
          </w:p>
        </w:tc>
        <w:tc>
          <w:tcPr>
            <w:tcW w:w="2420" w:type="dxa"/>
            <w:vAlign w:val="bottom"/>
            <w:vMerge w:val="restart"/>
            <w:shd w:val="clear" w:color="auto" w:fill="F4EFE7"/>
          </w:tcPr>
          <w:p>
            <w:pPr>
              <w:ind w:left="20"/>
              <w:spacing w:after="0"/>
              <w:rPr>
                <w:sz w:val="20"/>
                <w:szCs w:val="20"/>
                <w:color w:val="auto"/>
              </w:rPr>
            </w:pPr>
            <w:r>
              <w:rPr>
                <w:rFonts w:ascii="Arial" w:cs="Arial" w:eastAsia="Arial" w:hAnsi="Arial"/>
                <w:sz w:val="16"/>
                <w:szCs w:val="16"/>
                <w:color w:val="auto"/>
              </w:rPr>
              <w:t>management and, from time to</w:t>
            </w:r>
          </w:p>
        </w:tc>
        <w:tc>
          <w:tcPr>
            <w:tcW w:w="560" w:type="dxa"/>
            <w:vAlign w:val="bottom"/>
          </w:tcPr>
          <w:p>
            <w:pPr>
              <w:spacing w:after="0"/>
              <w:rPr>
                <w:sz w:val="13"/>
                <w:szCs w:val="13"/>
                <w:color w:val="auto"/>
              </w:rPr>
            </w:pPr>
          </w:p>
        </w:tc>
        <w:tc>
          <w:tcPr>
            <w:tcW w:w="240" w:type="dxa"/>
            <w:vAlign w:val="bottom"/>
            <w:shd w:val="clear" w:color="auto" w:fill="F4EFE7"/>
          </w:tcPr>
          <w:p>
            <w:pPr>
              <w:spacing w:after="0"/>
              <w:rPr>
                <w:sz w:val="13"/>
                <w:szCs w:val="13"/>
                <w:color w:val="auto"/>
              </w:rPr>
            </w:pPr>
          </w:p>
        </w:tc>
        <w:tc>
          <w:tcPr>
            <w:tcW w:w="3840" w:type="dxa"/>
            <w:vAlign w:val="bottom"/>
            <w:gridSpan w:val="2"/>
            <w:vMerge w:val="continue"/>
            <w:shd w:val="clear" w:color="auto" w:fill="F4EFE7"/>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200" w:type="dxa"/>
            <w:vAlign w:val="bottom"/>
            <w:shd w:val="clear" w:color="auto" w:fill="F4EFE7"/>
          </w:tcPr>
          <w:p>
            <w:pPr>
              <w:spacing w:after="0"/>
              <w:rPr>
                <w:sz w:val="5"/>
                <w:szCs w:val="5"/>
                <w:color w:val="auto"/>
              </w:rPr>
            </w:pPr>
          </w:p>
        </w:tc>
        <w:tc>
          <w:tcPr>
            <w:tcW w:w="2100" w:type="dxa"/>
            <w:vAlign w:val="bottom"/>
            <w:vMerge w:val="continue"/>
            <w:shd w:val="clear" w:color="auto" w:fill="F4EFE7"/>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shd w:val="clear" w:color="auto" w:fill="F4EFE7"/>
          </w:tcPr>
          <w:p>
            <w:pPr>
              <w:spacing w:after="0"/>
              <w:rPr>
                <w:sz w:val="5"/>
                <w:szCs w:val="5"/>
                <w:color w:val="auto"/>
              </w:rPr>
            </w:pPr>
          </w:p>
        </w:tc>
        <w:tc>
          <w:tcPr>
            <w:tcW w:w="2420" w:type="dxa"/>
            <w:vAlign w:val="bottom"/>
            <w:vMerge w:val="continue"/>
            <w:shd w:val="clear" w:color="auto" w:fill="F4EFE7"/>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shd w:val="clear" w:color="auto" w:fill="F4EFE7"/>
          </w:tcPr>
          <w:p>
            <w:pPr>
              <w:spacing w:after="0"/>
              <w:rPr>
                <w:sz w:val="5"/>
                <w:szCs w:val="5"/>
                <w:color w:val="auto"/>
              </w:rPr>
            </w:pPr>
          </w:p>
        </w:tc>
        <w:tc>
          <w:tcPr>
            <w:tcW w:w="3840" w:type="dxa"/>
            <w:vAlign w:val="bottom"/>
            <w:gridSpan w:val="2"/>
            <w:vMerge w:val="restart"/>
            <w:shd w:val="clear" w:color="auto" w:fill="F4EFE7"/>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The Firm’s strategy, risk profile and current</w:t>
            </w:r>
          </w:p>
        </w:tc>
        <w:tc>
          <w:tcPr>
            <w:tcW w:w="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0" w:type="dxa"/>
            <w:vAlign w:val="bottom"/>
            <w:shd w:val="clear" w:color="auto" w:fill="F4EFE7"/>
          </w:tcPr>
          <w:p>
            <w:pPr>
              <w:spacing w:after="0"/>
              <w:rPr>
                <w:sz w:val="17"/>
                <w:szCs w:val="17"/>
                <w:color w:val="auto"/>
              </w:rPr>
            </w:pPr>
          </w:p>
        </w:tc>
        <w:tc>
          <w:tcPr>
            <w:tcW w:w="2100" w:type="dxa"/>
            <w:vAlign w:val="bottom"/>
            <w:shd w:val="clear" w:color="auto" w:fill="F4EFE7"/>
          </w:tcPr>
          <w:p>
            <w:pPr>
              <w:ind w:left="20"/>
              <w:spacing w:after="0"/>
              <w:rPr>
                <w:sz w:val="20"/>
                <w:szCs w:val="20"/>
                <w:color w:val="auto"/>
              </w:rPr>
            </w:pPr>
            <w:r>
              <w:rPr>
                <w:rFonts w:ascii="Arial" w:cs="Arial" w:eastAsia="Arial" w:hAnsi="Arial"/>
                <w:sz w:val="16"/>
                <w:szCs w:val="16"/>
                <w:color w:val="auto"/>
              </w:rPr>
              <w:t>and viewpoints required to</w:t>
            </w:r>
          </w:p>
        </w:tc>
        <w:tc>
          <w:tcPr>
            <w:tcW w:w="520" w:type="dxa"/>
            <w:vAlign w:val="bottom"/>
          </w:tcPr>
          <w:p>
            <w:pPr>
              <w:spacing w:after="0"/>
              <w:rPr>
                <w:sz w:val="17"/>
                <w:szCs w:val="17"/>
                <w:color w:val="auto"/>
              </w:rPr>
            </w:pPr>
          </w:p>
        </w:tc>
        <w:tc>
          <w:tcPr>
            <w:tcW w:w="140" w:type="dxa"/>
            <w:vAlign w:val="bottom"/>
            <w:shd w:val="clear" w:color="auto" w:fill="F4EFE7"/>
          </w:tcPr>
          <w:p>
            <w:pPr>
              <w:spacing w:after="0"/>
              <w:rPr>
                <w:sz w:val="17"/>
                <w:szCs w:val="17"/>
                <w:color w:val="auto"/>
              </w:rPr>
            </w:pPr>
          </w:p>
        </w:tc>
        <w:tc>
          <w:tcPr>
            <w:tcW w:w="2420" w:type="dxa"/>
            <w:vAlign w:val="bottom"/>
            <w:shd w:val="clear" w:color="auto" w:fill="F4EFE7"/>
          </w:tcPr>
          <w:p>
            <w:pPr>
              <w:ind w:left="20"/>
              <w:spacing w:after="0"/>
              <w:rPr>
                <w:sz w:val="20"/>
                <w:szCs w:val="20"/>
                <w:color w:val="auto"/>
              </w:rPr>
            </w:pPr>
            <w:r>
              <w:rPr>
                <w:rFonts w:ascii="Arial" w:cs="Arial" w:eastAsia="Arial" w:hAnsi="Arial"/>
                <w:sz w:val="16"/>
                <w:szCs w:val="16"/>
                <w:color w:val="auto"/>
              </w:rPr>
              <w:t>time, has been assisted by a</w:t>
            </w:r>
          </w:p>
        </w:tc>
        <w:tc>
          <w:tcPr>
            <w:tcW w:w="560" w:type="dxa"/>
            <w:vAlign w:val="bottom"/>
          </w:tcPr>
          <w:p>
            <w:pPr>
              <w:spacing w:after="0"/>
              <w:rPr>
                <w:sz w:val="17"/>
                <w:szCs w:val="17"/>
                <w:color w:val="auto"/>
              </w:rPr>
            </w:pPr>
          </w:p>
        </w:tc>
        <w:tc>
          <w:tcPr>
            <w:tcW w:w="240" w:type="dxa"/>
            <w:vAlign w:val="bottom"/>
            <w:shd w:val="clear" w:color="auto" w:fill="F4EFE7"/>
          </w:tcPr>
          <w:p>
            <w:pPr>
              <w:spacing w:after="0"/>
              <w:rPr>
                <w:sz w:val="17"/>
                <w:szCs w:val="17"/>
                <w:color w:val="auto"/>
              </w:rPr>
            </w:pPr>
          </w:p>
        </w:tc>
        <w:tc>
          <w:tcPr>
            <w:tcW w:w="3840" w:type="dxa"/>
            <w:vAlign w:val="bottom"/>
            <w:gridSpan w:val="2"/>
            <w:vMerge w:val="continue"/>
            <w:shd w:val="clear" w:color="auto" w:fill="F4EFE7"/>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0" w:type="dxa"/>
            <w:vAlign w:val="bottom"/>
            <w:shd w:val="clear" w:color="auto" w:fill="F4EFE7"/>
          </w:tcPr>
          <w:p>
            <w:pPr>
              <w:spacing w:after="0"/>
              <w:rPr>
                <w:sz w:val="19"/>
                <w:szCs w:val="19"/>
                <w:color w:val="auto"/>
              </w:rPr>
            </w:pPr>
          </w:p>
        </w:tc>
        <w:tc>
          <w:tcPr>
            <w:tcW w:w="2100" w:type="dxa"/>
            <w:vAlign w:val="bottom"/>
            <w:shd w:val="clear" w:color="auto" w:fill="F4EFE7"/>
          </w:tcPr>
          <w:p>
            <w:pPr>
              <w:ind w:left="20"/>
              <w:spacing w:after="0"/>
              <w:rPr>
                <w:sz w:val="20"/>
                <w:szCs w:val="20"/>
                <w:color w:val="auto"/>
              </w:rPr>
            </w:pPr>
            <w:r>
              <w:rPr>
                <w:rFonts w:ascii="Arial" w:cs="Arial" w:eastAsia="Arial" w:hAnsi="Arial"/>
                <w:sz w:val="16"/>
                <w:szCs w:val="16"/>
                <w:color w:val="auto"/>
              </w:rPr>
              <w:t>effectively oversee the</w:t>
            </w:r>
          </w:p>
        </w:tc>
        <w:tc>
          <w:tcPr>
            <w:tcW w:w="520" w:type="dxa"/>
            <w:vAlign w:val="bottom"/>
          </w:tcPr>
          <w:p>
            <w:pPr>
              <w:spacing w:after="0"/>
              <w:rPr>
                <w:sz w:val="19"/>
                <w:szCs w:val="19"/>
                <w:color w:val="auto"/>
              </w:rPr>
            </w:pPr>
          </w:p>
        </w:tc>
        <w:tc>
          <w:tcPr>
            <w:tcW w:w="140" w:type="dxa"/>
            <w:vAlign w:val="bottom"/>
            <w:shd w:val="clear" w:color="auto" w:fill="F4EFE7"/>
          </w:tcPr>
          <w:p>
            <w:pPr>
              <w:spacing w:after="0"/>
              <w:rPr>
                <w:sz w:val="19"/>
                <w:szCs w:val="19"/>
                <w:color w:val="auto"/>
              </w:rPr>
            </w:pPr>
          </w:p>
        </w:tc>
        <w:tc>
          <w:tcPr>
            <w:tcW w:w="2420" w:type="dxa"/>
            <w:vAlign w:val="bottom"/>
            <w:shd w:val="clear" w:color="auto" w:fill="F4EFE7"/>
          </w:tcPr>
          <w:p>
            <w:pPr>
              <w:ind w:left="20"/>
              <w:spacing w:after="0"/>
              <w:rPr>
                <w:sz w:val="20"/>
                <w:szCs w:val="20"/>
                <w:color w:val="auto"/>
              </w:rPr>
            </w:pPr>
            <w:r>
              <w:rPr>
                <w:rFonts w:ascii="Arial" w:cs="Arial" w:eastAsia="Arial" w:hAnsi="Arial"/>
                <w:sz w:val="16"/>
                <w:szCs w:val="16"/>
                <w:color w:val="auto"/>
              </w:rPr>
              <w:t>third-party advisor in identifying</w:t>
            </w:r>
          </w:p>
        </w:tc>
        <w:tc>
          <w:tcPr>
            <w:tcW w:w="560" w:type="dxa"/>
            <w:vAlign w:val="bottom"/>
          </w:tcPr>
          <w:p>
            <w:pPr>
              <w:spacing w:after="0"/>
              <w:rPr>
                <w:sz w:val="19"/>
                <w:szCs w:val="19"/>
                <w:color w:val="auto"/>
              </w:rPr>
            </w:pPr>
          </w:p>
        </w:tc>
        <w:tc>
          <w:tcPr>
            <w:tcW w:w="240" w:type="dxa"/>
            <w:vAlign w:val="bottom"/>
            <w:shd w:val="clear" w:color="auto" w:fill="F4EFE7"/>
          </w:tcPr>
          <w:p>
            <w:pPr>
              <w:spacing w:after="0"/>
              <w:rPr>
                <w:sz w:val="19"/>
                <w:szCs w:val="19"/>
                <w:color w:val="auto"/>
              </w:rPr>
            </w:pPr>
          </w:p>
        </w:tc>
        <w:tc>
          <w:tcPr>
            <w:tcW w:w="3840" w:type="dxa"/>
            <w:vAlign w:val="bottom"/>
            <w:gridSpan w:val="2"/>
            <w:shd w:val="clear" w:color="auto" w:fill="F4EFE7"/>
          </w:tcPr>
          <w:p>
            <w:pPr>
              <w:ind w:left="220"/>
              <w:spacing w:after="0"/>
              <w:rPr>
                <w:sz w:val="20"/>
                <w:szCs w:val="20"/>
                <w:color w:val="auto"/>
              </w:rPr>
            </w:pPr>
            <w:r>
              <w:rPr>
                <w:rFonts w:ascii="Arial" w:cs="Arial" w:eastAsia="Arial" w:hAnsi="Arial"/>
                <w:sz w:val="16"/>
                <w:szCs w:val="16"/>
                <w:color w:val="auto"/>
              </w:rPr>
              <w:t>Board composition</w:t>
            </w:r>
          </w:p>
        </w:tc>
        <w:tc>
          <w:tcPr>
            <w:tcW w:w="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shd w:val="clear" w:color="auto" w:fill="F4EFE7"/>
          </w:tcPr>
          <w:p>
            <w:pPr>
              <w:spacing w:after="0"/>
              <w:rPr>
                <w:sz w:val="18"/>
                <w:szCs w:val="18"/>
                <w:color w:val="auto"/>
              </w:rPr>
            </w:pPr>
          </w:p>
        </w:tc>
        <w:tc>
          <w:tcPr>
            <w:tcW w:w="2100" w:type="dxa"/>
            <w:vAlign w:val="bottom"/>
            <w:shd w:val="clear" w:color="auto" w:fill="F4EFE7"/>
          </w:tcPr>
          <w:p>
            <w:pPr>
              <w:ind w:left="20"/>
              <w:spacing w:after="0"/>
              <w:rPr>
                <w:sz w:val="20"/>
                <w:szCs w:val="20"/>
                <w:color w:val="auto"/>
              </w:rPr>
            </w:pPr>
            <w:r>
              <w:rPr>
                <w:rFonts w:ascii="Arial" w:cs="Arial" w:eastAsia="Arial" w:hAnsi="Arial"/>
                <w:sz w:val="16"/>
                <w:szCs w:val="16"/>
                <w:color w:val="auto"/>
              </w:rPr>
              <w:t>Firm, including its present</w:t>
            </w:r>
          </w:p>
        </w:tc>
        <w:tc>
          <w:tcPr>
            <w:tcW w:w="520" w:type="dxa"/>
            <w:vAlign w:val="bottom"/>
          </w:tcPr>
          <w:p>
            <w:pPr>
              <w:spacing w:after="0"/>
              <w:rPr>
                <w:sz w:val="18"/>
                <w:szCs w:val="18"/>
                <w:color w:val="auto"/>
              </w:rPr>
            </w:pPr>
          </w:p>
        </w:tc>
        <w:tc>
          <w:tcPr>
            <w:tcW w:w="140" w:type="dxa"/>
            <w:vAlign w:val="bottom"/>
            <w:shd w:val="clear" w:color="auto" w:fill="F4EFE7"/>
          </w:tcPr>
          <w:p>
            <w:pPr>
              <w:spacing w:after="0"/>
              <w:rPr>
                <w:sz w:val="18"/>
                <w:szCs w:val="18"/>
                <w:color w:val="auto"/>
              </w:rPr>
            </w:pPr>
          </w:p>
        </w:tc>
        <w:tc>
          <w:tcPr>
            <w:tcW w:w="2420" w:type="dxa"/>
            <w:vAlign w:val="bottom"/>
            <w:shd w:val="clear" w:color="auto" w:fill="F4EFE7"/>
          </w:tcPr>
          <w:p>
            <w:pPr>
              <w:ind w:left="20"/>
              <w:spacing w:after="0"/>
              <w:rPr>
                <w:sz w:val="20"/>
                <w:szCs w:val="20"/>
                <w:color w:val="auto"/>
              </w:rPr>
            </w:pPr>
            <w:r>
              <w:rPr>
                <w:rFonts w:ascii="Arial" w:cs="Arial" w:eastAsia="Arial" w:hAnsi="Arial"/>
                <w:sz w:val="16"/>
                <w:szCs w:val="16"/>
                <w:color w:val="auto"/>
              </w:rPr>
              <w:t>qualified candidates.</w:t>
            </w:r>
          </w:p>
        </w:tc>
        <w:tc>
          <w:tcPr>
            <w:tcW w:w="560" w:type="dxa"/>
            <w:vAlign w:val="bottom"/>
          </w:tcPr>
          <w:p>
            <w:pPr>
              <w:spacing w:after="0"/>
              <w:rPr>
                <w:sz w:val="18"/>
                <w:szCs w:val="18"/>
                <w:color w:val="auto"/>
              </w:rPr>
            </w:pPr>
          </w:p>
        </w:tc>
        <w:tc>
          <w:tcPr>
            <w:tcW w:w="240" w:type="dxa"/>
            <w:vAlign w:val="bottom"/>
            <w:shd w:val="clear" w:color="auto" w:fill="F4EFE7"/>
          </w:tcPr>
          <w:p>
            <w:pPr>
              <w:spacing w:after="0"/>
              <w:rPr>
                <w:sz w:val="18"/>
                <w:szCs w:val="18"/>
                <w:color w:val="auto"/>
              </w:rPr>
            </w:pPr>
          </w:p>
        </w:tc>
        <w:tc>
          <w:tcPr>
            <w:tcW w:w="3840" w:type="dxa"/>
            <w:vAlign w:val="bottom"/>
            <w:gridSpan w:val="2"/>
            <w:shd w:val="clear" w:color="auto" w:fill="F4EFE7"/>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Candidate’s specific skills and experiences</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0" w:type="dxa"/>
            <w:vAlign w:val="bottom"/>
            <w:shd w:val="clear" w:color="auto" w:fill="F4EFE7"/>
          </w:tcPr>
          <w:p>
            <w:pPr>
              <w:spacing w:after="0"/>
              <w:rPr>
                <w:sz w:val="22"/>
                <w:szCs w:val="22"/>
                <w:color w:val="auto"/>
              </w:rPr>
            </w:pPr>
          </w:p>
        </w:tc>
        <w:tc>
          <w:tcPr>
            <w:tcW w:w="2100" w:type="dxa"/>
            <w:vAlign w:val="bottom"/>
            <w:shd w:val="clear" w:color="auto" w:fill="F4EFE7"/>
          </w:tcPr>
          <w:p>
            <w:pPr>
              <w:ind w:left="20"/>
              <w:spacing w:after="0"/>
              <w:rPr>
                <w:sz w:val="20"/>
                <w:szCs w:val="20"/>
                <w:color w:val="auto"/>
              </w:rPr>
            </w:pPr>
            <w:r>
              <w:rPr>
                <w:rFonts w:ascii="Arial" w:cs="Arial" w:eastAsia="Arial" w:hAnsi="Arial"/>
                <w:sz w:val="16"/>
                <w:szCs w:val="16"/>
                <w:color w:val="auto"/>
              </w:rPr>
              <w:t>and future strategy.</w:t>
            </w:r>
          </w:p>
        </w:tc>
        <w:tc>
          <w:tcPr>
            <w:tcW w:w="520" w:type="dxa"/>
            <w:vAlign w:val="bottom"/>
          </w:tcPr>
          <w:p>
            <w:pPr>
              <w:spacing w:after="0"/>
              <w:rPr>
                <w:sz w:val="22"/>
                <w:szCs w:val="22"/>
                <w:color w:val="auto"/>
              </w:rPr>
            </w:pPr>
          </w:p>
        </w:tc>
        <w:tc>
          <w:tcPr>
            <w:tcW w:w="140" w:type="dxa"/>
            <w:vAlign w:val="bottom"/>
            <w:shd w:val="clear" w:color="auto" w:fill="F4EFE7"/>
          </w:tcPr>
          <w:p>
            <w:pPr>
              <w:spacing w:after="0"/>
              <w:rPr>
                <w:sz w:val="22"/>
                <w:szCs w:val="22"/>
                <w:color w:val="auto"/>
              </w:rPr>
            </w:pPr>
          </w:p>
        </w:tc>
        <w:tc>
          <w:tcPr>
            <w:tcW w:w="2420" w:type="dxa"/>
            <w:vAlign w:val="bottom"/>
            <w:shd w:val="clear" w:color="auto" w:fill="F4EFE7"/>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shd w:val="clear" w:color="auto" w:fill="F4EFE7"/>
          </w:tcPr>
          <w:p>
            <w:pPr>
              <w:spacing w:after="0"/>
              <w:rPr>
                <w:sz w:val="22"/>
                <w:szCs w:val="22"/>
                <w:color w:val="auto"/>
              </w:rPr>
            </w:pPr>
          </w:p>
        </w:tc>
        <w:tc>
          <w:tcPr>
            <w:tcW w:w="3840" w:type="dxa"/>
            <w:vAlign w:val="bottom"/>
            <w:gridSpan w:val="2"/>
            <w:shd w:val="clear" w:color="auto" w:fill="F4EFE7"/>
          </w:tcPr>
          <w:p>
            <w:pPr>
              <w:ind w:left="220"/>
              <w:spacing w:after="0"/>
              <w:rPr>
                <w:sz w:val="20"/>
                <w:szCs w:val="20"/>
                <w:color w:val="auto"/>
              </w:rPr>
            </w:pPr>
            <w:r>
              <w:rPr>
                <w:rFonts w:ascii="Arial" w:cs="Arial" w:eastAsia="Arial" w:hAnsi="Arial"/>
                <w:sz w:val="16"/>
                <w:szCs w:val="16"/>
                <w:color w:val="auto"/>
              </w:rPr>
              <w:t>based on the needs of the Firm</w:t>
            </w: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00" w:type="dxa"/>
            <w:vAlign w:val="bottom"/>
            <w:shd w:val="clear" w:color="auto" w:fill="F4EFE7"/>
          </w:tcPr>
          <w:p>
            <w:pPr>
              <w:spacing w:after="0"/>
              <w:rPr>
                <w:sz w:val="23"/>
                <w:szCs w:val="23"/>
                <w:color w:val="auto"/>
              </w:rPr>
            </w:pPr>
          </w:p>
        </w:tc>
        <w:tc>
          <w:tcPr>
            <w:tcW w:w="2100" w:type="dxa"/>
            <w:vAlign w:val="bottom"/>
            <w:shd w:val="clear" w:color="auto" w:fill="F4EFE7"/>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shd w:val="clear" w:color="auto" w:fill="F4EFE7"/>
          </w:tcPr>
          <w:p>
            <w:pPr>
              <w:spacing w:after="0"/>
              <w:rPr>
                <w:sz w:val="23"/>
                <w:szCs w:val="23"/>
                <w:color w:val="auto"/>
              </w:rPr>
            </w:pPr>
          </w:p>
        </w:tc>
        <w:tc>
          <w:tcPr>
            <w:tcW w:w="2420" w:type="dxa"/>
            <w:vAlign w:val="bottom"/>
            <w:shd w:val="clear" w:color="auto" w:fill="F4EFE7"/>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shd w:val="clear" w:color="auto" w:fill="F4EFE7"/>
          </w:tcPr>
          <w:p>
            <w:pPr>
              <w:spacing w:after="0"/>
              <w:rPr>
                <w:sz w:val="23"/>
                <w:szCs w:val="23"/>
                <w:color w:val="auto"/>
              </w:rPr>
            </w:pPr>
          </w:p>
        </w:tc>
        <w:tc>
          <w:tcPr>
            <w:tcW w:w="3840" w:type="dxa"/>
            <w:vAlign w:val="bottom"/>
            <w:gridSpan w:val="2"/>
            <w:shd w:val="clear" w:color="auto" w:fill="F4EFE7"/>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Candidate’s contribution to Board diversity in</w:t>
            </w:r>
          </w:p>
        </w:tc>
        <w:tc>
          <w:tcPr>
            <w:tcW w:w="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F4EFE7"/>
          </w:tcPr>
          <w:p>
            <w:pPr>
              <w:spacing w:after="0"/>
              <w:rPr>
                <w:sz w:val="18"/>
                <w:szCs w:val="18"/>
                <w:color w:val="auto"/>
              </w:rPr>
            </w:pPr>
          </w:p>
        </w:tc>
        <w:tc>
          <w:tcPr>
            <w:tcW w:w="2100" w:type="dxa"/>
            <w:vAlign w:val="bottom"/>
            <w:shd w:val="clear" w:color="auto" w:fill="F4EFE7"/>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shd w:val="clear" w:color="auto" w:fill="F4EFE7"/>
          </w:tcPr>
          <w:p>
            <w:pPr>
              <w:spacing w:after="0"/>
              <w:rPr>
                <w:sz w:val="18"/>
                <w:szCs w:val="18"/>
                <w:color w:val="auto"/>
              </w:rPr>
            </w:pPr>
          </w:p>
        </w:tc>
        <w:tc>
          <w:tcPr>
            <w:tcW w:w="2420" w:type="dxa"/>
            <w:vAlign w:val="bottom"/>
            <w:shd w:val="clear" w:color="auto" w:fill="F4EFE7"/>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shd w:val="clear" w:color="auto" w:fill="F4EFE7"/>
          </w:tcPr>
          <w:p>
            <w:pPr>
              <w:spacing w:after="0"/>
              <w:rPr>
                <w:sz w:val="18"/>
                <w:szCs w:val="18"/>
                <w:color w:val="auto"/>
              </w:rPr>
            </w:pPr>
          </w:p>
        </w:tc>
        <w:tc>
          <w:tcPr>
            <w:tcW w:w="3840" w:type="dxa"/>
            <w:vAlign w:val="bottom"/>
            <w:gridSpan w:val="2"/>
            <w:shd w:val="clear" w:color="auto" w:fill="F4EFE7"/>
          </w:tcPr>
          <w:p>
            <w:pPr>
              <w:ind w:left="220"/>
              <w:spacing w:after="0"/>
              <w:rPr>
                <w:sz w:val="20"/>
                <w:szCs w:val="20"/>
                <w:color w:val="auto"/>
              </w:rPr>
            </w:pPr>
            <w:r>
              <w:rPr>
                <w:rFonts w:ascii="Arial" w:cs="Arial" w:eastAsia="Arial" w:hAnsi="Arial"/>
                <w:sz w:val="16"/>
                <w:szCs w:val="16"/>
                <w:color w:val="auto"/>
              </w:rPr>
              <w:t>experiences, backgrounds, perspectives</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F4EFE7"/>
          </w:tcPr>
          <w:p>
            <w:pPr>
              <w:spacing w:after="0"/>
              <w:rPr>
                <w:sz w:val="18"/>
                <w:szCs w:val="18"/>
                <w:color w:val="auto"/>
              </w:rPr>
            </w:pPr>
          </w:p>
        </w:tc>
        <w:tc>
          <w:tcPr>
            <w:tcW w:w="2100" w:type="dxa"/>
            <w:vAlign w:val="bottom"/>
            <w:shd w:val="clear" w:color="auto" w:fill="F4EFE7"/>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shd w:val="clear" w:color="auto" w:fill="F4EFE7"/>
          </w:tcPr>
          <w:p>
            <w:pPr>
              <w:spacing w:after="0"/>
              <w:rPr>
                <w:sz w:val="18"/>
                <w:szCs w:val="18"/>
                <w:color w:val="auto"/>
              </w:rPr>
            </w:pPr>
          </w:p>
        </w:tc>
        <w:tc>
          <w:tcPr>
            <w:tcW w:w="2420" w:type="dxa"/>
            <w:vAlign w:val="bottom"/>
            <w:shd w:val="clear" w:color="auto" w:fill="F4EFE7"/>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shd w:val="clear" w:color="auto" w:fill="F4EFE7"/>
          </w:tcPr>
          <w:p>
            <w:pPr>
              <w:spacing w:after="0"/>
              <w:rPr>
                <w:sz w:val="18"/>
                <w:szCs w:val="18"/>
                <w:color w:val="auto"/>
              </w:rPr>
            </w:pPr>
          </w:p>
        </w:tc>
        <w:tc>
          <w:tcPr>
            <w:tcW w:w="3840" w:type="dxa"/>
            <w:vAlign w:val="bottom"/>
            <w:gridSpan w:val="2"/>
            <w:shd w:val="clear" w:color="auto" w:fill="F4EFE7"/>
          </w:tcPr>
          <w:p>
            <w:pPr>
              <w:ind w:left="220"/>
              <w:spacing w:after="0"/>
              <w:rPr>
                <w:sz w:val="20"/>
                <w:szCs w:val="20"/>
                <w:color w:val="auto"/>
              </w:rPr>
            </w:pPr>
            <w:r>
              <w:rPr>
                <w:rFonts w:ascii="Arial" w:cs="Arial" w:eastAsia="Arial" w:hAnsi="Arial"/>
                <w:sz w:val="16"/>
                <w:szCs w:val="16"/>
                <w:color w:val="auto"/>
              </w:rPr>
              <w:t>and viewpoints</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0" w:type="dxa"/>
            <w:vAlign w:val="bottom"/>
            <w:shd w:val="clear" w:color="auto" w:fill="F4EFE7"/>
          </w:tcPr>
          <w:p>
            <w:pPr>
              <w:spacing w:after="0"/>
              <w:rPr>
                <w:sz w:val="22"/>
                <w:szCs w:val="22"/>
                <w:color w:val="auto"/>
              </w:rPr>
            </w:pPr>
          </w:p>
        </w:tc>
        <w:tc>
          <w:tcPr>
            <w:tcW w:w="2100" w:type="dxa"/>
            <w:vAlign w:val="bottom"/>
            <w:shd w:val="clear" w:color="auto" w:fill="F4EFE7"/>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shd w:val="clear" w:color="auto" w:fill="F4EFE7"/>
          </w:tcPr>
          <w:p>
            <w:pPr>
              <w:spacing w:after="0"/>
              <w:rPr>
                <w:sz w:val="22"/>
                <w:szCs w:val="22"/>
                <w:color w:val="auto"/>
              </w:rPr>
            </w:pPr>
          </w:p>
        </w:tc>
        <w:tc>
          <w:tcPr>
            <w:tcW w:w="2420" w:type="dxa"/>
            <w:vAlign w:val="bottom"/>
            <w:shd w:val="clear" w:color="auto" w:fill="F4EFE7"/>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shd w:val="clear" w:color="auto" w:fill="F4EFE7"/>
          </w:tcPr>
          <w:p>
            <w:pPr>
              <w:spacing w:after="0"/>
              <w:rPr>
                <w:sz w:val="22"/>
                <w:szCs w:val="22"/>
                <w:color w:val="auto"/>
              </w:rPr>
            </w:pPr>
          </w:p>
        </w:tc>
        <w:tc>
          <w:tcPr>
            <w:tcW w:w="1440" w:type="dxa"/>
            <w:vAlign w:val="bottom"/>
            <w:shd w:val="clear" w:color="auto" w:fill="F4EFE7"/>
          </w:tcPr>
          <w:p>
            <w:pPr>
              <w:spacing w:after="0"/>
              <w:rPr>
                <w:sz w:val="22"/>
                <w:szCs w:val="22"/>
                <w:color w:val="auto"/>
              </w:rPr>
            </w:pPr>
          </w:p>
        </w:tc>
        <w:tc>
          <w:tcPr>
            <w:tcW w:w="2400" w:type="dxa"/>
            <w:vAlign w:val="bottom"/>
            <w:shd w:val="clear" w:color="auto" w:fill="F4EFE7"/>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325755</wp:posOffset>
            </wp:positionV>
            <wp:extent cx="205740" cy="2311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5740" cy="23114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-2262505</wp:posOffset>
            </wp:positionV>
            <wp:extent cx="4011930" cy="2425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011930" cy="242570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17145</wp:posOffset>
            </wp:positionV>
            <wp:extent cx="128905" cy="146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8905" cy="1460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500" w:type="dxa"/>
        <w:tblCellMar>
          <w:top w:w="0" w:type="dxa"/>
          <w:left w:w="0" w:type="dxa"/>
          <w:bottom w:w="0" w:type="dxa"/>
          <w:right w:w="0" w:type="dxa"/>
        </w:tblCellMar>
      </w:tblPr>
      <w:tr>
        <w:trPr>
          <w:trHeight w:val="242"/>
        </w:trPr>
        <w:tc>
          <w:tcPr>
            <w:tcW w:w="200" w:type="dxa"/>
            <w:vAlign w:val="bottom"/>
          </w:tcPr>
          <w:p>
            <w:pPr>
              <w:spacing w:after="0"/>
              <w:rPr>
                <w:sz w:val="21"/>
                <w:szCs w:val="21"/>
                <w:color w:val="auto"/>
              </w:rPr>
            </w:pPr>
          </w:p>
        </w:tc>
        <w:tc>
          <w:tcPr>
            <w:tcW w:w="2760" w:type="dxa"/>
            <w:vAlign w:val="bottom"/>
            <w:gridSpan w:val="2"/>
          </w:tcPr>
          <w:p>
            <w:pPr>
              <w:ind w:left="20"/>
              <w:spacing w:after="0"/>
              <w:rPr>
                <w:sz w:val="20"/>
                <w:szCs w:val="20"/>
                <w:color w:val="auto"/>
              </w:rPr>
            </w:pPr>
            <w:r>
              <w:rPr>
                <w:rFonts w:ascii="Arial" w:cs="Arial" w:eastAsia="Arial" w:hAnsi="Arial"/>
                <w:sz w:val="16"/>
                <w:szCs w:val="16"/>
                <w:b w:val="1"/>
                <w:bCs w:val="1"/>
                <w:color w:val="auto"/>
              </w:rPr>
              <w:t>FULL BOARD</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CANDIDATE MEETINGS</w:t>
            </w:r>
          </w:p>
        </w:tc>
        <w:tc>
          <w:tcPr>
            <w:tcW w:w="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200" w:type="dxa"/>
            <w:vAlign w:val="bottom"/>
          </w:tcPr>
          <w:p>
            <w:pPr>
              <w:spacing w:after="0"/>
              <w:rPr>
                <w:sz w:val="9"/>
                <w:szCs w:val="9"/>
                <w:color w:val="auto"/>
              </w:rPr>
            </w:pPr>
          </w:p>
        </w:tc>
        <w:tc>
          <w:tcPr>
            <w:tcW w:w="1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CONSIDERATION</w:t>
            </w: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900" w:type="dxa"/>
            <w:vAlign w:val="bottom"/>
            <w:gridSpan w:val="2"/>
            <w:vMerge w:val="continue"/>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5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0" w:type="dxa"/>
            <w:vAlign w:val="bottom"/>
            <w:shd w:val="clear" w:color="auto" w:fill="F4EFE7"/>
          </w:tcPr>
          <w:p>
            <w:pPr>
              <w:spacing w:after="0"/>
              <w:rPr>
                <w:sz w:val="24"/>
                <w:szCs w:val="24"/>
                <w:color w:val="auto"/>
              </w:rPr>
            </w:pPr>
          </w:p>
        </w:tc>
        <w:tc>
          <w:tcPr>
            <w:tcW w:w="2760" w:type="dxa"/>
            <w:vAlign w:val="bottom"/>
            <w:gridSpan w:val="2"/>
            <w:shd w:val="clear" w:color="auto" w:fill="F4EFE7"/>
          </w:tcPr>
          <w:p>
            <w:pPr>
              <w:ind w:left="20"/>
              <w:spacing w:after="0"/>
              <w:rPr>
                <w:sz w:val="20"/>
                <w:szCs w:val="20"/>
                <w:color w:val="auto"/>
              </w:rPr>
            </w:pPr>
            <w:r>
              <w:rPr>
                <w:rFonts w:ascii="Arial" w:cs="Arial" w:eastAsia="Arial" w:hAnsi="Arial"/>
                <w:sz w:val="16"/>
                <w:szCs w:val="16"/>
                <w:color w:val="auto"/>
              </w:rPr>
              <w:t>The Governance Committee puts</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shd w:val="clear" w:color="auto" w:fill="F4EFE7"/>
          </w:tcPr>
          <w:p>
            <w:pPr>
              <w:spacing w:after="0"/>
              <w:rPr>
                <w:sz w:val="24"/>
                <w:szCs w:val="24"/>
                <w:color w:val="auto"/>
              </w:rPr>
            </w:pPr>
          </w:p>
        </w:tc>
        <w:tc>
          <w:tcPr>
            <w:tcW w:w="5900" w:type="dxa"/>
            <w:vAlign w:val="bottom"/>
            <w:gridSpan w:val="2"/>
            <w:shd w:val="clear" w:color="auto" w:fill="F4EFE7"/>
          </w:tcPr>
          <w:p>
            <w:pPr>
              <w:ind w:left="20"/>
              <w:spacing w:after="0"/>
              <w:rPr>
                <w:sz w:val="20"/>
                <w:szCs w:val="20"/>
                <w:color w:val="auto"/>
              </w:rPr>
            </w:pPr>
            <w:r>
              <w:rPr>
                <w:rFonts w:ascii="Arial" w:cs="Arial" w:eastAsia="Arial" w:hAnsi="Arial"/>
                <w:sz w:val="16"/>
                <w:szCs w:val="16"/>
                <w:color w:val="auto"/>
              </w:rPr>
              <w:t>The potential nominee meets with the Governance Committee, Lead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F4EFE7"/>
          </w:tcPr>
          <w:p>
            <w:pPr>
              <w:spacing w:after="0"/>
              <w:rPr>
                <w:sz w:val="18"/>
                <w:szCs w:val="18"/>
                <w:color w:val="auto"/>
              </w:rPr>
            </w:pPr>
          </w:p>
        </w:tc>
        <w:tc>
          <w:tcPr>
            <w:tcW w:w="2760" w:type="dxa"/>
            <w:vAlign w:val="bottom"/>
            <w:gridSpan w:val="2"/>
            <w:shd w:val="clear" w:color="auto" w:fill="F4EFE7"/>
          </w:tcPr>
          <w:p>
            <w:pPr>
              <w:ind w:left="20"/>
              <w:spacing w:after="0"/>
              <w:rPr>
                <w:sz w:val="20"/>
                <w:szCs w:val="20"/>
                <w:color w:val="auto"/>
              </w:rPr>
            </w:pPr>
            <w:r>
              <w:rPr>
                <w:rFonts w:ascii="Arial" w:cs="Arial" w:eastAsia="Arial" w:hAnsi="Arial"/>
                <w:sz w:val="16"/>
                <w:szCs w:val="16"/>
                <w:color w:val="auto"/>
              </w:rPr>
              <w:t>the candidate forward for</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shd w:val="clear" w:color="auto" w:fill="F4EFE7"/>
          </w:tcPr>
          <w:p>
            <w:pPr>
              <w:spacing w:after="0"/>
              <w:rPr>
                <w:sz w:val="18"/>
                <w:szCs w:val="18"/>
                <w:color w:val="auto"/>
              </w:rPr>
            </w:pPr>
          </w:p>
        </w:tc>
        <w:tc>
          <w:tcPr>
            <w:tcW w:w="5900" w:type="dxa"/>
            <w:vAlign w:val="bottom"/>
            <w:gridSpan w:val="2"/>
            <w:shd w:val="clear" w:color="auto" w:fill="F4EFE7"/>
          </w:tcPr>
          <w:p>
            <w:pPr>
              <w:ind w:left="20"/>
              <w:spacing w:after="0"/>
              <w:rPr>
                <w:sz w:val="20"/>
                <w:szCs w:val="20"/>
                <w:color w:val="auto"/>
              </w:rPr>
            </w:pPr>
            <w:r>
              <w:rPr>
                <w:rFonts w:ascii="Arial" w:cs="Arial" w:eastAsia="Arial" w:hAnsi="Arial"/>
                <w:sz w:val="16"/>
                <w:szCs w:val="16"/>
                <w:color w:val="auto"/>
              </w:rPr>
              <w:t>Independent Director, Chair of the Board, other members of the Board and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F4EFE7"/>
          </w:tcPr>
          <w:p>
            <w:pPr>
              <w:spacing w:after="0"/>
              <w:rPr>
                <w:sz w:val="18"/>
                <w:szCs w:val="18"/>
                <w:color w:val="auto"/>
              </w:rPr>
            </w:pPr>
          </w:p>
        </w:tc>
        <w:tc>
          <w:tcPr>
            <w:tcW w:w="2760" w:type="dxa"/>
            <w:vAlign w:val="bottom"/>
            <w:gridSpan w:val="2"/>
            <w:shd w:val="clear" w:color="auto" w:fill="F4EFE7"/>
          </w:tcPr>
          <w:p>
            <w:pPr>
              <w:ind w:left="20"/>
              <w:spacing w:after="0"/>
              <w:rPr>
                <w:sz w:val="20"/>
                <w:szCs w:val="20"/>
                <w:color w:val="auto"/>
              </w:rPr>
            </w:pPr>
            <w:r>
              <w:rPr>
                <w:rFonts w:ascii="Arial" w:cs="Arial" w:eastAsia="Arial" w:hAnsi="Arial"/>
                <w:sz w:val="16"/>
                <w:szCs w:val="16"/>
                <w:color w:val="auto"/>
              </w:rPr>
              <w:t>consideration by the full Board.</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shd w:val="clear" w:color="auto" w:fill="F4EFE7"/>
          </w:tcPr>
          <w:p>
            <w:pPr>
              <w:spacing w:after="0"/>
              <w:rPr>
                <w:sz w:val="18"/>
                <w:szCs w:val="18"/>
                <w:color w:val="auto"/>
              </w:rPr>
            </w:pPr>
          </w:p>
        </w:tc>
        <w:tc>
          <w:tcPr>
            <w:tcW w:w="5900" w:type="dxa"/>
            <w:vAlign w:val="bottom"/>
            <w:gridSpan w:val="2"/>
            <w:shd w:val="clear" w:color="auto" w:fill="F4EFE7"/>
          </w:tcPr>
          <w:p>
            <w:pPr>
              <w:ind w:left="20"/>
              <w:spacing w:after="0"/>
              <w:rPr>
                <w:sz w:val="20"/>
                <w:szCs w:val="20"/>
                <w:color w:val="auto"/>
              </w:rPr>
            </w:pPr>
            <w:r>
              <w:rPr>
                <w:rFonts w:ascii="Arial" w:cs="Arial" w:eastAsia="Arial" w:hAnsi="Arial"/>
                <w:sz w:val="16"/>
                <w:szCs w:val="16"/>
                <w:color w:val="auto"/>
              </w:rPr>
              <w:t>senior management, as appropriate.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200" w:type="dxa"/>
            <w:vAlign w:val="bottom"/>
            <w:shd w:val="clear" w:color="auto" w:fill="F4EFE7"/>
          </w:tcPr>
          <w:p>
            <w:pPr>
              <w:spacing w:after="0"/>
              <w:rPr>
                <w:sz w:val="24"/>
                <w:szCs w:val="24"/>
                <w:color w:val="auto"/>
              </w:rPr>
            </w:pPr>
          </w:p>
        </w:tc>
        <w:tc>
          <w:tcPr>
            <w:tcW w:w="1740" w:type="dxa"/>
            <w:vAlign w:val="bottom"/>
            <w:shd w:val="clear" w:color="auto" w:fill="F4EFE7"/>
          </w:tcPr>
          <w:p>
            <w:pPr>
              <w:spacing w:after="0"/>
              <w:rPr>
                <w:sz w:val="24"/>
                <w:szCs w:val="24"/>
                <w:color w:val="auto"/>
              </w:rPr>
            </w:pPr>
          </w:p>
        </w:tc>
        <w:tc>
          <w:tcPr>
            <w:tcW w:w="1020" w:type="dxa"/>
            <w:vAlign w:val="bottom"/>
            <w:shd w:val="clear" w:color="auto" w:fill="F4EFE7"/>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shd w:val="clear" w:color="auto" w:fill="F4EFE7"/>
          </w:tcPr>
          <w:p>
            <w:pPr>
              <w:spacing w:after="0"/>
              <w:rPr>
                <w:sz w:val="24"/>
                <w:szCs w:val="24"/>
                <w:color w:val="auto"/>
              </w:rPr>
            </w:pPr>
          </w:p>
        </w:tc>
        <w:tc>
          <w:tcPr>
            <w:tcW w:w="2400" w:type="dxa"/>
            <w:vAlign w:val="bottom"/>
            <w:shd w:val="clear" w:color="auto" w:fill="F4EFE7"/>
          </w:tcPr>
          <w:p>
            <w:pPr>
              <w:spacing w:after="0"/>
              <w:rPr>
                <w:sz w:val="24"/>
                <w:szCs w:val="24"/>
                <w:color w:val="auto"/>
              </w:rPr>
            </w:pPr>
          </w:p>
        </w:tc>
        <w:tc>
          <w:tcPr>
            <w:tcW w:w="3500" w:type="dxa"/>
            <w:vAlign w:val="bottom"/>
            <w:shd w:val="clear" w:color="auto" w:fill="F4EFE7"/>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-1036955</wp:posOffset>
            </wp:positionV>
            <wp:extent cx="162560" cy="145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10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Governance Committee is engaged in an ongoing recruitment process designed to build a strong pipeline of prospective directors for the near and long term. This includes candidates who are not available for board membership immediately but may become available in the future, such as candidates whose current professional commitments preclude board service and emerging leaders who require more experience. Often the Board works to develop a relationship with prospective candidates, becoming familiar with their skills and effectiveness, before the candidate is formally considered. The Board looks to recruit those who will contribute individually, and it seeks to balance skills, experience, personal attributes and tenure. All candidates recommended to the Governance Committee are evaluated based on the same standards outlined above.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Firm’s By-laws provide for a right of proxy access. For further information, see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415290</wp:posOffset>
            </wp:positionV>
            <wp:extent cx="651510" cy="857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32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Director nominees</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2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-213995</wp:posOffset>
            </wp:positionV>
            <wp:extent cx="120015" cy="939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-213995</wp:posOffset>
            </wp:positionV>
            <wp:extent cx="120015" cy="939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-213995</wp:posOffset>
            </wp:positionV>
            <wp:extent cx="120015" cy="939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Director re-nomination</w:t>
      </w:r>
    </w:p>
    <w:p>
      <w:pPr>
        <w:spacing w:after="0" w:line="76"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The Governance Committee also oversees the re-nomination process. In determining whether to re-nominate a director for election at our annual meeting, the Governance Committee reviews each director, considering: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210820</wp:posOffset>
            </wp:positionV>
            <wp:extent cx="6086475" cy="2177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8647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FFFFFF"/>
        </w:rPr>
        <w:t>Director re-nomination</w:t>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left="1700"/>
        <w:spacing w:after="0"/>
        <w:rPr>
          <w:sz w:val="20"/>
          <w:szCs w:val="20"/>
          <w:color w:val="auto"/>
        </w:rPr>
      </w:pPr>
      <w:r>
        <w:rPr>
          <w:rFonts w:ascii="Arial" w:cs="Arial" w:eastAsia="Arial" w:hAnsi="Arial"/>
          <w:sz w:val="16"/>
          <w:szCs w:val="16"/>
          <w:color w:val="auto"/>
        </w:rPr>
        <w:t>Skills and experience,</w:t>
      </w:r>
    </w:p>
    <w:p>
      <w:pPr>
        <w:spacing w:after="0" w:line="32" w:lineRule="exact"/>
        <w:rPr>
          <w:sz w:val="20"/>
          <w:szCs w:val="20"/>
          <w:color w:val="auto"/>
        </w:rPr>
      </w:pPr>
    </w:p>
    <w:p>
      <w:pPr>
        <w:jc w:val="center"/>
        <w:ind w:left="1700"/>
        <w:spacing w:after="0"/>
        <w:rPr>
          <w:sz w:val="20"/>
          <w:szCs w:val="20"/>
          <w:color w:val="auto"/>
        </w:rPr>
      </w:pPr>
      <w:r>
        <w:rPr>
          <w:rFonts w:ascii="Arial" w:cs="Arial" w:eastAsia="Arial" w:hAnsi="Arial"/>
          <w:sz w:val="16"/>
          <w:szCs w:val="16"/>
          <w:color w:val="auto"/>
        </w:rPr>
        <w:t>personal attributes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700"/>
        <w:spacing w:after="0"/>
        <w:rPr>
          <w:sz w:val="20"/>
          <w:szCs w:val="20"/>
          <w:color w:val="auto"/>
        </w:rPr>
      </w:pPr>
      <w:r>
        <w:rPr>
          <w:rFonts w:ascii="Arial" w:cs="Arial" w:eastAsia="Arial" w:hAnsi="Arial"/>
          <w:sz w:val="16"/>
          <w:szCs w:val="16"/>
          <w:color w:val="auto"/>
        </w:rPr>
        <w:t>Shareholder feedback,</w:t>
      </w:r>
    </w:p>
    <w:p>
      <w:pPr>
        <w:spacing w:after="0" w:line="32" w:lineRule="exact"/>
        <w:rPr>
          <w:sz w:val="20"/>
          <w:szCs w:val="20"/>
          <w:color w:val="auto"/>
        </w:rPr>
      </w:pPr>
    </w:p>
    <w:p>
      <w:pPr>
        <w:jc w:val="center"/>
        <w:ind w:left="1700"/>
        <w:spacing w:after="0"/>
        <w:rPr>
          <w:sz w:val="20"/>
          <w:szCs w:val="20"/>
          <w:color w:val="auto"/>
        </w:rPr>
      </w:pPr>
      <w:r>
        <w:rPr>
          <w:rFonts w:ascii="Arial" w:cs="Arial" w:eastAsia="Arial" w:hAnsi="Arial"/>
          <w:sz w:val="16"/>
          <w:szCs w:val="16"/>
          <w:color w:val="auto"/>
        </w:rPr>
        <w:t>including the support</w:t>
      </w:r>
    </w:p>
    <w:p>
      <w:pPr>
        <w:spacing w:after="0" w:line="32" w:lineRule="exact"/>
        <w:rPr>
          <w:sz w:val="20"/>
          <w:szCs w:val="20"/>
          <w:color w:val="auto"/>
        </w:rPr>
      </w:pPr>
    </w:p>
    <w:p>
      <w:pPr>
        <w:jc w:val="center"/>
        <w:ind w:left="1700"/>
        <w:spacing w:after="0"/>
        <w:rPr>
          <w:sz w:val="20"/>
          <w:szCs w:val="20"/>
          <w:color w:val="auto"/>
        </w:rPr>
      </w:pPr>
      <w:r>
        <w:rPr>
          <w:rFonts w:ascii="Arial" w:cs="Arial" w:eastAsia="Arial" w:hAnsi="Arial"/>
          <w:sz w:val="16"/>
          <w:szCs w:val="16"/>
          <w:color w:val="auto"/>
        </w:rPr>
        <w:t>received at our annual</w:t>
      </w:r>
    </w:p>
    <w:p>
      <w:pPr>
        <w:spacing w:after="0" w:line="32" w:lineRule="exact"/>
        <w:rPr>
          <w:sz w:val="20"/>
          <w:szCs w:val="20"/>
          <w:color w:val="auto"/>
        </w:rPr>
      </w:pPr>
    </w:p>
    <w:p>
      <w:pPr>
        <w:jc w:val="center"/>
        <w:ind w:left="1700"/>
        <w:spacing w:after="0"/>
        <w:rPr>
          <w:sz w:val="20"/>
          <w:szCs w:val="20"/>
          <w:color w:val="auto"/>
        </w:rPr>
      </w:pPr>
      <w:r>
        <w:rPr>
          <w:rFonts w:ascii="Arial" w:cs="Arial" w:eastAsia="Arial" w:hAnsi="Arial"/>
          <w:sz w:val="16"/>
          <w:szCs w:val="16"/>
          <w:color w:val="auto"/>
        </w:rPr>
        <w:t>meeting of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3580" w:right="1680" w:hanging="2668"/>
        <w:spacing w:after="0" w:line="321" w:lineRule="auto"/>
        <w:tabs>
          <w:tab w:leader="none" w:pos="3560" w:val="left"/>
        </w:tabs>
        <w:rPr>
          <w:sz w:val="20"/>
          <w:szCs w:val="20"/>
          <w:color w:val="auto"/>
        </w:rPr>
      </w:pPr>
      <w:r>
        <w:rPr>
          <w:rFonts w:ascii="Arial" w:cs="Arial" w:eastAsia="Arial" w:hAnsi="Arial"/>
          <w:sz w:val="16"/>
          <w:szCs w:val="16"/>
          <w:color w:val="auto"/>
        </w:rPr>
        <w:t>Independence</w:t>
      </w:r>
      <w:r>
        <w:rPr>
          <w:sz w:val="20"/>
          <w:szCs w:val="20"/>
          <w:color w:val="auto"/>
        </w:rPr>
        <w:tab/>
      </w:r>
      <w:r>
        <w:rPr>
          <w:rFonts w:ascii="Arial" w:cs="Arial" w:eastAsia="Arial" w:hAnsi="Arial"/>
          <w:sz w:val="16"/>
          <w:szCs w:val="16"/>
          <w:color w:val="auto"/>
        </w:rPr>
        <w:t>Engagement at Board and committee meetings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551"/>
        </w:trPr>
        <w:tc>
          <w:tcPr>
            <w:tcW w:w="2880" w:type="dxa"/>
            <w:vAlign w:val="bottom"/>
            <w:vMerge w:val="restart"/>
            <w:shd w:val="clear" w:color="auto" w:fill="F4EFE7"/>
          </w:tcPr>
          <w:p>
            <w:pPr>
              <w:jc w:val="center"/>
              <w:spacing w:after="0"/>
              <w:rPr>
                <w:sz w:val="20"/>
                <w:szCs w:val="20"/>
                <w:color w:val="auto"/>
              </w:rPr>
            </w:pPr>
            <w:r>
              <w:rPr>
                <w:rFonts w:ascii="Arial" w:cs="Arial" w:eastAsia="Arial" w:hAnsi="Arial"/>
                <w:sz w:val="16"/>
                <w:szCs w:val="16"/>
                <w:color w:val="auto"/>
              </w:rPr>
              <w:t>Continued contribution to the</w:t>
            </w:r>
          </w:p>
        </w:tc>
        <w:tc>
          <w:tcPr>
            <w:tcW w:w="160" w:type="dxa"/>
            <w:vAlign w:val="bottom"/>
          </w:tcPr>
          <w:p>
            <w:pPr>
              <w:spacing w:after="0"/>
              <w:rPr>
                <w:sz w:val="24"/>
                <w:szCs w:val="24"/>
                <w:color w:val="auto"/>
              </w:rPr>
            </w:pPr>
          </w:p>
        </w:tc>
        <w:tc>
          <w:tcPr>
            <w:tcW w:w="2880" w:type="dxa"/>
            <w:vAlign w:val="bottom"/>
            <w:shd w:val="clear" w:color="auto" w:fill="F4EFE7"/>
          </w:tcPr>
          <w:p>
            <w:pPr>
              <w:jc w:val="center"/>
              <w:spacing w:after="0"/>
              <w:rPr>
                <w:sz w:val="20"/>
                <w:szCs w:val="20"/>
                <w:color w:val="auto"/>
              </w:rPr>
            </w:pPr>
            <w:r>
              <w:rPr>
                <w:rFonts w:ascii="Arial" w:cs="Arial" w:eastAsia="Arial" w:hAnsi="Arial"/>
                <w:sz w:val="16"/>
                <w:szCs w:val="16"/>
                <w:color w:val="auto"/>
              </w:rPr>
              <w:t>Feedback from the annual</w:t>
            </w:r>
          </w:p>
        </w:tc>
        <w:tc>
          <w:tcPr>
            <w:tcW w:w="0" w:type="dxa"/>
            <w:vAlign w:val="bottom"/>
          </w:tcPr>
          <w:p>
            <w:pPr>
              <w:spacing w:after="0"/>
              <w:rPr>
                <w:sz w:val="1"/>
                <w:szCs w:val="1"/>
                <w:color w:val="auto"/>
              </w:rPr>
            </w:pPr>
          </w:p>
        </w:tc>
      </w:tr>
      <w:tr>
        <w:trPr>
          <w:trHeight w:val="108"/>
        </w:trPr>
        <w:tc>
          <w:tcPr>
            <w:tcW w:w="2880" w:type="dxa"/>
            <w:vAlign w:val="bottom"/>
            <w:vMerge w:val="continue"/>
            <w:shd w:val="clear" w:color="auto" w:fill="F4EFE7"/>
          </w:tcPr>
          <w:p>
            <w:pPr>
              <w:spacing w:after="0"/>
              <w:rPr>
                <w:sz w:val="9"/>
                <w:szCs w:val="9"/>
                <w:color w:val="auto"/>
              </w:rPr>
            </w:pPr>
          </w:p>
        </w:tc>
        <w:tc>
          <w:tcPr>
            <w:tcW w:w="160" w:type="dxa"/>
            <w:vAlign w:val="bottom"/>
          </w:tcPr>
          <w:p>
            <w:pPr>
              <w:spacing w:after="0"/>
              <w:rPr>
                <w:sz w:val="9"/>
                <w:szCs w:val="9"/>
                <w:color w:val="auto"/>
              </w:rPr>
            </w:pPr>
          </w:p>
        </w:tc>
        <w:tc>
          <w:tcPr>
            <w:tcW w:w="2880" w:type="dxa"/>
            <w:vAlign w:val="bottom"/>
            <w:vMerge w:val="restart"/>
            <w:shd w:val="clear" w:color="auto" w:fill="F4EFE7"/>
          </w:tcPr>
          <w:p>
            <w:pPr>
              <w:jc w:val="center"/>
              <w:spacing w:after="0"/>
              <w:rPr>
                <w:sz w:val="20"/>
                <w:szCs w:val="20"/>
                <w:color w:val="auto"/>
              </w:rPr>
            </w:pPr>
            <w:r>
              <w:rPr>
                <w:rFonts w:ascii="Arial" w:cs="Arial" w:eastAsia="Arial" w:hAnsi="Arial"/>
                <w:sz w:val="16"/>
                <w:szCs w:val="16"/>
                <w:color w:val="auto"/>
              </w:rPr>
              <w:t>Board and committee</w:t>
            </w:r>
          </w:p>
        </w:tc>
        <w:tc>
          <w:tcPr>
            <w:tcW w:w="0" w:type="dxa"/>
            <w:vAlign w:val="bottom"/>
          </w:tcPr>
          <w:p>
            <w:pPr>
              <w:spacing w:after="0"/>
              <w:rPr>
                <w:sz w:val="1"/>
                <w:szCs w:val="1"/>
                <w:color w:val="auto"/>
              </w:rPr>
            </w:pPr>
          </w:p>
        </w:tc>
      </w:tr>
      <w:tr>
        <w:trPr>
          <w:trHeight w:val="108"/>
        </w:trPr>
        <w:tc>
          <w:tcPr>
            <w:tcW w:w="2880" w:type="dxa"/>
            <w:vAlign w:val="bottom"/>
            <w:vMerge w:val="restart"/>
            <w:shd w:val="clear" w:color="auto" w:fill="F4EFE7"/>
          </w:tcPr>
          <w:p>
            <w:pPr>
              <w:jc w:val="center"/>
              <w:spacing w:after="0"/>
              <w:rPr>
                <w:sz w:val="20"/>
                <w:szCs w:val="20"/>
                <w:color w:val="auto"/>
              </w:rPr>
            </w:pPr>
            <w:r>
              <w:rPr>
                <w:rFonts w:ascii="Arial" w:cs="Arial" w:eastAsia="Arial" w:hAnsi="Arial"/>
                <w:sz w:val="16"/>
                <w:szCs w:val="16"/>
                <w:color w:val="auto"/>
              </w:rPr>
              <w:t>Board’s effectiveness</w:t>
            </w:r>
          </w:p>
        </w:tc>
        <w:tc>
          <w:tcPr>
            <w:tcW w:w="160" w:type="dxa"/>
            <w:vAlign w:val="bottom"/>
          </w:tcPr>
          <w:p>
            <w:pPr>
              <w:spacing w:after="0"/>
              <w:rPr>
                <w:sz w:val="9"/>
                <w:szCs w:val="9"/>
                <w:color w:val="auto"/>
              </w:rPr>
            </w:pPr>
          </w:p>
        </w:tc>
        <w:tc>
          <w:tcPr>
            <w:tcW w:w="2880" w:type="dxa"/>
            <w:vAlign w:val="bottom"/>
            <w:vMerge w:val="continue"/>
            <w:shd w:val="clear" w:color="auto" w:fill="F4EFE7"/>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80" w:type="dxa"/>
            <w:vAlign w:val="bottom"/>
            <w:vMerge w:val="continue"/>
            <w:shd w:val="clear" w:color="auto" w:fill="F4EFE7"/>
          </w:tcPr>
          <w:p>
            <w:pPr>
              <w:spacing w:after="0"/>
              <w:rPr>
                <w:sz w:val="9"/>
                <w:szCs w:val="9"/>
                <w:color w:val="auto"/>
              </w:rPr>
            </w:pPr>
          </w:p>
        </w:tc>
        <w:tc>
          <w:tcPr>
            <w:tcW w:w="160" w:type="dxa"/>
            <w:vAlign w:val="bottom"/>
          </w:tcPr>
          <w:p>
            <w:pPr>
              <w:spacing w:after="0"/>
              <w:rPr>
                <w:sz w:val="9"/>
                <w:szCs w:val="9"/>
                <w:color w:val="auto"/>
              </w:rPr>
            </w:pPr>
          </w:p>
        </w:tc>
        <w:tc>
          <w:tcPr>
            <w:tcW w:w="2880" w:type="dxa"/>
            <w:vAlign w:val="bottom"/>
            <w:vMerge w:val="restart"/>
            <w:shd w:val="clear" w:color="auto" w:fill="F4EFE7"/>
          </w:tcPr>
          <w:p>
            <w:pPr>
              <w:jc w:val="center"/>
              <w:spacing w:after="0"/>
              <w:rPr>
                <w:sz w:val="20"/>
                <w:szCs w:val="20"/>
                <w:color w:val="auto"/>
              </w:rPr>
            </w:pPr>
            <w:r>
              <w:rPr>
                <w:rFonts w:ascii="Arial" w:cs="Arial" w:eastAsia="Arial" w:hAnsi="Arial"/>
                <w:sz w:val="16"/>
                <w:szCs w:val="16"/>
                <w:color w:val="auto"/>
              </w:rPr>
              <w:t>self-assessments</w:t>
            </w:r>
          </w:p>
        </w:tc>
        <w:tc>
          <w:tcPr>
            <w:tcW w:w="0" w:type="dxa"/>
            <w:vAlign w:val="bottom"/>
          </w:tcPr>
          <w:p>
            <w:pPr>
              <w:spacing w:after="0"/>
              <w:rPr>
                <w:sz w:val="1"/>
                <w:szCs w:val="1"/>
                <w:color w:val="auto"/>
              </w:rPr>
            </w:pPr>
          </w:p>
        </w:tc>
      </w:tr>
      <w:tr>
        <w:trPr>
          <w:trHeight w:val="108"/>
        </w:trPr>
        <w:tc>
          <w:tcPr>
            <w:tcW w:w="2880" w:type="dxa"/>
            <w:vAlign w:val="bottom"/>
            <w:shd w:val="clear" w:color="auto" w:fill="F4EFE7"/>
          </w:tcPr>
          <w:p>
            <w:pPr>
              <w:spacing w:after="0"/>
              <w:rPr>
                <w:sz w:val="9"/>
                <w:szCs w:val="9"/>
                <w:color w:val="auto"/>
              </w:rPr>
            </w:pPr>
          </w:p>
        </w:tc>
        <w:tc>
          <w:tcPr>
            <w:tcW w:w="160" w:type="dxa"/>
            <w:vAlign w:val="bottom"/>
          </w:tcPr>
          <w:p>
            <w:pPr>
              <w:spacing w:after="0"/>
              <w:rPr>
                <w:sz w:val="9"/>
                <w:szCs w:val="9"/>
                <w:color w:val="auto"/>
              </w:rPr>
            </w:pPr>
          </w:p>
        </w:tc>
        <w:tc>
          <w:tcPr>
            <w:tcW w:w="2880" w:type="dxa"/>
            <w:vAlign w:val="bottom"/>
            <w:vMerge w:val="continue"/>
            <w:shd w:val="clear" w:color="auto" w:fill="F4EFE7"/>
          </w:tcPr>
          <w:p>
            <w:pPr>
              <w:spacing w:after="0"/>
              <w:rPr>
                <w:sz w:val="9"/>
                <w:szCs w:val="9"/>
                <w:color w:val="auto"/>
              </w:rPr>
            </w:pPr>
          </w:p>
        </w:tc>
        <w:tc>
          <w:tcPr>
            <w:tcW w:w="0" w:type="dxa"/>
            <w:vAlign w:val="bottom"/>
          </w:tcPr>
          <w:p>
            <w:pPr>
              <w:spacing w:after="0"/>
              <w:rPr>
                <w:sz w:val="1"/>
                <w:szCs w:val="1"/>
                <w:color w:val="auto"/>
              </w:rPr>
            </w:pPr>
          </w:p>
        </w:tc>
      </w:tr>
      <w:tr>
        <w:trPr>
          <w:trHeight w:val="367"/>
        </w:trPr>
        <w:tc>
          <w:tcPr>
            <w:tcW w:w="2880" w:type="dxa"/>
            <w:vAlign w:val="bottom"/>
            <w:shd w:val="clear" w:color="auto" w:fill="F4EFE7"/>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shd w:val="clear" w:color="auto" w:fill="F4EFE7"/>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460" w:space="720"/>
            <w:col w:w="7040"/>
          </w:cols>
          <w:pgMar w:left="320" w:top="157" w:right="359"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Retirement policy</w:t>
      </w:r>
    </w:p>
    <w:p>
      <w:pPr>
        <w:spacing w:after="0" w:line="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Governance Principles require a non-management director to offer not to stand for re-election in each calendar year following a year in which the director will be 75 or older. The Board (other than the affected director) then determines whether to accept the offer. The Board believes that the appropriate mix of experience and fresh perspectives is an important consideration in assessing Board composition, and the best interests of the Firm are served by taking advantage of all available talent, and evaluations as to director candidacy should not be determined solely on age.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None of our director nominees will be 75 or older this year.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the annual Board and committee self-assessment process, see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415290</wp:posOffset>
            </wp:positionV>
            <wp:extent cx="651510" cy="857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20</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Director nominees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335"/>
        </w:trPr>
        <w:tc>
          <w:tcPr>
            <w:tcW w:w="234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6"/>
                <w:szCs w:val="16"/>
                <w:color w:val="8F5A39"/>
              </w:rPr>
              <w:t>Director nominees</w:t>
            </w:r>
          </w:p>
        </w:tc>
        <w:tc>
          <w:tcPr>
            <w:tcW w:w="600" w:type="dxa"/>
            <w:vAlign w:val="bottom"/>
          </w:tcPr>
          <w:p>
            <w:pPr>
              <w:spacing w:after="0"/>
              <w:rPr>
                <w:sz w:val="24"/>
                <w:szCs w:val="24"/>
                <w:color w:val="auto"/>
              </w:rPr>
            </w:pPr>
          </w:p>
        </w:tc>
        <w:tc>
          <w:tcPr>
            <w:tcW w:w="234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Board governance</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40" w:type="dxa"/>
            <w:vAlign w:val="bottom"/>
            <w:tcBorders>
              <w:left w:val="single" w:sz="8" w:color="auto"/>
              <w:bottom w:val="single" w:sz="8" w:color="auto"/>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-213995</wp:posOffset>
            </wp:positionV>
            <wp:extent cx="120015" cy="939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-213995</wp:posOffset>
            </wp:positionV>
            <wp:extent cx="120015" cy="939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-213995</wp:posOffset>
            </wp:positionV>
            <wp:extent cx="120015" cy="939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24" w:lineRule="exact"/>
        <w:rPr>
          <w:sz w:val="20"/>
          <w:szCs w:val="20"/>
          <w:color w:val="auto"/>
        </w:rPr>
      </w:pPr>
    </w:p>
    <w:p>
      <w:pPr>
        <w:ind w:left="1180" w:hanging="1041"/>
        <w:spacing w:after="0"/>
        <w:tabs>
          <w:tab w:leader="none" w:pos="1180" w:val="left"/>
        </w:tabs>
        <w:numPr>
          <w:ilvl w:val="0"/>
          <w:numId w:val="107"/>
        </w:numPr>
        <w:rPr>
          <w:rFonts w:ascii="Arial" w:cs="Arial" w:eastAsia="Arial" w:hAnsi="Arial"/>
          <w:sz w:val="72"/>
          <w:szCs w:val="72"/>
          <w:color w:val="auto"/>
          <w:vertAlign w:val="subscript"/>
        </w:rPr>
      </w:pPr>
      <w:r>
        <w:rPr>
          <w:rFonts w:ascii="Arial" w:cs="Arial" w:eastAsia="Arial" w:hAnsi="Arial"/>
          <w:sz w:val="36"/>
          <w:szCs w:val="36"/>
          <w:color w:val="8F5A39"/>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-389890</wp:posOffset>
            </wp:positionV>
            <wp:extent cx="8255" cy="4883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48831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29"/>
          <w:szCs w:val="29"/>
          <w:color w:val="auto"/>
        </w:rPr>
        <w:t>Strong governance practices</w:t>
      </w:r>
    </w:p>
    <w:p>
      <w:pPr>
        <w:spacing w:after="0" w:line="49" w:lineRule="exact"/>
        <w:rPr>
          <w:sz w:val="20"/>
          <w:szCs w:val="20"/>
          <w:color w:val="auto"/>
        </w:rPr>
      </w:pPr>
    </w:p>
    <w:p>
      <w:pPr>
        <w:ind w:right="760"/>
        <w:spacing w:after="0" w:line="268" w:lineRule="auto"/>
        <w:rPr>
          <w:sz w:val="20"/>
          <w:szCs w:val="20"/>
          <w:color w:val="auto"/>
        </w:rPr>
      </w:pPr>
      <w:r>
        <w:rPr>
          <w:rFonts w:ascii="Arial" w:cs="Arial" w:eastAsia="Arial" w:hAnsi="Arial"/>
          <w:sz w:val="16"/>
          <w:szCs w:val="16"/>
          <w:color w:val="auto"/>
        </w:rPr>
        <w:t>Our Board is guided by the Firm’s Governance Principles, and we adhere to the Commonsense Corporate Governance Principles and the Investor Stewardship Group’s Corporate Governance Principles for U.S. Listed Companies. Our sound governance practices include:</w:t>
      </w:r>
    </w:p>
    <w:p>
      <w:pPr>
        <w:sectPr>
          <w:pgSz w:w="11900" w:h="16838" w:orient="portrait"/>
          <w:cols w:equalWidth="0" w:num="1">
            <w:col w:w="11240"/>
          </w:cols>
          <w:pgMar w:left="320" w:top="157" w:right="339" w:bottom="1440" w:gutter="0" w:footer="0" w:header="0"/>
        </w:sectPr>
      </w:pP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Annual election of all directors by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11125" cy="939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201" w:lineRule="exact"/>
        <w:rPr>
          <w:sz w:val="20"/>
          <w:szCs w:val="20"/>
          <w:color w:val="auto"/>
        </w:rPr>
      </w:pPr>
    </w:p>
    <w:p>
      <w:pPr>
        <w:ind w:left="480" w:right="40"/>
        <w:spacing w:after="0" w:line="257" w:lineRule="auto"/>
        <w:rPr>
          <w:sz w:val="20"/>
          <w:szCs w:val="20"/>
          <w:color w:val="auto"/>
        </w:rPr>
      </w:pPr>
      <w:r>
        <w:rPr>
          <w:rFonts w:ascii="Arial" w:cs="Arial" w:eastAsia="Arial" w:hAnsi="Arial"/>
          <w:sz w:val="16"/>
          <w:szCs w:val="16"/>
          <w:color w:val="auto"/>
        </w:rPr>
        <w:t>Robust shareholder engagement process, including participation by our Lead Independent Director and semi-annual Board review of investor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-254000</wp:posOffset>
            </wp:positionV>
            <wp:extent cx="111125" cy="939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145" w:lineRule="exact"/>
        <w:rPr>
          <w:sz w:val="20"/>
          <w:szCs w:val="20"/>
          <w:color w:val="auto"/>
        </w:rPr>
      </w:pPr>
    </w:p>
    <w:p>
      <w:pPr>
        <w:ind w:left="480" w:right="500"/>
        <w:spacing w:after="0" w:line="286" w:lineRule="auto"/>
        <w:rPr>
          <w:sz w:val="20"/>
          <w:szCs w:val="20"/>
          <w:color w:val="auto"/>
        </w:rPr>
      </w:pPr>
      <w:r>
        <w:rPr>
          <w:rFonts w:ascii="Arial" w:cs="Arial" w:eastAsia="Arial" w:hAnsi="Arial"/>
          <w:sz w:val="16"/>
          <w:szCs w:val="16"/>
          <w:color w:val="auto"/>
        </w:rPr>
        <w:t>Lead Independent Director with independent perspective and judgment as well as clearly defined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-217170</wp:posOffset>
            </wp:positionV>
            <wp:extent cx="111125" cy="946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94615"/>
                    </a:xfrm>
                    <a:prstGeom prst="rect">
                      <a:avLst/>
                    </a:prstGeom>
                    <a:noFill/>
                  </pic:spPr>
                </pic:pic>
              </a:graphicData>
            </a:graphic>
          </wp:anchor>
        </w:drawing>
      </w:r>
    </w:p>
    <w:p>
      <w:pPr>
        <w:spacing w:after="0" w:line="122" w:lineRule="exact"/>
        <w:rPr>
          <w:sz w:val="20"/>
          <w:szCs w:val="20"/>
          <w:color w:val="auto"/>
        </w:rPr>
      </w:pPr>
    </w:p>
    <w:p>
      <w:pPr>
        <w:ind w:left="480" w:right="100"/>
        <w:spacing w:after="0" w:line="286" w:lineRule="auto"/>
        <w:rPr>
          <w:sz w:val="20"/>
          <w:szCs w:val="20"/>
          <w:color w:val="auto"/>
        </w:rPr>
      </w:pPr>
      <w:r>
        <w:rPr>
          <w:rFonts w:ascii="Arial" w:cs="Arial" w:eastAsia="Arial" w:hAnsi="Arial"/>
          <w:sz w:val="16"/>
          <w:szCs w:val="16"/>
          <w:color w:val="auto"/>
        </w:rPr>
        <w:t>Executive sessions of independent directors at each regular Board meeting without the presence of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-226060</wp:posOffset>
            </wp:positionV>
            <wp:extent cx="111125" cy="939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122" w:lineRule="exact"/>
        <w:rPr>
          <w:sz w:val="20"/>
          <w:szCs w:val="20"/>
          <w:color w:val="auto"/>
        </w:rPr>
      </w:pPr>
    </w:p>
    <w:p>
      <w:pPr>
        <w:jc w:val="both"/>
        <w:ind w:left="480" w:right="140"/>
        <w:spacing w:after="0" w:line="266" w:lineRule="auto"/>
        <w:rPr>
          <w:sz w:val="20"/>
          <w:szCs w:val="20"/>
          <w:color w:val="auto"/>
        </w:rPr>
      </w:pPr>
      <w:r>
        <w:rPr>
          <w:rFonts w:ascii="Arial" w:cs="Arial" w:eastAsia="Arial" w:hAnsi="Arial"/>
          <w:sz w:val="16"/>
          <w:szCs w:val="16"/>
          <w:color w:val="auto"/>
        </w:rPr>
        <w:t>Annual Board and committee self-assessment guided by the Lead Independent Director, with progress on key action items reviewed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-276225</wp:posOffset>
            </wp:positionV>
            <wp:extent cx="111125" cy="939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11125" cy="946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125" cy="94615"/>
                    </a:xfrm>
                    <a:prstGeom prst="rect">
                      <a:avLst/>
                    </a:prstGeom>
                    <a:noFill/>
                  </pic:spPr>
                </pic:pic>
              </a:graphicData>
            </a:graphic>
          </wp:anchor>
        </w:drawing>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Ongoing director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11125" cy="939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100% principal standing committee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-115570</wp:posOffset>
            </wp:positionV>
            <wp:extent cx="111125" cy="939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296"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Ongoing consideration of Board composition and refreshment and annual review of 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-217170</wp:posOffset>
            </wp:positionV>
            <wp:extent cx="111125" cy="939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Limits on directors’ board and audit committee memberships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-115570</wp:posOffset>
            </wp:positionV>
            <wp:extent cx="111125" cy="946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243840</wp:posOffset>
            </wp:positionV>
            <wp:extent cx="111125" cy="939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Direct Board access to, and regular interaction with, management</w:t>
      </w:r>
    </w:p>
    <w:p>
      <w:pPr>
        <w:spacing w:after="0" w:line="30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Strong director attendance: each director attended 75% or more of total meetings of the Board and committees on which he or she served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-276225</wp:posOffset>
            </wp:positionV>
            <wp:extent cx="111125" cy="939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Robust anti-hedging and anti-pledging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-115570</wp:posOffset>
            </wp:positionV>
            <wp:extent cx="111125" cy="946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9461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 requirements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-115570</wp:posOffset>
            </wp:positionV>
            <wp:extent cx="111125" cy="939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157" w:right="33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color w:val="auto"/>
        </w:rPr>
        <w:t>Our Board’s leadership structure</w:t>
      </w:r>
    </w:p>
    <w:p>
      <w:pPr>
        <w:spacing w:after="0" w:line="4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Board’s leadership structure is designed to promote Board effectiveness and to appropriately allocate authority and responsibility between the Board and management. Based on consideration of the factors described on page 22, our Board has determined that combining the roles of Chair and CEO is the most effective leadership structure for the Board at this time. The Board believes the present structure provides the Firm and the Board with strong leadership, appropriate independent oversight of management, continuity of experience that complements ongoing Board refreshment, and the ability to clearly communicate the Firm’s business and strategy to shareholders, clients, employees, regulators and the public.</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required by the Firm’s Governance Principles, when the role of the Chair is combined with that of the CEO, the independent directors appoint a Lead Independent Director. Our Lead Independent Director provides effective independent oversight, including by facilitating independent oversight of management, promoting open dialogue among the independent directors during and in between Board meetings, leading executive sessions at each regular Board meeting without the presence of the CEO, and focusing on the Board’s priorities and processes.</w:t>
      </w:r>
    </w:p>
    <w:p>
      <w:pPr>
        <w:spacing w:after="0" w:line="7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March 2026, the independent directors conducted their annual review of the Board’s leadership structure. This review was conducted first by the Governance Committee, which considered the factors on page 22, the Firm’s governance practices, which include executive sessions of independent directors as part of each regularly scheduled Board meeting and the directors’ frequent and open interactions with senior management, and the effectiveness of the Lead Independent Director role. Following its review, the Governance Committee recommended that the Board continue its current leadership structure and that Stephen B. Burke be re-appointed as Lead Independent Director. The independent directors of the Board then conducted their own review, again taking into account the factors on page 22, the Governance Committee’s recommendation and Mr. Burke’s strong performance in the Lead Independent Director role over the course of the prior year, and determined to maintain the current leadership structure with Mr. Burke serving as Lead Independent Director.</w:t>
      </w:r>
    </w:p>
    <w:p>
      <w:pPr>
        <w:spacing w:after="0" w:line="7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Board maintains the ability to change its leadership structure at any time should it elect to do so and is not limited to its annual review of leadership structure. The Board has a general policy, upon the next CEO transition, that the Chair and CEO positions shall be separate, subject to the Board’s determination of the leadership structure that best serves the Firm and its shareholders at that time. This policy is reflected in the Firm’s Governance Principles and reinforces the Board’s longstanding commitment to independent oversight while also maintaining the Board’s ability to fulfill its fiduciary duty to determine the leadership structure that best serves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381635</wp:posOffset>
            </wp:positionV>
            <wp:extent cx="65151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12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21"/>
          <w:szCs w:val="21"/>
          <w:color w:val="auto"/>
          <w:vertAlign w:val="superscript"/>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234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6"/>
                <w:szCs w:val="16"/>
                <w:color w:val="8F5A39"/>
              </w:rPr>
              <w:t>Director nominees</w:t>
            </w:r>
          </w:p>
        </w:tc>
        <w:tc>
          <w:tcPr>
            <w:tcW w:w="600" w:type="dxa"/>
            <w:vAlign w:val="bottom"/>
          </w:tcPr>
          <w:p>
            <w:pPr>
              <w:spacing w:after="0"/>
              <w:rPr>
                <w:sz w:val="24"/>
                <w:szCs w:val="24"/>
                <w:color w:val="auto"/>
              </w:rPr>
            </w:pPr>
          </w:p>
        </w:tc>
        <w:tc>
          <w:tcPr>
            <w:tcW w:w="234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Board governance</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40" w:type="dxa"/>
            <w:vAlign w:val="bottom"/>
            <w:tcBorders>
              <w:left w:val="single" w:sz="8" w:color="auto"/>
              <w:bottom w:val="single" w:sz="8" w:color="auto"/>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-213995</wp:posOffset>
            </wp:positionV>
            <wp:extent cx="120015" cy="939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-213995</wp:posOffset>
            </wp:positionV>
            <wp:extent cx="120015" cy="939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-213995</wp:posOffset>
            </wp:positionV>
            <wp:extent cx="120015" cy="939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Factors the Board considers in reviewing its leadership structure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Board reviews its leadership structure not less than annually, and conducted its most recent review in March 2026, considering the following factors:</w:t>
      </w:r>
    </w:p>
    <w:p>
      <w:pPr>
        <w:spacing w:after="0" w:line="167" w:lineRule="exact"/>
        <w:rPr>
          <w:sz w:val="20"/>
          <w:szCs w:val="20"/>
          <w:color w:val="auto"/>
        </w:rPr>
      </w:pPr>
    </w:p>
    <w:p>
      <w:pPr>
        <w:ind w:left="180" w:hanging="172"/>
        <w:spacing w:after="0"/>
        <w:tabs>
          <w:tab w:leader="none" w:pos="18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The respective responsibilities for the positions of Chair and Lead Independent Director (see table below for detailed information)</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The people currently in the roles of Chair and Lead Independent Director and their record of strong leadership and performance in their roles</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The current composition of the Board</w:t>
      </w:r>
    </w:p>
    <w:p>
      <w:pPr>
        <w:spacing w:after="0" w:line="86" w:lineRule="exact"/>
        <w:rPr>
          <w:rFonts w:ascii="Arial" w:cs="Arial" w:eastAsia="Arial" w:hAnsi="Arial"/>
          <w:sz w:val="16"/>
          <w:szCs w:val="16"/>
          <w:b w:val="1"/>
          <w:bCs w:val="1"/>
          <w:color w:val="auto"/>
        </w:rPr>
      </w:pPr>
    </w:p>
    <w:p>
      <w:pPr>
        <w:ind w:left="200" w:right="340" w:hanging="192"/>
        <w:spacing w:after="0" w:line="316" w:lineRule="auto"/>
        <w:tabs>
          <w:tab w:leader="none" w:pos="184"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The policies and practices in place to provide independent Board oversight of management (including Board oversight of CEO performance and compensation, regular executive sessions of the independent directors, Board input into agendas and meeting materials, and Board self-assessment)</w:t>
      </w:r>
    </w:p>
    <w:p>
      <w:pPr>
        <w:spacing w:after="0" w:line="1" w:lineRule="exact"/>
        <w:rPr>
          <w:rFonts w:ascii="Arial" w:cs="Arial" w:eastAsia="Arial" w:hAnsi="Arial"/>
          <w:sz w:val="16"/>
          <w:szCs w:val="16"/>
          <w:b w:val="1"/>
          <w:bCs w:val="1"/>
          <w:color w:val="auto"/>
        </w:rPr>
      </w:pPr>
    </w:p>
    <w:p>
      <w:pPr>
        <w:ind w:left="180" w:hanging="172"/>
        <w:spacing w:after="0"/>
        <w:tabs>
          <w:tab w:leader="none" w:pos="18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The Firm’s circumstances, including its financial performance</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The views of our stakeholders, including shareholders</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Trends in corporate governance, including practices at other public companies, and studies on the impact of leadership structures on shareholder value</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Such other factors as the Board determines</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Respective duties and responsibilities of the chair and lead independent director</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080" w:type="dxa"/>
            <w:vAlign w:val="bottom"/>
            <w:tcBorders>
              <w:top w:val="single" w:sz="8" w:color="auto"/>
            </w:tcBorders>
            <w:shd w:val="clear" w:color="auto" w:fill="F4EFE7"/>
          </w:tcPr>
          <w:p>
            <w:pPr>
              <w:ind w:left="100"/>
              <w:spacing w:after="0"/>
              <w:rPr>
                <w:sz w:val="20"/>
                <w:szCs w:val="20"/>
                <w:color w:val="auto"/>
              </w:rPr>
            </w:pPr>
            <w:r>
              <w:rPr>
                <w:rFonts w:ascii="Arial" w:cs="Arial" w:eastAsia="Arial" w:hAnsi="Arial"/>
                <w:sz w:val="16"/>
                <w:szCs w:val="16"/>
                <w:b w:val="1"/>
                <w:bCs w:val="1"/>
                <w:color w:val="8F5A39"/>
              </w:rPr>
              <w:t>Chair</w:t>
            </w:r>
          </w:p>
        </w:tc>
        <w:tc>
          <w:tcPr>
            <w:tcW w:w="916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rPr>
              <w:t>Calls Board and shareholder meetings</w:t>
            </w:r>
          </w:p>
        </w:tc>
      </w:tr>
      <w:tr>
        <w:trPr>
          <w:trHeight w:val="143"/>
        </w:trPr>
        <w:tc>
          <w:tcPr>
            <w:tcW w:w="2080" w:type="dxa"/>
            <w:vAlign w:val="bottom"/>
            <w:tcBorders>
              <w:bottom w:val="single" w:sz="8" w:color="F4EFE7"/>
            </w:tcBorders>
            <w:shd w:val="clear" w:color="auto" w:fill="F4EFE7"/>
          </w:tcPr>
          <w:p>
            <w:pPr>
              <w:spacing w:after="0"/>
              <w:rPr>
                <w:sz w:val="12"/>
                <w:szCs w:val="12"/>
                <w:color w:val="auto"/>
              </w:rPr>
            </w:pPr>
          </w:p>
        </w:tc>
        <w:tc>
          <w:tcPr>
            <w:tcW w:w="9160" w:type="dxa"/>
            <w:vAlign w:val="bottom"/>
            <w:tcBorders>
              <w:bottom w:val="single" w:sz="8" w:color="B2B2B2"/>
            </w:tcBorders>
          </w:tcPr>
          <w:p>
            <w:pPr>
              <w:spacing w:after="0"/>
              <w:rPr>
                <w:sz w:val="12"/>
                <w:szCs w:val="12"/>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Presides at Board and shareholder meetings</w:t>
            </w:r>
          </w:p>
        </w:tc>
      </w:tr>
      <w:tr>
        <w:trPr>
          <w:trHeight w:val="151"/>
        </w:trPr>
        <w:tc>
          <w:tcPr>
            <w:tcW w:w="2080" w:type="dxa"/>
            <w:vAlign w:val="bottom"/>
            <w:tcBorders>
              <w:bottom w:val="single" w:sz="8" w:color="F4EFE7"/>
            </w:tcBorders>
            <w:shd w:val="clear" w:color="auto" w:fill="F4EFE7"/>
          </w:tcPr>
          <w:p>
            <w:pPr>
              <w:spacing w:after="0"/>
              <w:rPr>
                <w:sz w:val="13"/>
                <w:szCs w:val="13"/>
                <w:color w:val="auto"/>
              </w:rPr>
            </w:pPr>
          </w:p>
        </w:tc>
        <w:tc>
          <w:tcPr>
            <w:tcW w:w="9160" w:type="dxa"/>
            <w:vAlign w:val="bottom"/>
            <w:tcBorders>
              <w:bottom w:val="single" w:sz="8" w:color="B2B2B2"/>
            </w:tcBorders>
          </w:tcPr>
          <w:p>
            <w:pPr>
              <w:spacing w:after="0"/>
              <w:rPr>
                <w:sz w:val="13"/>
                <w:szCs w:val="13"/>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Approves Board meeting schedules, agendas and materials, subject to the approval of the Lead Independent Director</w:t>
            </w:r>
          </w:p>
        </w:tc>
      </w:tr>
      <w:tr>
        <w:trPr>
          <w:trHeight w:val="299"/>
        </w:trPr>
        <w:tc>
          <w:tcPr>
            <w:tcW w:w="2080" w:type="dxa"/>
            <w:vAlign w:val="bottom"/>
            <w:tcBorders>
              <w:bottom w:val="single" w:sz="8" w:color="auto"/>
            </w:tcBorders>
            <w:shd w:val="clear" w:color="auto" w:fill="F4EFE7"/>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r>
        <w:trPr>
          <w:trHeight w:val="236"/>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Lead</w:t>
            </w:r>
          </w:p>
        </w:tc>
        <w:tc>
          <w:tcPr>
            <w:tcW w:w="9160" w:type="dxa"/>
            <w:vAlign w:val="bottom"/>
          </w:tcPr>
          <w:p>
            <w:pPr>
              <w:ind w:left="620"/>
              <w:spacing w:after="0"/>
              <w:rPr>
                <w:sz w:val="20"/>
                <w:szCs w:val="20"/>
                <w:color w:val="auto"/>
              </w:rPr>
            </w:pPr>
            <w:r>
              <w:rPr>
                <w:rFonts w:ascii="Arial" w:cs="Arial" w:eastAsia="Arial" w:hAnsi="Arial"/>
                <w:sz w:val="16"/>
                <w:szCs w:val="16"/>
                <w:color w:val="auto"/>
              </w:rPr>
              <w:t>Has the authority to call for a Board meeting or a meeting of independent directors</w:t>
            </w:r>
          </w:p>
        </w:tc>
      </w:tr>
      <w:tr>
        <w:trPr>
          <w:trHeight w:val="176"/>
        </w:trPr>
        <w:tc>
          <w:tcPr>
            <w:tcW w:w="2080" w:type="dxa"/>
            <w:vAlign w:val="bottom"/>
            <w:tcBorders>
              <w:bottom w:val="single" w:sz="8" w:color="F4EFE7"/>
            </w:tcBorders>
            <w:shd w:val="clear" w:color="auto" w:fill="F4EFE7"/>
          </w:tcPr>
          <w:p>
            <w:pPr>
              <w:ind w:left="100"/>
              <w:spacing w:after="0" w:line="176" w:lineRule="exact"/>
              <w:rPr>
                <w:sz w:val="20"/>
                <w:szCs w:val="20"/>
                <w:color w:val="auto"/>
              </w:rPr>
            </w:pPr>
            <w:r>
              <w:rPr>
                <w:rFonts w:ascii="Arial" w:cs="Arial" w:eastAsia="Arial" w:hAnsi="Arial"/>
                <w:sz w:val="16"/>
                <w:szCs w:val="16"/>
                <w:b w:val="1"/>
                <w:bCs w:val="1"/>
                <w:color w:val="8F5A39"/>
              </w:rPr>
              <w:t>Independent</w:t>
            </w:r>
          </w:p>
        </w:tc>
        <w:tc>
          <w:tcPr>
            <w:tcW w:w="9160" w:type="dxa"/>
            <w:vAlign w:val="bottom"/>
            <w:tcBorders>
              <w:bottom w:val="single" w:sz="8" w:color="B2B2B2"/>
            </w:tcBorders>
          </w:tcPr>
          <w:p>
            <w:pPr>
              <w:spacing w:after="0"/>
              <w:rPr>
                <w:sz w:val="15"/>
                <w:szCs w:val="15"/>
                <w:color w:val="auto"/>
              </w:rPr>
            </w:pPr>
          </w:p>
        </w:tc>
      </w:tr>
      <w:tr>
        <w:trPr>
          <w:trHeight w:val="221"/>
        </w:trPr>
        <w:tc>
          <w:tcPr>
            <w:tcW w:w="2080" w:type="dxa"/>
            <w:vAlign w:val="bottom"/>
            <w:shd w:val="clear" w:color="auto" w:fill="F4EFE7"/>
          </w:tcPr>
          <w:p>
            <w:pPr>
              <w:ind w:left="100"/>
              <w:spacing w:after="0"/>
              <w:rPr>
                <w:sz w:val="20"/>
                <w:szCs w:val="20"/>
                <w:color w:val="auto"/>
              </w:rPr>
            </w:pPr>
            <w:r>
              <w:rPr>
                <w:rFonts w:ascii="Arial" w:cs="Arial" w:eastAsia="Arial" w:hAnsi="Arial"/>
                <w:sz w:val="16"/>
                <w:szCs w:val="16"/>
                <w:b w:val="1"/>
                <w:bCs w:val="1"/>
                <w:color w:val="8F5A39"/>
              </w:rPr>
              <w:t>Director</w:t>
            </w:r>
          </w:p>
        </w:tc>
        <w:tc>
          <w:tcPr>
            <w:tcW w:w="9160" w:type="dxa"/>
            <w:vAlign w:val="bottom"/>
          </w:tcPr>
          <w:p>
            <w:pPr>
              <w:ind w:left="620"/>
              <w:spacing w:after="0"/>
              <w:rPr>
                <w:sz w:val="20"/>
                <w:szCs w:val="20"/>
                <w:color w:val="auto"/>
              </w:rPr>
            </w:pPr>
            <w:r>
              <w:rPr>
                <w:rFonts w:ascii="Arial" w:cs="Arial" w:eastAsia="Arial" w:hAnsi="Arial"/>
                <w:sz w:val="16"/>
                <w:szCs w:val="16"/>
                <w:color w:val="auto"/>
              </w:rPr>
              <w:t>Presides at Board meetings in the Chair’s absence or when otherwise appropriate</w:t>
            </w:r>
          </w:p>
        </w:tc>
      </w:tr>
      <w:tr>
        <w:trPr>
          <w:trHeight w:val="150"/>
        </w:trPr>
        <w:tc>
          <w:tcPr>
            <w:tcW w:w="2080" w:type="dxa"/>
            <w:vAlign w:val="bottom"/>
            <w:tcBorders>
              <w:bottom w:val="single" w:sz="8" w:color="F4EFE7"/>
            </w:tcBorders>
            <w:shd w:val="clear" w:color="auto" w:fill="F4EFE7"/>
          </w:tcPr>
          <w:p>
            <w:pPr>
              <w:spacing w:after="0"/>
              <w:rPr>
                <w:sz w:val="13"/>
                <w:szCs w:val="13"/>
                <w:color w:val="auto"/>
              </w:rPr>
            </w:pPr>
          </w:p>
        </w:tc>
        <w:tc>
          <w:tcPr>
            <w:tcW w:w="9160" w:type="dxa"/>
            <w:vAlign w:val="bottom"/>
            <w:tcBorders>
              <w:bottom w:val="single" w:sz="8" w:color="B2B2B2"/>
            </w:tcBorders>
          </w:tcPr>
          <w:p>
            <w:pPr>
              <w:spacing w:after="0"/>
              <w:rPr>
                <w:sz w:val="13"/>
                <w:szCs w:val="13"/>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Approves agendas and adds agenda items for Board meetings and meetings of independent directors</w:t>
            </w:r>
          </w:p>
        </w:tc>
      </w:tr>
      <w:tr>
        <w:trPr>
          <w:trHeight w:val="245"/>
        </w:trPr>
        <w:tc>
          <w:tcPr>
            <w:tcW w:w="2080" w:type="dxa"/>
            <w:vAlign w:val="bottom"/>
            <w:tcBorders>
              <w:bottom w:val="single" w:sz="8" w:color="F4EFE7"/>
            </w:tcBorders>
            <w:shd w:val="clear" w:color="auto" w:fill="F4EFE7"/>
          </w:tcPr>
          <w:p>
            <w:pPr>
              <w:spacing w:after="0"/>
              <w:rPr>
                <w:sz w:val="21"/>
                <w:szCs w:val="21"/>
                <w:color w:val="auto"/>
              </w:rPr>
            </w:pPr>
          </w:p>
        </w:tc>
        <w:tc>
          <w:tcPr>
            <w:tcW w:w="9160" w:type="dxa"/>
            <w:vAlign w:val="bottom"/>
            <w:tcBorders>
              <w:bottom w:val="single" w:sz="8" w:color="B2B2B2"/>
            </w:tcBorders>
          </w:tcPr>
          <w:p>
            <w:pPr>
              <w:spacing w:after="0"/>
              <w:rPr>
                <w:sz w:val="21"/>
                <w:szCs w:val="21"/>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Liaises between independent directors and the Chair/CEO</w:t>
            </w:r>
          </w:p>
        </w:tc>
      </w:tr>
      <w:tr>
        <w:trPr>
          <w:trHeight w:val="150"/>
        </w:trPr>
        <w:tc>
          <w:tcPr>
            <w:tcW w:w="2080" w:type="dxa"/>
            <w:vAlign w:val="bottom"/>
            <w:tcBorders>
              <w:bottom w:val="single" w:sz="8" w:color="F4EFE7"/>
            </w:tcBorders>
            <w:shd w:val="clear" w:color="auto" w:fill="F4EFE7"/>
          </w:tcPr>
          <w:p>
            <w:pPr>
              <w:spacing w:after="0"/>
              <w:rPr>
                <w:sz w:val="13"/>
                <w:szCs w:val="13"/>
                <w:color w:val="auto"/>
              </w:rPr>
            </w:pPr>
          </w:p>
        </w:tc>
        <w:tc>
          <w:tcPr>
            <w:tcW w:w="9160" w:type="dxa"/>
            <w:vAlign w:val="bottom"/>
            <w:tcBorders>
              <w:bottom w:val="single" w:sz="8" w:color="B2B2B2"/>
            </w:tcBorders>
          </w:tcPr>
          <w:p>
            <w:pPr>
              <w:spacing w:after="0"/>
              <w:rPr>
                <w:sz w:val="13"/>
                <w:szCs w:val="13"/>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Presides over executive sessions of independent directors</w:t>
            </w:r>
          </w:p>
        </w:tc>
      </w:tr>
      <w:tr>
        <w:trPr>
          <w:trHeight w:val="150"/>
        </w:trPr>
        <w:tc>
          <w:tcPr>
            <w:tcW w:w="2080" w:type="dxa"/>
            <w:vAlign w:val="bottom"/>
            <w:tcBorders>
              <w:bottom w:val="single" w:sz="8" w:color="F4EFE7"/>
            </w:tcBorders>
            <w:shd w:val="clear" w:color="auto" w:fill="F4EFE7"/>
          </w:tcPr>
          <w:p>
            <w:pPr>
              <w:spacing w:after="0"/>
              <w:rPr>
                <w:sz w:val="13"/>
                <w:szCs w:val="13"/>
                <w:color w:val="auto"/>
              </w:rPr>
            </w:pPr>
          </w:p>
        </w:tc>
        <w:tc>
          <w:tcPr>
            <w:tcW w:w="9160" w:type="dxa"/>
            <w:vAlign w:val="bottom"/>
            <w:tcBorders>
              <w:bottom w:val="single" w:sz="8" w:color="B2B2B2"/>
            </w:tcBorders>
          </w:tcPr>
          <w:p>
            <w:pPr>
              <w:spacing w:after="0"/>
              <w:rPr>
                <w:sz w:val="13"/>
                <w:szCs w:val="13"/>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Engages and consults with major shareholders and other constituencies, where appropriate</w:t>
            </w:r>
          </w:p>
        </w:tc>
      </w:tr>
      <w:tr>
        <w:trPr>
          <w:trHeight w:val="150"/>
        </w:trPr>
        <w:tc>
          <w:tcPr>
            <w:tcW w:w="2080" w:type="dxa"/>
            <w:vAlign w:val="bottom"/>
            <w:tcBorders>
              <w:bottom w:val="single" w:sz="8" w:color="F4EFE7"/>
            </w:tcBorders>
            <w:shd w:val="clear" w:color="auto" w:fill="F4EFE7"/>
          </w:tcPr>
          <w:p>
            <w:pPr>
              <w:spacing w:after="0"/>
              <w:rPr>
                <w:sz w:val="13"/>
                <w:szCs w:val="13"/>
                <w:color w:val="auto"/>
              </w:rPr>
            </w:pPr>
          </w:p>
        </w:tc>
        <w:tc>
          <w:tcPr>
            <w:tcW w:w="9160" w:type="dxa"/>
            <w:vAlign w:val="bottom"/>
            <w:tcBorders>
              <w:bottom w:val="single" w:sz="8" w:color="B2B2B2"/>
            </w:tcBorders>
          </w:tcPr>
          <w:p>
            <w:pPr>
              <w:spacing w:after="0"/>
              <w:rPr>
                <w:sz w:val="13"/>
                <w:szCs w:val="13"/>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Provides advice and guidance to the CEO on executing long-term strategy</w:t>
            </w:r>
          </w:p>
        </w:tc>
      </w:tr>
      <w:tr>
        <w:trPr>
          <w:trHeight w:val="150"/>
        </w:trPr>
        <w:tc>
          <w:tcPr>
            <w:tcW w:w="2080" w:type="dxa"/>
            <w:vAlign w:val="bottom"/>
            <w:tcBorders>
              <w:bottom w:val="single" w:sz="8" w:color="F4EFE7"/>
            </w:tcBorders>
            <w:shd w:val="clear" w:color="auto" w:fill="F4EFE7"/>
          </w:tcPr>
          <w:p>
            <w:pPr>
              <w:spacing w:after="0"/>
              <w:rPr>
                <w:sz w:val="13"/>
                <w:szCs w:val="13"/>
                <w:color w:val="auto"/>
              </w:rPr>
            </w:pPr>
          </w:p>
        </w:tc>
        <w:tc>
          <w:tcPr>
            <w:tcW w:w="9160" w:type="dxa"/>
            <w:vAlign w:val="bottom"/>
            <w:tcBorders>
              <w:bottom w:val="single" w:sz="8" w:color="B2B2B2"/>
            </w:tcBorders>
          </w:tcPr>
          <w:p>
            <w:pPr>
              <w:spacing w:after="0"/>
              <w:rPr>
                <w:sz w:val="13"/>
                <w:szCs w:val="13"/>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Guides the annual performance review of the Chair/CEO</w:t>
            </w:r>
          </w:p>
        </w:tc>
      </w:tr>
      <w:tr>
        <w:trPr>
          <w:trHeight w:val="150"/>
        </w:trPr>
        <w:tc>
          <w:tcPr>
            <w:tcW w:w="2080" w:type="dxa"/>
            <w:vAlign w:val="bottom"/>
            <w:tcBorders>
              <w:bottom w:val="single" w:sz="8" w:color="F4EFE7"/>
            </w:tcBorders>
            <w:shd w:val="clear" w:color="auto" w:fill="F4EFE7"/>
          </w:tcPr>
          <w:p>
            <w:pPr>
              <w:spacing w:after="0"/>
              <w:rPr>
                <w:sz w:val="13"/>
                <w:szCs w:val="13"/>
                <w:color w:val="auto"/>
              </w:rPr>
            </w:pPr>
          </w:p>
        </w:tc>
        <w:tc>
          <w:tcPr>
            <w:tcW w:w="9160" w:type="dxa"/>
            <w:vAlign w:val="bottom"/>
            <w:tcBorders>
              <w:bottom w:val="single" w:sz="8" w:color="B2B2B2"/>
            </w:tcBorders>
          </w:tcPr>
          <w:p>
            <w:pPr>
              <w:spacing w:after="0"/>
              <w:rPr>
                <w:sz w:val="13"/>
                <w:szCs w:val="13"/>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Advises the CEO of the Board’s needs and expectations</w:t>
            </w:r>
          </w:p>
        </w:tc>
      </w:tr>
      <w:tr>
        <w:trPr>
          <w:trHeight w:val="150"/>
        </w:trPr>
        <w:tc>
          <w:tcPr>
            <w:tcW w:w="2080" w:type="dxa"/>
            <w:vAlign w:val="bottom"/>
            <w:tcBorders>
              <w:bottom w:val="single" w:sz="8" w:color="F4EFE7"/>
            </w:tcBorders>
            <w:shd w:val="clear" w:color="auto" w:fill="F4EFE7"/>
          </w:tcPr>
          <w:p>
            <w:pPr>
              <w:spacing w:after="0"/>
              <w:rPr>
                <w:sz w:val="13"/>
                <w:szCs w:val="13"/>
                <w:color w:val="auto"/>
              </w:rPr>
            </w:pPr>
          </w:p>
        </w:tc>
        <w:tc>
          <w:tcPr>
            <w:tcW w:w="9160" w:type="dxa"/>
            <w:vAlign w:val="bottom"/>
            <w:tcBorders>
              <w:bottom w:val="single" w:sz="8" w:color="B2B2B2"/>
            </w:tcBorders>
          </w:tcPr>
          <w:p>
            <w:pPr>
              <w:spacing w:after="0"/>
              <w:rPr>
                <w:sz w:val="13"/>
                <w:szCs w:val="13"/>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Guides annual independent director consideration of CEO compensation</w:t>
            </w:r>
          </w:p>
        </w:tc>
      </w:tr>
      <w:tr>
        <w:trPr>
          <w:trHeight w:val="150"/>
        </w:trPr>
        <w:tc>
          <w:tcPr>
            <w:tcW w:w="2080" w:type="dxa"/>
            <w:vAlign w:val="bottom"/>
            <w:tcBorders>
              <w:bottom w:val="single" w:sz="8" w:color="F4EFE7"/>
            </w:tcBorders>
            <w:shd w:val="clear" w:color="auto" w:fill="F4EFE7"/>
          </w:tcPr>
          <w:p>
            <w:pPr>
              <w:spacing w:after="0"/>
              <w:rPr>
                <w:sz w:val="13"/>
                <w:szCs w:val="13"/>
                <w:color w:val="auto"/>
              </w:rPr>
            </w:pPr>
          </w:p>
        </w:tc>
        <w:tc>
          <w:tcPr>
            <w:tcW w:w="9160" w:type="dxa"/>
            <w:vAlign w:val="bottom"/>
            <w:tcBorders>
              <w:bottom w:val="single" w:sz="8" w:color="B2B2B2"/>
            </w:tcBorders>
          </w:tcPr>
          <w:p>
            <w:pPr>
              <w:spacing w:after="0"/>
              <w:rPr>
                <w:sz w:val="13"/>
                <w:szCs w:val="13"/>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Meets one-on-one with the Chair/CEO following executive sessions of independent directors</w:t>
            </w:r>
          </w:p>
        </w:tc>
      </w:tr>
      <w:tr>
        <w:trPr>
          <w:trHeight w:val="150"/>
        </w:trPr>
        <w:tc>
          <w:tcPr>
            <w:tcW w:w="2080" w:type="dxa"/>
            <w:vAlign w:val="bottom"/>
            <w:tcBorders>
              <w:bottom w:val="single" w:sz="8" w:color="F4EFE7"/>
            </w:tcBorders>
            <w:shd w:val="clear" w:color="auto" w:fill="F4EFE7"/>
          </w:tcPr>
          <w:p>
            <w:pPr>
              <w:spacing w:after="0"/>
              <w:rPr>
                <w:sz w:val="13"/>
                <w:szCs w:val="13"/>
                <w:color w:val="auto"/>
              </w:rPr>
            </w:pPr>
          </w:p>
        </w:tc>
        <w:tc>
          <w:tcPr>
            <w:tcW w:w="9160" w:type="dxa"/>
            <w:vAlign w:val="bottom"/>
            <w:tcBorders>
              <w:bottom w:val="single" w:sz="8" w:color="B2B2B2"/>
            </w:tcBorders>
          </w:tcPr>
          <w:p>
            <w:pPr>
              <w:spacing w:after="0"/>
              <w:rPr>
                <w:sz w:val="13"/>
                <w:szCs w:val="13"/>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Guides the Board in its consideration of CEO succession</w:t>
            </w:r>
          </w:p>
        </w:tc>
      </w:tr>
      <w:tr>
        <w:trPr>
          <w:trHeight w:val="150"/>
        </w:trPr>
        <w:tc>
          <w:tcPr>
            <w:tcW w:w="2080" w:type="dxa"/>
            <w:vAlign w:val="bottom"/>
            <w:tcBorders>
              <w:bottom w:val="single" w:sz="8" w:color="F4EFE7"/>
            </w:tcBorders>
            <w:shd w:val="clear" w:color="auto" w:fill="F4EFE7"/>
          </w:tcPr>
          <w:p>
            <w:pPr>
              <w:spacing w:after="0"/>
              <w:rPr>
                <w:sz w:val="13"/>
                <w:szCs w:val="13"/>
                <w:color w:val="auto"/>
              </w:rPr>
            </w:pPr>
          </w:p>
        </w:tc>
        <w:tc>
          <w:tcPr>
            <w:tcW w:w="9160" w:type="dxa"/>
            <w:vAlign w:val="bottom"/>
            <w:tcBorders>
              <w:bottom w:val="single" w:sz="8" w:color="B2B2B2"/>
            </w:tcBorders>
          </w:tcPr>
          <w:p>
            <w:pPr>
              <w:spacing w:after="0"/>
              <w:rPr>
                <w:sz w:val="13"/>
                <w:szCs w:val="13"/>
                <w:color w:val="auto"/>
              </w:rPr>
            </w:pPr>
          </w:p>
        </w:tc>
      </w:tr>
      <w:tr>
        <w:trPr>
          <w:trHeight w:val="221"/>
        </w:trPr>
        <w:tc>
          <w:tcPr>
            <w:tcW w:w="2080" w:type="dxa"/>
            <w:vAlign w:val="bottom"/>
            <w:shd w:val="clear" w:color="auto" w:fill="F4EFE7"/>
          </w:tcPr>
          <w:p>
            <w:pPr>
              <w:spacing w:after="0"/>
              <w:rPr>
                <w:sz w:val="19"/>
                <w:szCs w:val="19"/>
                <w:color w:val="auto"/>
              </w:rPr>
            </w:pPr>
          </w:p>
        </w:tc>
        <w:tc>
          <w:tcPr>
            <w:tcW w:w="9160" w:type="dxa"/>
            <w:vAlign w:val="bottom"/>
          </w:tcPr>
          <w:p>
            <w:pPr>
              <w:ind w:left="620"/>
              <w:spacing w:after="0"/>
              <w:rPr>
                <w:sz w:val="20"/>
                <w:szCs w:val="20"/>
                <w:color w:val="auto"/>
              </w:rPr>
            </w:pPr>
            <w:r>
              <w:rPr>
                <w:rFonts w:ascii="Arial" w:cs="Arial" w:eastAsia="Arial" w:hAnsi="Arial"/>
                <w:sz w:val="16"/>
                <w:szCs w:val="16"/>
                <w:color w:val="auto"/>
              </w:rPr>
              <w:t>Guides the annual self-assessment of the Board</w:t>
            </w:r>
          </w:p>
        </w:tc>
      </w:tr>
      <w:tr>
        <w:trPr>
          <w:trHeight w:val="204"/>
        </w:trPr>
        <w:tc>
          <w:tcPr>
            <w:tcW w:w="2080" w:type="dxa"/>
            <w:vAlign w:val="bottom"/>
            <w:tcBorders>
              <w:bottom w:val="single" w:sz="8" w:color="auto"/>
            </w:tcBorders>
            <w:shd w:val="clear" w:color="auto" w:fill="F4EFE7"/>
          </w:tcPr>
          <w:p>
            <w:pPr>
              <w:spacing w:after="0"/>
              <w:rPr>
                <w:sz w:val="17"/>
                <w:szCs w:val="17"/>
                <w:color w:val="auto"/>
              </w:rPr>
            </w:pPr>
          </w:p>
        </w:tc>
        <w:tc>
          <w:tcPr>
            <w:tcW w:w="916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-4191635</wp:posOffset>
            </wp:positionV>
            <wp:extent cx="111760" cy="939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760" cy="9398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-3942715</wp:posOffset>
            </wp:positionV>
            <wp:extent cx="111760" cy="946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-3668395</wp:posOffset>
            </wp:positionV>
            <wp:extent cx="111760" cy="939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760" cy="9398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-3325495</wp:posOffset>
            </wp:positionV>
            <wp:extent cx="111760" cy="939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760" cy="9398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-3077210</wp:posOffset>
            </wp:positionV>
            <wp:extent cx="111760" cy="939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760" cy="9398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-2802890</wp:posOffset>
            </wp:positionV>
            <wp:extent cx="111760" cy="946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-2519680</wp:posOffset>
            </wp:positionV>
            <wp:extent cx="111760" cy="946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-2271395</wp:posOffset>
            </wp:positionV>
            <wp:extent cx="111760" cy="939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760" cy="9398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-2022475</wp:posOffset>
            </wp:positionV>
            <wp:extent cx="111760" cy="939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760" cy="9398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-1774190</wp:posOffset>
            </wp:positionV>
            <wp:extent cx="111760" cy="939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760" cy="9398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-1525270</wp:posOffset>
            </wp:positionV>
            <wp:extent cx="111760" cy="939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760" cy="9398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-1276985</wp:posOffset>
            </wp:positionV>
            <wp:extent cx="111760" cy="946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-1028065</wp:posOffset>
            </wp:positionV>
            <wp:extent cx="111760" cy="939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760" cy="9398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-779780</wp:posOffset>
            </wp:positionV>
            <wp:extent cx="111760" cy="946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-530860</wp:posOffset>
            </wp:positionV>
            <wp:extent cx="111760" cy="939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760" cy="9398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-282575</wp:posOffset>
            </wp:positionV>
            <wp:extent cx="111760" cy="946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760" cy="946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505460</wp:posOffset>
            </wp:positionV>
            <wp:extent cx="651510" cy="857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22</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161"/>
        </w:trPr>
        <w:tc>
          <w:tcPr>
            <w:tcW w:w="2340" w:type="dxa"/>
            <w:vAlign w:val="bottom"/>
            <w:gridSpan w:val="4"/>
          </w:tcPr>
          <w:p>
            <w:pPr>
              <w:spacing w:after="0"/>
              <w:rPr>
                <w:sz w:val="20"/>
                <w:szCs w:val="20"/>
                <w:color w:val="auto"/>
              </w:rPr>
            </w:pPr>
            <w:r>
              <w:rPr>
                <w:rFonts w:ascii="Arial" w:cs="Arial" w:eastAsia="Arial" w:hAnsi="Arial"/>
                <w:sz w:val="14"/>
                <w:szCs w:val="14"/>
                <w:color w:val="0000FF"/>
              </w:rPr>
              <w:t>Table of Contents</w:t>
            </w: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58"/>
        </w:trPr>
        <w:tc>
          <w:tcPr>
            <w:tcW w:w="1120" w:type="dxa"/>
            <w:vAlign w:val="bottom"/>
            <w:tcBorders>
              <w:top w:val="single" w:sz="8" w:color="0000FF"/>
            </w:tcBorders>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4"/>
          </w:tcPr>
          <w:p>
            <w:pPr>
              <w:ind w:left="1320"/>
              <w:spacing w:after="0"/>
              <w:rPr>
                <w:sz w:val="20"/>
                <w:szCs w:val="20"/>
                <w:color w:val="auto"/>
              </w:rPr>
            </w:pPr>
            <w:r>
              <w:rPr>
                <w:rFonts w:ascii="Arial" w:cs="Arial" w:eastAsia="Arial" w:hAnsi="Arial"/>
                <w:sz w:val="14"/>
                <w:szCs w:val="14"/>
                <w:color w:val="8F5A39"/>
              </w:rPr>
              <w:t>Director nominees</w:t>
            </w:r>
          </w:p>
        </w:tc>
        <w:tc>
          <w:tcPr>
            <w:tcW w:w="1960" w:type="dxa"/>
            <w:vAlign w:val="bottom"/>
            <w:gridSpan w:val="2"/>
          </w:tcPr>
          <w:p>
            <w:pPr>
              <w:ind w:left="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Corporate governance</w:t>
            </w:r>
          </w:p>
        </w:tc>
      </w:tr>
      <w:tr>
        <w:trPr>
          <w:trHeight w:val="237"/>
        </w:trPr>
        <w:tc>
          <w:tcPr>
            <w:tcW w:w="2100" w:type="dxa"/>
            <w:vAlign w:val="bottom"/>
            <w:tcBorders>
              <w:bottom w:val="single" w:sz="8" w:color="8F5A39"/>
            </w:tcBorders>
            <w:gridSpan w:val="2"/>
          </w:tcPr>
          <w:p>
            <w:pPr>
              <w:spacing w:after="0"/>
              <w:rPr>
                <w:sz w:val="20"/>
                <w:szCs w:val="20"/>
                <w:color w:val="auto"/>
              </w:rPr>
            </w:pPr>
          </w:p>
        </w:tc>
        <w:tc>
          <w:tcPr>
            <w:tcW w:w="140" w:type="dxa"/>
            <w:vAlign w:val="bottom"/>
            <w:tcBorders>
              <w:bottom w:val="single" w:sz="8" w:color="8F5A39"/>
            </w:tcBorders>
          </w:tcPr>
          <w:p>
            <w:pPr>
              <w:spacing w:after="0"/>
              <w:rPr>
                <w:sz w:val="20"/>
                <w:szCs w:val="20"/>
                <w:color w:val="auto"/>
              </w:rPr>
            </w:pPr>
          </w:p>
        </w:tc>
        <w:tc>
          <w:tcPr>
            <w:tcW w:w="100" w:type="dxa"/>
            <w:vAlign w:val="bottom"/>
            <w:tcBorders>
              <w:bottom w:val="single" w:sz="8" w:color="8F5A39"/>
            </w:tcBorders>
          </w:tcPr>
          <w:p>
            <w:pPr>
              <w:spacing w:after="0"/>
              <w:rPr>
                <w:sz w:val="20"/>
                <w:szCs w:val="20"/>
                <w:color w:val="auto"/>
              </w:rPr>
            </w:pPr>
          </w:p>
        </w:tc>
        <w:tc>
          <w:tcPr>
            <w:tcW w:w="600" w:type="dxa"/>
            <w:vAlign w:val="bottom"/>
            <w:tcBorders>
              <w:bottom w:val="single" w:sz="8" w:color="8F5A39"/>
            </w:tcBorders>
          </w:tcPr>
          <w:p>
            <w:pPr>
              <w:spacing w:after="0"/>
              <w:rPr>
                <w:sz w:val="20"/>
                <w:szCs w:val="20"/>
                <w:color w:val="auto"/>
              </w:rPr>
            </w:pPr>
          </w:p>
        </w:tc>
        <w:tc>
          <w:tcPr>
            <w:tcW w:w="1420" w:type="dxa"/>
            <w:vAlign w:val="bottom"/>
            <w:tcBorders>
              <w:bottom w:val="single" w:sz="8" w:color="8F5A39"/>
            </w:tcBorders>
          </w:tcPr>
          <w:p>
            <w:pPr>
              <w:spacing w:after="0"/>
              <w:rPr>
                <w:sz w:val="20"/>
                <w:szCs w:val="20"/>
                <w:color w:val="auto"/>
              </w:rPr>
            </w:pPr>
          </w:p>
        </w:tc>
        <w:tc>
          <w:tcPr>
            <w:tcW w:w="160" w:type="dxa"/>
            <w:vAlign w:val="bottom"/>
            <w:tcBorders>
              <w:bottom w:val="single" w:sz="8" w:color="8F5A39"/>
            </w:tcBorders>
          </w:tcPr>
          <w:p>
            <w:pPr>
              <w:spacing w:after="0"/>
              <w:rPr>
                <w:sz w:val="20"/>
                <w:szCs w:val="20"/>
                <w:color w:val="auto"/>
              </w:rPr>
            </w:pPr>
          </w:p>
        </w:tc>
        <w:tc>
          <w:tcPr>
            <w:tcW w:w="320" w:type="dxa"/>
            <w:vAlign w:val="bottom"/>
            <w:tcBorders>
              <w:bottom w:val="single" w:sz="8" w:color="8F5A39"/>
            </w:tcBorders>
          </w:tcPr>
          <w:p>
            <w:pPr>
              <w:spacing w:after="0"/>
              <w:rPr>
                <w:sz w:val="20"/>
                <w:szCs w:val="20"/>
                <w:color w:val="auto"/>
              </w:rPr>
            </w:pPr>
          </w:p>
        </w:tc>
        <w:tc>
          <w:tcPr>
            <w:tcW w:w="440" w:type="dxa"/>
            <w:vAlign w:val="bottom"/>
            <w:tcBorders>
              <w:bottom w:val="single" w:sz="8" w:color="8F5A39"/>
            </w:tcBorders>
          </w:tcPr>
          <w:p>
            <w:pPr>
              <w:spacing w:after="0"/>
              <w:rPr>
                <w:sz w:val="20"/>
                <w:szCs w:val="20"/>
                <w:color w:val="auto"/>
              </w:rPr>
            </w:pPr>
          </w:p>
        </w:tc>
        <w:tc>
          <w:tcPr>
            <w:tcW w:w="640" w:type="dxa"/>
            <w:vAlign w:val="bottom"/>
            <w:tcBorders>
              <w:bottom w:val="single" w:sz="8" w:color="8F5A39"/>
            </w:tcBorders>
          </w:tcPr>
          <w:p>
            <w:pPr>
              <w:spacing w:after="0"/>
              <w:rPr>
                <w:sz w:val="20"/>
                <w:szCs w:val="20"/>
                <w:color w:val="auto"/>
              </w:rPr>
            </w:pPr>
          </w:p>
        </w:tc>
        <w:tc>
          <w:tcPr>
            <w:tcW w:w="480" w:type="dxa"/>
            <w:vAlign w:val="bottom"/>
            <w:tcBorders>
              <w:bottom w:val="single" w:sz="8" w:color="8F5A39"/>
            </w:tcBorders>
          </w:tcPr>
          <w:p>
            <w:pPr>
              <w:spacing w:after="0"/>
              <w:rPr>
                <w:sz w:val="20"/>
                <w:szCs w:val="20"/>
                <w:color w:val="auto"/>
              </w:rPr>
            </w:pPr>
          </w:p>
        </w:tc>
        <w:tc>
          <w:tcPr>
            <w:tcW w:w="240" w:type="dxa"/>
            <w:vAlign w:val="bottom"/>
            <w:tcBorders>
              <w:bottom w:val="single" w:sz="8" w:color="8F5A39"/>
            </w:tcBorders>
          </w:tcPr>
          <w:p>
            <w:pPr>
              <w:spacing w:after="0"/>
              <w:rPr>
                <w:sz w:val="20"/>
                <w:szCs w:val="20"/>
                <w:color w:val="auto"/>
              </w:rPr>
            </w:pPr>
          </w:p>
        </w:tc>
        <w:tc>
          <w:tcPr>
            <w:tcW w:w="140" w:type="dxa"/>
            <w:vAlign w:val="bottom"/>
            <w:tcBorders>
              <w:bottom w:val="single" w:sz="8" w:color="8F5A39"/>
            </w:tcBorders>
          </w:tcPr>
          <w:p>
            <w:pPr>
              <w:spacing w:after="0"/>
              <w:rPr>
                <w:sz w:val="20"/>
                <w:szCs w:val="20"/>
                <w:color w:val="auto"/>
              </w:rPr>
            </w:pPr>
          </w:p>
        </w:tc>
        <w:tc>
          <w:tcPr>
            <w:tcW w:w="1480" w:type="dxa"/>
            <w:vAlign w:val="bottom"/>
            <w:tcBorders>
              <w:bottom w:val="single" w:sz="8" w:color="8F5A39"/>
            </w:tcBorders>
          </w:tcPr>
          <w:p>
            <w:pPr>
              <w:spacing w:after="0"/>
              <w:rPr>
                <w:sz w:val="20"/>
                <w:szCs w:val="20"/>
                <w:color w:val="auto"/>
              </w:rPr>
            </w:pPr>
          </w:p>
        </w:tc>
        <w:tc>
          <w:tcPr>
            <w:tcW w:w="640" w:type="dxa"/>
            <w:vAlign w:val="bottom"/>
            <w:tcBorders>
              <w:bottom w:val="single" w:sz="8" w:color="8F5A39"/>
            </w:tcBorders>
          </w:tcPr>
          <w:p>
            <w:pPr>
              <w:spacing w:after="0"/>
              <w:rPr>
                <w:sz w:val="20"/>
                <w:szCs w:val="20"/>
                <w:color w:val="auto"/>
              </w:rPr>
            </w:pPr>
          </w:p>
        </w:tc>
        <w:tc>
          <w:tcPr>
            <w:tcW w:w="160" w:type="dxa"/>
            <w:vAlign w:val="bottom"/>
            <w:tcBorders>
              <w:bottom w:val="single" w:sz="8" w:color="8F5A39"/>
            </w:tcBorders>
          </w:tcPr>
          <w:p>
            <w:pPr>
              <w:spacing w:after="0"/>
              <w:rPr>
                <w:sz w:val="20"/>
                <w:szCs w:val="20"/>
                <w:color w:val="auto"/>
              </w:rPr>
            </w:pPr>
          </w:p>
        </w:tc>
        <w:tc>
          <w:tcPr>
            <w:tcW w:w="220" w:type="dxa"/>
            <w:vAlign w:val="bottom"/>
            <w:tcBorders>
              <w:bottom w:val="single" w:sz="8" w:color="8F5A39"/>
            </w:tcBorders>
          </w:tcPr>
          <w:p>
            <w:pPr>
              <w:spacing w:after="0"/>
              <w:rPr>
                <w:sz w:val="20"/>
                <w:szCs w:val="20"/>
                <w:color w:val="auto"/>
              </w:rPr>
            </w:pPr>
          </w:p>
        </w:tc>
        <w:tc>
          <w:tcPr>
            <w:tcW w:w="1900" w:type="dxa"/>
            <w:vAlign w:val="bottom"/>
            <w:tcBorders>
              <w:bottom w:val="single" w:sz="8" w:color="8F5A39"/>
            </w:tcBorders>
          </w:tcPr>
          <w:p>
            <w:pPr>
              <w:spacing w:after="0"/>
              <w:rPr>
                <w:sz w:val="20"/>
                <w:szCs w:val="20"/>
                <w:color w:val="auto"/>
              </w:rPr>
            </w:pPr>
          </w:p>
        </w:tc>
        <w:tc>
          <w:tcPr>
            <w:tcW w:w="60" w:type="dxa"/>
            <w:vAlign w:val="bottom"/>
            <w:tcBorders>
              <w:bottom w:val="single" w:sz="8" w:color="8F5A39"/>
            </w:tcBorders>
          </w:tcPr>
          <w:p>
            <w:pPr>
              <w:spacing w:after="0"/>
              <w:rPr>
                <w:sz w:val="20"/>
                <w:szCs w:val="20"/>
                <w:color w:val="auto"/>
              </w:rPr>
            </w:pPr>
          </w:p>
        </w:tc>
      </w:tr>
      <w:tr>
        <w:trPr>
          <w:trHeight w:val="115"/>
        </w:trPr>
        <w:tc>
          <w:tcPr>
            <w:tcW w:w="2100" w:type="dxa"/>
            <w:vAlign w:val="bottom"/>
            <w:tcBorders>
              <w:bottom w:val="single" w:sz="8" w:color="auto"/>
            </w:tcBorders>
            <w:gridSpan w:val="2"/>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420" w:type="dxa"/>
            <w:vAlign w:val="bottom"/>
            <w:tcBorders>
              <w:bottom w:val="single" w:sz="8" w:color="A6D7F0"/>
            </w:tcBorders>
          </w:tcPr>
          <w:p>
            <w:pPr>
              <w:spacing w:after="0"/>
              <w:rPr>
                <w:sz w:val="10"/>
                <w:szCs w:val="10"/>
                <w:color w:val="auto"/>
              </w:rPr>
            </w:pPr>
          </w:p>
        </w:tc>
        <w:tc>
          <w:tcPr>
            <w:tcW w:w="160" w:type="dxa"/>
            <w:vAlign w:val="bottom"/>
            <w:tcBorders>
              <w:bottom w:val="single" w:sz="8" w:color="A6D7F0"/>
            </w:tcBorders>
          </w:tcPr>
          <w:p>
            <w:pPr>
              <w:spacing w:after="0"/>
              <w:rPr>
                <w:sz w:val="10"/>
                <w:szCs w:val="10"/>
                <w:color w:val="auto"/>
              </w:rPr>
            </w:pPr>
          </w:p>
        </w:tc>
        <w:tc>
          <w:tcPr>
            <w:tcW w:w="320" w:type="dxa"/>
            <w:vAlign w:val="bottom"/>
            <w:tcBorders>
              <w:bottom w:val="single" w:sz="8" w:color="A6D7F0"/>
            </w:tcBorders>
          </w:tcPr>
          <w:p>
            <w:pPr>
              <w:spacing w:after="0"/>
              <w:rPr>
                <w:sz w:val="10"/>
                <w:szCs w:val="10"/>
                <w:color w:val="auto"/>
              </w:rPr>
            </w:pPr>
          </w:p>
        </w:tc>
        <w:tc>
          <w:tcPr>
            <w:tcW w:w="440" w:type="dxa"/>
            <w:vAlign w:val="bottom"/>
            <w:tcBorders>
              <w:bottom w:val="single" w:sz="8" w:color="A6D7F0"/>
            </w:tcBorders>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r>
        <w:trPr>
          <w:trHeight w:val="315"/>
        </w:trPr>
        <w:tc>
          <w:tcPr>
            <w:tcW w:w="2340" w:type="dxa"/>
            <w:vAlign w:val="bottom"/>
            <w:tcBorders>
              <w:left w:val="single" w:sz="8" w:color="auto"/>
              <w:right w:val="single" w:sz="8" w:color="auto"/>
            </w:tcBorders>
            <w:gridSpan w:val="4"/>
          </w:tcPr>
          <w:p>
            <w:pPr>
              <w:ind w:left="520"/>
              <w:spacing w:after="0"/>
              <w:rPr>
                <w:sz w:val="20"/>
                <w:szCs w:val="20"/>
                <w:color w:val="auto"/>
              </w:rPr>
            </w:pPr>
            <w:r>
              <w:rPr>
                <w:rFonts w:ascii="Arial" w:cs="Arial" w:eastAsia="Arial" w:hAnsi="Arial"/>
                <w:sz w:val="16"/>
                <w:szCs w:val="16"/>
                <w:color w:val="8F5A39"/>
              </w:rPr>
              <w:t>Director nominees</w:t>
            </w:r>
          </w:p>
        </w:tc>
        <w:tc>
          <w:tcPr>
            <w:tcW w:w="600" w:type="dxa"/>
            <w:vAlign w:val="bottom"/>
          </w:tcPr>
          <w:p>
            <w:pPr>
              <w:spacing w:after="0"/>
              <w:rPr>
                <w:sz w:val="24"/>
                <w:szCs w:val="24"/>
                <w:color w:val="auto"/>
              </w:rPr>
            </w:pPr>
          </w:p>
        </w:tc>
        <w:tc>
          <w:tcPr>
            <w:tcW w:w="1900" w:type="dxa"/>
            <w:vAlign w:val="bottom"/>
            <w:gridSpan w:val="3"/>
            <w:shd w:val="clear" w:color="auto" w:fill="A6D7F0"/>
          </w:tcPr>
          <w:p>
            <w:pPr>
              <w:ind w:left="460"/>
              <w:spacing w:after="0"/>
              <w:rPr>
                <w:sz w:val="20"/>
                <w:szCs w:val="20"/>
                <w:color w:val="auto"/>
              </w:rPr>
            </w:pPr>
            <w:r>
              <w:rPr>
                <w:rFonts w:ascii="Arial" w:cs="Arial" w:eastAsia="Arial" w:hAnsi="Arial"/>
                <w:sz w:val="16"/>
                <w:szCs w:val="16"/>
                <w:b w:val="1"/>
                <w:bCs w:val="1"/>
                <w:color w:val="auto"/>
              </w:rPr>
              <w:t>Board governance</w:t>
            </w:r>
          </w:p>
        </w:tc>
        <w:tc>
          <w:tcPr>
            <w:tcW w:w="440" w:type="dxa"/>
            <w:vAlign w:val="bottom"/>
            <w:shd w:val="clear" w:color="auto" w:fill="A6D7F0"/>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tcBorders>
              <w:right w:val="single" w:sz="8" w:color="auto"/>
            </w:tcBorders>
            <w:gridSpan w:val="3"/>
          </w:tcPr>
          <w:p>
            <w:pPr>
              <w:ind w:left="100"/>
              <w:spacing w:after="0"/>
              <w:rPr>
                <w:sz w:val="20"/>
                <w:szCs w:val="20"/>
                <w:color w:val="auto"/>
              </w:rPr>
            </w:pPr>
            <w:r>
              <w:rPr>
                <w:rFonts w:ascii="Arial" w:cs="Arial" w:eastAsia="Arial" w:hAnsi="Arial"/>
                <w:sz w:val="16"/>
                <w:szCs w:val="16"/>
                <w:color w:val="8F5A39"/>
              </w:rPr>
              <w:t>Board oversight</w:t>
            </w: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Borders>
              <w:right w:val="single" w:sz="8" w:color="auto"/>
            </w:tcBorders>
            <w:gridSpan w:val="2"/>
          </w:tcPr>
          <w:p>
            <w:pPr>
              <w:ind w:left="300"/>
              <w:spacing w:after="0"/>
              <w:rPr>
                <w:sz w:val="20"/>
                <w:szCs w:val="20"/>
                <w:color w:val="auto"/>
              </w:rPr>
            </w:pPr>
            <w:r>
              <w:rPr>
                <w:rFonts w:ascii="Arial" w:cs="Arial" w:eastAsia="Arial" w:hAnsi="Arial"/>
                <w:sz w:val="16"/>
                <w:szCs w:val="16"/>
                <w:color w:val="8F5A39"/>
              </w:rPr>
              <w:t>Engagement</w:t>
            </w:r>
          </w:p>
        </w:tc>
      </w:tr>
      <w:tr>
        <w:trPr>
          <w:trHeight w:val="191"/>
        </w:trPr>
        <w:tc>
          <w:tcPr>
            <w:tcW w:w="2100" w:type="dxa"/>
            <w:vAlign w:val="bottom"/>
            <w:tcBorders>
              <w:left w:val="single" w:sz="8" w:color="auto"/>
              <w:bottom w:val="single" w:sz="8" w:color="auto"/>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420" w:type="dxa"/>
            <w:vAlign w:val="bottom"/>
            <w:shd w:val="clear" w:color="auto" w:fill="A6D7F0"/>
          </w:tcPr>
          <w:p>
            <w:pPr>
              <w:spacing w:after="0"/>
              <w:rPr>
                <w:sz w:val="16"/>
                <w:szCs w:val="16"/>
                <w:color w:val="auto"/>
              </w:rPr>
            </w:pPr>
          </w:p>
        </w:tc>
        <w:tc>
          <w:tcPr>
            <w:tcW w:w="160" w:type="dxa"/>
            <w:vAlign w:val="bottom"/>
            <w:shd w:val="clear" w:color="auto" w:fill="A6D7F0"/>
          </w:tcPr>
          <w:p>
            <w:pPr>
              <w:spacing w:after="0"/>
              <w:rPr>
                <w:sz w:val="16"/>
                <w:szCs w:val="16"/>
                <w:color w:val="auto"/>
              </w:rPr>
            </w:pPr>
          </w:p>
        </w:tc>
        <w:tc>
          <w:tcPr>
            <w:tcW w:w="320" w:type="dxa"/>
            <w:vAlign w:val="bottom"/>
            <w:shd w:val="clear" w:color="auto" w:fill="A6D7F0"/>
          </w:tcPr>
          <w:p>
            <w:pPr>
              <w:spacing w:after="0"/>
              <w:rPr>
                <w:sz w:val="16"/>
                <w:szCs w:val="16"/>
                <w:color w:val="auto"/>
              </w:rPr>
            </w:pPr>
          </w:p>
        </w:tc>
        <w:tc>
          <w:tcPr>
            <w:tcW w:w="44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r>
      <w:tr>
        <w:trPr>
          <w:trHeight w:val="493"/>
        </w:trPr>
        <w:tc>
          <w:tcPr>
            <w:tcW w:w="4840" w:type="dxa"/>
            <w:vAlign w:val="bottom"/>
            <w:gridSpan w:val="8"/>
          </w:tcPr>
          <w:p>
            <w:pPr>
              <w:spacing w:after="0"/>
              <w:rPr>
                <w:sz w:val="20"/>
                <w:szCs w:val="20"/>
                <w:color w:val="auto"/>
              </w:rPr>
            </w:pPr>
            <w:r>
              <w:rPr>
                <w:rFonts w:ascii="Arial" w:cs="Arial" w:eastAsia="Arial" w:hAnsi="Arial"/>
                <w:sz w:val="22"/>
                <w:szCs w:val="22"/>
                <w:color w:val="auto"/>
              </w:rPr>
              <w:t>Board meetings and attendance</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4"/>
        </w:trPr>
        <w:tc>
          <w:tcPr>
            <w:tcW w:w="21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625"/>
        </w:trPr>
        <w:tc>
          <w:tcPr>
            <w:tcW w:w="2100" w:type="dxa"/>
            <w:vAlign w:val="bottom"/>
            <w:tcBorders>
              <w:left w:val="single" w:sz="8" w:color="F4EFE7"/>
            </w:tcBorders>
            <w:gridSpan w:val="2"/>
            <w:shd w:val="clear" w:color="auto" w:fill="F4EFE7"/>
          </w:tcPr>
          <w:p>
            <w:pPr>
              <w:jc w:val="center"/>
              <w:spacing w:after="0"/>
              <w:rPr>
                <w:sz w:val="20"/>
                <w:szCs w:val="20"/>
                <w:color w:val="auto"/>
              </w:rPr>
            </w:pPr>
            <w:r>
              <w:rPr>
                <w:rFonts w:ascii="Arial" w:cs="Arial" w:eastAsia="Arial" w:hAnsi="Arial"/>
                <w:sz w:val="43"/>
                <w:szCs w:val="43"/>
                <w:color w:val="8F5A39"/>
              </w:rPr>
              <w:t>8</w:t>
            </w:r>
          </w:p>
        </w:tc>
        <w:tc>
          <w:tcPr>
            <w:tcW w:w="140" w:type="dxa"/>
            <w:vAlign w:val="bottom"/>
          </w:tcPr>
          <w:p>
            <w:pPr>
              <w:spacing w:after="0"/>
              <w:rPr>
                <w:sz w:val="24"/>
                <w:szCs w:val="24"/>
                <w:color w:val="auto"/>
              </w:rPr>
            </w:pPr>
          </w:p>
        </w:tc>
        <w:tc>
          <w:tcPr>
            <w:tcW w:w="100" w:type="dxa"/>
            <w:vAlign w:val="bottom"/>
            <w:tcBorders>
              <w:right w:val="single" w:sz="8" w:color="F4EFE7"/>
            </w:tcBorders>
            <w:shd w:val="clear" w:color="auto" w:fill="F4EFE7"/>
          </w:tcPr>
          <w:p>
            <w:pPr>
              <w:spacing w:after="0"/>
              <w:rPr>
                <w:sz w:val="24"/>
                <w:szCs w:val="24"/>
                <w:color w:val="auto"/>
              </w:rPr>
            </w:pPr>
          </w:p>
        </w:tc>
        <w:tc>
          <w:tcPr>
            <w:tcW w:w="2020" w:type="dxa"/>
            <w:vAlign w:val="bottom"/>
            <w:gridSpan w:val="2"/>
            <w:shd w:val="clear" w:color="auto" w:fill="F4EFE7"/>
          </w:tcPr>
          <w:p>
            <w:pPr>
              <w:jc w:val="center"/>
              <w:ind w:right="24"/>
              <w:spacing w:after="0"/>
              <w:rPr>
                <w:sz w:val="20"/>
                <w:szCs w:val="20"/>
                <w:color w:val="auto"/>
              </w:rPr>
            </w:pPr>
            <w:r>
              <w:rPr>
                <w:rFonts w:ascii="Arial" w:cs="Arial" w:eastAsia="Arial" w:hAnsi="Arial"/>
                <w:sz w:val="43"/>
                <w:szCs w:val="43"/>
                <w:color w:val="8F5A39"/>
              </w:rPr>
              <w:t>8</w:t>
            </w:r>
          </w:p>
        </w:tc>
        <w:tc>
          <w:tcPr>
            <w:tcW w:w="160" w:type="dxa"/>
            <w:vAlign w:val="bottom"/>
          </w:tcPr>
          <w:p>
            <w:pPr>
              <w:spacing w:after="0"/>
              <w:rPr>
                <w:sz w:val="24"/>
                <w:szCs w:val="24"/>
                <w:color w:val="auto"/>
              </w:rPr>
            </w:pPr>
          </w:p>
        </w:tc>
        <w:tc>
          <w:tcPr>
            <w:tcW w:w="320" w:type="dxa"/>
            <w:vAlign w:val="bottom"/>
            <w:shd w:val="clear" w:color="auto" w:fill="F4EFE7"/>
          </w:tcPr>
          <w:p>
            <w:pPr>
              <w:spacing w:after="0"/>
              <w:rPr>
                <w:sz w:val="24"/>
                <w:szCs w:val="24"/>
                <w:color w:val="auto"/>
              </w:rPr>
            </w:pPr>
          </w:p>
        </w:tc>
        <w:tc>
          <w:tcPr>
            <w:tcW w:w="1080" w:type="dxa"/>
            <w:vAlign w:val="bottom"/>
            <w:tcBorders>
              <w:right w:val="single" w:sz="8" w:color="F4EFE7"/>
            </w:tcBorders>
            <w:gridSpan w:val="2"/>
            <w:shd w:val="clear" w:color="auto" w:fill="F4EFE7"/>
          </w:tcPr>
          <w:p>
            <w:pPr>
              <w:jc w:val="center"/>
              <w:ind w:left="280"/>
              <w:spacing w:after="0"/>
              <w:rPr>
                <w:sz w:val="20"/>
                <w:szCs w:val="20"/>
                <w:color w:val="auto"/>
              </w:rPr>
            </w:pPr>
            <w:r>
              <w:rPr>
                <w:rFonts w:ascii="Arial" w:cs="Arial" w:eastAsia="Arial" w:hAnsi="Arial"/>
                <w:sz w:val="43"/>
                <w:szCs w:val="43"/>
                <w:color w:val="8F5A39"/>
              </w:rPr>
              <w:t>39</w:t>
            </w:r>
          </w:p>
        </w:tc>
        <w:tc>
          <w:tcPr>
            <w:tcW w:w="480" w:type="dxa"/>
            <w:vAlign w:val="bottom"/>
            <w:shd w:val="clear" w:color="auto" w:fill="F4EFE7"/>
          </w:tcPr>
          <w:p>
            <w:pPr>
              <w:spacing w:after="0"/>
              <w:rPr>
                <w:sz w:val="24"/>
                <w:szCs w:val="24"/>
                <w:color w:val="auto"/>
              </w:rPr>
            </w:pPr>
          </w:p>
        </w:tc>
        <w:tc>
          <w:tcPr>
            <w:tcW w:w="240" w:type="dxa"/>
            <w:vAlign w:val="bottom"/>
            <w:shd w:val="clear" w:color="auto" w:fill="F4EFE7"/>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Borders>
              <w:right w:val="single" w:sz="8" w:color="F4EFE7"/>
            </w:tcBorders>
            <w:shd w:val="clear" w:color="auto" w:fill="F4EFE7"/>
          </w:tcPr>
          <w:p>
            <w:pPr>
              <w:jc w:val="center"/>
              <w:ind w:left="532"/>
              <w:spacing w:after="0"/>
              <w:rPr>
                <w:sz w:val="20"/>
                <w:szCs w:val="20"/>
                <w:color w:val="auto"/>
              </w:rPr>
            </w:pPr>
            <w:r>
              <w:rPr>
                <w:rFonts w:ascii="Arial" w:cs="Arial" w:eastAsia="Arial" w:hAnsi="Arial"/>
                <w:sz w:val="43"/>
                <w:szCs w:val="43"/>
                <w:color w:val="8F5A39"/>
              </w:rPr>
              <w:t>4</w:t>
            </w:r>
          </w:p>
        </w:tc>
        <w:tc>
          <w:tcPr>
            <w:tcW w:w="640" w:type="dxa"/>
            <w:vAlign w:val="bottom"/>
            <w:tcBorders>
              <w:right w:val="single" w:sz="8" w:color="F4EFE7"/>
            </w:tcBorders>
            <w:shd w:val="clear" w:color="auto" w:fill="F4EFE7"/>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shd w:val="clear" w:color="auto" w:fill="F4EFE7"/>
          </w:tcPr>
          <w:p>
            <w:pPr>
              <w:spacing w:after="0"/>
              <w:rPr>
                <w:sz w:val="24"/>
                <w:szCs w:val="24"/>
                <w:color w:val="auto"/>
              </w:rPr>
            </w:pPr>
          </w:p>
        </w:tc>
        <w:tc>
          <w:tcPr>
            <w:tcW w:w="1900" w:type="dxa"/>
            <w:vAlign w:val="bottom"/>
            <w:shd w:val="clear" w:color="auto" w:fill="F4EFE7"/>
          </w:tcPr>
          <w:p>
            <w:pPr>
              <w:jc w:val="right"/>
              <w:ind w:right="828"/>
              <w:spacing w:after="0"/>
              <w:rPr>
                <w:sz w:val="20"/>
                <w:szCs w:val="20"/>
                <w:color w:val="auto"/>
              </w:rPr>
            </w:pPr>
            <w:r>
              <w:rPr>
                <w:rFonts w:ascii="Arial" w:cs="Arial" w:eastAsia="Arial" w:hAnsi="Arial"/>
                <w:sz w:val="43"/>
                <w:szCs w:val="43"/>
                <w:color w:val="8F5A39"/>
              </w:rPr>
              <w:t>2</w:t>
            </w:r>
          </w:p>
        </w:tc>
        <w:tc>
          <w:tcPr>
            <w:tcW w:w="60" w:type="dxa"/>
            <w:vAlign w:val="bottom"/>
          </w:tcPr>
          <w:p>
            <w:pPr>
              <w:spacing w:after="0"/>
              <w:rPr>
                <w:sz w:val="24"/>
                <w:szCs w:val="24"/>
                <w:color w:val="auto"/>
              </w:rPr>
            </w:pPr>
          </w:p>
        </w:tc>
      </w:tr>
      <w:tr>
        <w:trPr>
          <w:trHeight w:val="175"/>
        </w:trPr>
        <w:tc>
          <w:tcPr>
            <w:tcW w:w="2100" w:type="dxa"/>
            <w:vAlign w:val="bottom"/>
            <w:tcBorders>
              <w:left w:val="single" w:sz="8" w:color="F4EFE7"/>
            </w:tcBorders>
            <w:gridSpan w:val="2"/>
            <w:shd w:val="clear" w:color="auto" w:fill="F4EFE7"/>
          </w:tcPr>
          <w:p>
            <w:pPr>
              <w:jc w:val="center"/>
              <w:spacing w:after="0"/>
              <w:rPr>
                <w:sz w:val="20"/>
                <w:szCs w:val="20"/>
                <w:color w:val="auto"/>
              </w:rPr>
            </w:pPr>
            <w:r>
              <w:rPr>
                <w:rFonts w:ascii="Arial" w:cs="Arial" w:eastAsia="Arial" w:hAnsi="Arial"/>
                <w:sz w:val="14"/>
                <w:szCs w:val="14"/>
                <w:b w:val="1"/>
                <w:bCs w:val="1"/>
                <w:color w:val="auto"/>
              </w:rPr>
              <w:t>Regularly scheduled</w:t>
            </w:r>
          </w:p>
        </w:tc>
        <w:tc>
          <w:tcPr>
            <w:tcW w:w="140" w:type="dxa"/>
            <w:vAlign w:val="bottom"/>
          </w:tcPr>
          <w:p>
            <w:pPr>
              <w:spacing w:after="0"/>
              <w:rPr>
                <w:sz w:val="15"/>
                <w:szCs w:val="15"/>
                <w:color w:val="auto"/>
              </w:rPr>
            </w:pPr>
          </w:p>
        </w:tc>
        <w:tc>
          <w:tcPr>
            <w:tcW w:w="100" w:type="dxa"/>
            <w:vAlign w:val="bottom"/>
            <w:tcBorders>
              <w:right w:val="single" w:sz="8" w:color="F4EFE7"/>
            </w:tcBorders>
            <w:shd w:val="clear" w:color="auto" w:fill="F4EFE7"/>
          </w:tcPr>
          <w:p>
            <w:pPr>
              <w:spacing w:after="0"/>
              <w:rPr>
                <w:sz w:val="15"/>
                <w:szCs w:val="15"/>
                <w:color w:val="auto"/>
              </w:rPr>
            </w:pPr>
          </w:p>
        </w:tc>
        <w:tc>
          <w:tcPr>
            <w:tcW w:w="2020" w:type="dxa"/>
            <w:vAlign w:val="bottom"/>
            <w:gridSpan w:val="2"/>
            <w:shd w:val="clear" w:color="auto" w:fill="F4EFE7"/>
          </w:tcPr>
          <w:p>
            <w:pPr>
              <w:jc w:val="center"/>
              <w:ind w:right="4"/>
              <w:spacing w:after="0"/>
              <w:rPr>
                <w:sz w:val="20"/>
                <w:szCs w:val="20"/>
                <w:color w:val="auto"/>
              </w:rPr>
            </w:pPr>
            <w:r>
              <w:rPr>
                <w:rFonts w:ascii="Arial" w:cs="Arial" w:eastAsia="Arial" w:hAnsi="Arial"/>
                <w:sz w:val="14"/>
                <w:szCs w:val="14"/>
                <w:b w:val="1"/>
                <w:bCs w:val="1"/>
                <w:color w:val="auto"/>
              </w:rPr>
              <w:t>Executive sessions of</w:t>
            </w:r>
          </w:p>
        </w:tc>
        <w:tc>
          <w:tcPr>
            <w:tcW w:w="160" w:type="dxa"/>
            <w:vAlign w:val="bottom"/>
          </w:tcPr>
          <w:p>
            <w:pPr>
              <w:spacing w:after="0"/>
              <w:rPr>
                <w:sz w:val="15"/>
                <w:szCs w:val="15"/>
                <w:color w:val="auto"/>
              </w:rPr>
            </w:pPr>
          </w:p>
        </w:tc>
        <w:tc>
          <w:tcPr>
            <w:tcW w:w="320" w:type="dxa"/>
            <w:vAlign w:val="bottom"/>
            <w:shd w:val="clear" w:color="auto" w:fill="F4EFE7"/>
          </w:tcPr>
          <w:p>
            <w:pPr>
              <w:spacing w:after="0"/>
              <w:rPr>
                <w:sz w:val="15"/>
                <w:szCs w:val="15"/>
                <w:color w:val="auto"/>
              </w:rPr>
            </w:pPr>
          </w:p>
        </w:tc>
        <w:tc>
          <w:tcPr>
            <w:tcW w:w="1560" w:type="dxa"/>
            <w:vAlign w:val="bottom"/>
            <w:gridSpan w:val="3"/>
            <w:shd w:val="clear" w:color="auto" w:fill="F4EFE7"/>
          </w:tcPr>
          <w:p>
            <w:pPr>
              <w:jc w:val="center"/>
              <w:ind w:right="80"/>
              <w:spacing w:after="0"/>
              <w:rPr>
                <w:sz w:val="20"/>
                <w:szCs w:val="20"/>
                <w:color w:val="auto"/>
              </w:rPr>
            </w:pPr>
            <w:r>
              <w:rPr>
                <w:rFonts w:ascii="Arial" w:cs="Arial" w:eastAsia="Arial" w:hAnsi="Arial"/>
                <w:sz w:val="14"/>
                <w:szCs w:val="14"/>
                <w:b w:val="1"/>
                <w:bCs w:val="1"/>
                <w:color w:val="auto"/>
              </w:rPr>
              <w:t>Meetings of principal</w:t>
            </w:r>
          </w:p>
        </w:tc>
        <w:tc>
          <w:tcPr>
            <w:tcW w:w="240" w:type="dxa"/>
            <w:vAlign w:val="bottom"/>
            <w:shd w:val="clear" w:color="auto" w:fill="F4EFE7"/>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Borders>
              <w:right w:val="single" w:sz="8" w:color="F4EFE7"/>
            </w:tcBorders>
            <w:gridSpan w:val="2"/>
            <w:shd w:val="clear" w:color="auto" w:fill="F4EFE7"/>
          </w:tcPr>
          <w:p>
            <w:pPr>
              <w:jc w:val="center"/>
              <w:spacing w:after="0"/>
              <w:rPr>
                <w:sz w:val="20"/>
                <w:szCs w:val="20"/>
                <w:color w:val="auto"/>
              </w:rPr>
            </w:pPr>
            <w:r>
              <w:rPr>
                <w:rFonts w:ascii="Arial" w:cs="Arial" w:eastAsia="Arial" w:hAnsi="Arial"/>
                <w:sz w:val="14"/>
                <w:szCs w:val="14"/>
                <w:b w:val="1"/>
                <w:bCs w:val="1"/>
                <w:color w:val="auto"/>
              </w:rPr>
              <w:t>Meetings of specific</w:t>
            </w:r>
          </w:p>
        </w:tc>
        <w:tc>
          <w:tcPr>
            <w:tcW w:w="160" w:type="dxa"/>
            <w:vAlign w:val="bottom"/>
          </w:tcPr>
          <w:p>
            <w:pPr>
              <w:spacing w:after="0"/>
              <w:rPr>
                <w:sz w:val="15"/>
                <w:szCs w:val="15"/>
                <w:color w:val="auto"/>
              </w:rPr>
            </w:pPr>
          </w:p>
        </w:tc>
        <w:tc>
          <w:tcPr>
            <w:tcW w:w="220" w:type="dxa"/>
            <w:vAlign w:val="bottom"/>
            <w:shd w:val="clear" w:color="auto" w:fill="F4EFE7"/>
          </w:tcPr>
          <w:p>
            <w:pPr>
              <w:spacing w:after="0"/>
              <w:rPr>
                <w:sz w:val="15"/>
                <w:szCs w:val="15"/>
                <w:color w:val="auto"/>
              </w:rPr>
            </w:pPr>
          </w:p>
        </w:tc>
        <w:tc>
          <w:tcPr>
            <w:tcW w:w="1900" w:type="dxa"/>
            <w:vAlign w:val="bottom"/>
            <w:shd w:val="clear" w:color="auto" w:fill="F4EFE7"/>
          </w:tcPr>
          <w:p>
            <w:pPr>
              <w:jc w:val="center"/>
              <w:ind w:right="128"/>
              <w:spacing w:after="0"/>
              <w:rPr>
                <w:sz w:val="20"/>
                <w:szCs w:val="20"/>
                <w:color w:val="auto"/>
              </w:rPr>
            </w:pPr>
            <w:r>
              <w:rPr>
                <w:rFonts w:ascii="Arial" w:cs="Arial" w:eastAsia="Arial" w:hAnsi="Arial"/>
                <w:sz w:val="14"/>
                <w:szCs w:val="14"/>
                <w:b w:val="1"/>
                <w:bCs w:val="1"/>
                <w:color w:val="auto"/>
              </w:rPr>
              <w:t>Special Board meetings</w:t>
            </w:r>
          </w:p>
        </w:tc>
        <w:tc>
          <w:tcPr>
            <w:tcW w:w="60" w:type="dxa"/>
            <w:vAlign w:val="bottom"/>
          </w:tcPr>
          <w:p>
            <w:pPr>
              <w:spacing w:after="0"/>
              <w:rPr>
                <w:sz w:val="15"/>
                <w:szCs w:val="15"/>
                <w:color w:val="auto"/>
              </w:rPr>
            </w:pPr>
          </w:p>
        </w:tc>
      </w:tr>
      <w:tr>
        <w:trPr>
          <w:trHeight w:val="191"/>
        </w:trPr>
        <w:tc>
          <w:tcPr>
            <w:tcW w:w="2100" w:type="dxa"/>
            <w:vAlign w:val="bottom"/>
            <w:tcBorders>
              <w:left w:val="single" w:sz="8" w:color="F4EFE7"/>
            </w:tcBorders>
            <w:gridSpan w:val="2"/>
            <w:shd w:val="clear" w:color="auto" w:fill="F4EFE7"/>
          </w:tcPr>
          <w:p>
            <w:pPr>
              <w:jc w:val="center"/>
              <w:spacing w:after="0"/>
              <w:rPr>
                <w:sz w:val="20"/>
                <w:szCs w:val="20"/>
                <w:color w:val="auto"/>
              </w:rPr>
            </w:pPr>
            <w:r>
              <w:rPr>
                <w:rFonts w:ascii="Arial" w:cs="Arial" w:eastAsia="Arial" w:hAnsi="Arial"/>
                <w:sz w:val="14"/>
                <w:szCs w:val="14"/>
                <w:b w:val="1"/>
                <w:bCs w:val="1"/>
                <w:color w:val="auto"/>
              </w:rPr>
              <w:t>Board meetings</w:t>
            </w:r>
          </w:p>
        </w:tc>
        <w:tc>
          <w:tcPr>
            <w:tcW w:w="140" w:type="dxa"/>
            <w:vAlign w:val="bottom"/>
          </w:tcPr>
          <w:p>
            <w:pPr>
              <w:spacing w:after="0"/>
              <w:rPr>
                <w:sz w:val="16"/>
                <w:szCs w:val="16"/>
                <w:color w:val="auto"/>
              </w:rPr>
            </w:pPr>
          </w:p>
        </w:tc>
        <w:tc>
          <w:tcPr>
            <w:tcW w:w="100" w:type="dxa"/>
            <w:vAlign w:val="bottom"/>
            <w:tcBorders>
              <w:right w:val="single" w:sz="8" w:color="F4EFE7"/>
            </w:tcBorders>
            <w:shd w:val="clear" w:color="auto" w:fill="F4EFE7"/>
          </w:tcPr>
          <w:p>
            <w:pPr>
              <w:spacing w:after="0"/>
              <w:rPr>
                <w:sz w:val="16"/>
                <w:szCs w:val="16"/>
                <w:color w:val="auto"/>
              </w:rPr>
            </w:pPr>
          </w:p>
        </w:tc>
        <w:tc>
          <w:tcPr>
            <w:tcW w:w="2020" w:type="dxa"/>
            <w:vAlign w:val="bottom"/>
            <w:gridSpan w:val="2"/>
            <w:shd w:val="clear" w:color="auto" w:fill="F4EFE7"/>
          </w:tcPr>
          <w:p>
            <w:pPr>
              <w:jc w:val="center"/>
              <w:ind w:right="4"/>
              <w:spacing w:after="0"/>
              <w:rPr>
                <w:sz w:val="20"/>
                <w:szCs w:val="20"/>
                <w:color w:val="auto"/>
              </w:rPr>
            </w:pPr>
            <w:r>
              <w:rPr>
                <w:rFonts w:ascii="Arial" w:cs="Arial" w:eastAsia="Arial" w:hAnsi="Arial"/>
                <w:sz w:val="14"/>
                <w:szCs w:val="14"/>
                <w:b w:val="1"/>
                <w:bCs w:val="1"/>
                <w:color w:val="auto"/>
              </w:rPr>
              <w:t>independent directors</w:t>
            </w:r>
          </w:p>
        </w:tc>
        <w:tc>
          <w:tcPr>
            <w:tcW w:w="160" w:type="dxa"/>
            <w:vAlign w:val="bottom"/>
          </w:tcPr>
          <w:p>
            <w:pPr>
              <w:spacing w:after="0"/>
              <w:rPr>
                <w:sz w:val="16"/>
                <w:szCs w:val="16"/>
                <w:color w:val="auto"/>
              </w:rPr>
            </w:pPr>
          </w:p>
        </w:tc>
        <w:tc>
          <w:tcPr>
            <w:tcW w:w="320" w:type="dxa"/>
            <w:vAlign w:val="bottom"/>
            <w:shd w:val="clear" w:color="auto" w:fill="F4EFE7"/>
          </w:tcPr>
          <w:p>
            <w:pPr>
              <w:spacing w:after="0"/>
              <w:rPr>
                <w:sz w:val="16"/>
                <w:szCs w:val="16"/>
                <w:color w:val="auto"/>
              </w:rPr>
            </w:pPr>
          </w:p>
        </w:tc>
        <w:tc>
          <w:tcPr>
            <w:tcW w:w="1560" w:type="dxa"/>
            <w:vAlign w:val="bottom"/>
            <w:gridSpan w:val="3"/>
            <w:shd w:val="clear" w:color="auto" w:fill="F4EFE7"/>
          </w:tcPr>
          <w:p>
            <w:pPr>
              <w:jc w:val="center"/>
              <w:ind w:right="80"/>
              <w:spacing w:after="0"/>
              <w:rPr>
                <w:sz w:val="20"/>
                <w:szCs w:val="20"/>
                <w:color w:val="auto"/>
              </w:rPr>
            </w:pPr>
            <w:r>
              <w:rPr>
                <w:rFonts w:ascii="Arial" w:cs="Arial" w:eastAsia="Arial" w:hAnsi="Arial"/>
                <w:sz w:val="14"/>
                <w:szCs w:val="14"/>
                <w:b w:val="1"/>
                <w:bCs w:val="1"/>
                <w:color w:val="auto"/>
              </w:rPr>
              <w:t>standing committees</w:t>
            </w:r>
          </w:p>
        </w:tc>
        <w:tc>
          <w:tcPr>
            <w:tcW w:w="240" w:type="dxa"/>
            <w:vAlign w:val="bottom"/>
            <w:shd w:val="clear" w:color="auto" w:fill="F4EFE7"/>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Borders>
              <w:right w:val="single" w:sz="8" w:color="F4EFE7"/>
            </w:tcBorders>
            <w:gridSpan w:val="2"/>
            <w:shd w:val="clear" w:color="auto" w:fill="F4EFE7"/>
          </w:tcPr>
          <w:p>
            <w:pPr>
              <w:jc w:val="center"/>
              <w:spacing w:after="0"/>
              <w:rPr>
                <w:sz w:val="20"/>
                <w:szCs w:val="20"/>
                <w:color w:val="auto"/>
              </w:rPr>
            </w:pPr>
            <w:r>
              <w:rPr>
                <w:rFonts w:ascii="Arial" w:cs="Arial" w:eastAsia="Arial" w:hAnsi="Arial"/>
                <w:sz w:val="14"/>
                <w:szCs w:val="14"/>
                <w:b w:val="1"/>
                <w:bCs w:val="1"/>
                <w:color w:val="auto"/>
              </w:rPr>
              <w:t>purpose committees</w:t>
            </w:r>
          </w:p>
        </w:tc>
        <w:tc>
          <w:tcPr>
            <w:tcW w:w="160" w:type="dxa"/>
            <w:vAlign w:val="bottom"/>
          </w:tcPr>
          <w:p>
            <w:pPr>
              <w:spacing w:after="0"/>
              <w:rPr>
                <w:sz w:val="16"/>
                <w:szCs w:val="16"/>
                <w:color w:val="auto"/>
              </w:rPr>
            </w:pPr>
          </w:p>
        </w:tc>
        <w:tc>
          <w:tcPr>
            <w:tcW w:w="220" w:type="dxa"/>
            <w:vAlign w:val="bottom"/>
            <w:shd w:val="clear" w:color="auto" w:fill="F4EFE7"/>
          </w:tcPr>
          <w:p>
            <w:pPr>
              <w:spacing w:after="0"/>
              <w:rPr>
                <w:sz w:val="16"/>
                <w:szCs w:val="16"/>
                <w:color w:val="auto"/>
              </w:rPr>
            </w:pPr>
          </w:p>
        </w:tc>
        <w:tc>
          <w:tcPr>
            <w:tcW w:w="1900" w:type="dxa"/>
            <w:vAlign w:val="bottom"/>
            <w:shd w:val="clear" w:color="auto" w:fill="F4EFE7"/>
          </w:tcPr>
          <w:p>
            <w:pPr>
              <w:spacing w:after="0"/>
              <w:rPr>
                <w:sz w:val="16"/>
                <w:szCs w:val="16"/>
                <w:color w:val="auto"/>
              </w:rPr>
            </w:pPr>
          </w:p>
        </w:tc>
        <w:tc>
          <w:tcPr>
            <w:tcW w:w="60" w:type="dxa"/>
            <w:vAlign w:val="bottom"/>
          </w:tcPr>
          <w:p>
            <w:pPr>
              <w:spacing w:after="0"/>
              <w:rPr>
                <w:sz w:val="16"/>
                <w:szCs w:val="16"/>
                <w:color w:val="auto"/>
              </w:rPr>
            </w:pPr>
          </w:p>
        </w:tc>
      </w:tr>
      <w:tr>
        <w:trPr>
          <w:trHeight w:val="176"/>
        </w:trPr>
        <w:tc>
          <w:tcPr>
            <w:tcW w:w="2100" w:type="dxa"/>
            <w:vAlign w:val="bottom"/>
            <w:tcBorders>
              <w:left w:val="single" w:sz="8" w:color="F4EFE7"/>
            </w:tcBorders>
            <w:gridSpan w:val="2"/>
            <w:shd w:val="clear" w:color="auto" w:fill="F4EFE7"/>
          </w:tcPr>
          <w:p>
            <w:pPr>
              <w:jc w:val="center"/>
              <w:spacing w:after="0"/>
              <w:rPr>
                <w:sz w:val="20"/>
                <w:szCs w:val="20"/>
                <w:color w:val="auto"/>
              </w:rPr>
            </w:pPr>
            <w:r>
              <w:rPr>
                <w:rFonts w:ascii="Arial" w:cs="Arial" w:eastAsia="Arial" w:hAnsi="Arial"/>
                <w:sz w:val="14"/>
                <w:szCs w:val="14"/>
                <w:i w:val="1"/>
                <w:iCs w:val="1"/>
                <w:color w:val="auto"/>
              </w:rPr>
              <w:t>Communication between</w:t>
            </w:r>
          </w:p>
        </w:tc>
        <w:tc>
          <w:tcPr>
            <w:tcW w:w="140" w:type="dxa"/>
            <w:vAlign w:val="bottom"/>
          </w:tcPr>
          <w:p>
            <w:pPr>
              <w:spacing w:after="0"/>
              <w:rPr>
                <w:sz w:val="15"/>
                <w:szCs w:val="15"/>
                <w:color w:val="auto"/>
              </w:rPr>
            </w:pPr>
          </w:p>
        </w:tc>
        <w:tc>
          <w:tcPr>
            <w:tcW w:w="100" w:type="dxa"/>
            <w:vAlign w:val="bottom"/>
            <w:tcBorders>
              <w:right w:val="single" w:sz="8" w:color="F4EFE7"/>
            </w:tcBorders>
            <w:shd w:val="clear" w:color="auto" w:fill="F4EFE7"/>
          </w:tcPr>
          <w:p>
            <w:pPr>
              <w:spacing w:after="0"/>
              <w:rPr>
                <w:sz w:val="15"/>
                <w:szCs w:val="15"/>
                <w:color w:val="auto"/>
              </w:rPr>
            </w:pPr>
          </w:p>
        </w:tc>
        <w:tc>
          <w:tcPr>
            <w:tcW w:w="2020" w:type="dxa"/>
            <w:vAlign w:val="bottom"/>
            <w:gridSpan w:val="2"/>
            <w:shd w:val="clear" w:color="auto" w:fill="F4EFE7"/>
          </w:tcPr>
          <w:p>
            <w:pPr>
              <w:jc w:val="center"/>
              <w:ind w:right="4"/>
              <w:spacing w:after="0"/>
              <w:rPr>
                <w:sz w:val="20"/>
                <w:szCs w:val="20"/>
                <w:color w:val="auto"/>
              </w:rPr>
            </w:pPr>
            <w:r>
              <w:rPr>
                <w:rFonts w:ascii="Arial" w:cs="Arial" w:eastAsia="Arial" w:hAnsi="Arial"/>
                <w:sz w:val="14"/>
                <w:szCs w:val="14"/>
                <w:i w:val="1"/>
                <w:iCs w:val="1"/>
                <w:color w:val="auto"/>
              </w:rPr>
              <w:t>Led by Lead Independent</w:t>
            </w:r>
          </w:p>
        </w:tc>
        <w:tc>
          <w:tcPr>
            <w:tcW w:w="160" w:type="dxa"/>
            <w:vAlign w:val="bottom"/>
          </w:tcPr>
          <w:p>
            <w:pPr>
              <w:spacing w:after="0"/>
              <w:rPr>
                <w:sz w:val="15"/>
                <w:szCs w:val="15"/>
                <w:color w:val="auto"/>
              </w:rPr>
            </w:pPr>
          </w:p>
        </w:tc>
        <w:tc>
          <w:tcPr>
            <w:tcW w:w="320" w:type="dxa"/>
            <w:vAlign w:val="bottom"/>
            <w:shd w:val="clear" w:color="auto" w:fill="F4EFE7"/>
          </w:tcPr>
          <w:p>
            <w:pPr>
              <w:spacing w:after="0"/>
              <w:rPr>
                <w:sz w:val="15"/>
                <w:szCs w:val="15"/>
                <w:color w:val="auto"/>
              </w:rPr>
            </w:pPr>
          </w:p>
        </w:tc>
        <w:tc>
          <w:tcPr>
            <w:tcW w:w="440" w:type="dxa"/>
            <w:vAlign w:val="bottom"/>
            <w:shd w:val="clear" w:color="auto" w:fill="F4EFE7"/>
          </w:tcPr>
          <w:p>
            <w:pPr>
              <w:spacing w:after="0"/>
              <w:rPr>
                <w:sz w:val="15"/>
                <w:szCs w:val="15"/>
                <w:color w:val="auto"/>
              </w:rPr>
            </w:pPr>
          </w:p>
        </w:tc>
        <w:tc>
          <w:tcPr>
            <w:tcW w:w="640" w:type="dxa"/>
            <w:vAlign w:val="bottom"/>
            <w:tcBorders>
              <w:right w:val="single" w:sz="8" w:color="F4EFE7"/>
            </w:tcBorders>
            <w:shd w:val="clear" w:color="auto" w:fill="F4EFE7"/>
          </w:tcPr>
          <w:p>
            <w:pPr>
              <w:spacing w:after="0"/>
              <w:rPr>
                <w:sz w:val="15"/>
                <w:szCs w:val="15"/>
                <w:color w:val="auto"/>
              </w:rPr>
            </w:pPr>
          </w:p>
        </w:tc>
        <w:tc>
          <w:tcPr>
            <w:tcW w:w="480" w:type="dxa"/>
            <w:vAlign w:val="bottom"/>
            <w:shd w:val="clear" w:color="auto" w:fill="F4EFE7"/>
          </w:tcPr>
          <w:p>
            <w:pPr>
              <w:spacing w:after="0"/>
              <w:rPr>
                <w:sz w:val="15"/>
                <w:szCs w:val="15"/>
                <w:color w:val="auto"/>
              </w:rPr>
            </w:pPr>
          </w:p>
        </w:tc>
        <w:tc>
          <w:tcPr>
            <w:tcW w:w="240" w:type="dxa"/>
            <w:vAlign w:val="bottom"/>
            <w:shd w:val="clear" w:color="auto" w:fill="F4EFE7"/>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Borders>
              <w:right w:val="single" w:sz="8" w:color="F4EFE7"/>
            </w:tcBorders>
            <w:shd w:val="clear" w:color="auto" w:fill="F4EFE7"/>
          </w:tcPr>
          <w:p>
            <w:pPr>
              <w:spacing w:after="0"/>
              <w:rPr>
                <w:sz w:val="15"/>
                <w:szCs w:val="15"/>
                <w:color w:val="auto"/>
              </w:rPr>
            </w:pPr>
          </w:p>
        </w:tc>
        <w:tc>
          <w:tcPr>
            <w:tcW w:w="640" w:type="dxa"/>
            <w:vAlign w:val="bottom"/>
            <w:tcBorders>
              <w:right w:val="single" w:sz="8" w:color="F4EFE7"/>
            </w:tcBorders>
            <w:shd w:val="clear" w:color="auto" w:fill="F4EFE7"/>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shd w:val="clear" w:color="auto" w:fill="F4EFE7"/>
          </w:tcPr>
          <w:p>
            <w:pPr>
              <w:spacing w:after="0"/>
              <w:rPr>
                <w:sz w:val="15"/>
                <w:szCs w:val="15"/>
                <w:color w:val="auto"/>
              </w:rPr>
            </w:pPr>
          </w:p>
        </w:tc>
        <w:tc>
          <w:tcPr>
            <w:tcW w:w="1900" w:type="dxa"/>
            <w:vAlign w:val="bottom"/>
            <w:shd w:val="clear" w:color="auto" w:fill="F4EFE7"/>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2100" w:type="dxa"/>
            <w:vAlign w:val="bottom"/>
            <w:tcBorders>
              <w:left w:val="single" w:sz="8" w:color="F4EFE7"/>
            </w:tcBorders>
            <w:gridSpan w:val="2"/>
            <w:shd w:val="clear" w:color="auto" w:fill="F4EFE7"/>
          </w:tcPr>
          <w:p>
            <w:pPr>
              <w:jc w:val="center"/>
              <w:spacing w:after="0"/>
              <w:rPr>
                <w:sz w:val="20"/>
                <w:szCs w:val="20"/>
                <w:color w:val="auto"/>
              </w:rPr>
            </w:pPr>
            <w:r>
              <w:rPr>
                <w:rFonts w:ascii="Arial" w:cs="Arial" w:eastAsia="Arial" w:hAnsi="Arial"/>
                <w:sz w:val="14"/>
                <w:szCs w:val="14"/>
                <w:i w:val="1"/>
                <w:iCs w:val="1"/>
                <w:color w:val="auto"/>
              </w:rPr>
              <w:t>meetings as appropriate</w:t>
            </w:r>
          </w:p>
        </w:tc>
        <w:tc>
          <w:tcPr>
            <w:tcW w:w="140" w:type="dxa"/>
            <w:vAlign w:val="bottom"/>
          </w:tcPr>
          <w:p>
            <w:pPr>
              <w:spacing w:after="0"/>
              <w:rPr>
                <w:sz w:val="17"/>
                <w:szCs w:val="17"/>
                <w:color w:val="auto"/>
              </w:rPr>
            </w:pPr>
          </w:p>
        </w:tc>
        <w:tc>
          <w:tcPr>
            <w:tcW w:w="100" w:type="dxa"/>
            <w:vAlign w:val="bottom"/>
            <w:tcBorders>
              <w:right w:val="single" w:sz="8" w:color="F4EFE7"/>
            </w:tcBorders>
            <w:shd w:val="clear" w:color="auto" w:fill="F4EFE7"/>
          </w:tcPr>
          <w:p>
            <w:pPr>
              <w:spacing w:after="0"/>
              <w:rPr>
                <w:sz w:val="17"/>
                <w:szCs w:val="17"/>
                <w:color w:val="auto"/>
              </w:rPr>
            </w:pPr>
          </w:p>
        </w:tc>
        <w:tc>
          <w:tcPr>
            <w:tcW w:w="600" w:type="dxa"/>
            <w:vAlign w:val="bottom"/>
            <w:shd w:val="clear" w:color="auto" w:fill="F4EFE7"/>
          </w:tcPr>
          <w:p>
            <w:pPr>
              <w:spacing w:after="0"/>
              <w:rPr>
                <w:sz w:val="17"/>
                <w:szCs w:val="17"/>
                <w:color w:val="auto"/>
              </w:rPr>
            </w:pPr>
          </w:p>
        </w:tc>
        <w:tc>
          <w:tcPr>
            <w:tcW w:w="1420" w:type="dxa"/>
            <w:vAlign w:val="bottom"/>
            <w:shd w:val="clear" w:color="auto" w:fill="F4EFE7"/>
          </w:tcPr>
          <w:p>
            <w:pPr>
              <w:jc w:val="center"/>
              <w:ind w:right="604"/>
              <w:spacing w:after="0"/>
              <w:rPr>
                <w:sz w:val="20"/>
                <w:szCs w:val="20"/>
                <w:color w:val="auto"/>
              </w:rPr>
            </w:pPr>
            <w:r>
              <w:rPr>
                <w:rFonts w:ascii="Arial" w:cs="Arial" w:eastAsia="Arial" w:hAnsi="Arial"/>
                <w:sz w:val="14"/>
                <w:szCs w:val="14"/>
                <w:i w:val="1"/>
                <w:iCs w:val="1"/>
                <w:color w:val="auto"/>
              </w:rPr>
              <w:t>Director</w:t>
            </w:r>
          </w:p>
        </w:tc>
        <w:tc>
          <w:tcPr>
            <w:tcW w:w="160" w:type="dxa"/>
            <w:vAlign w:val="bottom"/>
          </w:tcPr>
          <w:p>
            <w:pPr>
              <w:spacing w:after="0"/>
              <w:rPr>
                <w:sz w:val="17"/>
                <w:szCs w:val="17"/>
                <w:color w:val="auto"/>
              </w:rPr>
            </w:pPr>
          </w:p>
        </w:tc>
        <w:tc>
          <w:tcPr>
            <w:tcW w:w="320" w:type="dxa"/>
            <w:vAlign w:val="bottom"/>
            <w:shd w:val="clear" w:color="auto" w:fill="F4EFE7"/>
          </w:tcPr>
          <w:p>
            <w:pPr>
              <w:spacing w:after="0"/>
              <w:rPr>
                <w:sz w:val="17"/>
                <w:szCs w:val="17"/>
                <w:color w:val="auto"/>
              </w:rPr>
            </w:pPr>
          </w:p>
        </w:tc>
        <w:tc>
          <w:tcPr>
            <w:tcW w:w="440" w:type="dxa"/>
            <w:vAlign w:val="bottom"/>
            <w:shd w:val="clear" w:color="auto" w:fill="F4EFE7"/>
          </w:tcPr>
          <w:p>
            <w:pPr>
              <w:spacing w:after="0"/>
              <w:rPr>
                <w:sz w:val="17"/>
                <w:szCs w:val="17"/>
                <w:color w:val="auto"/>
              </w:rPr>
            </w:pPr>
          </w:p>
        </w:tc>
        <w:tc>
          <w:tcPr>
            <w:tcW w:w="640" w:type="dxa"/>
            <w:vAlign w:val="bottom"/>
            <w:tcBorders>
              <w:right w:val="single" w:sz="8" w:color="F4EFE7"/>
            </w:tcBorders>
            <w:shd w:val="clear" w:color="auto" w:fill="F4EFE7"/>
          </w:tcPr>
          <w:p>
            <w:pPr>
              <w:spacing w:after="0"/>
              <w:rPr>
                <w:sz w:val="17"/>
                <w:szCs w:val="17"/>
                <w:color w:val="auto"/>
              </w:rPr>
            </w:pPr>
          </w:p>
        </w:tc>
        <w:tc>
          <w:tcPr>
            <w:tcW w:w="480" w:type="dxa"/>
            <w:vAlign w:val="bottom"/>
            <w:shd w:val="clear" w:color="auto" w:fill="F4EFE7"/>
          </w:tcPr>
          <w:p>
            <w:pPr>
              <w:spacing w:after="0"/>
              <w:rPr>
                <w:sz w:val="17"/>
                <w:szCs w:val="17"/>
                <w:color w:val="auto"/>
              </w:rPr>
            </w:pPr>
          </w:p>
        </w:tc>
        <w:tc>
          <w:tcPr>
            <w:tcW w:w="240" w:type="dxa"/>
            <w:vAlign w:val="bottom"/>
            <w:shd w:val="clear" w:color="auto" w:fill="F4EFE7"/>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right w:val="single" w:sz="8" w:color="F4EFE7"/>
            </w:tcBorders>
            <w:shd w:val="clear" w:color="auto" w:fill="F4EFE7"/>
          </w:tcPr>
          <w:p>
            <w:pPr>
              <w:spacing w:after="0"/>
              <w:rPr>
                <w:sz w:val="17"/>
                <w:szCs w:val="17"/>
                <w:color w:val="auto"/>
              </w:rPr>
            </w:pPr>
          </w:p>
        </w:tc>
        <w:tc>
          <w:tcPr>
            <w:tcW w:w="640" w:type="dxa"/>
            <w:vAlign w:val="bottom"/>
            <w:tcBorders>
              <w:right w:val="single" w:sz="8" w:color="F4EFE7"/>
            </w:tcBorders>
            <w:shd w:val="clear" w:color="auto" w:fill="F4EFE7"/>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shd w:val="clear" w:color="auto" w:fill="F4EFE7"/>
          </w:tcPr>
          <w:p>
            <w:pPr>
              <w:spacing w:after="0"/>
              <w:rPr>
                <w:sz w:val="17"/>
                <w:szCs w:val="17"/>
                <w:color w:val="auto"/>
              </w:rPr>
            </w:pPr>
          </w:p>
        </w:tc>
        <w:tc>
          <w:tcPr>
            <w:tcW w:w="1900" w:type="dxa"/>
            <w:vAlign w:val="bottom"/>
            <w:shd w:val="clear" w:color="auto" w:fill="F4EFE7"/>
          </w:tcPr>
          <w:p>
            <w:pPr>
              <w:spacing w:after="0"/>
              <w:rPr>
                <w:sz w:val="17"/>
                <w:szCs w:val="17"/>
                <w:color w:val="auto"/>
              </w:rPr>
            </w:pPr>
          </w:p>
        </w:tc>
        <w:tc>
          <w:tcPr>
            <w:tcW w:w="60" w:type="dxa"/>
            <w:vAlign w:val="bottom"/>
          </w:tcPr>
          <w:p>
            <w:pPr>
              <w:spacing w:after="0"/>
              <w:rPr>
                <w:sz w:val="17"/>
                <w:szCs w:val="17"/>
                <w:color w:val="auto"/>
              </w:rPr>
            </w:pPr>
          </w:p>
        </w:tc>
      </w:tr>
      <w:tr>
        <w:trPr>
          <w:trHeight w:val="251"/>
        </w:trPr>
        <w:tc>
          <w:tcPr>
            <w:tcW w:w="1120" w:type="dxa"/>
            <w:vAlign w:val="bottom"/>
            <w:tcBorders>
              <w:left w:val="single" w:sz="8" w:color="F4EFE7"/>
            </w:tcBorders>
            <w:shd w:val="clear" w:color="auto" w:fill="F4EFE7"/>
          </w:tcPr>
          <w:p>
            <w:pPr>
              <w:spacing w:after="0"/>
              <w:rPr>
                <w:sz w:val="21"/>
                <w:szCs w:val="21"/>
                <w:color w:val="auto"/>
              </w:rPr>
            </w:pPr>
          </w:p>
        </w:tc>
        <w:tc>
          <w:tcPr>
            <w:tcW w:w="980" w:type="dxa"/>
            <w:vAlign w:val="bottom"/>
            <w:shd w:val="clear" w:color="auto" w:fill="F4EFE7"/>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right w:val="single" w:sz="8" w:color="F4EFE7"/>
            </w:tcBorders>
            <w:shd w:val="clear" w:color="auto" w:fill="F4EFE7"/>
          </w:tcPr>
          <w:p>
            <w:pPr>
              <w:spacing w:after="0"/>
              <w:rPr>
                <w:sz w:val="21"/>
                <w:szCs w:val="21"/>
                <w:color w:val="auto"/>
              </w:rPr>
            </w:pPr>
          </w:p>
        </w:tc>
        <w:tc>
          <w:tcPr>
            <w:tcW w:w="600" w:type="dxa"/>
            <w:vAlign w:val="bottom"/>
            <w:shd w:val="clear" w:color="auto" w:fill="F4EFE7"/>
          </w:tcPr>
          <w:p>
            <w:pPr>
              <w:spacing w:after="0"/>
              <w:rPr>
                <w:sz w:val="21"/>
                <w:szCs w:val="21"/>
                <w:color w:val="auto"/>
              </w:rPr>
            </w:pPr>
          </w:p>
        </w:tc>
        <w:tc>
          <w:tcPr>
            <w:tcW w:w="1420" w:type="dxa"/>
            <w:vAlign w:val="bottom"/>
            <w:shd w:val="clear" w:color="auto" w:fill="F4EFE7"/>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shd w:val="clear" w:color="auto" w:fill="F4EFE7"/>
          </w:tcPr>
          <w:p>
            <w:pPr>
              <w:spacing w:after="0"/>
              <w:rPr>
                <w:sz w:val="21"/>
                <w:szCs w:val="21"/>
                <w:color w:val="auto"/>
              </w:rPr>
            </w:pPr>
          </w:p>
        </w:tc>
        <w:tc>
          <w:tcPr>
            <w:tcW w:w="440" w:type="dxa"/>
            <w:vAlign w:val="bottom"/>
            <w:shd w:val="clear" w:color="auto" w:fill="F4EFE7"/>
          </w:tcPr>
          <w:p>
            <w:pPr>
              <w:spacing w:after="0"/>
              <w:rPr>
                <w:sz w:val="21"/>
                <w:szCs w:val="21"/>
                <w:color w:val="auto"/>
              </w:rPr>
            </w:pPr>
          </w:p>
        </w:tc>
        <w:tc>
          <w:tcPr>
            <w:tcW w:w="640" w:type="dxa"/>
            <w:vAlign w:val="bottom"/>
            <w:tcBorders>
              <w:right w:val="single" w:sz="8" w:color="F4EFE7"/>
            </w:tcBorders>
            <w:shd w:val="clear" w:color="auto" w:fill="F4EFE7"/>
          </w:tcPr>
          <w:p>
            <w:pPr>
              <w:spacing w:after="0"/>
              <w:rPr>
                <w:sz w:val="21"/>
                <w:szCs w:val="21"/>
                <w:color w:val="auto"/>
              </w:rPr>
            </w:pPr>
          </w:p>
        </w:tc>
        <w:tc>
          <w:tcPr>
            <w:tcW w:w="480" w:type="dxa"/>
            <w:vAlign w:val="bottom"/>
            <w:shd w:val="clear" w:color="auto" w:fill="F4EFE7"/>
          </w:tcPr>
          <w:p>
            <w:pPr>
              <w:spacing w:after="0"/>
              <w:rPr>
                <w:sz w:val="21"/>
                <w:szCs w:val="21"/>
                <w:color w:val="auto"/>
              </w:rPr>
            </w:pPr>
          </w:p>
        </w:tc>
        <w:tc>
          <w:tcPr>
            <w:tcW w:w="240" w:type="dxa"/>
            <w:vAlign w:val="bottom"/>
            <w:shd w:val="clear" w:color="auto" w:fill="F4EFE7"/>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Borders>
              <w:right w:val="single" w:sz="8" w:color="F4EFE7"/>
            </w:tcBorders>
            <w:shd w:val="clear" w:color="auto" w:fill="F4EFE7"/>
          </w:tcPr>
          <w:p>
            <w:pPr>
              <w:spacing w:after="0"/>
              <w:rPr>
                <w:sz w:val="21"/>
                <w:szCs w:val="21"/>
                <w:color w:val="auto"/>
              </w:rPr>
            </w:pPr>
          </w:p>
        </w:tc>
        <w:tc>
          <w:tcPr>
            <w:tcW w:w="640" w:type="dxa"/>
            <w:vAlign w:val="bottom"/>
            <w:tcBorders>
              <w:right w:val="single" w:sz="8" w:color="F4EFE7"/>
            </w:tcBorders>
            <w:shd w:val="clear" w:color="auto" w:fill="F4EFE7"/>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shd w:val="clear" w:color="auto" w:fill="F4EFE7"/>
          </w:tcPr>
          <w:p>
            <w:pPr>
              <w:spacing w:after="0"/>
              <w:rPr>
                <w:sz w:val="21"/>
                <w:szCs w:val="21"/>
                <w:color w:val="auto"/>
              </w:rPr>
            </w:pPr>
          </w:p>
        </w:tc>
        <w:tc>
          <w:tcPr>
            <w:tcW w:w="1900" w:type="dxa"/>
            <w:vAlign w:val="bottom"/>
            <w:shd w:val="clear" w:color="auto" w:fill="F4EFE7"/>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-1619885</wp:posOffset>
            </wp:positionV>
            <wp:extent cx="120015" cy="939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-1619885</wp:posOffset>
            </wp:positionV>
            <wp:extent cx="120015" cy="939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-1619885</wp:posOffset>
            </wp:positionV>
            <wp:extent cx="120015" cy="939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2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Board conducts its business as a whole and through a well-developed committee structure in adherence to our Governance Principles. The Board has established practices and processes to actively manage its information flow, set meeting agendas and promote sound, well-informed decisions.</w:t>
      </w:r>
    </w:p>
    <w:p>
      <w:pPr>
        <w:spacing w:after="0" w:line="34"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Board members have direct access to management and regularly receive information from, and engage with, management during and outside of formal Board meetings.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Board and each committee has the authority and resources to seek legal or other expert advice from sources independent of management.</w:t>
      </w:r>
    </w:p>
    <w:p>
      <w:pPr>
        <w:spacing w:after="0" w:line="10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full Board met 10 times at eight regularly scheduled Board meetings and two special Board meetings in 2025. For more information on committees, see below. Each director attended 75% or more of the total meetings of the Board and the committees on which he or she served in 2025.</w:t>
      </w:r>
    </w:p>
    <w:p>
      <w:pPr>
        <w:spacing w:after="0" w:line="178" w:lineRule="exact"/>
        <w:rPr>
          <w:sz w:val="20"/>
          <w:szCs w:val="20"/>
          <w:color w:val="auto"/>
        </w:rPr>
      </w:pPr>
    </w:p>
    <w:p>
      <w:pPr>
        <w:spacing w:after="0"/>
        <w:rPr>
          <w:sz w:val="20"/>
          <w:szCs w:val="20"/>
          <w:color w:val="auto"/>
        </w:rPr>
      </w:pPr>
      <w:r>
        <w:rPr>
          <w:rFonts w:ascii="Arial" w:cs="Arial" w:eastAsia="Arial" w:hAnsi="Arial"/>
          <w:sz w:val="29"/>
          <w:szCs w:val="29"/>
          <w:color w:val="auto"/>
        </w:rPr>
        <w:t>Committees of the Board</w:t>
      </w:r>
    </w:p>
    <w:p>
      <w:pPr>
        <w:spacing w:after="0" w:line="49"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A significant portion of our Board’s oversight responsibilities is carried out through its five independent, principal standing committees: Audit Committee, CMDC, Governance Committee, Public Responsibility Committee (“PRC”) and Risk Committee. Allocating responsibilities among committees allows more in-depth attention devoted to the Board’s oversight of the business and affairs of the Firm.</w:t>
      </w:r>
    </w:p>
    <w:p>
      <w:pPr>
        <w:spacing w:after="0" w:line="43"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Committees meet regularly in conjunction with scheduled Board meetings and hold additional meetings as needed. Each committee reviews reports from senior management and reports its actions to, and discusses its recommendations with, the full Board.</w:t>
      </w:r>
    </w:p>
    <w:p>
      <w:pPr>
        <w:spacing w:after="0" w:line="2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Each principal standing committee operates pursuant to a written charter. These charters are available on our website at jpmorganchase.com/about/governance/committees. Each charter is reviewed at least annually as part of the Board’s and each respective committee’s self-assessment.</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Board annually reviews the allocation of responsibility among the committees as part of the Board and committee self-assessment. For more information about the self-assessment process, see page 26.</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Each committee has oversight of specific activities and risk, and engages with the Firm’s senior management responsible for those areas.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All committee chairs are appointed at least annually by our Board. Committee chairs are responsible for:</w:t>
      </w:r>
    </w:p>
    <w:p>
      <w:pPr>
        <w:spacing w:after="0" w:line="100" w:lineRule="exact"/>
        <w:rPr>
          <w:sz w:val="20"/>
          <w:szCs w:val="20"/>
          <w:color w:val="auto"/>
        </w:rPr>
      </w:pPr>
    </w:p>
    <w:p>
      <w:pPr>
        <w:ind w:left="180" w:hanging="172"/>
        <w:spacing w:after="0"/>
        <w:tabs>
          <w:tab w:leader="none" w:pos="180"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Calling meetings of their committees</w:t>
      </w:r>
    </w:p>
    <w:p>
      <w:pPr>
        <w:spacing w:after="0" w:line="45" w:lineRule="exact"/>
        <w:rPr>
          <w:rFonts w:ascii="Arial" w:cs="Arial" w:eastAsia="Arial" w:hAnsi="Arial"/>
          <w:sz w:val="16"/>
          <w:szCs w:val="16"/>
          <w:b w:val="1"/>
          <w:bCs w:val="1"/>
          <w:color w:val="auto"/>
        </w:rPr>
      </w:pPr>
    </w:p>
    <w:p>
      <w:pPr>
        <w:ind w:left="180" w:hanging="172"/>
        <w:spacing w:after="0"/>
        <w:tabs>
          <w:tab w:leader="none" w:pos="180"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Approving agendas for their committee meetings</w:t>
      </w:r>
    </w:p>
    <w:p>
      <w:pPr>
        <w:spacing w:after="0" w:line="45" w:lineRule="exact"/>
        <w:rPr>
          <w:rFonts w:ascii="Arial" w:cs="Arial" w:eastAsia="Arial" w:hAnsi="Arial"/>
          <w:sz w:val="16"/>
          <w:szCs w:val="16"/>
          <w:b w:val="1"/>
          <w:bCs w:val="1"/>
          <w:color w:val="auto"/>
        </w:rPr>
      </w:pPr>
    </w:p>
    <w:p>
      <w:pPr>
        <w:ind w:left="180" w:hanging="172"/>
        <w:spacing w:after="0"/>
        <w:tabs>
          <w:tab w:leader="none" w:pos="180"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Presiding at meetings of their committees</w:t>
      </w:r>
    </w:p>
    <w:p>
      <w:pPr>
        <w:spacing w:after="0" w:line="45" w:lineRule="exact"/>
        <w:rPr>
          <w:rFonts w:ascii="Arial" w:cs="Arial" w:eastAsia="Arial" w:hAnsi="Arial"/>
          <w:sz w:val="16"/>
          <w:szCs w:val="16"/>
          <w:b w:val="1"/>
          <w:bCs w:val="1"/>
          <w:color w:val="auto"/>
        </w:rPr>
      </w:pPr>
    </w:p>
    <w:p>
      <w:pPr>
        <w:ind w:left="180" w:hanging="172"/>
        <w:spacing w:after="0"/>
        <w:tabs>
          <w:tab w:leader="none" w:pos="180"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Serving as a liaison between committee members and the Board, and between committee members and senior management, including the CEO</w:t>
      </w:r>
    </w:p>
    <w:p>
      <w:pPr>
        <w:spacing w:after="0" w:line="45" w:lineRule="exact"/>
        <w:rPr>
          <w:rFonts w:ascii="Arial" w:cs="Arial" w:eastAsia="Arial" w:hAnsi="Arial"/>
          <w:sz w:val="16"/>
          <w:szCs w:val="16"/>
          <w:b w:val="1"/>
          <w:bCs w:val="1"/>
          <w:color w:val="auto"/>
        </w:rPr>
      </w:pPr>
    </w:p>
    <w:p>
      <w:pPr>
        <w:ind w:left="180" w:hanging="172"/>
        <w:spacing w:after="0"/>
        <w:tabs>
          <w:tab w:leader="none" w:pos="180"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Working directly with the senior management responsible for committee mandates</w:t>
      </w:r>
    </w:p>
    <w:p>
      <w:pPr>
        <w:spacing w:after="0" w:line="100"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color w:val="auto"/>
        </w:rPr>
        <w:t>The Board regularly reviews and refreshes committee composition to meet the Firm's needs and best leverage directors' strengths, including their qualifications, backgrounds, perspectives and tenure.</w:t>
      </w:r>
    </w:p>
    <w:p>
      <w:pPr>
        <w:spacing w:after="0" w:line="20"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The Board has determined each member of the Audit Committee (Michele G. Buck, Alex Gorsky, Phebe N. Novakovic and Mark A. Weinberger) to be an audit committee financial expert in accordance with the definition established by the SEC, and that Ms. Bammann, the chair of the Risk Committee, has experience in identifying, assessing and managing risk exposures of large, complex financial firms in accordance with rules issued by the Board of Governors of the Federal Reserve System (“Federal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333375</wp:posOffset>
            </wp:positionV>
            <wp:extent cx="651510" cy="857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234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6"/>
                <w:szCs w:val="16"/>
                <w:color w:val="8F5A39"/>
              </w:rPr>
              <w:t>Director nominees</w:t>
            </w:r>
          </w:p>
        </w:tc>
        <w:tc>
          <w:tcPr>
            <w:tcW w:w="600" w:type="dxa"/>
            <w:vAlign w:val="bottom"/>
          </w:tcPr>
          <w:p>
            <w:pPr>
              <w:spacing w:after="0"/>
              <w:rPr>
                <w:sz w:val="24"/>
                <w:szCs w:val="24"/>
                <w:color w:val="auto"/>
              </w:rPr>
            </w:pPr>
          </w:p>
        </w:tc>
        <w:tc>
          <w:tcPr>
            <w:tcW w:w="234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Board governance</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40" w:type="dxa"/>
            <w:vAlign w:val="bottom"/>
            <w:tcBorders>
              <w:left w:val="single" w:sz="8" w:color="auto"/>
              <w:bottom w:val="single" w:sz="8" w:color="auto"/>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-213995</wp:posOffset>
            </wp:positionV>
            <wp:extent cx="120015" cy="939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-213995</wp:posOffset>
            </wp:positionV>
            <wp:extent cx="120015" cy="939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-213995</wp:posOffset>
            </wp:positionV>
            <wp:extent cx="120015" cy="939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Key oversight responsibilities of the principal standing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5314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Arial" w:cs="Arial" w:eastAsia="Arial" w:hAnsi="Arial"/>
          <w:sz w:val="25"/>
          <w:szCs w:val="25"/>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3290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3290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303" w:lineRule="exact"/>
        <w:rPr>
          <w:sz w:val="20"/>
          <w:szCs w:val="20"/>
          <w:color w:val="auto"/>
        </w:rPr>
      </w:pPr>
    </w:p>
    <w:p>
      <w:pPr>
        <w:ind w:left="400"/>
        <w:spacing w:after="0"/>
        <w:rPr>
          <w:sz w:val="20"/>
          <w:szCs w:val="20"/>
          <w:color w:val="auto"/>
        </w:rPr>
      </w:pPr>
      <w:r>
        <w:rPr>
          <w:rFonts w:ascii="Arial" w:cs="Arial" w:eastAsia="Arial" w:hAnsi="Arial"/>
          <w:sz w:val="22"/>
          <w:szCs w:val="22"/>
          <w:color w:val="auto"/>
        </w:rPr>
        <w:t>Audit</w:t>
      </w:r>
    </w:p>
    <w:p>
      <w:pPr>
        <w:spacing w:after="0" w:line="18"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8F5A39"/>
        </w:rPr>
        <w:t>Oversees:</w:t>
      </w:r>
    </w:p>
    <w:p>
      <w:pPr>
        <w:spacing w:after="0" w:line="165" w:lineRule="exact"/>
        <w:rPr>
          <w:sz w:val="20"/>
          <w:szCs w:val="20"/>
          <w:color w:val="auto"/>
        </w:rPr>
      </w:pPr>
    </w:p>
    <w:p>
      <w:pPr>
        <w:ind w:left="580" w:hanging="190"/>
        <w:spacing w:after="0" w:line="248" w:lineRule="auto"/>
        <w:tabs>
          <w:tab w:leader="none" w:pos="564"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The independent registered public accounting firm’s qualifications and independence</w:t>
      </w:r>
    </w:p>
    <w:p>
      <w:pPr>
        <w:ind w:left="580" w:right="840" w:hanging="190"/>
        <w:spacing w:after="0" w:line="244" w:lineRule="auto"/>
        <w:tabs>
          <w:tab w:leader="none" w:pos="564"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The performance of the internal audit function and the independent public accounting firm</w:t>
      </w:r>
    </w:p>
    <w:p>
      <w:pPr>
        <w:ind w:left="580" w:right="40" w:hanging="190"/>
        <w:spacing w:after="0" w:line="237" w:lineRule="auto"/>
        <w:tabs>
          <w:tab w:leader="none" w:pos="564"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Management’s responsibilities to ensure that there is an effective system of controls reasonably designed to:</w:t>
      </w:r>
    </w:p>
    <w:p>
      <w:pPr>
        <w:spacing w:after="0" w:line="1"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6"/>
          <w:szCs w:val="16"/>
          <w:color w:val="auto"/>
        </w:rPr>
        <w:t>— Safeguard the assets and income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231140" cy="13201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1140" cy="132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right"/>
        <w:ind w:right="400"/>
        <w:spacing w:after="0"/>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color w:val="auto"/>
        </w:rPr>
        <w:t>meetings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-115570</wp:posOffset>
            </wp:positionV>
            <wp:extent cx="6900545" cy="12941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00545" cy="129413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1"/>
        <w:spacing w:after="0"/>
        <w:rPr>
          <w:sz w:val="20"/>
          <w:szCs w:val="20"/>
          <w:color w:val="auto"/>
        </w:rPr>
      </w:pPr>
      <w:r>
        <w:rPr>
          <w:rFonts w:ascii="Arial" w:cs="Arial" w:eastAsia="Arial" w:hAnsi="Arial"/>
          <w:sz w:val="16"/>
          <w:szCs w:val="16"/>
          <w:color w:val="auto"/>
        </w:rPr>
        <w:t>— Ensure integrity of financial statements</w:t>
      </w:r>
    </w:p>
    <w:p>
      <w:pPr>
        <w:spacing w:after="0" w:line="30" w:lineRule="exact"/>
        <w:rPr>
          <w:sz w:val="20"/>
          <w:szCs w:val="20"/>
          <w:color w:val="auto"/>
        </w:rPr>
      </w:pPr>
    </w:p>
    <w:p>
      <w:pPr>
        <w:ind w:left="381" w:right="460" w:hanging="194"/>
        <w:spacing w:after="0" w:line="237" w:lineRule="auto"/>
        <w:rPr>
          <w:sz w:val="20"/>
          <w:szCs w:val="20"/>
          <w:color w:val="auto"/>
        </w:rPr>
      </w:pPr>
      <w:r>
        <w:rPr>
          <w:rFonts w:ascii="Arial" w:cs="Arial" w:eastAsia="Arial" w:hAnsi="Arial"/>
          <w:sz w:val="16"/>
          <w:szCs w:val="16"/>
          <w:color w:val="auto"/>
        </w:rPr>
        <w:t>— Maintain compliance with the Firm’s ethical standards, policies, plans and procedures, and with laws and regulations</w:t>
      </w:r>
    </w:p>
    <w:p>
      <w:pPr>
        <w:spacing w:after="0" w:line="1" w:lineRule="exact"/>
        <w:rPr>
          <w:sz w:val="20"/>
          <w:szCs w:val="20"/>
          <w:color w:val="auto"/>
        </w:rPr>
      </w:pPr>
    </w:p>
    <w:p>
      <w:pPr>
        <w:ind w:left="181" w:hanging="181"/>
        <w:spacing w:after="0"/>
        <w:tabs>
          <w:tab w:leader="none" w:pos="181"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Internal control framework</w:t>
      </w:r>
    </w:p>
    <w:p>
      <w:pPr>
        <w:spacing w:after="0" w:line="22" w:lineRule="exact"/>
        <w:rPr>
          <w:rFonts w:ascii="Arial" w:cs="Arial" w:eastAsia="Arial" w:hAnsi="Arial"/>
          <w:sz w:val="16"/>
          <w:szCs w:val="16"/>
          <w:b w:val="1"/>
          <w:bCs w:val="1"/>
          <w:color w:val="auto"/>
        </w:rPr>
      </w:pPr>
    </w:p>
    <w:p>
      <w:pPr>
        <w:ind w:left="201" w:right="1340" w:hanging="201"/>
        <w:spacing w:after="0" w:line="248" w:lineRule="auto"/>
        <w:tabs>
          <w:tab w:leader="none" w:pos="184"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Reputational risks and conduct risks within its scope of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220345</wp:posOffset>
            </wp:positionV>
            <wp:extent cx="6900545"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00545" cy="34290"/>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5260" w:space="719"/>
            <w:col w:w="5261"/>
          </w:cols>
          <w:pgMar w:left="320" w:top="157" w:right="339" w:bottom="1440" w:gutter="0" w:footer="0" w:header="0"/>
          <w:type w:val="continuous"/>
        </w:sectPr>
      </w:pPr>
    </w:p>
    <w:p>
      <w:pPr>
        <w:spacing w:after="0" w:line="361" w:lineRule="exact"/>
        <w:rPr>
          <w:sz w:val="20"/>
          <w:szCs w:val="20"/>
          <w:color w:val="auto"/>
        </w:rPr>
      </w:pPr>
    </w:p>
    <w:p>
      <w:pPr>
        <w:ind w:left="400"/>
        <w:spacing w:after="0"/>
        <w:rPr>
          <w:sz w:val="20"/>
          <w:szCs w:val="20"/>
          <w:color w:val="auto"/>
        </w:rPr>
      </w:pPr>
      <w:r>
        <w:rPr>
          <w:rFonts w:ascii="Arial" w:cs="Arial" w:eastAsia="Arial" w:hAnsi="Arial"/>
          <w:sz w:val="22"/>
          <w:szCs w:val="22"/>
          <w:color w:val="auto"/>
        </w:rPr>
        <w:t>CMDC</w:t>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8F5A39"/>
        </w:rPr>
        <w:t>Oversees:</w:t>
      </w:r>
    </w:p>
    <w:p>
      <w:pPr>
        <w:spacing w:after="0" w:line="179" w:lineRule="exact"/>
        <w:rPr>
          <w:sz w:val="20"/>
          <w:szCs w:val="20"/>
          <w:color w:val="auto"/>
        </w:rPr>
      </w:pPr>
    </w:p>
    <w:p>
      <w:pPr>
        <w:ind w:left="560" w:hanging="170"/>
        <w:spacing w:after="0"/>
        <w:tabs>
          <w:tab w:leader="none" w:pos="560"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Development of and succession for key executives</w:t>
      </w:r>
    </w:p>
    <w:p>
      <w:pPr>
        <w:spacing w:after="0" w:line="34" w:lineRule="exact"/>
        <w:rPr>
          <w:rFonts w:ascii="Arial" w:cs="Arial" w:eastAsia="Arial" w:hAnsi="Arial"/>
          <w:sz w:val="16"/>
          <w:szCs w:val="16"/>
          <w:b w:val="1"/>
          <w:bCs w:val="1"/>
          <w:color w:val="auto"/>
        </w:rPr>
      </w:pPr>
    </w:p>
    <w:p>
      <w:pPr>
        <w:ind w:left="560" w:hanging="170"/>
        <w:spacing w:after="0"/>
        <w:tabs>
          <w:tab w:leader="none" w:pos="560"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Compensation principles and practices</w:t>
      </w:r>
    </w:p>
    <w:p>
      <w:pPr>
        <w:spacing w:after="0" w:line="18" w:lineRule="exact"/>
        <w:rPr>
          <w:rFonts w:ascii="Arial" w:cs="Arial" w:eastAsia="Arial" w:hAnsi="Arial"/>
          <w:sz w:val="16"/>
          <w:szCs w:val="16"/>
          <w:b w:val="1"/>
          <w:bCs w:val="1"/>
          <w:color w:val="auto"/>
        </w:rPr>
      </w:pPr>
    </w:p>
    <w:p>
      <w:pPr>
        <w:ind w:left="560" w:hanging="170"/>
        <w:spacing w:after="0"/>
        <w:tabs>
          <w:tab w:leader="none" w:pos="560"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Compensation and qualified benefit programs</w:t>
      </w:r>
    </w:p>
    <w:p>
      <w:pPr>
        <w:spacing w:after="0" w:line="18" w:lineRule="exact"/>
        <w:rPr>
          <w:rFonts w:ascii="Arial" w:cs="Arial" w:eastAsia="Arial" w:hAnsi="Arial"/>
          <w:sz w:val="16"/>
          <w:szCs w:val="16"/>
          <w:b w:val="1"/>
          <w:bCs w:val="1"/>
          <w:color w:val="auto"/>
        </w:rPr>
      </w:pPr>
    </w:p>
    <w:p>
      <w:pPr>
        <w:ind w:left="580" w:right="899" w:hanging="190"/>
        <w:spacing w:after="0" w:line="235" w:lineRule="auto"/>
        <w:tabs>
          <w:tab w:leader="none" w:pos="564"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Operating Committee performance assessments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231140" cy="12001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1140" cy="1200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400"/>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color w:val="auto"/>
        </w:rPr>
        <w:t>meetings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-115570</wp:posOffset>
            </wp:positionV>
            <wp:extent cx="6900545" cy="1285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0054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1" w:right="460" w:hanging="201"/>
        <w:spacing w:after="0" w:line="248" w:lineRule="auto"/>
        <w:tabs>
          <w:tab w:leader="none" w:pos="184"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Culture and significant employee conduct issues and any related actions</w:t>
      </w:r>
    </w:p>
    <w:p>
      <w:pPr>
        <w:ind w:left="201" w:right="1160" w:hanging="201"/>
        <w:spacing w:after="0" w:line="248" w:lineRule="auto"/>
        <w:tabs>
          <w:tab w:leader="none" w:pos="184"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Reputational risks and conduct risks within its scope of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262890</wp:posOffset>
            </wp:positionV>
            <wp:extent cx="6900545"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00545" cy="34290"/>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5259" w:space="720"/>
            <w:col w:w="5261"/>
          </w:cols>
          <w:pgMar w:left="320" w:top="157" w:right="339" w:bottom="1440" w:gutter="0" w:footer="0" w:header="0"/>
          <w:type w:val="continuous"/>
        </w:sect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22"/>
          <w:szCs w:val="22"/>
          <w:color w:val="auto"/>
        </w:rPr>
        <w:t>Governance</w:t>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8F5A39"/>
        </w:rPr>
        <w:t>Oversees:</w:t>
      </w:r>
    </w:p>
    <w:p>
      <w:pPr>
        <w:spacing w:after="0" w:line="179" w:lineRule="exact"/>
        <w:rPr>
          <w:sz w:val="20"/>
          <w:szCs w:val="20"/>
          <w:color w:val="auto"/>
        </w:rPr>
      </w:pPr>
    </w:p>
    <w:p>
      <w:pPr>
        <w:ind w:left="580" w:right="359" w:hanging="190"/>
        <w:spacing w:after="0" w:line="248" w:lineRule="auto"/>
        <w:tabs>
          <w:tab w:leader="none" w:pos="564" w:val="left"/>
        </w:tabs>
        <w:numPr>
          <w:ilvl w:val="0"/>
          <w:numId w:val="114"/>
        </w:numPr>
        <w:rPr>
          <w:rFonts w:ascii="Arial" w:cs="Arial" w:eastAsia="Arial" w:hAnsi="Arial"/>
          <w:sz w:val="16"/>
          <w:szCs w:val="16"/>
          <w:b w:val="1"/>
          <w:bCs w:val="1"/>
          <w:color w:val="auto"/>
        </w:rPr>
      </w:pPr>
      <w:r>
        <w:rPr>
          <w:rFonts w:ascii="Arial" w:cs="Arial" w:eastAsia="Arial" w:hAnsi="Arial"/>
          <w:sz w:val="16"/>
          <w:szCs w:val="16"/>
          <w:color w:val="auto"/>
        </w:rPr>
        <w:t>Review of the qualifications of proposed nominees for Board membership</w:t>
      </w:r>
    </w:p>
    <w:p>
      <w:pPr>
        <w:ind w:left="560" w:hanging="170"/>
        <w:spacing w:after="0"/>
        <w:tabs>
          <w:tab w:leader="none" w:pos="560" w:val="left"/>
        </w:tabs>
        <w:numPr>
          <w:ilvl w:val="0"/>
          <w:numId w:val="114"/>
        </w:numPr>
        <w:rPr>
          <w:rFonts w:ascii="Arial" w:cs="Arial" w:eastAsia="Arial" w:hAnsi="Arial"/>
          <w:sz w:val="16"/>
          <w:szCs w:val="16"/>
          <w:b w:val="1"/>
          <w:bCs w:val="1"/>
          <w:color w:val="auto"/>
        </w:rPr>
      </w:pPr>
      <w:r>
        <w:rPr>
          <w:rFonts w:ascii="Arial" w:cs="Arial" w:eastAsia="Arial" w:hAnsi="Arial"/>
          <w:sz w:val="16"/>
          <w:szCs w:val="16"/>
          <w:color w:val="auto"/>
        </w:rPr>
        <w:t>Corporate governance practices applicable to the Firm</w:t>
      </w:r>
    </w:p>
    <w:p>
      <w:pPr>
        <w:spacing w:after="0" w:line="18" w:lineRule="exact"/>
        <w:rPr>
          <w:rFonts w:ascii="Arial" w:cs="Arial" w:eastAsia="Arial" w:hAnsi="Arial"/>
          <w:sz w:val="16"/>
          <w:szCs w:val="16"/>
          <w:b w:val="1"/>
          <w:bCs w:val="1"/>
          <w:color w:val="auto"/>
        </w:rPr>
      </w:pPr>
    </w:p>
    <w:p>
      <w:pPr>
        <w:ind w:left="560" w:hanging="170"/>
        <w:spacing w:after="0"/>
        <w:tabs>
          <w:tab w:leader="none" w:pos="560" w:val="left"/>
        </w:tabs>
        <w:numPr>
          <w:ilvl w:val="0"/>
          <w:numId w:val="114"/>
        </w:numPr>
        <w:rPr>
          <w:rFonts w:ascii="Arial" w:cs="Arial" w:eastAsia="Arial" w:hAnsi="Arial"/>
          <w:sz w:val="16"/>
          <w:szCs w:val="16"/>
          <w:b w:val="1"/>
          <w:bCs w:val="1"/>
          <w:color w:val="auto"/>
        </w:rPr>
      </w:pPr>
      <w:r>
        <w:rPr>
          <w:rFonts w:ascii="Arial" w:cs="Arial" w:eastAsia="Arial" w:hAnsi="Arial"/>
          <w:sz w:val="16"/>
          <w:szCs w:val="16"/>
          <w:color w:val="auto"/>
        </w:rPr>
        <w:t>The framework for the Board’s self-assessment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231140" cy="13201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1140" cy="132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6"/>
          <w:szCs w:val="16"/>
          <w:color w:val="auto"/>
        </w:rPr>
        <w:t>meetings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-115570</wp:posOffset>
            </wp:positionV>
            <wp:extent cx="6900545" cy="11658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0054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81" w:hanging="181"/>
        <w:spacing w:after="0"/>
        <w:tabs>
          <w:tab w:leader="none" w:pos="181"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Shareholder engagement</w:t>
      </w:r>
    </w:p>
    <w:p>
      <w:pPr>
        <w:spacing w:after="0" w:line="34" w:lineRule="exact"/>
        <w:rPr>
          <w:rFonts w:ascii="Arial" w:cs="Arial" w:eastAsia="Arial" w:hAnsi="Arial"/>
          <w:sz w:val="16"/>
          <w:szCs w:val="16"/>
          <w:b w:val="1"/>
          <w:bCs w:val="1"/>
          <w:color w:val="auto"/>
        </w:rPr>
      </w:pPr>
    </w:p>
    <w:p>
      <w:pPr>
        <w:ind w:left="181" w:hanging="181"/>
        <w:spacing w:after="0"/>
        <w:tabs>
          <w:tab w:leader="none" w:pos="181"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Board and committee composition</w:t>
      </w:r>
    </w:p>
    <w:p>
      <w:pPr>
        <w:spacing w:after="0" w:line="18" w:lineRule="exact"/>
        <w:rPr>
          <w:rFonts w:ascii="Arial" w:cs="Arial" w:eastAsia="Arial" w:hAnsi="Arial"/>
          <w:sz w:val="16"/>
          <w:szCs w:val="16"/>
          <w:b w:val="1"/>
          <w:bCs w:val="1"/>
          <w:color w:val="auto"/>
        </w:rPr>
      </w:pPr>
    </w:p>
    <w:p>
      <w:pPr>
        <w:ind w:left="201" w:right="1160" w:hanging="201"/>
        <w:spacing w:after="0" w:line="235" w:lineRule="auto"/>
        <w:tabs>
          <w:tab w:leader="none" w:pos="184"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Reputational risks and conduct risks within its scope of responsibility</w:t>
      </w:r>
    </w:p>
    <w:p>
      <w:pPr>
        <w:spacing w:after="0" w:line="200" w:lineRule="exact"/>
        <w:rPr>
          <w:sz w:val="20"/>
          <w:szCs w:val="20"/>
          <w:color w:val="auto"/>
        </w:rPr>
      </w:pPr>
    </w:p>
    <w:p>
      <w:pPr>
        <w:sectPr>
          <w:pgSz w:w="11900" w:h="16838" w:orient="portrait"/>
          <w:cols w:equalWidth="0" w:num="2">
            <w:col w:w="5259" w:space="720"/>
            <w:col w:w="5261"/>
          </w:cols>
          <w:pgMar w:left="320" w:top="157" w:right="339" w:bottom="1440" w:gutter="0" w:footer="0" w:header="0"/>
          <w:type w:val="continuous"/>
        </w:sectPr>
      </w:pPr>
    </w:p>
    <w:p>
      <w:pPr>
        <w:spacing w:after="0" w:line="5" w:lineRule="exact"/>
        <w:rPr>
          <w:sz w:val="20"/>
          <w:szCs w:val="20"/>
          <w:color w:val="auto"/>
        </w:rPr>
      </w:pPr>
    </w:p>
    <w:tbl>
      <w:tblPr>
        <w:tblLayout w:type="fixed"/>
        <w:tblInd w:w="380" w:type="dxa"/>
        <w:tblCellMar>
          <w:top w:w="0" w:type="dxa"/>
          <w:left w:w="0" w:type="dxa"/>
          <w:bottom w:w="0" w:type="dxa"/>
          <w:right w:w="0" w:type="dxa"/>
        </w:tblCellMar>
      </w:tblPr>
      <w:tr>
        <w:trPr>
          <w:trHeight w:val="364"/>
        </w:trPr>
        <w:tc>
          <w:tcPr>
            <w:tcW w:w="5220" w:type="dxa"/>
            <w:vAlign w:val="bottom"/>
            <w:shd w:val="clear" w:color="auto" w:fill="F4EFE7"/>
          </w:tcPr>
          <w:p>
            <w:pPr>
              <w:ind w:left="20"/>
              <w:spacing w:after="0"/>
              <w:rPr>
                <w:sz w:val="20"/>
                <w:szCs w:val="20"/>
                <w:color w:val="auto"/>
              </w:rPr>
            </w:pPr>
            <w:r>
              <w:rPr>
                <w:rFonts w:ascii="Arial" w:cs="Arial" w:eastAsia="Arial" w:hAnsi="Arial"/>
                <w:sz w:val="22"/>
                <w:szCs w:val="22"/>
                <w:color w:val="auto"/>
              </w:rPr>
              <w:t>Risk</w:t>
            </w:r>
          </w:p>
        </w:tc>
        <w:tc>
          <w:tcPr>
            <w:tcW w:w="5640" w:type="dxa"/>
            <w:vAlign w:val="bottom"/>
            <w:shd w:val="clear" w:color="auto" w:fill="F4EFE7"/>
          </w:tcPr>
          <w:p>
            <w:pPr>
              <w:ind w:left="3880"/>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6"/>
                <w:szCs w:val="16"/>
                <w:color w:val="auto"/>
              </w:rPr>
              <w:t>meetings in 2025</w:t>
            </w:r>
          </w:p>
        </w:tc>
        <w:tc>
          <w:tcPr>
            <w:tcW w:w="0" w:type="dxa"/>
            <w:vAlign w:val="bottom"/>
          </w:tcPr>
          <w:p>
            <w:pPr>
              <w:spacing w:after="0"/>
              <w:rPr>
                <w:sz w:val="1"/>
                <w:szCs w:val="1"/>
                <w:color w:val="auto"/>
              </w:rPr>
            </w:pPr>
          </w:p>
        </w:tc>
      </w:tr>
      <w:tr>
        <w:trPr>
          <w:trHeight w:val="251"/>
        </w:trPr>
        <w:tc>
          <w:tcPr>
            <w:tcW w:w="5220" w:type="dxa"/>
            <w:vAlign w:val="bottom"/>
            <w:tcBorders>
              <w:bottom w:val="single" w:sz="8" w:color="F4EFE7"/>
            </w:tcBorders>
            <w:shd w:val="clear" w:color="auto" w:fill="F4EFE7"/>
          </w:tcPr>
          <w:p>
            <w:pPr>
              <w:ind w:left="20"/>
              <w:spacing w:after="0"/>
              <w:rPr>
                <w:sz w:val="20"/>
                <w:szCs w:val="20"/>
                <w:color w:val="auto"/>
              </w:rPr>
            </w:pPr>
            <w:r>
              <w:rPr>
                <w:rFonts w:ascii="Arial" w:cs="Arial" w:eastAsia="Arial" w:hAnsi="Arial"/>
                <w:sz w:val="16"/>
                <w:szCs w:val="16"/>
                <w:b w:val="1"/>
                <w:bCs w:val="1"/>
                <w:color w:val="8F5A39"/>
              </w:rPr>
              <w:t>Oversees:</w:t>
            </w:r>
          </w:p>
        </w:tc>
        <w:tc>
          <w:tcPr>
            <w:tcW w:w="5640" w:type="dxa"/>
            <w:vAlign w:val="bottom"/>
            <w:tcBorders>
              <w:bottom w:val="single" w:sz="8" w:color="F4EFE7"/>
            </w:tcBorders>
            <w:shd w:val="clear" w:color="auto" w:fill="F4EFE7"/>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Management’s responsibility to implement an effective global risk</w:t>
            </w:r>
          </w:p>
        </w:tc>
        <w:tc>
          <w:tcPr>
            <w:tcW w:w="5640" w:type="dxa"/>
            <w:vAlign w:val="bottom"/>
          </w:tcPr>
          <w:p>
            <w:pPr>
              <w:ind w:left="3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Applicable primary risk management policies</w:t>
            </w:r>
          </w:p>
        </w:tc>
        <w:tc>
          <w:tcPr>
            <w:tcW w:w="0" w:type="dxa"/>
            <w:vAlign w:val="bottom"/>
          </w:tcPr>
          <w:p>
            <w:pPr>
              <w:spacing w:after="0"/>
              <w:rPr>
                <w:sz w:val="1"/>
                <w:szCs w:val="1"/>
                <w:color w:val="auto"/>
              </w:rPr>
            </w:pPr>
          </w:p>
        </w:tc>
      </w:tr>
      <w:tr>
        <w:trPr>
          <w:trHeight w:val="190"/>
        </w:trPr>
        <w:tc>
          <w:tcPr>
            <w:tcW w:w="5220" w:type="dxa"/>
            <w:vAlign w:val="bottom"/>
          </w:tcPr>
          <w:p>
            <w:pPr>
              <w:ind w:left="200"/>
              <w:spacing w:after="0"/>
              <w:rPr>
                <w:sz w:val="20"/>
                <w:szCs w:val="20"/>
                <w:color w:val="auto"/>
              </w:rPr>
            </w:pPr>
            <w:r>
              <w:rPr>
                <w:rFonts w:ascii="Arial" w:cs="Arial" w:eastAsia="Arial" w:hAnsi="Arial"/>
                <w:sz w:val="16"/>
                <w:szCs w:val="16"/>
                <w:color w:val="auto"/>
              </w:rPr>
              <w:t>management framework reasonably designed to identify, assess</w:t>
            </w:r>
          </w:p>
        </w:tc>
        <w:tc>
          <w:tcPr>
            <w:tcW w:w="5640" w:type="dxa"/>
            <w:vAlign w:val="bottom"/>
          </w:tcPr>
          <w:p>
            <w:pPr>
              <w:ind w:left="3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Risk appetite results and breaches</w:t>
            </w:r>
          </w:p>
        </w:tc>
        <w:tc>
          <w:tcPr>
            <w:tcW w:w="0" w:type="dxa"/>
            <w:vAlign w:val="bottom"/>
          </w:tcPr>
          <w:p>
            <w:pPr>
              <w:spacing w:after="0"/>
              <w:rPr>
                <w:sz w:val="1"/>
                <w:szCs w:val="1"/>
                <w:color w:val="auto"/>
              </w:rPr>
            </w:pPr>
          </w:p>
        </w:tc>
      </w:tr>
      <w:tr>
        <w:trPr>
          <w:trHeight w:val="172"/>
        </w:trPr>
        <w:tc>
          <w:tcPr>
            <w:tcW w:w="5220" w:type="dxa"/>
            <w:vAlign w:val="bottom"/>
          </w:tcPr>
          <w:p>
            <w:pPr>
              <w:ind w:left="200"/>
              <w:spacing w:after="0" w:line="171" w:lineRule="exact"/>
              <w:rPr>
                <w:sz w:val="20"/>
                <w:szCs w:val="20"/>
                <w:color w:val="auto"/>
              </w:rPr>
            </w:pPr>
            <w:r>
              <w:rPr>
                <w:rFonts w:ascii="Arial" w:cs="Arial" w:eastAsia="Arial" w:hAnsi="Arial"/>
                <w:sz w:val="16"/>
                <w:szCs w:val="16"/>
                <w:color w:val="auto"/>
              </w:rPr>
              <w:t>and manage the Firm’s risks, including:</w:t>
            </w:r>
          </w:p>
        </w:tc>
        <w:tc>
          <w:tcPr>
            <w:tcW w:w="564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The Firm’s capital and liquidity planning and analysis</w:t>
            </w:r>
          </w:p>
        </w:tc>
        <w:tc>
          <w:tcPr>
            <w:tcW w:w="0" w:type="dxa"/>
            <w:vAlign w:val="bottom"/>
          </w:tcPr>
          <w:p>
            <w:pPr>
              <w:spacing w:after="0"/>
              <w:rPr>
                <w:sz w:val="1"/>
                <w:szCs w:val="1"/>
                <w:color w:val="auto"/>
              </w:rPr>
            </w:pPr>
          </w:p>
        </w:tc>
      </w:tr>
      <w:tr>
        <w:trPr>
          <w:trHeight w:val="71"/>
        </w:trPr>
        <w:tc>
          <w:tcPr>
            <w:tcW w:w="5220" w:type="dxa"/>
            <w:vAlign w:val="bottom"/>
            <w:vMerge w:val="restart"/>
          </w:tcPr>
          <w:p>
            <w:pPr>
              <w:ind w:left="200"/>
              <w:spacing w:after="0"/>
              <w:rPr>
                <w:sz w:val="20"/>
                <w:szCs w:val="20"/>
                <w:color w:val="auto"/>
              </w:rPr>
            </w:pPr>
            <w:r>
              <w:rPr>
                <w:rFonts w:ascii="Arial" w:cs="Arial" w:eastAsia="Arial" w:hAnsi="Arial"/>
                <w:sz w:val="15"/>
                <w:szCs w:val="15"/>
                <w:color w:val="auto"/>
              </w:rPr>
              <w:t>— Strategic risk</w:t>
            </w:r>
          </w:p>
        </w:tc>
        <w:tc>
          <w:tcPr>
            <w:tcW w:w="5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5220" w:type="dxa"/>
            <w:vAlign w:val="bottom"/>
            <w:vMerge w:val="continue"/>
          </w:tcPr>
          <w:p>
            <w:pPr>
              <w:spacing w:after="0"/>
              <w:rPr>
                <w:sz w:val="10"/>
                <w:szCs w:val="10"/>
                <w:color w:val="auto"/>
              </w:rPr>
            </w:pPr>
          </w:p>
        </w:tc>
        <w:tc>
          <w:tcPr>
            <w:tcW w:w="5640" w:type="dxa"/>
            <w:vAlign w:val="bottom"/>
            <w:vMerge w:val="restart"/>
          </w:tcPr>
          <w:p>
            <w:pPr>
              <w:ind w:left="380"/>
              <w:spacing w:after="0" w:line="163"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Reputational risks and conduct risks within its scope of</w:t>
            </w:r>
          </w:p>
        </w:tc>
        <w:tc>
          <w:tcPr>
            <w:tcW w:w="0" w:type="dxa"/>
            <w:vAlign w:val="bottom"/>
          </w:tcPr>
          <w:p>
            <w:pPr>
              <w:spacing w:after="0"/>
              <w:rPr>
                <w:sz w:val="1"/>
                <w:szCs w:val="1"/>
                <w:color w:val="auto"/>
              </w:rPr>
            </w:pPr>
          </w:p>
        </w:tc>
      </w:tr>
      <w:tr>
        <w:trPr>
          <w:trHeight w:val="44"/>
        </w:trPr>
        <w:tc>
          <w:tcPr>
            <w:tcW w:w="5220" w:type="dxa"/>
            <w:vAlign w:val="bottom"/>
            <w:vMerge w:val="restart"/>
          </w:tcPr>
          <w:p>
            <w:pPr>
              <w:ind w:left="200"/>
              <w:spacing w:after="0"/>
              <w:rPr>
                <w:sz w:val="20"/>
                <w:szCs w:val="20"/>
                <w:color w:val="auto"/>
              </w:rPr>
            </w:pPr>
            <w:r>
              <w:rPr>
                <w:rFonts w:ascii="Arial" w:cs="Arial" w:eastAsia="Arial" w:hAnsi="Arial"/>
                <w:sz w:val="15"/>
                <w:szCs w:val="15"/>
                <w:color w:val="auto"/>
              </w:rPr>
              <w:t>— Market risk</w:t>
            </w:r>
          </w:p>
        </w:tc>
        <w:tc>
          <w:tcPr>
            <w:tcW w:w="5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5220" w:type="dxa"/>
            <w:vAlign w:val="bottom"/>
            <w:vMerge w:val="continue"/>
          </w:tcPr>
          <w:p>
            <w:pPr>
              <w:spacing w:after="0"/>
              <w:rPr>
                <w:sz w:val="14"/>
                <w:szCs w:val="14"/>
                <w:color w:val="auto"/>
              </w:rPr>
            </w:pPr>
          </w:p>
        </w:tc>
        <w:tc>
          <w:tcPr>
            <w:tcW w:w="5640" w:type="dxa"/>
            <w:vAlign w:val="bottom"/>
          </w:tcPr>
          <w:p>
            <w:pPr>
              <w:ind w:left="580"/>
              <w:spacing w:after="0" w:line="162" w:lineRule="exact"/>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r>
        <w:trPr>
          <w:trHeight w:val="186"/>
        </w:trPr>
        <w:tc>
          <w:tcPr>
            <w:tcW w:w="5220" w:type="dxa"/>
            <w:vAlign w:val="bottom"/>
          </w:tcPr>
          <w:p>
            <w:pPr>
              <w:ind w:left="200"/>
              <w:spacing w:after="0"/>
              <w:rPr>
                <w:sz w:val="20"/>
                <w:szCs w:val="20"/>
                <w:color w:val="auto"/>
              </w:rPr>
            </w:pPr>
            <w:r>
              <w:rPr>
                <w:rFonts w:ascii="Arial" w:cs="Arial" w:eastAsia="Arial" w:hAnsi="Arial"/>
                <w:sz w:val="15"/>
                <w:szCs w:val="15"/>
                <w:color w:val="auto"/>
              </w:rPr>
              <w:t>— Credit and investment risk</w:t>
            </w:r>
          </w:p>
        </w:tc>
        <w:tc>
          <w:tcPr>
            <w:tcW w:w="5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-1094740</wp:posOffset>
            </wp:positionV>
            <wp:extent cx="6900545" cy="1285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00545" cy="128587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5"/>
          <w:szCs w:val="15"/>
          <w:color w:val="auto"/>
        </w:rPr>
        <w:t>— Operational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071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0712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p>
      <w:pPr>
        <w:spacing w:after="0" w:line="277" w:lineRule="exact"/>
        <w:rPr>
          <w:sz w:val="20"/>
          <w:szCs w:val="20"/>
          <w:color w:val="auto"/>
        </w:rPr>
      </w:pPr>
    </w:p>
    <w:p>
      <w:pPr>
        <w:ind w:left="400"/>
        <w:spacing w:after="0"/>
        <w:rPr>
          <w:sz w:val="20"/>
          <w:szCs w:val="20"/>
          <w:color w:val="auto"/>
        </w:rPr>
      </w:pPr>
      <w:r>
        <w:rPr>
          <w:rFonts w:ascii="Arial" w:cs="Arial" w:eastAsia="Arial" w:hAnsi="Arial"/>
          <w:sz w:val="22"/>
          <w:szCs w:val="22"/>
          <w:color w:val="auto"/>
        </w:rPr>
        <w:t>PRC</w:t>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8F5A39"/>
        </w:rPr>
        <w:t>Oversees:</w:t>
      </w:r>
    </w:p>
    <w:p>
      <w:pPr>
        <w:spacing w:after="0" w:line="112" w:lineRule="exact"/>
        <w:rPr>
          <w:sz w:val="20"/>
          <w:szCs w:val="20"/>
          <w:color w:val="auto"/>
        </w:rPr>
      </w:pPr>
    </w:p>
    <w:p>
      <w:pPr>
        <w:ind w:left="560" w:hanging="170"/>
        <w:spacing w:after="0"/>
        <w:tabs>
          <w:tab w:leader="none" w:pos="560"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Community investing and fair lending practices</w:t>
      </w:r>
    </w:p>
    <w:p>
      <w:pPr>
        <w:spacing w:after="0" w:line="34" w:lineRule="exact"/>
        <w:rPr>
          <w:rFonts w:ascii="Arial" w:cs="Arial" w:eastAsia="Arial" w:hAnsi="Arial"/>
          <w:sz w:val="16"/>
          <w:szCs w:val="16"/>
          <w:b w:val="1"/>
          <w:bCs w:val="1"/>
          <w:color w:val="auto"/>
        </w:rPr>
      </w:pPr>
    </w:p>
    <w:p>
      <w:pPr>
        <w:ind w:left="580" w:right="19" w:hanging="190"/>
        <w:spacing w:after="0" w:line="233" w:lineRule="auto"/>
        <w:tabs>
          <w:tab w:leader="none" w:pos="564"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Significant policies and practices regarding political contributions, major lobbying priorities and principal trade association memberships related to Firm public policy objectives</w:t>
      </w:r>
    </w:p>
    <w:p>
      <w:pPr>
        <w:ind w:left="560" w:hanging="170"/>
        <w:spacing w:after="0"/>
        <w:tabs>
          <w:tab w:leader="none" w:pos="560"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Sustainability</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right"/>
        <w:ind w:right="400"/>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color w:val="auto"/>
        </w:rPr>
        <w:t>meetings in 2025</w:t>
      </w:r>
    </w:p>
    <w:p>
      <w:pPr>
        <w:spacing w:after="0" w:line="383" w:lineRule="exact"/>
        <w:rPr>
          <w:sz w:val="20"/>
          <w:szCs w:val="20"/>
          <w:color w:val="auto"/>
        </w:rPr>
      </w:pPr>
    </w:p>
    <w:p>
      <w:pPr>
        <w:ind w:left="201" w:right="420" w:hanging="201"/>
        <w:spacing w:after="0"/>
        <w:tabs>
          <w:tab w:leader="none" w:pos="184"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Consumer practices, including consumer experience, consumer complaint resolution and consumer issues related to disclosures, fees or the introduction of major new products</w:t>
      </w:r>
    </w:p>
    <w:p>
      <w:pPr>
        <w:ind w:left="201" w:right="1160" w:hanging="201"/>
        <w:spacing w:after="0" w:line="237" w:lineRule="auto"/>
        <w:tabs>
          <w:tab w:leader="none" w:pos="184"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Reputational risks and conduct risks within its scope of responsibility</w:t>
      </w:r>
    </w:p>
    <w:p>
      <w:pPr>
        <w:spacing w:after="0" w:line="191" w:lineRule="exact"/>
        <w:rPr>
          <w:sz w:val="20"/>
          <w:szCs w:val="20"/>
          <w:color w:val="auto"/>
        </w:rPr>
      </w:pPr>
    </w:p>
    <w:p>
      <w:pPr>
        <w:sectPr>
          <w:pgSz w:w="11900" w:h="16838" w:orient="portrait"/>
          <w:cols w:equalWidth="0" w:num="2">
            <w:col w:w="5259" w:space="720"/>
            <w:col w:w="5261"/>
          </w:cols>
          <w:pgMar w:left="320" w:top="157" w:right="339" w:bottom="1440" w:gutter="0" w:footer="0" w:header="0"/>
          <w:type w:val="continuous"/>
        </w:sectPr>
      </w:pPr>
    </w:p>
    <w:p>
      <w:pPr>
        <w:spacing w:after="0"/>
        <w:rPr>
          <w:sz w:val="20"/>
          <w:szCs w:val="20"/>
          <w:color w:val="auto"/>
        </w:rPr>
      </w:pPr>
      <w:r>
        <w:rPr>
          <w:rFonts w:ascii="Arial" w:cs="Arial" w:eastAsia="Arial" w:hAnsi="Arial"/>
          <w:sz w:val="16"/>
          <w:szCs w:val="16"/>
          <w:color w:val="auto"/>
        </w:rPr>
        <w:t>For more information about committee responsibilities, see committee Charters available at: jpmorganchase.com/about/ governance/committees.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415290</wp:posOffset>
            </wp:positionV>
            <wp:extent cx="651510" cy="857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24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8100"/>
        <w:spacing w:after="0"/>
        <w:rPr>
          <w:sz w:val="20"/>
          <w:szCs w:val="20"/>
          <w:color w:val="auto"/>
        </w:rPr>
      </w:pPr>
      <w:r>
        <w:rPr>
          <w:rFonts w:ascii="Arial" w:cs="Arial" w:eastAsia="Arial" w:hAnsi="Arial"/>
          <w:sz w:val="14"/>
          <w:szCs w:val="14"/>
          <w:color w:val="8F5A39"/>
        </w:rPr>
        <w:t xml:space="preserve">Director nominees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335"/>
        </w:trPr>
        <w:tc>
          <w:tcPr>
            <w:tcW w:w="234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6"/>
                <w:szCs w:val="16"/>
                <w:color w:val="8F5A39"/>
              </w:rPr>
              <w:t>Director nominees</w:t>
            </w:r>
          </w:p>
        </w:tc>
        <w:tc>
          <w:tcPr>
            <w:tcW w:w="600" w:type="dxa"/>
            <w:vAlign w:val="bottom"/>
          </w:tcPr>
          <w:p>
            <w:pPr>
              <w:spacing w:after="0"/>
              <w:rPr>
                <w:sz w:val="24"/>
                <w:szCs w:val="24"/>
                <w:color w:val="auto"/>
              </w:rPr>
            </w:pPr>
          </w:p>
        </w:tc>
        <w:tc>
          <w:tcPr>
            <w:tcW w:w="234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Board governance</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40" w:type="dxa"/>
            <w:vAlign w:val="bottom"/>
            <w:tcBorders>
              <w:left w:val="single" w:sz="8" w:color="auto"/>
              <w:bottom w:val="single" w:sz="8" w:color="auto"/>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-213995</wp:posOffset>
            </wp:positionV>
            <wp:extent cx="120015" cy="939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-213995</wp:posOffset>
            </wp:positionV>
            <wp:extent cx="120015" cy="939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-213995</wp:posOffset>
            </wp:positionV>
            <wp:extent cx="120015" cy="939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Other standing committees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Board has two additional standing committees:</w:t>
      </w:r>
    </w:p>
    <w:p>
      <w:pPr>
        <w:spacing w:after="0" w:line="112" w:lineRule="exact"/>
        <w:rPr>
          <w:sz w:val="20"/>
          <w:szCs w:val="20"/>
          <w:color w:val="auto"/>
        </w:rPr>
      </w:pPr>
    </w:p>
    <w:p>
      <w:pPr>
        <w:jc w:val="both"/>
        <w:ind w:right="40"/>
        <w:spacing w:after="0" w:line="268" w:lineRule="auto"/>
        <w:rPr>
          <w:sz w:val="20"/>
          <w:szCs w:val="20"/>
          <w:color w:val="auto"/>
        </w:rPr>
      </w:pPr>
      <w:r>
        <w:rPr>
          <w:rFonts w:ascii="Arial" w:cs="Arial" w:eastAsia="Arial" w:hAnsi="Arial"/>
          <w:sz w:val="16"/>
          <w:szCs w:val="16"/>
          <w:b w:val="1"/>
          <w:bCs w:val="1"/>
          <w:color w:val="auto"/>
        </w:rPr>
        <w:t xml:space="preserve">Stock Committee: </w:t>
      </w:r>
      <w:r>
        <w:rPr>
          <w:rFonts w:ascii="Arial" w:cs="Arial" w:eastAsia="Arial" w:hAnsi="Arial"/>
          <w:sz w:val="16"/>
          <w:szCs w:val="16"/>
          <w:color w:val="auto"/>
        </w:rPr>
        <w:t>The committee is responsible for implementing the declaration of dividends, authorizing the issuance of stock, administering the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reinvestment plan and implementing share repurchase plans. The committee acts within Board-approved limitations and capital plans.</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committee may exercise all the powers of the Board that lawfully may be delegated, but with the expectation that it will not take</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actions absent special circumstances.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Board may establish additional standing committees as needed.</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Specific purpose committees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Board establishes specific purpose committees as appropriate to address specific issues.</w:t>
      </w:r>
    </w:p>
    <w:p>
      <w:pPr>
        <w:spacing w:after="0" w:line="112" w:lineRule="exact"/>
        <w:rPr>
          <w:sz w:val="20"/>
          <w:szCs w:val="20"/>
          <w:color w:val="auto"/>
        </w:rPr>
      </w:pPr>
    </w:p>
    <w:p>
      <w:pPr>
        <w:jc w:val="both"/>
        <w:ind w:right="440"/>
        <w:spacing w:after="0" w:line="248" w:lineRule="auto"/>
        <w:rPr>
          <w:sz w:val="20"/>
          <w:szCs w:val="20"/>
          <w:color w:val="auto"/>
        </w:rPr>
      </w:pPr>
      <w:r>
        <w:rPr>
          <w:rFonts w:ascii="Arial" w:cs="Arial" w:eastAsia="Arial" w:hAnsi="Arial"/>
          <w:sz w:val="16"/>
          <w:szCs w:val="16"/>
          <w:color w:val="auto"/>
        </w:rPr>
        <w:t>The Board currently has two such committees, the Markets Compliance Committee and the Omnibus Committee. The Markets Compliance Committee provides oversight in connection with certain markets-related matters, including issues related to trading venues and trade surveillance data feeds. The Omnibus Committee reviews matters delegated by the Board.</w:t>
      </w:r>
    </w:p>
    <w:p>
      <w:pPr>
        <w:spacing w:after="0" w:line="91"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As the Firm achieves its objectives in a specific area, the work of the relevant specific purpose committee will be concluded and the committee appropriately disbanded.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Additional specific purpose committees may be established from time to time in the future to address particular issues.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Current board committee membership</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40" w:type="dxa"/>
            <w:vAlign w:val="bottom"/>
            <w:shd w:val="clear" w:color="auto" w:fill="F4EFE7"/>
          </w:tcPr>
          <w:p>
            <w:pPr>
              <w:spacing w:after="0"/>
              <w:rPr>
                <w:sz w:val="15"/>
                <w:szCs w:val="15"/>
                <w:color w:val="auto"/>
              </w:rPr>
            </w:pPr>
          </w:p>
        </w:tc>
        <w:tc>
          <w:tcPr>
            <w:tcW w:w="860" w:type="dxa"/>
            <w:vAlign w:val="bottom"/>
            <w:shd w:val="clear" w:color="auto" w:fill="F4EFE7"/>
          </w:tcPr>
          <w:p>
            <w:pPr>
              <w:spacing w:after="0"/>
              <w:rPr>
                <w:sz w:val="15"/>
                <w:szCs w:val="15"/>
                <w:color w:val="auto"/>
              </w:rPr>
            </w:pPr>
          </w:p>
        </w:tc>
        <w:tc>
          <w:tcPr>
            <w:tcW w:w="1360" w:type="dxa"/>
            <w:vAlign w:val="bottom"/>
            <w:shd w:val="clear" w:color="auto" w:fill="F4EFE7"/>
          </w:tcPr>
          <w:p>
            <w:pPr>
              <w:spacing w:after="0"/>
              <w:rPr>
                <w:sz w:val="15"/>
                <w:szCs w:val="15"/>
                <w:color w:val="auto"/>
              </w:rPr>
            </w:pPr>
          </w:p>
        </w:tc>
        <w:tc>
          <w:tcPr>
            <w:tcW w:w="1400" w:type="dxa"/>
            <w:vAlign w:val="bottom"/>
            <w:shd w:val="clear" w:color="auto" w:fill="F4EFE7"/>
          </w:tcPr>
          <w:p>
            <w:pPr>
              <w:spacing w:after="0"/>
              <w:rPr>
                <w:sz w:val="15"/>
                <w:szCs w:val="15"/>
                <w:color w:val="auto"/>
              </w:rPr>
            </w:pPr>
          </w:p>
        </w:tc>
        <w:tc>
          <w:tcPr>
            <w:tcW w:w="1680" w:type="dxa"/>
            <w:vAlign w:val="bottom"/>
            <w:shd w:val="clear" w:color="auto" w:fill="F4EFE7"/>
          </w:tcPr>
          <w:p>
            <w:pPr>
              <w:spacing w:after="0"/>
              <w:rPr>
                <w:sz w:val="15"/>
                <w:szCs w:val="15"/>
                <w:color w:val="auto"/>
              </w:rPr>
            </w:pPr>
          </w:p>
        </w:tc>
        <w:tc>
          <w:tcPr>
            <w:tcW w:w="1220" w:type="dxa"/>
            <w:vAlign w:val="bottom"/>
            <w:shd w:val="clear" w:color="auto" w:fill="F4EFE7"/>
          </w:tcPr>
          <w:p>
            <w:pPr>
              <w:spacing w:after="0"/>
              <w:rPr>
                <w:sz w:val="15"/>
                <w:szCs w:val="15"/>
                <w:color w:val="auto"/>
              </w:rPr>
            </w:pPr>
          </w:p>
        </w:tc>
        <w:tc>
          <w:tcPr>
            <w:tcW w:w="1240" w:type="dxa"/>
            <w:vAlign w:val="bottom"/>
            <w:shd w:val="clear" w:color="auto" w:fill="F4EFE7"/>
          </w:tcPr>
          <w:p>
            <w:pPr>
              <w:spacing w:after="0"/>
              <w:rPr>
                <w:sz w:val="15"/>
                <w:szCs w:val="15"/>
                <w:color w:val="auto"/>
              </w:rPr>
            </w:pPr>
          </w:p>
        </w:tc>
        <w:tc>
          <w:tcPr>
            <w:tcW w:w="1340" w:type="dxa"/>
            <w:vAlign w:val="bottom"/>
            <w:shd w:val="clear" w:color="auto" w:fill="F4EFE7"/>
          </w:tcPr>
          <w:p>
            <w:pPr>
              <w:jc w:val="center"/>
              <w:ind w:left="22"/>
              <w:spacing w:after="0"/>
              <w:rPr>
                <w:sz w:val="20"/>
                <w:szCs w:val="20"/>
                <w:color w:val="auto"/>
              </w:rPr>
            </w:pPr>
            <w:r>
              <w:rPr>
                <w:rFonts w:ascii="Arial" w:cs="Arial" w:eastAsia="Arial" w:hAnsi="Arial"/>
                <w:sz w:val="14"/>
                <w:szCs w:val="14"/>
                <w:b w:val="1"/>
                <w:bCs w:val="1"/>
                <w:color w:val="8F5A39"/>
              </w:rPr>
              <w:t>Specific</w:t>
            </w:r>
          </w:p>
        </w:tc>
      </w:tr>
      <w:tr>
        <w:trPr>
          <w:trHeight w:val="219"/>
        </w:trPr>
        <w:tc>
          <w:tcPr>
            <w:tcW w:w="214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Director</w:t>
            </w:r>
          </w:p>
        </w:tc>
        <w:tc>
          <w:tcPr>
            <w:tcW w:w="860" w:type="dxa"/>
            <w:vAlign w:val="bottom"/>
            <w:tcBorders>
              <w:bottom w:val="single" w:sz="8" w:color="auto"/>
            </w:tcBorders>
            <w:shd w:val="clear" w:color="auto" w:fill="F4EFE7"/>
          </w:tcPr>
          <w:p>
            <w:pPr>
              <w:spacing w:after="0"/>
              <w:rPr>
                <w:sz w:val="19"/>
                <w:szCs w:val="19"/>
                <w:color w:val="auto"/>
              </w:rPr>
            </w:pPr>
          </w:p>
        </w:tc>
        <w:tc>
          <w:tcPr>
            <w:tcW w:w="1360" w:type="dxa"/>
            <w:vAlign w:val="bottom"/>
            <w:tcBorders>
              <w:bottom w:val="single" w:sz="8" w:color="auto"/>
            </w:tcBorders>
            <w:shd w:val="clear" w:color="auto" w:fill="F4EFE7"/>
          </w:tcPr>
          <w:p>
            <w:pPr>
              <w:jc w:val="center"/>
              <w:ind w:right="22"/>
              <w:spacing w:after="0"/>
              <w:rPr>
                <w:sz w:val="20"/>
                <w:szCs w:val="20"/>
                <w:color w:val="auto"/>
              </w:rPr>
            </w:pPr>
            <w:r>
              <w:rPr>
                <w:rFonts w:ascii="Arial" w:cs="Arial" w:eastAsia="Arial" w:hAnsi="Arial"/>
                <w:sz w:val="14"/>
                <w:szCs w:val="14"/>
                <w:b w:val="1"/>
                <w:bCs w:val="1"/>
                <w:color w:val="8F5A39"/>
              </w:rPr>
              <w:t>Audit</w:t>
            </w:r>
          </w:p>
        </w:tc>
        <w:tc>
          <w:tcPr>
            <w:tcW w:w="1400" w:type="dxa"/>
            <w:vAlign w:val="bottom"/>
            <w:tcBorders>
              <w:bottom w:val="single" w:sz="8" w:color="auto"/>
            </w:tcBorders>
            <w:shd w:val="clear" w:color="auto" w:fill="F4EFE7"/>
          </w:tcPr>
          <w:p>
            <w:pPr>
              <w:jc w:val="center"/>
              <w:ind w:left="4"/>
              <w:spacing w:after="0"/>
              <w:rPr>
                <w:sz w:val="20"/>
                <w:szCs w:val="20"/>
                <w:color w:val="auto"/>
              </w:rPr>
            </w:pPr>
            <w:r>
              <w:rPr>
                <w:rFonts w:ascii="Arial" w:cs="Arial" w:eastAsia="Arial" w:hAnsi="Arial"/>
                <w:sz w:val="14"/>
                <w:szCs w:val="14"/>
                <w:b w:val="1"/>
                <w:bCs w:val="1"/>
                <w:color w:val="8F5A39"/>
              </w:rPr>
              <w:t>CMDC</w:t>
            </w:r>
          </w:p>
        </w:tc>
        <w:tc>
          <w:tcPr>
            <w:tcW w:w="1680" w:type="dxa"/>
            <w:vAlign w:val="bottom"/>
            <w:tcBorders>
              <w:bottom w:val="single" w:sz="8" w:color="auto"/>
            </w:tcBorders>
            <w:shd w:val="clear" w:color="auto" w:fill="F4EFE7"/>
          </w:tcPr>
          <w:p>
            <w:pPr>
              <w:jc w:val="center"/>
              <w:spacing w:after="0"/>
              <w:rPr>
                <w:sz w:val="20"/>
                <w:szCs w:val="20"/>
                <w:color w:val="auto"/>
              </w:rPr>
            </w:pPr>
            <w:r>
              <w:rPr>
                <w:rFonts w:ascii="Arial" w:cs="Arial" w:eastAsia="Arial" w:hAnsi="Arial"/>
                <w:sz w:val="14"/>
                <w:szCs w:val="14"/>
                <w:b w:val="1"/>
                <w:bCs w:val="1"/>
                <w:color w:val="8F5A39"/>
              </w:rPr>
              <w:t>Governance</w:t>
            </w:r>
          </w:p>
        </w:tc>
        <w:tc>
          <w:tcPr>
            <w:tcW w:w="1220" w:type="dxa"/>
            <w:vAlign w:val="bottom"/>
            <w:tcBorders>
              <w:bottom w:val="single" w:sz="8" w:color="auto"/>
            </w:tcBorders>
            <w:shd w:val="clear" w:color="auto" w:fill="F4EFE7"/>
          </w:tcPr>
          <w:p>
            <w:pPr>
              <w:jc w:val="center"/>
              <w:ind w:right="44"/>
              <w:spacing w:after="0"/>
              <w:rPr>
                <w:sz w:val="20"/>
                <w:szCs w:val="20"/>
                <w:color w:val="auto"/>
              </w:rPr>
            </w:pPr>
            <w:r>
              <w:rPr>
                <w:rFonts w:ascii="Arial" w:cs="Arial" w:eastAsia="Arial" w:hAnsi="Arial"/>
                <w:sz w:val="14"/>
                <w:szCs w:val="14"/>
                <w:b w:val="1"/>
                <w:bCs w:val="1"/>
                <w:color w:val="8F5A39"/>
              </w:rPr>
              <w:t>PRC</w:t>
            </w:r>
          </w:p>
        </w:tc>
        <w:tc>
          <w:tcPr>
            <w:tcW w:w="1240" w:type="dxa"/>
            <w:vAlign w:val="bottom"/>
            <w:tcBorders>
              <w:bottom w:val="single" w:sz="8" w:color="auto"/>
            </w:tcBorders>
            <w:shd w:val="clear" w:color="auto" w:fill="F4EFE7"/>
          </w:tcPr>
          <w:p>
            <w:pPr>
              <w:jc w:val="center"/>
              <w:ind w:left="64"/>
              <w:spacing w:after="0"/>
              <w:rPr>
                <w:sz w:val="20"/>
                <w:szCs w:val="20"/>
                <w:color w:val="auto"/>
              </w:rPr>
            </w:pPr>
            <w:r>
              <w:rPr>
                <w:rFonts w:ascii="Arial" w:cs="Arial" w:eastAsia="Arial" w:hAnsi="Arial"/>
                <w:sz w:val="14"/>
                <w:szCs w:val="14"/>
                <w:b w:val="1"/>
                <w:bCs w:val="1"/>
                <w:color w:val="8F5A39"/>
              </w:rPr>
              <w:t>Risk</w:t>
            </w:r>
          </w:p>
        </w:tc>
        <w:tc>
          <w:tcPr>
            <w:tcW w:w="1340" w:type="dxa"/>
            <w:vAlign w:val="bottom"/>
            <w:tcBorders>
              <w:bottom w:val="single" w:sz="8" w:color="auto"/>
            </w:tcBorders>
            <w:shd w:val="clear" w:color="auto" w:fill="F4EFE7"/>
          </w:tcPr>
          <w:p>
            <w:pPr>
              <w:jc w:val="center"/>
              <w:ind w:left="42"/>
              <w:spacing w:after="0"/>
              <w:rPr>
                <w:sz w:val="20"/>
                <w:szCs w:val="20"/>
                <w:color w:val="auto"/>
              </w:rPr>
            </w:pPr>
            <w:r>
              <w:rPr>
                <w:rFonts w:ascii="Arial" w:cs="Arial" w:eastAsia="Arial" w:hAnsi="Arial"/>
                <w:sz w:val="14"/>
                <w:szCs w:val="14"/>
                <w:b w:val="1"/>
                <w:bCs w:val="1"/>
                <w:color w:val="8F5A39"/>
              </w:rPr>
              <w:t>Purpose</w:t>
            </w:r>
            <w:r>
              <w:rPr>
                <w:rFonts w:ascii="Arial" w:cs="Arial" w:eastAsia="Arial" w:hAnsi="Arial"/>
                <w:sz w:val="9"/>
                <w:szCs w:val="9"/>
                <w:b w:val="1"/>
                <w:bCs w:val="1"/>
                <w:color w:val="8F5A39"/>
              </w:rPr>
              <w:t>1</w:t>
            </w:r>
          </w:p>
        </w:tc>
      </w:tr>
      <w:tr>
        <w:trPr>
          <w:trHeight w:val="297"/>
        </w:trPr>
        <w:tc>
          <w:tcPr>
            <w:tcW w:w="21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Stephen B. Burke</w:t>
            </w:r>
            <w:r>
              <w:rPr>
                <w:rFonts w:ascii="Arial" w:cs="Arial" w:eastAsia="Arial" w:hAnsi="Arial"/>
                <w:sz w:val="21"/>
                <w:szCs w:val="21"/>
                <w:b w:val="1"/>
                <w:bCs w:val="1"/>
                <w:color w:val="8F5A39"/>
                <w:vertAlign w:val="superscript"/>
              </w:rPr>
              <w:t>2</w:t>
            </w:r>
          </w:p>
        </w:tc>
        <w:tc>
          <w:tcPr>
            <w:tcW w:w="860" w:type="dxa"/>
            <w:vAlign w:val="bottom"/>
            <w:tcBorders>
              <w:bottom w:val="single" w:sz="8" w:color="B2B2B2"/>
            </w:tcBorders>
          </w:tcPr>
          <w:p>
            <w:pPr>
              <w:spacing w:after="0"/>
              <w:rPr>
                <w:sz w:val="24"/>
                <w:szCs w:val="24"/>
                <w:color w:val="auto"/>
              </w:rPr>
            </w:pPr>
          </w:p>
        </w:tc>
        <w:tc>
          <w:tcPr>
            <w:tcW w:w="1360" w:type="dxa"/>
            <w:vAlign w:val="bottom"/>
            <w:tcBorders>
              <w:bottom w:val="single" w:sz="8" w:color="B2B2B2"/>
            </w:tcBorders>
          </w:tcPr>
          <w:p>
            <w:pPr>
              <w:spacing w:after="0"/>
              <w:rPr>
                <w:sz w:val="24"/>
                <w:szCs w:val="24"/>
                <w:color w:val="auto"/>
              </w:rPr>
            </w:pPr>
          </w:p>
        </w:tc>
        <w:tc>
          <w:tcPr>
            <w:tcW w:w="1400" w:type="dxa"/>
            <w:vAlign w:val="bottom"/>
            <w:tcBorders>
              <w:bottom w:val="single" w:sz="8" w:color="B2B2B2"/>
            </w:tcBorders>
          </w:tcPr>
          <w:p>
            <w:pPr>
              <w:jc w:val="center"/>
              <w:ind w:left="4"/>
              <w:spacing w:after="0"/>
              <w:rPr>
                <w:sz w:val="20"/>
                <w:szCs w:val="20"/>
                <w:color w:val="auto"/>
              </w:rPr>
            </w:pPr>
            <w:r>
              <w:rPr>
                <w:rFonts w:ascii="Arial" w:cs="Arial" w:eastAsia="Arial" w:hAnsi="Arial"/>
                <w:sz w:val="16"/>
                <w:szCs w:val="16"/>
                <w:b w:val="1"/>
                <w:bCs w:val="1"/>
                <w:color w:val="8F5A39"/>
              </w:rPr>
              <w:t>C</w:t>
            </w:r>
          </w:p>
        </w:tc>
        <w:tc>
          <w:tcPr>
            <w:tcW w:w="1680" w:type="dxa"/>
            <w:vAlign w:val="bottom"/>
            <w:tcBorders>
              <w:bottom w:val="single" w:sz="8" w:color="B2B2B2"/>
            </w:tcBorders>
          </w:tcPr>
          <w:p>
            <w:pPr>
              <w:spacing w:after="0"/>
              <w:rPr>
                <w:sz w:val="24"/>
                <w:szCs w:val="24"/>
                <w:color w:val="auto"/>
              </w:rPr>
            </w:pPr>
          </w:p>
        </w:tc>
        <w:tc>
          <w:tcPr>
            <w:tcW w:w="1220" w:type="dxa"/>
            <w:vAlign w:val="bottom"/>
            <w:tcBorders>
              <w:bottom w:val="single" w:sz="8" w:color="B2B2B2"/>
            </w:tcBorders>
          </w:tcPr>
          <w:p>
            <w:pPr>
              <w:spacing w:after="0"/>
              <w:rPr>
                <w:sz w:val="24"/>
                <w:szCs w:val="24"/>
                <w:color w:val="auto"/>
              </w:rPr>
            </w:pPr>
          </w:p>
        </w:tc>
        <w:tc>
          <w:tcPr>
            <w:tcW w:w="1240" w:type="dxa"/>
            <w:vAlign w:val="bottom"/>
            <w:tcBorders>
              <w:bottom w:val="single" w:sz="8" w:color="B2B2B2"/>
            </w:tcBorders>
          </w:tcPr>
          <w:p>
            <w:pPr>
              <w:spacing w:after="0"/>
              <w:rPr>
                <w:sz w:val="24"/>
                <w:szCs w:val="24"/>
                <w:color w:val="auto"/>
              </w:rPr>
            </w:pPr>
          </w:p>
        </w:tc>
        <w:tc>
          <w:tcPr>
            <w:tcW w:w="1340" w:type="dxa"/>
            <w:vAlign w:val="bottom"/>
            <w:tcBorders>
              <w:bottom w:val="single" w:sz="8" w:color="B2B2B2"/>
            </w:tcBorders>
          </w:tcPr>
          <w:p>
            <w:pPr>
              <w:jc w:val="center"/>
              <w:ind w:left="42"/>
              <w:spacing w:after="0"/>
              <w:rPr>
                <w:sz w:val="20"/>
                <w:szCs w:val="20"/>
                <w:color w:val="auto"/>
              </w:rPr>
            </w:pPr>
            <w:r>
              <w:rPr>
                <w:rFonts w:ascii="Arial" w:cs="Arial" w:eastAsia="Arial" w:hAnsi="Arial"/>
                <w:sz w:val="16"/>
                <w:szCs w:val="16"/>
                <w:color w:val="auto"/>
                <w:w w:val="93"/>
              </w:rPr>
              <w:t>A</w:t>
            </w:r>
          </w:p>
        </w:tc>
      </w:tr>
      <w:tr>
        <w:trPr>
          <w:trHeight w:val="287"/>
        </w:trPr>
        <w:tc>
          <w:tcPr>
            <w:tcW w:w="21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Linda B. Bammann</w:t>
            </w:r>
          </w:p>
        </w:tc>
        <w:tc>
          <w:tcPr>
            <w:tcW w:w="860" w:type="dxa"/>
            <w:vAlign w:val="bottom"/>
            <w:tcBorders>
              <w:bottom w:val="single" w:sz="8" w:color="B2B2B2"/>
            </w:tcBorders>
          </w:tcPr>
          <w:p>
            <w:pPr>
              <w:spacing w:after="0"/>
              <w:rPr>
                <w:sz w:val="24"/>
                <w:szCs w:val="24"/>
                <w:color w:val="auto"/>
              </w:rPr>
            </w:pPr>
          </w:p>
        </w:tc>
        <w:tc>
          <w:tcPr>
            <w:tcW w:w="1360" w:type="dxa"/>
            <w:vAlign w:val="bottom"/>
            <w:tcBorders>
              <w:bottom w:val="single" w:sz="8" w:color="B2B2B2"/>
            </w:tcBorders>
          </w:tcPr>
          <w:p>
            <w:pPr>
              <w:spacing w:after="0"/>
              <w:rPr>
                <w:sz w:val="24"/>
                <w:szCs w:val="24"/>
                <w:color w:val="auto"/>
              </w:rPr>
            </w:pPr>
          </w:p>
        </w:tc>
        <w:tc>
          <w:tcPr>
            <w:tcW w:w="1400" w:type="dxa"/>
            <w:vAlign w:val="bottom"/>
            <w:tcBorders>
              <w:bottom w:val="single" w:sz="8" w:color="B2B2B2"/>
            </w:tcBorders>
          </w:tcPr>
          <w:p>
            <w:pPr>
              <w:spacing w:after="0"/>
              <w:rPr>
                <w:sz w:val="24"/>
                <w:szCs w:val="24"/>
                <w:color w:val="auto"/>
              </w:rPr>
            </w:pPr>
          </w:p>
        </w:tc>
        <w:tc>
          <w:tcPr>
            <w:tcW w:w="1680" w:type="dxa"/>
            <w:vAlign w:val="bottom"/>
            <w:tcBorders>
              <w:bottom w:val="single" w:sz="8" w:color="B2B2B2"/>
            </w:tcBorders>
          </w:tcPr>
          <w:p>
            <w:pPr>
              <w:spacing w:after="0"/>
              <w:rPr>
                <w:sz w:val="24"/>
                <w:szCs w:val="24"/>
                <w:color w:val="auto"/>
              </w:rPr>
            </w:pPr>
          </w:p>
        </w:tc>
        <w:tc>
          <w:tcPr>
            <w:tcW w:w="1220" w:type="dxa"/>
            <w:vAlign w:val="bottom"/>
            <w:tcBorders>
              <w:bottom w:val="single" w:sz="8" w:color="B2B2B2"/>
            </w:tcBorders>
          </w:tcPr>
          <w:p>
            <w:pPr>
              <w:spacing w:after="0"/>
              <w:rPr>
                <w:sz w:val="24"/>
                <w:szCs w:val="24"/>
                <w:color w:val="auto"/>
              </w:rPr>
            </w:pPr>
          </w:p>
        </w:tc>
        <w:tc>
          <w:tcPr>
            <w:tcW w:w="1240" w:type="dxa"/>
            <w:vAlign w:val="bottom"/>
            <w:tcBorders>
              <w:bottom w:val="single" w:sz="8" w:color="B2B2B2"/>
            </w:tcBorders>
          </w:tcPr>
          <w:p>
            <w:pPr>
              <w:jc w:val="center"/>
              <w:ind w:left="44"/>
              <w:spacing w:after="0"/>
              <w:rPr>
                <w:sz w:val="20"/>
                <w:szCs w:val="20"/>
                <w:color w:val="auto"/>
              </w:rPr>
            </w:pPr>
            <w:r>
              <w:rPr>
                <w:rFonts w:ascii="Arial" w:cs="Arial" w:eastAsia="Arial" w:hAnsi="Arial"/>
                <w:sz w:val="16"/>
                <w:szCs w:val="16"/>
                <w:b w:val="1"/>
                <w:bCs w:val="1"/>
                <w:color w:val="8F5A39"/>
              </w:rPr>
              <w:t>C</w:t>
            </w:r>
          </w:p>
        </w:tc>
        <w:tc>
          <w:tcPr>
            <w:tcW w:w="1340" w:type="dxa"/>
            <w:vAlign w:val="bottom"/>
            <w:tcBorders>
              <w:bottom w:val="single" w:sz="8" w:color="B2B2B2"/>
            </w:tcBorders>
          </w:tcPr>
          <w:p>
            <w:pPr>
              <w:jc w:val="center"/>
              <w:ind w:left="42"/>
              <w:spacing w:after="0"/>
              <w:rPr>
                <w:sz w:val="20"/>
                <w:szCs w:val="20"/>
                <w:color w:val="auto"/>
              </w:rPr>
            </w:pPr>
            <w:r>
              <w:rPr>
                <w:rFonts w:ascii="Arial" w:cs="Arial" w:eastAsia="Arial" w:hAnsi="Arial"/>
                <w:sz w:val="16"/>
                <w:szCs w:val="16"/>
                <w:color w:val="auto"/>
                <w:w w:val="93"/>
              </w:rPr>
              <w:t>B</w:t>
            </w:r>
          </w:p>
        </w:tc>
      </w:tr>
      <w:tr>
        <w:trPr>
          <w:trHeight w:val="290"/>
        </w:trPr>
        <w:tc>
          <w:tcPr>
            <w:tcW w:w="21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Michele G. Buck</w:t>
            </w:r>
          </w:p>
        </w:tc>
        <w:tc>
          <w:tcPr>
            <w:tcW w:w="860" w:type="dxa"/>
            <w:vAlign w:val="bottom"/>
            <w:tcBorders>
              <w:bottom w:val="single" w:sz="8" w:color="B2B2B2"/>
            </w:tcBorders>
          </w:tcPr>
          <w:p>
            <w:pPr>
              <w:spacing w:after="0"/>
              <w:rPr>
                <w:sz w:val="24"/>
                <w:szCs w:val="24"/>
                <w:color w:val="auto"/>
              </w:rPr>
            </w:pPr>
          </w:p>
        </w:tc>
        <w:tc>
          <w:tcPr>
            <w:tcW w:w="1360" w:type="dxa"/>
            <w:vAlign w:val="bottom"/>
            <w:tcBorders>
              <w:bottom w:val="single" w:sz="8" w:color="B2B2B2"/>
            </w:tcBorders>
          </w:tcPr>
          <w:p>
            <w:pPr>
              <w:spacing w:after="0"/>
              <w:rPr>
                <w:sz w:val="24"/>
                <w:szCs w:val="24"/>
                <w:color w:val="auto"/>
              </w:rPr>
            </w:pPr>
          </w:p>
        </w:tc>
        <w:tc>
          <w:tcPr>
            <w:tcW w:w="1400" w:type="dxa"/>
            <w:vAlign w:val="bottom"/>
            <w:tcBorders>
              <w:bottom w:val="single" w:sz="8" w:color="B2B2B2"/>
            </w:tcBorders>
          </w:tcPr>
          <w:p>
            <w:pPr>
              <w:spacing w:after="0"/>
              <w:rPr>
                <w:sz w:val="24"/>
                <w:szCs w:val="24"/>
                <w:color w:val="auto"/>
              </w:rPr>
            </w:pPr>
          </w:p>
        </w:tc>
        <w:tc>
          <w:tcPr>
            <w:tcW w:w="1680" w:type="dxa"/>
            <w:vAlign w:val="bottom"/>
            <w:tcBorders>
              <w:bottom w:val="single" w:sz="8" w:color="B2B2B2"/>
            </w:tcBorders>
          </w:tcPr>
          <w:p>
            <w:pPr>
              <w:spacing w:after="0"/>
              <w:rPr>
                <w:sz w:val="24"/>
                <w:szCs w:val="24"/>
                <w:color w:val="auto"/>
              </w:rPr>
            </w:pPr>
          </w:p>
        </w:tc>
        <w:tc>
          <w:tcPr>
            <w:tcW w:w="1220" w:type="dxa"/>
            <w:vAlign w:val="bottom"/>
            <w:tcBorders>
              <w:bottom w:val="single" w:sz="8" w:color="B2B2B2"/>
            </w:tcBorders>
          </w:tcPr>
          <w:p>
            <w:pPr>
              <w:spacing w:after="0"/>
              <w:rPr>
                <w:sz w:val="24"/>
                <w:szCs w:val="24"/>
                <w:color w:val="auto"/>
              </w:rPr>
            </w:pPr>
          </w:p>
        </w:tc>
        <w:tc>
          <w:tcPr>
            <w:tcW w:w="1240" w:type="dxa"/>
            <w:vAlign w:val="bottom"/>
            <w:tcBorders>
              <w:bottom w:val="single" w:sz="8" w:color="B2B2B2"/>
            </w:tcBorders>
          </w:tcPr>
          <w:p>
            <w:pPr>
              <w:spacing w:after="0"/>
              <w:rPr>
                <w:sz w:val="24"/>
                <w:szCs w:val="24"/>
                <w:color w:val="auto"/>
              </w:rPr>
            </w:pPr>
          </w:p>
        </w:tc>
        <w:tc>
          <w:tcPr>
            <w:tcW w:w="1340" w:type="dxa"/>
            <w:vAlign w:val="bottom"/>
            <w:tcBorders>
              <w:bottom w:val="single" w:sz="8" w:color="B2B2B2"/>
            </w:tcBorders>
          </w:tcPr>
          <w:p>
            <w:pPr>
              <w:spacing w:after="0"/>
              <w:rPr>
                <w:sz w:val="24"/>
                <w:szCs w:val="24"/>
                <w:color w:val="auto"/>
              </w:rPr>
            </w:pPr>
          </w:p>
        </w:tc>
      </w:tr>
      <w:tr>
        <w:trPr>
          <w:trHeight w:val="290"/>
        </w:trPr>
        <w:tc>
          <w:tcPr>
            <w:tcW w:w="21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Alicia Boler Davis</w:t>
            </w:r>
          </w:p>
        </w:tc>
        <w:tc>
          <w:tcPr>
            <w:tcW w:w="860" w:type="dxa"/>
            <w:vAlign w:val="bottom"/>
            <w:tcBorders>
              <w:bottom w:val="single" w:sz="8" w:color="B2B2B2"/>
            </w:tcBorders>
          </w:tcPr>
          <w:p>
            <w:pPr>
              <w:spacing w:after="0"/>
              <w:rPr>
                <w:sz w:val="24"/>
                <w:szCs w:val="24"/>
                <w:color w:val="auto"/>
              </w:rPr>
            </w:pPr>
          </w:p>
        </w:tc>
        <w:tc>
          <w:tcPr>
            <w:tcW w:w="1360" w:type="dxa"/>
            <w:vAlign w:val="bottom"/>
            <w:tcBorders>
              <w:bottom w:val="single" w:sz="8" w:color="B2B2B2"/>
            </w:tcBorders>
          </w:tcPr>
          <w:p>
            <w:pPr>
              <w:spacing w:after="0"/>
              <w:rPr>
                <w:sz w:val="24"/>
                <w:szCs w:val="24"/>
                <w:color w:val="auto"/>
              </w:rPr>
            </w:pPr>
          </w:p>
        </w:tc>
        <w:tc>
          <w:tcPr>
            <w:tcW w:w="1400" w:type="dxa"/>
            <w:vAlign w:val="bottom"/>
            <w:tcBorders>
              <w:bottom w:val="single" w:sz="8" w:color="B2B2B2"/>
            </w:tcBorders>
          </w:tcPr>
          <w:p>
            <w:pPr>
              <w:spacing w:after="0"/>
              <w:rPr>
                <w:sz w:val="24"/>
                <w:szCs w:val="24"/>
                <w:color w:val="auto"/>
              </w:rPr>
            </w:pPr>
          </w:p>
        </w:tc>
        <w:tc>
          <w:tcPr>
            <w:tcW w:w="1680" w:type="dxa"/>
            <w:vAlign w:val="bottom"/>
            <w:tcBorders>
              <w:bottom w:val="single" w:sz="8" w:color="B2B2B2"/>
            </w:tcBorders>
          </w:tcPr>
          <w:p>
            <w:pPr>
              <w:spacing w:after="0"/>
              <w:rPr>
                <w:sz w:val="24"/>
                <w:szCs w:val="24"/>
                <w:color w:val="auto"/>
              </w:rPr>
            </w:pPr>
          </w:p>
        </w:tc>
        <w:tc>
          <w:tcPr>
            <w:tcW w:w="1220" w:type="dxa"/>
            <w:vAlign w:val="bottom"/>
            <w:tcBorders>
              <w:bottom w:val="single" w:sz="8" w:color="B2B2B2"/>
            </w:tcBorders>
          </w:tcPr>
          <w:p>
            <w:pPr>
              <w:spacing w:after="0"/>
              <w:rPr>
                <w:sz w:val="24"/>
                <w:szCs w:val="24"/>
                <w:color w:val="auto"/>
              </w:rPr>
            </w:pPr>
          </w:p>
        </w:tc>
        <w:tc>
          <w:tcPr>
            <w:tcW w:w="1240" w:type="dxa"/>
            <w:vAlign w:val="bottom"/>
            <w:tcBorders>
              <w:bottom w:val="single" w:sz="8" w:color="B2B2B2"/>
            </w:tcBorders>
          </w:tcPr>
          <w:p>
            <w:pPr>
              <w:spacing w:after="0"/>
              <w:rPr>
                <w:sz w:val="24"/>
                <w:szCs w:val="24"/>
                <w:color w:val="auto"/>
              </w:rPr>
            </w:pPr>
          </w:p>
        </w:tc>
        <w:tc>
          <w:tcPr>
            <w:tcW w:w="1340" w:type="dxa"/>
            <w:vAlign w:val="bottom"/>
            <w:tcBorders>
              <w:bottom w:val="single" w:sz="8" w:color="B2B2B2"/>
            </w:tcBorders>
          </w:tcPr>
          <w:p>
            <w:pPr>
              <w:spacing w:after="0"/>
              <w:rPr>
                <w:sz w:val="24"/>
                <w:szCs w:val="24"/>
                <w:color w:val="auto"/>
              </w:rPr>
            </w:pPr>
          </w:p>
        </w:tc>
      </w:tr>
      <w:tr>
        <w:trPr>
          <w:trHeight w:val="237"/>
        </w:trPr>
        <w:tc>
          <w:tcPr>
            <w:tcW w:w="21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James Dimon</w:t>
            </w:r>
          </w:p>
        </w:tc>
        <w:tc>
          <w:tcPr>
            <w:tcW w:w="860" w:type="dxa"/>
            <w:vAlign w:val="bottom"/>
            <w:tcBorders>
              <w:bottom w:val="single" w:sz="8" w:color="B2B2B2"/>
            </w:tcBorders>
          </w:tcPr>
          <w:p>
            <w:pPr>
              <w:spacing w:after="0"/>
              <w:rPr>
                <w:sz w:val="20"/>
                <w:szCs w:val="20"/>
                <w:color w:val="auto"/>
              </w:rPr>
            </w:pPr>
          </w:p>
        </w:tc>
        <w:tc>
          <w:tcPr>
            <w:tcW w:w="1360" w:type="dxa"/>
            <w:vAlign w:val="bottom"/>
            <w:tcBorders>
              <w:bottom w:val="single" w:sz="8" w:color="B2B2B2"/>
            </w:tcBorders>
          </w:tcPr>
          <w:p>
            <w:pPr>
              <w:spacing w:after="0"/>
              <w:rPr>
                <w:sz w:val="20"/>
                <w:szCs w:val="20"/>
                <w:color w:val="auto"/>
              </w:rPr>
            </w:pPr>
          </w:p>
        </w:tc>
        <w:tc>
          <w:tcPr>
            <w:tcW w:w="1400" w:type="dxa"/>
            <w:vAlign w:val="bottom"/>
            <w:tcBorders>
              <w:bottom w:val="single" w:sz="8" w:color="B2B2B2"/>
            </w:tcBorders>
          </w:tcPr>
          <w:p>
            <w:pPr>
              <w:spacing w:after="0"/>
              <w:rPr>
                <w:sz w:val="20"/>
                <w:szCs w:val="20"/>
                <w:color w:val="auto"/>
              </w:rPr>
            </w:pPr>
          </w:p>
        </w:tc>
        <w:tc>
          <w:tcPr>
            <w:tcW w:w="1680" w:type="dxa"/>
            <w:vAlign w:val="bottom"/>
            <w:tcBorders>
              <w:bottom w:val="single" w:sz="8" w:color="B2B2B2"/>
            </w:tcBorders>
          </w:tcPr>
          <w:p>
            <w:pPr>
              <w:spacing w:after="0"/>
              <w:rPr>
                <w:sz w:val="20"/>
                <w:szCs w:val="20"/>
                <w:color w:val="auto"/>
              </w:rPr>
            </w:pPr>
          </w:p>
        </w:tc>
        <w:tc>
          <w:tcPr>
            <w:tcW w:w="1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spacing w:after="0"/>
              <w:rPr>
                <w:sz w:val="20"/>
                <w:szCs w:val="20"/>
                <w:color w:val="auto"/>
              </w:rPr>
            </w:pPr>
          </w:p>
        </w:tc>
      </w:tr>
      <w:tr>
        <w:trPr>
          <w:trHeight w:val="290"/>
        </w:trPr>
        <w:tc>
          <w:tcPr>
            <w:tcW w:w="21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Alex Gorsky</w:t>
            </w:r>
          </w:p>
        </w:tc>
        <w:tc>
          <w:tcPr>
            <w:tcW w:w="860" w:type="dxa"/>
            <w:vAlign w:val="bottom"/>
            <w:tcBorders>
              <w:bottom w:val="single" w:sz="8" w:color="B2B2B2"/>
            </w:tcBorders>
          </w:tcPr>
          <w:p>
            <w:pPr>
              <w:spacing w:after="0"/>
              <w:rPr>
                <w:sz w:val="24"/>
                <w:szCs w:val="24"/>
                <w:color w:val="auto"/>
              </w:rPr>
            </w:pPr>
          </w:p>
        </w:tc>
        <w:tc>
          <w:tcPr>
            <w:tcW w:w="1360" w:type="dxa"/>
            <w:vAlign w:val="bottom"/>
            <w:tcBorders>
              <w:bottom w:val="single" w:sz="8" w:color="B2B2B2"/>
            </w:tcBorders>
          </w:tcPr>
          <w:p>
            <w:pPr>
              <w:spacing w:after="0"/>
              <w:rPr>
                <w:sz w:val="24"/>
                <w:szCs w:val="24"/>
                <w:color w:val="auto"/>
              </w:rPr>
            </w:pPr>
          </w:p>
        </w:tc>
        <w:tc>
          <w:tcPr>
            <w:tcW w:w="1400" w:type="dxa"/>
            <w:vAlign w:val="bottom"/>
            <w:tcBorders>
              <w:bottom w:val="single" w:sz="8" w:color="B2B2B2"/>
            </w:tcBorders>
          </w:tcPr>
          <w:p>
            <w:pPr>
              <w:spacing w:after="0"/>
              <w:rPr>
                <w:sz w:val="24"/>
                <w:szCs w:val="24"/>
                <w:color w:val="auto"/>
              </w:rPr>
            </w:pPr>
          </w:p>
        </w:tc>
        <w:tc>
          <w:tcPr>
            <w:tcW w:w="1680" w:type="dxa"/>
            <w:vAlign w:val="bottom"/>
            <w:tcBorders>
              <w:bottom w:val="single" w:sz="8" w:color="B2B2B2"/>
            </w:tcBorders>
          </w:tcPr>
          <w:p>
            <w:pPr>
              <w:spacing w:after="0"/>
              <w:rPr>
                <w:sz w:val="24"/>
                <w:szCs w:val="24"/>
                <w:color w:val="auto"/>
              </w:rPr>
            </w:pPr>
          </w:p>
        </w:tc>
        <w:tc>
          <w:tcPr>
            <w:tcW w:w="1220" w:type="dxa"/>
            <w:vAlign w:val="bottom"/>
            <w:tcBorders>
              <w:bottom w:val="single" w:sz="8" w:color="B2B2B2"/>
            </w:tcBorders>
          </w:tcPr>
          <w:p>
            <w:pPr>
              <w:spacing w:after="0"/>
              <w:rPr>
                <w:sz w:val="24"/>
                <w:szCs w:val="24"/>
                <w:color w:val="auto"/>
              </w:rPr>
            </w:pPr>
          </w:p>
        </w:tc>
        <w:tc>
          <w:tcPr>
            <w:tcW w:w="1240" w:type="dxa"/>
            <w:vAlign w:val="bottom"/>
            <w:tcBorders>
              <w:bottom w:val="single" w:sz="8" w:color="B2B2B2"/>
            </w:tcBorders>
          </w:tcPr>
          <w:p>
            <w:pPr>
              <w:spacing w:after="0"/>
              <w:rPr>
                <w:sz w:val="24"/>
                <w:szCs w:val="24"/>
                <w:color w:val="auto"/>
              </w:rPr>
            </w:pPr>
          </w:p>
        </w:tc>
        <w:tc>
          <w:tcPr>
            <w:tcW w:w="1340" w:type="dxa"/>
            <w:vAlign w:val="bottom"/>
            <w:tcBorders>
              <w:bottom w:val="single" w:sz="8" w:color="B2B2B2"/>
            </w:tcBorders>
          </w:tcPr>
          <w:p>
            <w:pPr>
              <w:spacing w:after="0"/>
              <w:rPr>
                <w:sz w:val="24"/>
                <w:szCs w:val="24"/>
                <w:color w:val="auto"/>
              </w:rPr>
            </w:pPr>
          </w:p>
        </w:tc>
      </w:tr>
      <w:tr>
        <w:trPr>
          <w:trHeight w:val="290"/>
        </w:trPr>
        <w:tc>
          <w:tcPr>
            <w:tcW w:w="21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Mellody Hobson</w:t>
            </w:r>
          </w:p>
        </w:tc>
        <w:tc>
          <w:tcPr>
            <w:tcW w:w="860" w:type="dxa"/>
            <w:vAlign w:val="bottom"/>
            <w:tcBorders>
              <w:bottom w:val="single" w:sz="8" w:color="B2B2B2"/>
            </w:tcBorders>
          </w:tcPr>
          <w:p>
            <w:pPr>
              <w:spacing w:after="0"/>
              <w:rPr>
                <w:sz w:val="24"/>
                <w:szCs w:val="24"/>
                <w:color w:val="auto"/>
              </w:rPr>
            </w:pPr>
          </w:p>
        </w:tc>
        <w:tc>
          <w:tcPr>
            <w:tcW w:w="1360" w:type="dxa"/>
            <w:vAlign w:val="bottom"/>
            <w:tcBorders>
              <w:bottom w:val="single" w:sz="8" w:color="B2B2B2"/>
            </w:tcBorders>
          </w:tcPr>
          <w:p>
            <w:pPr>
              <w:spacing w:after="0"/>
              <w:rPr>
                <w:sz w:val="24"/>
                <w:szCs w:val="24"/>
                <w:color w:val="auto"/>
              </w:rPr>
            </w:pPr>
          </w:p>
        </w:tc>
        <w:tc>
          <w:tcPr>
            <w:tcW w:w="1400" w:type="dxa"/>
            <w:vAlign w:val="bottom"/>
            <w:tcBorders>
              <w:bottom w:val="single" w:sz="8" w:color="B2B2B2"/>
            </w:tcBorders>
          </w:tcPr>
          <w:p>
            <w:pPr>
              <w:spacing w:after="0"/>
              <w:rPr>
                <w:sz w:val="24"/>
                <w:szCs w:val="24"/>
                <w:color w:val="auto"/>
              </w:rPr>
            </w:pPr>
          </w:p>
        </w:tc>
        <w:tc>
          <w:tcPr>
            <w:tcW w:w="1680" w:type="dxa"/>
            <w:vAlign w:val="bottom"/>
            <w:tcBorders>
              <w:bottom w:val="single" w:sz="8" w:color="B2B2B2"/>
            </w:tcBorders>
          </w:tcPr>
          <w:p>
            <w:pPr>
              <w:spacing w:after="0"/>
              <w:rPr>
                <w:sz w:val="24"/>
                <w:szCs w:val="24"/>
                <w:color w:val="auto"/>
              </w:rPr>
            </w:pPr>
          </w:p>
        </w:tc>
        <w:tc>
          <w:tcPr>
            <w:tcW w:w="1220" w:type="dxa"/>
            <w:vAlign w:val="bottom"/>
            <w:tcBorders>
              <w:bottom w:val="single" w:sz="8" w:color="B2B2B2"/>
            </w:tcBorders>
          </w:tcPr>
          <w:p>
            <w:pPr>
              <w:jc w:val="center"/>
              <w:ind w:right="24"/>
              <w:spacing w:after="0"/>
              <w:rPr>
                <w:sz w:val="20"/>
                <w:szCs w:val="20"/>
                <w:color w:val="auto"/>
              </w:rPr>
            </w:pPr>
            <w:r>
              <w:rPr>
                <w:rFonts w:ascii="Arial" w:cs="Arial" w:eastAsia="Arial" w:hAnsi="Arial"/>
                <w:sz w:val="16"/>
                <w:szCs w:val="16"/>
                <w:b w:val="1"/>
                <w:bCs w:val="1"/>
                <w:color w:val="8F5A39"/>
              </w:rPr>
              <w:t>C</w:t>
            </w:r>
          </w:p>
        </w:tc>
        <w:tc>
          <w:tcPr>
            <w:tcW w:w="1240" w:type="dxa"/>
            <w:vAlign w:val="bottom"/>
            <w:tcBorders>
              <w:bottom w:val="single" w:sz="8" w:color="B2B2B2"/>
            </w:tcBorders>
          </w:tcPr>
          <w:p>
            <w:pPr>
              <w:spacing w:after="0"/>
              <w:rPr>
                <w:sz w:val="24"/>
                <w:szCs w:val="24"/>
                <w:color w:val="auto"/>
              </w:rPr>
            </w:pPr>
          </w:p>
        </w:tc>
        <w:tc>
          <w:tcPr>
            <w:tcW w:w="1340" w:type="dxa"/>
            <w:vAlign w:val="bottom"/>
            <w:tcBorders>
              <w:bottom w:val="single" w:sz="8" w:color="B2B2B2"/>
            </w:tcBorders>
          </w:tcPr>
          <w:p>
            <w:pPr>
              <w:jc w:val="center"/>
              <w:ind w:left="42"/>
              <w:spacing w:after="0"/>
              <w:rPr>
                <w:sz w:val="20"/>
                <w:szCs w:val="20"/>
                <w:color w:val="auto"/>
              </w:rPr>
            </w:pPr>
            <w:r>
              <w:rPr>
                <w:rFonts w:ascii="Arial" w:cs="Arial" w:eastAsia="Arial" w:hAnsi="Arial"/>
                <w:sz w:val="16"/>
                <w:szCs w:val="16"/>
                <w:color w:val="auto"/>
                <w:w w:val="93"/>
              </w:rPr>
              <w:t>A</w:t>
            </w:r>
          </w:p>
        </w:tc>
      </w:tr>
      <w:tr>
        <w:trPr>
          <w:trHeight w:val="290"/>
        </w:trPr>
        <w:tc>
          <w:tcPr>
            <w:tcW w:w="21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Phebe N. Novakovic</w:t>
            </w:r>
          </w:p>
        </w:tc>
        <w:tc>
          <w:tcPr>
            <w:tcW w:w="860" w:type="dxa"/>
            <w:vAlign w:val="bottom"/>
            <w:tcBorders>
              <w:bottom w:val="single" w:sz="8" w:color="B2B2B2"/>
            </w:tcBorders>
          </w:tcPr>
          <w:p>
            <w:pPr>
              <w:spacing w:after="0"/>
              <w:rPr>
                <w:sz w:val="24"/>
                <w:szCs w:val="24"/>
                <w:color w:val="auto"/>
              </w:rPr>
            </w:pPr>
          </w:p>
        </w:tc>
        <w:tc>
          <w:tcPr>
            <w:tcW w:w="1360" w:type="dxa"/>
            <w:vAlign w:val="bottom"/>
            <w:tcBorders>
              <w:bottom w:val="single" w:sz="8" w:color="B2B2B2"/>
            </w:tcBorders>
          </w:tcPr>
          <w:p>
            <w:pPr>
              <w:spacing w:after="0"/>
              <w:rPr>
                <w:sz w:val="24"/>
                <w:szCs w:val="24"/>
                <w:color w:val="auto"/>
              </w:rPr>
            </w:pPr>
          </w:p>
        </w:tc>
        <w:tc>
          <w:tcPr>
            <w:tcW w:w="1400" w:type="dxa"/>
            <w:vAlign w:val="bottom"/>
            <w:tcBorders>
              <w:bottom w:val="single" w:sz="8" w:color="B2B2B2"/>
            </w:tcBorders>
          </w:tcPr>
          <w:p>
            <w:pPr>
              <w:spacing w:after="0"/>
              <w:rPr>
                <w:sz w:val="24"/>
                <w:szCs w:val="24"/>
                <w:color w:val="auto"/>
              </w:rPr>
            </w:pPr>
          </w:p>
        </w:tc>
        <w:tc>
          <w:tcPr>
            <w:tcW w:w="1680" w:type="dxa"/>
            <w:vAlign w:val="bottom"/>
            <w:tcBorders>
              <w:bottom w:val="single" w:sz="8" w:color="B2B2B2"/>
            </w:tcBorders>
          </w:tcPr>
          <w:p>
            <w:pPr>
              <w:spacing w:after="0"/>
              <w:rPr>
                <w:sz w:val="24"/>
                <w:szCs w:val="24"/>
                <w:color w:val="auto"/>
              </w:rPr>
            </w:pPr>
          </w:p>
        </w:tc>
        <w:tc>
          <w:tcPr>
            <w:tcW w:w="1220" w:type="dxa"/>
            <w:vAlign w:val="bottom"/>
            <w:tcBorders>
              <w:bottom w:val="single" w:sz="8" w:color="B2B2B2"/>
            </w:tcBorders>
          </w:tcPr>
          <w:p>
            <w:pPr>
              <w:spacing w:after="0"/>
              <w:rPr>
                <w:sz w:val="24"/>
                <w:szCs w:val="24"/>
                <w:color w:val="auto"/>
              </w:rPr>
            </w:pPr>
          </w:p>
        </w:tc>
        <w:tc>
          <w:tcPr>
            <w:tcW w:w="1240" w:type="dxa"/>
            <w:vAlign w:val="bottom"/>
            <w:tcBorders>
              <w:bottom w:val="single" w:sz="8" w:color="B2B2B2"/>
            </w:tcBorders>
          </w:tcPr>
          <w:p>
            <w:pPr>
              <w:spacing w:after="0"/>
              <w:rPr>
                <w:sz w:val="24"/>
                <w:szCs w:val="24"/>
                <w:color w:val="auto"/>
              </w:rPr>
            </w:pPr>
          </w:p>
        </w:tc>
        <w:tc>
          <w:tcPr>
            <w:tcW w:w="1340" w:type="dxa"/>
            <w:vAlign w:val="bottom"/>
            <w:tcBorders>
              <w:bottom w:val="single" w:sz="8" w:color="B2B2B2"/>
            </w:tcBorders>
          </w:tcPr>
          <w:p>
            <w:pPr>
              <w:spacing w:after="0"/>
              <w:rPr>
                <w:sz w:val="24"/>
                <w:szCs w:val="24"/>
                <w:color w:val="auto"/>
              </w:rPr>
            </w:pPr>
          </w:p>
        </w:tc>
      </w:tr>
      <w:tr>
        <w:trPr>
          <w:trHeight w:val="290"/>
        </w:trPr>
        <w:tc>
          <w:tcPr>
            <w:tcW w:w="21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Virginia M. Rometty</w:t>
            </w:r>
          </w:p>
        </w:tc>
        <w:tc>
          <w:tcPr>
            <w:tcW w:w="860" w:type="dxa"/>
            <w:vAlign w:val="bottom"/>
            <w:tcBorders>
              <w:bottom w:val="single" w:sz="8" w:color="B2B2B2"/>
            </w:tcBorders>
          </w:tcPr>
          <w:p>
            <w:pPr>
              <w:spacing w:after="0"/>
              <w:rPr>
                <w:sz w:val="24"/>
                <w:szCs w:val="24"/>
                <w:color w:val="auto"/>
              </w:rPr>
            </w:pPr>
          </w:p>
        </w:tc>
        <w:tc>
          <w:tcPr>
            <w:tcW w:w="1360" w:type="dxa"/>
            <w:vAlign w:val="bottom"/>
            <w:tcBorders>
              <w:bottom w:val="single" w:sz="8" w:color="B2B2B2"/>
            </w:tcBorders>
          </w:tcPr>
          <w:p>
            <w:pPr>
              <w:spacing w:after="0"/>
              <w:rPr>
                <w:sz w:val="24"/>
                <w:szCs w:val="24"/>
                <w:color w:val="auto"/>
              </w:rPr>
            </w:pPr>
          </w:p>
        </w:tc>
        <w:tc>
          <w:tcPr>
            <w:tcW w:w="1400" w:type="dxa"/>
            <w:vAlign w:val="bottom"/>
            <w:tcBorders>
              <w:bottom w:val="single" w:sz="8" w:color="B2B2B2"/>
            </w:tcBorders>
          </w:tcPr>
          <w:p>
            <w:pPr>
              <w:spacing w:after="0"/>
              <w:rPr>
                <w:sz w:val="24"/>
                <w:szCs w:val="24"/>
                <w:color w:val="auto"/>
              </w:rPr>
            </w:pPr>
          </w:p>
        </w:tc>
        <w:tc>
          <w:tcPr>
            <w:tcW w:w="1680" w:type="dxa"/>
            <w:vAlign w:val="bottom"/>
            <w:tcBorders>
              <w:bottom w:val="single" w:sz="8" w:color="B2B2B2"/>
            </w:tcBorders>
          </w:tcPr>
          <w:p>
            <w:pPr>
              <w:jc w:val="center"/>
              <w:spacing w:after="0"/>
              <w:rPr>
                <w:sz w:val="20"/>
                <w:szCs w:val="20"/>
                <w:color w:val="auto"/>
              </w:rPr>
            </w:pPr>
            <w:r>
              <w:rPr>
                <w:rFonts w:ascii="Arial" w:cs="Arial" w:eastAsia="Arial" w:hAnsi="Arial"/>
                <w:sz w:val="16"/>
                <w:szCs w:val="16"/>
                <w:b w:val="1"/>
                <w:bCs w:val="1"/>
                <w:color w:val="8F5A39"/>
                <w:w w:val="86"/>
              </w:rPr>
              <w:t>C</w:t>
            </w:r>
          </w:p>
        </w:tc>
        <w:tc>
          <w:tcPr>
            <w:tcW w:w="1220" w:type="dxa"/>
            <w:vAlign w:val="bottom"/>
            <w:tcBorders>
              <w:bottom w:val="single" w:sz="8" w:color="B2B2B2"/>
            </w:tcBorders>
          </w:tcPr>
          <w:p>
            <w:pPr>
              <w:spacing w:after="0"/>
              <w:rPr>
                <w:sz w:val="24"/>
                <w:szCs w:val="24"/>
                <w:color w:val="auto"/>
              </w:rPr>
            </w:pPr>
          </w:p>
        </w:tc>
        <w:tc>
          <w:tcPr>
            <w:tcW w:w="1240" w:type="dxa"/>
            <w:vAlign w:val="bottom"/>
            <w:tcBorders>
              <w:bottom w:val="single" w:sz="8" w:color="B2B2B2"/>
            </w:tcBorders>
          </w:tcPr>
          <w:p>
            <w:pPr>
              <w:spacing w:after="0"/>
              <w:rPr>
                <w:sz w:val="24"/>
                <w:szCs w:val="24"/>
                <w:color w:val="auto"/>
              </w:rPr>
            </w:pPr>
          </w:p>
        </w:tc>
        <w:tc>
          <w:tcPr>
            <w:tcW w:w="1340" w:type="dxa"/>
            <w:vAlign w:val="bottom"/>
            <w:tcBorders>
              <w:bottom w:val="single" w:sz="8" w:color="B2B2B2"/>
            </w:tcBorders>
          </w:tcPr>
          <w:p>
            <w:pPr>
              <w:jc w:val="center"/>
              <w:ind w:left="42"/>
              <w:spacing w:after="0"/>
              <w:rPr>
                <w:sz w:val="20"/>
                <w:szCs w:val="20"/>
                <w:color w:val="auto"/>
              </w:rPr>
            </w:pPr>
            <w:r>
              <w:rPr>
                <w:rFonts w:ascii="Arial" w:cs="Arial" w:eastAsia="Arial" w:hAnsi="Arial"/>
                <w:sz w:val="16"/>
                <w:szCs w:val="16"/>
                <w:color w:val="auto"/>
                <w:w w:val="93"/>
              </w:rPr>
              <w:t>A</w:t>
            </w:r>
          </w:p>
        </w:tc>
      </w:tr>
      <w:tr>
        <w:trPr>
          <w:trHeight w:val="291"/>
        </w:trPr>
        <w:tc>
          <w:tcPr>
            <w:tcW w:w="21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Brad D. Smith</w:t>
            </w:r>
          </w:p>
        </w:tc>
        <w:tc>
          <w:tcPr>
            <w:tcW w:w="860" w:type="dxa"/>
            <w:vAlign w:val="bottom"/>
            <w:tcBorders>
              <w:bottom w:val="single" w:sz="8" w:color="B2B2B2"/>
            </w:tcBorders>
          </w:tcPr>
          <w:p>
            <w:pPr>
              <w:spacing w:after="0"/>
              <w:rPr>
                <w:sz w:val="24"/>
                <w:szCs w:val="24"/>
                <w:color w:val="auto"/>
              </w:rPr>
            </w:pPr>
          </w:p>
        </w:tc>
        <w:tc>
          <w:tcPr>
            <w:tcW w:w="1360" w:type="dxa"/>
            <w:vAlign w:val="bottom"/>
            <w:tcBorders>
              <w:bottom w:val="single" w:sz="8" w:color="B2B2B2"/>
            </w:tcBorders>
          </w:tcPr>
          <w:p>
            <w:pPr>
              <w:spacing w:after="0"/>
              <w:rPr>
                <w:sz w:val="24"/>
                <w:szCs w:val="24"/>
                <w:color w:val="auto"/>
              </w:rPr>
            </w:pPr>
          </w:p>
        </w:tc>
        <w:tc>
          <w:tcPr>
            <w:tcW w:w="1400" w:type="dxa"/>
            <w:vAlign w:val="bottom"/>
            <w:tcBorders>
              <w:bottom w:val="single" w:sz="8" w:color="B2B2B2"/>
            </w:tcBorders>
          </w:tcPr>
          <w:p>
            <w:pPr>
              <w:spacing w:after="0"/>
              <w:rPr>
                <w:sz w:val="24"/>
                <w:szCs w:val="24"/>
                <w:color w:val="auto"/>
              </w:rPr>
            </w:pPr>
          </w:p>
        </w:tc>
        <w:tc>
          <w:tcPr>
            <w:tcW w:w="1680" w:type="dxa"/>
            <w:vAlign w:val="bottom"/>
            <w:tcBorders>
              <w:bottom w:val="single" w:sz="8" w:color="B2B2B2"/>
            </w:tcBorders>
          </w:tcPr>
          <w:p>
            <w:pPr>
              <w:spacing w:after="0"/>
              <w:rPr>
                <w:sz w:val="24"/>
                <w:szCs w:val="24"/>
                <w:color w:val="auto"/>
              </w:rPr>
            </w:pPr>
          </w:p>
        </w:tc>
        <w:tc>
          <w:tcPr>
            <w:tcW w:w="1220" w:type="dxa"/>
            <w:vAlign w:val="bottom"/>
            <w:tcBorders>
              <w:bottom w:val="single" w:sz="8" w:color="B2B2B2"/>
            </w:tcBorders>
          </w:tcPr>
          <w:p>
            <w:pPr>
              <w:spacing w:after="0"/>
              <w:rPr>
                <w:sz w:val="24"/>
                <w:szCs w:val="24"/>
                <w:color w:val="auto"/>
              </w:rPr>
            </w:pPr>
          </w:p>
        </w:tc>
        <w:tc>
          <w:tcPr>
            <w:tcW w:w="1240" w:type="dxa"/>
            <w:vAlign w:val="bottom"/>
            <w:tcBorders>
              <w:bottom w:val="single" w:sz="8" w:color="B2B2B2"/>
            </w:tcBorders>
          </w:tcPr>
          <w:p>
            <w:pPr>
              <w:spacing w:after="0"/>
              <w:rPr>
                <w:sz w:val="24"/>
                <w:szCs w:val="24"/>
                <w:color w:val="auto"/>
              </w:rPr>
            </w:pPr>
          </w:p>
        </w:tc>
        <w:tc>
          <w:tcPr>
            <w:tcW w:w="1340" w:type="dxa"/>
            <w:vAlign w:val="bottom"/>
            <w:tcBorders>
              <w:bottom w:val="single" w:sz="8" w:color="B2B2B2"/>
            </w:tcBorders>
          </w:tcPr>
          <w:p>
            <w:pPr>
              <w:spacing w:after="0"/>
              <w:rPr>
                <w:sz w:val="24"/>
                <w:szCs w:val="24"/>
                <w:color w:val="auto"/>
              </w:rPr>
            </w:pPr>
          </w:p>
        </w:tc>
      </w:tr>
      <w:tr>
        <w:trPr>
          <w:trHeight w:val="236"/>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8F5A39"/>
              </w:rPr>
              <w:t>Mark A. Weinberger</w:t>
            </w:r>
          </w:p>
        </w:tc>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8F5A39"/>
              </w:rPr>
              <w:t>C</w:t>
            </w:r>
          </w:p>
        </w:tc>
        <w:tc>
          <w:tcPr>
            <w:tcW w:w="1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341"/>
        </w:trPr>
        <w:tc>
          <w:tcPr>
            <w:tcW w:w="2140" w:type="dxa"/>
            <w:vAlign w:val="bottom"/>
          </w:tcPr>
          <w:p>
            <w:pPr>
              <w:ind w:left="480"/>
              <w:spacing w:after="0"/>
              <w:rPr>
                <w:sz w:val="20"/>
                <w:szCs w:val="20"/>
                <w:color w:val="auto"/>
              </w:rPr>
            </w:pPr>
            <w:r>
              <w:rPr>
                <w:rFonts w:ascii="Arial" w:cs="Arial" w:eastAsia="Arial" w:hAnsi="Arial"/>
                <w:sz w:val="16"/>
                <w:szCs w:val="16"/>
                <w:color w:val="auto"/>
              </w:rPr>
              <w:t>Member</w:t>
            </w:r>
          </w:p>
        </w:tc>
        <w:tc>
          <w:tcPr>
            <w:tcW w:w="860" w:type="dxa"/>
            <w:vAlign w:val="bottom"/>
          </w:tcPr>
          <w:p>
            <w:pPr>
              <w:ind w:left="580"/>
              <w:spacing w:after="0"/>
              <w:rPr>
                <w:sz w:val="20"/>
                <w:szCs w:val="20"/>
                <w:color w:val="auto"/>
              </w:rPr>
            </w:pPr>
            <w:r>
              <w:rPr>
                <w:rFonts w:ascii="Arial" w:cs="Arial" w:eastAsia="Arial" w:hAnsi="Arial"/>
                <w:sz w:val="16"/>
                <w:szCs w:val="16"/>
                <w:b w:val="1"/>
                <w:bCs w:val="1"/>
                <w:color w:val="8F5A39"/>
              </w:rPr>
              <w:t>C</w:t>
            </w:r>
          </w:p>
        </w:tc>
        <w:tc>
          <w:tcPr>
            <w:tcW w:w="1360" w:type="dxa"/>
            <w:vAlign w:val="bottom"/>
          </w:tcPr>
          <w:p>
            <w:pPr>
              <w:ind w:left="180"/>
              <w:spacing w:after="0"/>
              <w:rPr>
                <w:sz w:val="20"/>
                <w:szCs w:val="20"/>
                <w:color w:val="auto"/>
              </w:rPr>
            </w:pPr>
            <w:r>
              <w:rPr>
                <w:rFonts w:ascii="Arial" w:cs="Arial" w:eastAsia="Arial" w:hAnsi="Arial"/>
                <w:sz w:val="16"/>
                <w:szCs w:val="16"/>
                <w:color w:val="auto"/>
              </w:rPr>
              <w:t>Chair</w:t>
            </w: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-2300605</wp:posOffset>
            </wp:positionV>
            <wp:extent cx="93980" cy="946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-2103120</wp:posOffset>
            </wp:positionV>
            <wp:extent cx="93980" cy="946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-1906270</wp:posOffset>
            </wp:positionV>
            <wp:extent cx="94615" cy="946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-1906270</wp:posOffset>
            </wp:positionV>
            <wp:extent cx="93980" cy="946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-1708785</wp:posOffset>
            </wp:positionV>
            <wp:extent cx="93980" cy="939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-1708785</wp:posOffset>
            </wp:positionV>
            <wp:extent cx="93980" cy="939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-1348740</wp:posOffset>
            </wp:positionV>
            <wp:extent cx="94615" cy="939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-1348740</wp:posOffset>
            </wp:positionV>
            <wp:extent cx="93980" cy="939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-1151890</wp:posOffset>
            </wp:positionV>
            <wp:extent cx="93980" cy="939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-954405</wp:posOffset>
            </wp:positionV>
            <wp:extent cx="94615" cy="939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-954405</wp:posOffset>
            </wp:positionV>
            <wp:extent cx="93980" cy="939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-757555</wp:posOffset>
            </wp:positionV>
            <wp:extent cx="93980" cy="946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-560070</wp:posOffset>
            </wp:positionV>
            <wp:extent cx="93980" cy="946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-560070</wp:posOffset>
            </wp:positionV>
            <wp:extent cx="93980" cy="946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-131445</wp:posOffset>
            </wp:positionV>
            <wp:extent cx="93980" cy="946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321" w:lineRule="exact"/>
        <w:rPr>
          <w:sz w:val="20"/>
          <w:szCs w:val="20"/>
          <w:color w:val="auto"/>
        </w:rPr>
      </w:pPr>
    </w:p>
    <w:p>
      <w:pPr>
        <w:ind w:left="340" w:right="7940" w:hanging="332"/>
        <w:spacing w:after="0" w:line="213" w:lineRule="auto"/>
        <w:tabs>
          <w:tab w:leader="none" w:pos="216" w:val="left"/>
        </w:tabs>
        <w:numPr>
          <w:ilvl w:val="0"/>
          <w:numId w:val="118"/>
        </w:numPr>
        <w:rPr>
          <w:rFonts w:ascii="Arial" w:cs="Arial" w:eastAsia="Arial" w:hAnsi="Arial"/>
          <w:sz w:val="19"/>
          <w:szCs w:val="19"/>
          <w:color w:val="auto"/>
          <w:vertAlign w:val="superscript"/>
        </w:rPr>
      </w:pPr>
      <w:r>
        <w:rPr>
          <w:rFonts w:ascii="Arial" w:cs="Arial" w:eastAsia="Arial" w:hAnsi="Arial"/>
          <w:sz w:val="13"/>
          <w:szCs w:val="13"/>
          <w:color w:val="auto"/>
        </w:rPr>
        <w:t>The Board’s specific purpose committees in 2025 were: A – Markets Compliance Committee</w:t>
      </w:r>
    </w:p>
    <w:p>
      <w:pPr>
        <w:spacing w:after="0" w:line="80" w:lineRule="exact"/>
        <w:rPr>
          <w:sz w:val="20"/>
          <w:szCs w:val="20"/>
          <w:color w:val="auto"/>
        </w:rPr>
      </w:pPr>
    </w:p>
    <w:p>
      <w:pPr>
        <w:ind w:left="200" w:hanging="192"/>
        <w:spacing w:after="0"/>
        <w:tabs>
          <w:tab w:leader="none" w:pos="200" w:val="left"/>
        </w:tabs>
        <w:numPr>
          <w:ilvl w:val="0"/>
          <w:numId w:val="119"/>
        </w:numPr>
        <w:rPr>
          <w:rFonts w:ascii="Arial" w:cs="Arial" w:eastAsia="Arial" w:hAnsi="Arial"/>
          <w:sz w:val="19"/>
          <w:szCs w:val="19"/>
          <w:color w:val="auto"/>
          <w:vertAlign w:val="superscript"/>
        </w:rPr>
      </w:pPr>
      <w:r>
        <w:rPr>
          <w:rFonts w:ascii="Arial" w:cs="Arial" w:eastAsia="Arial" w:hAnsi="Arial"/>
          <w:sz w:val="13"/>
          <w:szCs w:val="13"/>
          <w:color w:val="auto"/>
        </w:rPr>
        <w:t>Lead Independent Director</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All directors of the Firm were elected by shareholders in 2025. All of the directors of the Firm comprise the full Boards of JPMorgan Chase Bank, National Association (the “Bank”) and an intermediate holding company, JPMorgan Chase Holdings LLC (the “IHC”). Mr. Burke is the independent Chair of the Board of the Bank; IHC does not have a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285115</wp:posOffset>
            </wp:positionV>
            <wp:extent cx="651510" cy="857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234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6"/>
                <w:szCs w:val="16"/>
                <w:color w:val="8F5A39"/>
              </w:rPr>
              <w:t>Director nominees</w:t>
            </w:r>
          </w:p>
        </w:tc>
        <w:tc>
          <w:tcPr>
            <w:tcW w:w="600" w:type="dxa"/>
            <w:vAlign w:val="bottom"/>
          </w:tcPr>
          <w:p>
            <w:pPr>
              <w:spacing w:after="0"/>
              <w:rPr>
                <w:sz w:val="24"/>
                <w:szCs w:val="24"/>
                <w:color w:val="auto"/>
              </w:rPr>
            </w:pPr>
          </w:p>
        </w:tc>
        <w:tc>
          <w:tcPr>
            <w:tcW w:w="234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Board governance</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40" w:type="dxa"/>
            <w:vAlign w:val="bottom"/>
            <w:tcBorders>
              <w:left w:val="single" w:sz="8" w:color="auto"/>
              <w:bottom w:val="single" w:sz="8" w:color="auto"/>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-213360</wp:posOffset>
            </wp:positionV>
            <wp:extent cx="120015" cy="939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-213360</wp:posOffset>
            </wp:positionV>
            <wp:extent cx="120015" cy="939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-213360</wp:posOffset>
            </wp:positionV>
            <wp:extent cx="120015" cy="939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Board and committee self-assessment</w:t>
      </w:r>
    </w:p>
    <w:p>
      <w:pPr>
        <w:spacing w:after="0" w:line="63"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The Board conducts an annual self-assessment aimed at enhancing its effectiveness. Through this practice, which includes an assessment of its policies, procedures and performance, the Board identifies areas for further consideration and improvement. In assessing itself, the Board takes a multi-year perspective. The Board self-assessment is guided by the Lead Independent Director and is conducted in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6083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5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SELF-ASSESSMENT FRAMEWORK</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Governance Committee reviews and provides feedback on the annual self-assessment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22371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BOARD AND COMMITTEE ASSESSMENTS</w:t>
      </w:r>
    </w:p>
    <w:p>
      <w:pPr>
        <w:spacing w:after="0" w:line="397" w:lineRule="exact"/>
        <w:rPr>
          <w:sz w:val="20"/>
          <w:szCs w:val="20"/>
          <w:color w:val="auto"/>
        </w:rPr>
      </w:pPr>
    </w:p>
    <w:p>
      <w:pPr>
        <w:ind w:left="160" w:right="200"/>
        <w:spacing w:after="0" w:line="301" w:lineRule="auto"/>
        <w:rPr>
          <w:sz w:val="20"/>
          <w:szCs w:val="20"/>
          <w:color w:val="auto"/>
        </w:rPr>
      </w:pPr>
      <w:r>
        <w:rPr>
          <w:rFonts w:ascii="Arial" w:cs="Arial" w:eastAsia="Arial" w:hAnsi="Arial"/>
          <w:sz w:val="16"/>
          <w:szCs w:val="16"/>
          <w:color w:val="auto"/>
        </w:rPr>
        <w:t>The Board reviews the actions taken in response to the previous year’s self-assessment and reviews the Board’s performance against regulatory requirements, including its responsibilities under the Office of the Comptroller of the Currency’s “Heightened Standards” for large national banks, as well as the Federal Reserve’s Supervisory Guidance on Board of Directors’ Effectiveness.</w:t>
      </w:r>
    </w:p>
    <w:p>
      <w:pPr>
        <w:spacing w:after="0" w:line="104" w:lineRule="exact"/>
        <w:rPr>
          <w:sz w:val="20"/>
          <w:szCs w:val="20"/>
          <w:color w:val="auto"/>
        </w:rPr>
      </w:pPr>
    </w:p>
    <w:p>
      <w:pPr>
        <w:ind w:left="160" w:right="400"/>
        <w:spacing w:after="0" w:line="292" w:lineRule="auto"/>
        <w:rPr>
          <w:sz w:val="20"/>
          <w:szCs w:val="20"/>
          <w:color w:val="auto"/>
        </w:rPr>
      </w:pPr>
      <w:r>
        <w:rPr>
          <w:rFonts w:ascii="Arial" w:cs="Arial" w:eastAsia="Arial" w:hAnsi="Arial"/>
          <w:sz w:val="16"/>
          <w:szCs w:val="16"/>
          <w:color w:val="auto"/>
        </w:rPr>
        <w:t>Topics addressed in the Board assessment generally include: strategic priorities; Board composition and structure; how the Board spends its time; oversight of and interaction with management; oversight of culture &amp; conduct; talent management and succession planning; committee effectiveness; and specific matters that may be relevant.</w:t>
      </w:r>
    </w:p>
    <w:p>
      <w:pPr>
        <w:spacing w:after="0" w:line="111" w:lineRule="exact"/>
        <w:rPr>
          <w:sz w:val="20"/>
          <w:szCs w:val="20"/>
          <w:color w:val="auto"/>
        </w:rPr>
      </w:pPr>
    </w:p>
    <w:p>
      <w:pPr>
        <w:ind w:left="160" w:right="600"/>
        <w:spacing w:after="0" w:line="301" w:lineRule="auto"/>
        <w:rPr>
          <w:sz w:val="20"/>
          <w:szCs w:val="20"/>
          <w:color w:val="auto"/>
        </w:rPr>
      </w:pPr>
      <w:r>
        <w:rPr>
          <w:rFonts w:ascii="Arial" w:cs="Arial" w:eastAsia="Arial" w:hAnsi="Arial"/>
          <w:sz w:val="16"/>
          <w:szCs w:val="16"/>
          <w:color w:val="auto"/>
        </w:rPr>
        <w:t>Each principal standing committee conducts a self-assessment that includes a review of performance against committee charter requirements and focuses on committee agenda planning and the flow of information received from management. Committee discussion topics include committee composition and effectiveness, leadership, and the content and quality of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1315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13157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83820</wp:posOffset>
            </wp:positionV>
            <wp:extent cx="93980" cy="1200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9398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ONE-ON-ONE DISCUSSIONS</w:t>
      </w:r>
    </w:p>
    <w:p>
      <w:pPr>
        <w:spacing w:after="0" w:line="397" w:lineRule="exact"/>
        <w:rPr>
          <w:sz w:val="20"/>
          <w:szCs w:val="20"/>
          <w:color w:val="auto"/>
        </w:rPr>
      </w:pPr>
    </w:p>
    <w:p>
      <w:pPr>
        <w:ind w:left="160" w:right="2840"/>
        <w:spacing w:after="0" w:line="321" w:lineRule="auto"/>
        <w:rPr>
          <w:sz w:val="20"/>
          <w:szCs w:val="20"/>
          <w:color w:val="auto"/>
        </w:rPr>
      </w:pPr>
      <w:r>
        <w:rPr>
          <w:rFonts w:ascii="Arial" w:cs="Arial" w:eastAsia="Arial" w:hAnsi="Arial"/>
          <w:sz w:val="16"/>
          <w:szCs w:val="16"/>
          <w:color w:val="auto"/>
        </w:rPr>
        <w:t>The directors hold private individual discussions with the General Counsel using a discussion guide that frames the self-assessment.</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General Counsel reviews feedback from the individual discussions with the Lead Independent Director and Chair/CEO.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32320" cy="11315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13157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217805</wp:posOffset>
            </wp:positionV>
            <wp:extent cx="93980" cy="1200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398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ACTION ITEMS</w:t>
      </w:r>
    </w:p>
    <w:p>
      <w:pPr>
        <w:spacing w:after="0" w:line="39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General Counsel and Lead Independent Director report the feedback received to the Board.</w:t>
      </w:r>
    </w:p>
    <w:p>
      <w:pPr>
        <w:spacing w:after="0" w:line="181" w:lineRule="exact"/>
        <w:rPr>
          <w:sz w:val="20"/>
          <w:szCs w:val="20"/>
          <w:color w:val="auto"/>
        </w:rPr>
      </w:pPr>
    </w:p>
    <w:p>
      <w:pPr>
        <w:ind w:left="160" w:right="260"/>
        <w:spacing w:after="0" w:line="321" w:lineRule="auto"/>
        <w:rPr>
          <w:sz w:val="20"/>
          <w:szCs w:val="20"/>
          <w:color w:val="auto"/>
        </w:rPr>
      </w:pPr>
      <w:r>
        <w:rPr>
          <w:rFonts w:ascii="Arial" w:cs="Arial" w:eastAsia="Arial" w:hAnsi="Arial"/>
          <w:sz w:val="16"/>
          <w:szCs w:val="16"/>
          <w:color w:val="auto"/>
        </w:rPr>
        <w:t>Appropriate action plans are developed to address the feedback received from the Board and committee assessments. Throughout the year, the Board and committees partner with management to execute and evaluate progress on action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510540</wp:posOffset>
            </wp:positionV>
            <wp:extent cx="651510" cy="857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26</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Director nominees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335"/>
        </w:trPr>
        <w:tc>
          <w:tcPr>
            <w:tcW w:w="234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6"/>
                <w:szCs w:val="16"/>
                <w:color w:val="8F5A39"/>
              </w:rPr>
              <w:t>Director nominees</w:t>
            </w:r>
          </w:p>
        </w:tc>
        <w:tc>
          <w:tcPr>
            <w:tcW w:w="600" w:type="dxa"/>
            <w:vAlign w:val="bottom"/>
          </w:tcPr>
          <w:p>
            <w:pPr>
              <w:spacing w:after="0"/>
              <w:rPr>
                <w:sz w:val="24"/>
                <w:szCs w:val="24"/>
                <w:color w:val="auto"/>
              </w:rPr>
            </w:pPr>
          </w:p>
        </w:tc>
        <w:tc>
          <w:tcPr>
            <w:tcW w:w="2340" w:type="dxa"/>
            <w:vAlign w:val="bottom"/>
            <w:tcBorders>
              <w:top w:val="single" w:sz="8" w:color="A6D7F0"/>
            </w:tcBorders>
            <w:shd w:val="clear" w:color="auto" w:fill="A6D7F0"/>
          </w:tcPr>
          <w:p>
            <w:pPr>
              <w:ind w:left="460"/>
              <w:spacing w:after="0"/>
              <w:rPr>
                <w:sz w:val="20"/>
                <w:szCs w:val="20"/>
                <w:color w:val="auto"/>
              </w:rPr>
            </w:pPr>
            <w:r>
              <w:rPr>
                <w:rFonts w:ascii="Arial" w:cs="Arial" w:eastAsia="Arial" w:hAnsi="Arial"/>
                <w:sz w:val="16"/>
                <w:szCs w:val="16"/>
                <w:b w:val="1"/>
                <w:bCs w:val="1"/>
                <w:color w:val="auto"/>
              </w:rPr>
              <w:t>Board governance</w:t>
            </w:r>
          </w:p>
        </w:tc>
        <w:tc>
          <w:tcPr>
            <w:tcW w:w="64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2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91"/>
        </w:trPr>
        <w:tc>
          <w:tcPr>
            <w:tcW w:w="2340" w:type="dxa"/>
            <w:vAlign w:val="bottom"/>
            <w:tcBorders>
              <w:left w:val="single" w:sz="8" w:color="auto"/>
              <w:bottom w:val="single" w:sz="8" w:color="auto"/>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2340" w:type="dxa"/>
            <w:vAlign w:val="bottom"/>
            <w:shd w:val="clear" w:color="auto" w:fill="A6D7F0"/>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-213360</wp:posOffset>
            </wp:positionV>
            <wp:extent cx="120015" cy="939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-213360</wp:posOffset>
            </wp:positionV>
            <wp:extent cx="120015" cy="939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-213360</wp:posOffset>
            </wp:positionV>
            <wp:extent cx="120015" cy="939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Director education</w:t>
      </w:r>
    </w:p>
    <w:p>
      <w:pPr>
        <w:spacing w:after="0" w:line="63"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Our director education program focuses on incorporating key strategic and important cross-business issues and is designed to assist Board members in fulfilling their responsibilities. The director education program commences with an orientation program when a new director joins the Board. Ongoing education for all directors is conducted throughout the year through “deep dive” presentations from LOBs, discussions and presentations by subject matter experts and other events. In 2025, directors participated in programs on a number of subjects, including:</w:t>
      </w:r>
    </w:p>
    <w:p>
      <w:pPr>
        <w:spacing w:after="0" w:line="113" w:lineRule="exact"/>
        <w:rPr>
          <w:sz w:val="20"/>
          <w:szCs w:val="20"/>
          <w:color w:val="auto"/>
        </w:rPr>
      </w:pPr>
    </w:p>
    <w:p>
      <w:pPr>
        <w:ind w:left="180" w:hanging="172"/>
        <w:spacing w:after="0"/>
        <w:tabs>
          <w:tab w:leader="none" w:pos="18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deep dive sessions from each LOB covering topics such as products, services, strategy and control environment;</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finance deep dives;</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geopolitical environment and related risks;</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sustainability and governance strategy and disclosures;</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key laws, regulations and supervisory requirements applicable to the Firm;</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significant and emerging risks;</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technology, AI and cybersecurity updates; and</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workforce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415290</wp:posOffset>
            </wp:positionV>
            <wp:extent cx="651510" cy="857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411"/>
        </w:trPr>
        <w:tc>
          <w:tcPr>
            <w:tcW w:w="234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6"/>
                <w:szCs w:val="16"/>
                <w:color w:val="8F5A39"/>
              </w:rPr>
              <w:t>Director nominees</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00" w:type="dxa"/>
            <w:vAlign w:val="bottom"/>
          </w:tcPr>
          <w:p>
            <w:pPr>
              <w:spacing w:after="0"/>
              <w:rPr>
                <w:sz w:val="24"/>
                <w:szCs w:val="24"/>
                <w:color w:val="auto"/>
              </w:rPr>
            </w:pPr>
          </w:p>
        </w:tc>
        <w:tc>
          <w:tcPr>
            <w:tcW w:w="2340" w:type="dxa"/>
            <w:vAlign w:val="bottom"/>
            <w:tcBorders>
              <w:top w:val="single" w:sz="8" w:color="A6D7F0"/>
            </w:tcBorders>
            <w:shd w:val="clear" w:color="auto" w:fill="A6D7F0"/>
          </w:tcPr>
          <w:p>
            <w:pPr>
              <w:ind w:left="540"/>
              <w:spacing w:after="0"/>
              <w:rPr>
                <w:sz w:val="20"/>
                <w:szCs w:val="20"/>
                <w:color w:val="auto"/>
              </w:rPr>
            </w:pPr>
            <w:r>
              <w:rPr>
                <w:rFonts w:ascii="Arial" w:cs="Arial" w:eastAsia="Arial" w:hAnsi="Arial"/>
                <w:sz w:val="16"/>
                <w:szCs w:val="16"/>
                <w:b w:val="1"/>
                <w:bCs w:val="1"/>
                <w:color w:val="auto"/>
              </w:rPr>
              <w:t>Board oversight</w:t>
            </w:r>
          </w:p>
        </w:tc>
        <w:tc>
          <w:tcPr>
            <w:tcW w:w="64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16"/>
        </w:trPr>
        <w:tc>
          <w:tcPr>
            <w:tcW w:w="2340" w:type="dxa"/>
            <w:vAlign w:val="bottom"/>
            <w:tcBorders>
              <w:left w:val="single" w:sz="8" w:color="auto"/>
              <w:bottom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340" w:type="dxa"/>
            <w:vAlign w:val="bottom"/>
            <w:shd w:val="clear" w:color="auto" w:fill="A6D7F0"/>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-213360</wp:posOffset>
            </wp:positionV>
            <wp:extent cx="120015" cy="939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-213360</wp:posOffset>
            </wp:positionV>
            <wp:extent cx="120015" cy="939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-213360</wp:posOffset>
            </wp:positionV>
            <wp:extent cx="120015" cy="939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163195</wp:posOffset>
            </wp:positionV>
            <wp:extent cx="8255" cy="4883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48831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20" w:hanging="1054"/>
        <w:spacing w:after="0"/>
        <w:tabs>
          <w:tab w:leader="none" w:pos="1220" w:val="left"/>
        </w:tabs>
        <w:numPr>
          <w:ilvl w:val="0"/>
          <w:numId w:val="121"/>
        </w:numPr>
        <w:rPr>
          <w:rFonts w:ascii="Arial" w:cs="Arial" w:eastAsia="Arial" w:hAnsi="Arial"/>
          <w:sz w:val="36"/>
          <w:szCs w:val="36"/>
          <w:color w:val="auto"/>
        </w:rPr>
      </w:pPr>
      <w:r>
        <w:rPr>
          <w:rFonts w:ascii="Arial" w:cs="Arial" w:eastAsia="Arial" w:hAnsi="Arial"/>
          <w:sz w:val="36"/>
          <w:szCs w:val="36"/>
          <w:color w:val="8F5A39"/>
        </w:rPr>
        <w:t>Board oversight</w:t>
      </w:r>
    </w:p>
    <w:p>
      <w:pPr>
        <w:spacing w:after="0" w:line="19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Board is responsible for oversight of the business and affairs of the Firm on behalf of shareholders. It is also responsible for setting the cultural “tone at the top.” Among its core responsibilities, the Board oversees:</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auto"/>
        </w:rPr>
        <w:t>Strategy</w:t>
      </w:r>
    </w:p>
    <w:p>
      <w:pPr>
        <w:spacing w:after="0" w:line="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Board of Directors oversees the formulation and implementation of the Firm’s strategic initiatives and reviews and approves the Firm’s annual strategic plan. The annual strategic plan includes evaluation of performance against the prior year’s initiatives, assessment of the current operating environment, refinement of existing strategies and development of new strategic initiatives. Throughout the year, the CEO and senior management provide updates on the Firm’s overall strategic direction, including updates on opportunities, performance, priorities and the implementation of strategies within their respective LOBs and Corporate functions. These management presentations are the foundation of active dialogue with, and feedback from, the Board about the strategic risks and opportunities facing the Firm and its businesses.</w:t>
      </w: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color w:val="auto"/>
        </w:rPr>
        <w:t>Executive performance, talent management and succession planning</w:t>
      </w:r>
    </w:p>
    <w:p>
      <w:pPr>
        <w:spacing w:after="0" w:line="49"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The CMDC reviews the Firm’s performance periodically during the course of the year, and formally, at least annually. The CMDC’s review of the CEO’s performance is presented to the Board in connection with the Board’s review of executive officer annual compensation.</w:t>
      </w:r>
    </w:p>
    <w:p>
      <w:pPr>
        <w:spacing w:after="0" w:line="88" w:lineRule="exact"/>
        <w:rPr>
          <w:sz w:val="20"/>
          <w:szCs w:val="20"/>
          <w:color w:val="auto"/>
        </w:rPr>
      </w:pPr>
    </w:p>
    <w:p>
      <w:pPr>
        <w:ind w:right="400"/>
        <w:spacing w:after="0" w:line="287" w:lineRule="auto"/>
        <w:rPr>
          <w:sz w:val="20"/>
          <w:szCs w:val="20"/>
          <w:color w:val="auto"/>
        </w:rPr>
      </w:pPr>
      <w:r>
        <w:rPr>
          <w:rFonts w:ascii="Arial" w:cs="Arial" w:eastAsia="Arial" w:hAnsi="Arial"/>
          <w:sz w:val="16"/>
          <w:szCs w:val="16"/>
          <w:color w:val="auto"/>
        </w:rPr>
        <w:t>In accordance with our Governance Principles, succession planning is considered at least annually by the Board. As a top Board priority, succession planning for the CEO is discussed regularly by the full Board. The CMDC reviews the succession plan for the CEO in preparation for discussion by the Board, with such discussion guided by the Lead Independent Director. These discussions occur with and without the CEO and include consideration of recommendations, evaluations and development plans for potential CEO successors, in addition to ongoing review of the Firm’s long-term strategy and analyses of CEO transitions at other companies, among other factors.</w:t>
      </w:r>
    </w:p>
    <w:p>
      <w:pPr>
        <w:spacing w:after="0" w:line="115"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The Board is focused on enabling an orderly CEO transition to take place in the medium-term. As part of succession planning, the Board continues to oversee management’s development of several Operating Committee members who are well-known to shareholders as strong potential candidates to succeed Mr. Dimon. Over the past several years, individual OC members and senior leaders have been provided with opportunities to gain exposure to different parts of the business and to deepen their leadership experience in new or expanded roles.</w:t>
      </w:r>
    </w:p>
    <w:p>
      <w:pPr>
        <w:spacing w:after="0" w:line="9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CMDC also periodically reviews the succession plan for members of the OC other than the CEO to build a robust talent pipeline for specific critical roles. The Board has numerous opportunities to meet with, and assess development plans for, members of the OC and other high-potential senior leaders. This occurs through various means, including informal meetings, presentations to the Board and its committees and Board dinners.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383540</wp:posOffset>
            </wp:positionV>
            <wp:extent cx="651510" cy="857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28</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8260"/>
        <w:spacing w:after="0"/>
        <w:rPr>
          <w:sz w:val="20"/>
          <w:szCs w:val="20"/>
          <w:color w:val="auto"/>
        </w:rPr>
      </w:pPr>
      <w:r>
        <w:rPr>
          <w:rFonts w:ascii="Arial" w:cs="Arial" w:eastAsia="Arial" w:hAnsi="Arial"/>
          <w:sz w:val="14"/>
          <w:szCs w:val="14"/>
          <w:color w:val="8F5A39"/>
        </w:rPr>
        <w:t xml:space="preserve">Board oversight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411"/>
        </w:trPr>
        <w:tc>
          <w:tcPr>
            <w:tcW w:w="234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6"/>
                <w:szCs w:val="16"/>
                <w:color w:val="8F5A39"/>
              </w:rPr>
              <w:t>Director nominees</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00" w:type="dxa"/>
            <w:vAlign w:val="bottom"/>
          </w:tcPr>
          <w:p>
            <w:pPr>
              <w:spacing w:after="0"/>
              <w:rPr>
                <w:sz w:val="24"/>
                <w:szCs w:val="24"/>
                <w:color w:val="auto"/>
              </w:rPr>
            </w:pPr>
          </w:p>
        </w:tc>
        <w:tc>
          <w:tcPr>
            <w:tcW w:w="2340" w:type="dxa"/>
            <w:vAlign w:val="bottom"/>
            <w:tcBorders>
              <w:top w:val="single" w:sz="8" w:color="A6D7F0"/>
            </w:tcBorders>
            <w:shd w:val="clear" w:color="auto" w:fill="A6D7F0"/>
          </w:tcPr>
          <w:p>
            <w:pPr>
              <w:ind w:left="540"/>
              <w:spacing w:after="0"/>
              <w:rPr>
                <w:sz w:val="20"/>
                <w:szCs w:val="20"/>
                <w:color w:val="auto"/>
              </w:rPr>
            </w:pPr>
            <w:r>
              <w:rPr>
                <w:rFonts w:ascii="Arial" w:cs="Arial" w:eastAsia="Arial" w:hAnsi="Arial"/>
                <w:sz w:val="16"/>
                <w:szCs w:val="16"/>
                <w:b w:val="1"/>
                <w:bCs w:val="1"/>
                <w:color w:val="auto"/>
              </w:rPr>
              <w:t>Board oversight</w:t>
            </w:r>
          </w:p>
        </w:tc>
        <w:tc>
          <w:tcPr>
            <w:tcW w:w="640" w:type="dxa"/>
            <w:vAlign w:val="bottom"/>
            <w:tcBorders>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6"/>
                <w:szCs w:val="16"/>
                <w:color w:val="8F5A39"/>
              </w:rPr>
              <w:t>Engagement</w:t>
            </w:r>
          </w:p>
        </w:tc>
      </w:tr>
      <w:tr>
        <w:trPr>
          <w:trHeight w:val="116"/>
        </w:trPr>
        <w:tc>
          <w:tcPr>
            <w:tcW w:w="2340" w:type="dxa"/>
            <w:vAlign w:val="bottom"/>
            <w:tcBorders>
              <w:left w:val="single" w:sz="8" w:color="auto"/>
              <w:bottom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340" w:type="dxa"/>
            <w:vAlign w:val="bottom"/>
            <w:shd w:val="clear" w:color="auto" w:fill="A6D7F0"/>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-213360</wp:posOffset>
            </wp:positionV>
            <wp:extent cx="120015" cy="939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-213360</wp:posOffset>
            </wp:positionV>
            <wp:extent cx="120015" cy="939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-213360</wp:posOffset>
            </wp:positionV>
            <wp:extent cx="120015" cy="939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Financial performance and condition</w:t>
      </w:r>
    </w:p>
    <w:p>
      <w:pPr>
        <w:spacing w:after="0" w:line="63"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Throughout the year, the Board reviews the Firm’s financial performance and condition, including overseeing management’s execution against the Firm’s capital, liquidity, strategic and financial operating plans.</w:t>
      </w:r>
    </w:p>
    <w:p>
      <w:pPr>
        <w:spacing w:after="0" w:line="8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Reports on the Firm’s financial performance and condition are presented at each regularly scheduled Board meeting. The Firm’s annual Comprehensive Capital Analysis and Review (“CCAR”) capital plan submission, which contains the Firm’s proposed plans to make capital distributions, such as dividend payments, stock repurchases and other capital actions, is reviewed and approved prior to its submission to the Federal Reserve. In addition, the Audit Committee assists the Board in the oversight of the Firm’s financial statements and internal control framework. The Audit Committee also assists the Board in the appointment, retention, compensation, evaluation and oversight of the Firm’s independent registered public accounting firm. For further information, see “Risk management and internal control framework” below.</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auto"/>
        </w:rPr>
        <w:t>Risk management and internal control framework</w:t>
      </w:r>
    </w:p>
    <w:p>
      <w:pPr>
        <w:spacing w:after="0" w:line="49"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Risk is an inherent part of JPMorganChase’s business activities. When the Firm extends a consumer or wholesale loan, advises customers and clients on their investment decisions, makes markets in securities, or offers other products or services, the Firm takes on some degree of risk. The Firm’s overall objective is to manage its business, and the associated risks, in a manner that balances serving the interests of its clients, customers and investors, and protecting the safety and soundness of the Firm.</w:t>
      </w:r>
    </w:p>
    <w:p>
      <w:pPr>
        <w:spacing w:after="0" w:line="94"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The Firm’s risk governance framework is managed on a firmwide basis. The Board of Directors oversees management’s strategic decisions, and the Risk Committee oversees Independent Risk Management (“IRM”) and the Firm’s risk governance framework. The full Board oversees cybersecurity risk and AI matters, with additional oversight of the relevant risk framework and controls provided by the Audit and Risk Committees. Board committees support the Board’s oversight responsibility by overseeing the risk categories related to such committee’s specific area of focus.</w:t>
      </w:r>
    </w:p>
    <w:p>
      <w:pPr>
        <w:spacing w:after="0" w:line="10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Committee chairs report significant matters discussed at committee meetings to the full Board. Issues escalated to the full Board may be dealt with in several ways, as appropriate, for example: oversight of risk may remain with the particular principal standing committee of the Board, the Board may establish or direct a specific purpose committee to oversee such matters, or the Board may ask management to present more frequently to the full Board on the issue.</w:t>
      </w: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color w:val="auto"/>
        </w:rPr>
        <w:t>Sustainability and governance matters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Oversight of sustainability and governance matters is part of the Board’s work in setting the policies and principles that govern our business, including:</w:t>
      </w:r>
    </w:p>
    <w:p>
      <w:pPr>
        <w:spacing w:after="0" w:line="113" w:lineRule="exact"/>
        <w:rPr>
          <w:sz w:val="20"/>
          <w:szCs w:val="20"/>
          <w:color w:val="auto"/>
        </w:rPr>
      </w:pPr>
    </w:p>
    <w:p>
      <w:pPr>
        <w:ind w:left="180" w:hanging="172"/>
        <w:spacing w:after="0"/>
        <w:tabs>
          <w:tab w:leader="none" w:pos="180"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the Firm’s governance-related policies and practices;</w:t>
      </w:r>
    </w:p>
    <w:p>
      <w:pPr>
        <w:spacing w:after="0" w:line="72" w:lineRule="exact"/>
        <w:rPr>
          <w:rFonts w:ascii="Arial" w:cs="Arial" w:eastAsia="Arial" w:hAnsi="Arial"/>
          <w:sz w:val="16"/>
          <w:szCs w:val="16"/>
          <w:b w:val="1"/>
          <w:bCs w:val="1"/>
          <w:color w:val="auto"/>
        </w:rPr>
      </w:pPr>
    </w:p>
    <w:p>
      <w:pPr>
        <w:ind w:left="180" w:hanging="172"/>
        <w:spacing w:after="0"/>
        <w:tabs>
          <w:tab w:leader="none" w:pos="180"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our systems of risk management and controls;</w:t>
      </w:r>
    </w:p>
    <w:p>
      <w:pPr>
        <w:spacing w:after="0" w:line="59" w:lineRule="exact"/>
        <w:rPr>
          <w:rFonts w:ascii="Arial" w:cs="Arial" w:eastAsia="Arial" w:hAnsi="Arial"/>
          <w:sz w:val="16"/>
          <w:szCs w:val="16"/>
          <w:b w:val="1"/>
          <w:bCs w:val="1"/>
          <w:color w:val="auto"/>
        </w:rPr>
      </w:pPr>
    </w:p>
    <w:p>
      <w:pPr>
        <w:ind w:left="180" w:hanging="172"/>
        <w:spacing w:after="0"/>
        <w:tabs>
          <w:tab w:leader="none" w:pos="180"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our investment in our employees;</w:t>
      </w:r>
    </w:p>
    <w:p>
      <w:pPr>
        <w:spacing w:after="0" w:line="59" w:lineRule="exact"/>
        <w:rPr>
          <w:rFonts w:ascii="Arial" w:cs="Arial" w:eastAsia="Arial" w:hAnsi="Arial"/>
          <w:sz w:val="16"/>
          <w:szCs w:val="16"/>
          <w:b w:val="1"/>
          <w:bCs w:val="1"/>
          <w:color w:val="auto"/>
        </w:rPr>
      </w:pPr>
    </w:p>
    <w:p>
      <w:pPr>
        <w:ind w:left="180" w:hanging="172"/>
        <w:spacing w:after="0"/>
        <w:tabs>
          <w:tab w:leader="none" w:pos="180"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the manner in which we serve our customers and support our communities; and</w:t>
      </w:r>
    </w:p>
    <w:p>
      <w:pPr>
        <w:spacing w:after="0" w:line="72" w:lineRule="exact"/>
        <w:rPr>
          <w:rFonts w:ascii="Arial" w:cs="Arial" w:eastAsia="Arial" w:hAnsi="Arial"/>
          <w:sz w:val="16"/>
          <w:szCs w:val="16"/>
          <w:b w:val="1"/>
          <w:bCs w:val="1"/>
          <w:color w:val="auto"/>
        </w:rPr>
      </w:pPr>
    </w:p>
    <w:p>
      <w:pPr>
        <w:ind w:left="180" w:hanging="172"/>
        <w:spacing w:after="0"/>
        <w:tabs>
          <w:tab w:leader="none" w:pos="180"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how we advance sustainability in our business and operations.</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Board committees each consider sustainability and governance matters within their scope of responsibility. The PRC provides oversight of the Firm’s positions and practices on public responsibility matters such as community investment, fair lending, consumer practices, sustainability and other public policy issues that reflect the Firm’s values and character and impact its reputation among its stakeholders. The CMDC oversees the Firm’s culture; the Risk Committee considers climate risk; the Governance Committee reviews board composition and also considers shareholder proposals; and the Audit Committee assists the Board in its oversight of compliance with the Firm’s ethical standards, policies, plans and procedures, and with laws and regulations. In the past year, Board and committee discussion topics included, among others, sustainability and governance strategy and disclosure. Additional information on Board committee oversight is available on our website at jpmorganchase.com/about/governance/committees.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373380</wp:posOffset>
            </wp:positionV>
            <wp:extent cx="651510" cy="857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411"/>
        </w:trPr>
        <w:tc>
          <w:tcPr>
            <w:tcW w:w="234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6"/>
                <w:szCs w:val="16"/>
                <w:color w:val="8F5A39"/>
              </w:rPr>
              <w:t>Director nominees</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00" w:type="dxa"/>
            <w:vAlign w:val="bottom"/>
          </w:tcPr>
          <w:p>
            <w:pPr>
              <w:spacing w:after="0"/>
              <w:rPr>
                <w:sz w:val="24"/>
                <w:szCs w:val="24"/>
                <w:color w:val="auto"/>
              </w:rPr>
            </w:pPr>
          </w:p>
        </w:tc>
        <w:tc>
          <w:tcPr>
            <w:tcW w:w="2360" w:type="dxa"/>
            <w:vAlign w:val="bottom"/>
            <w:tcBorders>
              <w:top w:val="single" w:sz="8" w:color="A6D7F0"/>
            </w:tcBorders>
            <w:shd w:val="clear" w:color="auto" w:fill="A6D7F0"/>
          </w:tcPr>
          <w:p>
            <w:pPr>
              <w:ind w:left="680"/>
              <w:spacing w:after="0"/>
              <w:rPr>
                <w:sz w:val="20"/>
                <w:szCs w:val="20"/>
                <w:color w:val="auto"/>
              </w:rPr>
            </w:pPr>
            <w:r>
              <w:rPr>
                <w:rFonts w:ascii="Arial" w:cs="Arial" w:eastAsia="Arial" w:hAnsi="Arial"/>
                <w:sz w:val="16"/>
                <w:szCs w:val="16"/>
                <w:b w:val="1"/>
                <w:bCs w:val="1"/>
                <w:color w:val="auto"/>
              </w:rPr>
              <w:t>Engagement</w:t>
            </w:r>
          </w:p>
        </w:tc>
      </w:tr>
      <w:tr>
        <w:trPr>
          <w:trHeight w:val="116"/>
        </w:trPr>
        <w:tc>
          <w:tcPr>
            <w:tcW w:w="2340" w:type="dxa"/>
            <w:vAlign w:val="bottom"/>
            <w:tcBorders>
              <w:left w:val="single" w:sz="8" w:color="auto"/>
              <w:bottom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360" w:type="dxa"/>
            <w:vAlign w:val="bottom"/>
            <w:shd w:val="clear" w:color="auto" w:fill="A6D7F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-213360</wp:posOffset>
            </wp:positionV>
            <wp:extent cx="120015" cy="939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-213360</wp:posOffset>
            </wp:positionV>
            <wp:extent cx="120015" cy="939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-213360</wp:posOffset>
            </wp:positionV>
            <wp:extent cx="120015" cy="939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163195</wp:posOffset>
            </wp:positionV>
            <wp:extent cx="8255" cy="4883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48831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20" w:hanging="1194"/>
        <w:spacing w:after="0"/>
        <w:tabs>
          <w:tab w:leader="none" w:pos="1220" w:val="left"/>
        </w:tabs>
        <w:numPr>
          <w:ilvl w:val="0"/>
          <w:numId w:val="123"/>
        </w:numPr>
        <w:rPr>
          <w:rFonts w:ascii="Arial" w:cs="Arial" w:eastAsia="Arial" w:hAnsi="Arial"/>
          <w:sz w:val="36"/>
          <w:szCs w:val="36"/>
          <w:color w:val="auto"/>
        </w:rPr>
      </w:pPr>
      <w:r>
        <w:rPr>
          <w:rFonts w:ascii="Arial" w:cs="Arial" w:eastAsia="Arial" w:hAnsi="Arial"/>
          <w:sz w:val="36"/>
          <w:szCs w:val="36"/>
          <w:color w:val="8F5A39"/>
        </w:rPr>
        <w:t>Engagement</w:t>
      </w:r>
    </w:p>
    <w:p>
      <w:pPr>
        <w:spacing w:after="0" w:line="177"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Our directors meet periodically throughout the year with the Firm’s shareholders, employees, regulators, community and business leaders, and other persons interested in our strategy, business practices, governance, culture and performance.</w:t>
      </w:r>
    </w:p>
    <w:p>
      <w:pPr>
        <w:spacing w:after="0" w:line="98" w:lineRule="exact"/>
        <w:rPr>
          <w:sz w:val="20"/>
          <w:szCs w:val="20"/>
          <w:color w:val="auto"/>
        </w:rPr>
      </w:pPr>
    </w:p>
    <w:p>
      <w:pPr>
        <w:spacing w:after="0"/>
        <w:rPr>
          <w:sz w:val="20"/>
          <w:szCs w:val="20"/>
          <w:color w:val="auto"/>
        </w:rPr>
      </w:pPr>
      <w:r>
        <w:rPr>
          <w:rFonts w:ascii="Arial" w:cs="Arial" w:eastAsia="Arial" w:hAnsi="Arial"/>
          <w:sz w:val="29"/>
          <w:szCs w:val="29"/>
          <w:color w:val="auto"/>
        </w:rPr>
        <w:t>Shareholders and other interested parties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We have an active and ongoing approach to engagement on a wide variety of topics throughout the year. Our engagement efforts are outlined below.</w:t>
      </w:r>
    </w:p>
    <w:p>
      <w:pPr>
        <w:spacing w:after="0" w:line="142" w:lineRule="exact"/>
        <w:rPr>
          <w:sz w:val="20"/>
          <w:szCs w:val="20"/>
          <w:color w:val="auto"/>
        </w:rPr>
      </w:pPr>
    </w:p>
    <w:p>
      <w:pPr>
        <w:ind w:left="440"/>
        <w:spacing w:after="0"/>
        <w:tabs>
          <w:tab w:leader="none" w:pos="3480" w:val="left"/>
          <w:tab w:leader="none" w:pos="8500" w:val="left"/>
        </w:tabs>
        <w:rPr>
          <w:sz w:val="20"/>
          <w:szCs w:val="20"/>
          <w:color w:val="auto"/>
        </w:rPr>
      </w:pPr>
      <w:r>
        <w:rPr>
          <w:rFonts w:ascii="Arial" w:cs="Arial" w:eastAsia="Arial" w:hAnsi="Arial"/>
          <w:sz w:val="16"/>
          <w:szCs w:val="16"/>
          <w:b w:val="1"/>
          <w:bCs w:val="1"/>
          <w:color w:val="auto"/>
        </w:rPr>
        <w:t>HOW WE COMMUNICATE:</w:t>
      </w:r>
      <w:r>
        <w:rPr>
          <w:sz w:val="20"/>
          <w:szCs w:val="20"/>
          <w:color w:val="auto"/>
        </w:rPr>
        <w:tab/>
      </w:r>
      <w:r>
        <w:rPr>
          <w:rFonts w:ascii="Arial" w:cs="Arial" w:eastAsia="Arial" w:hAnsi="Arial"/>
          <w:sz w:val="16"/>
          <w:szCs w:val="16"/>
          <w:b w:val="1"/>
          <w:bCs w:val="1"/>
          <w:color w:val="auto"/>
        </w:rPr>
        <w:t>WHO WE ENGAGE:</w:t>
      </w:r>
      <w:r>
        <w:rPr>
          <w:sz w:val="20"/>
          <w:szCs w:val="20"/>
          <w:color w:val="auto"/>
        </w:rPr>
        <w:tab/>
      </w:r>
      <w:r>
        <w:rPr>
          <w:rFonts w:ascii="Arial" w:cs="Arial" w:eastAsia="Arial" w:hAnsi="Arial"/>
          <w:sz w:val="16"/>
          <w:szCs w:val="16"/>
          <w:b w:val="1"/>
          <w:bCs w:val="1"/>
          <w:color w:val="auto"/>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40575" cy="57607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0575" cy="576072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7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360" w:type="dxa"/>
            <w:vAlign w:val="bottom"/>
            <w:shd w:val="clear" w:color="auto" w:fill="F4EFE7"/>
          </w:tcPr>
          <w:p>
            <w:pPr>
              <w:ind w:left="260"/>
              <w:spacing w:after="0"/>
              <w:rPr>
                <w:sz w:val="20"/>
                <w:szCs w:val="20"/>
                <w:color w:val="auto"/>
              </w:rPr>
            </w:pPr>
            <w:r>
              <w:rPr>
                <w:rFonts w:ascii="Arial" w:cs="Arial" w:eastAsia="Arial" w:hAnsi="Arial"/>
                <w:sz w:val="14"/>
                <w:szCs w:val="14"/>
                <w:b w:val="1"/>
                <w:bCs w:val="1"/>
                <w:color w:val="auto"/>
              </w:rPr>
              <w:t>•</w:t>
            </w:r>
          </w:p>
        </w:tc>
        <w:tc>
          <w:tcPr>
            <w:tcW w:w="2520" w:type="dxa"/>
            <w:vAlign w:val="bottom"/>
            <w:shd w:val="clear" w:color="auto" w:fill="F4EFE7"/>
          </w:tcPr>
          <w:p>
            <w:pPr>
              <w:ind w:left="60"/>
              <w:spacing w:after="0"/>
              <w:rPr>
                <w:sz w:val="20"/>
                <w:szCs w:val="20"/>
                <w:color w:val="auto"/>
              </w:rPr>
            </w:pPr>
            <w:r>
              <w:rPr>
                <w:rFonts w:ascii="Arial" w:cs="Arial" w:eastAsia="Arial" w:hAnsi="Arial"/>
                <w:sz w:val="14"/>
                <w:szCs w:val="14"/>
                <w:color w:val="auto"/>
              </w:rPr>
              <w:t>Annual Report</w:t>
            </w:r>
          </w:p>
        </w:tc>
        <w:tc>
          <w:tcPr>
            <w:tcW w:w="200" w:type="dxa"/>
            <w:vAlign w:val="bottom"/>
          </w:tcPr>
          <w:p>
            <w:pPr>
              <w:spacing w:after="0"/>
              <w:rPr>
                <w:sz w:val="23"/>
                <w:szCs w:val="23"/>
                <w:color w:val="auto"/>
              </w:rPr>
            </w:pPr>
          </w:p>
        </w:tc>
        <w:tc>
          <w:tcPr>
            <w:tcW w:w="360" w:type="dxa"/>
            <w:vAlign w:val="bottom"/>
            <w:shd w:val="clear" w:color="auto" w:fill="F4EFE7"/>
          </w:tcPr>
          <w:p>
            <w:pPr>
              <w:ind w:left="240"/>
              <w:spacing w:after="0"/>
              <w:rPr>
                <w:sz w:val="20"/>
                <w:szCs w:val="20"/>
                <w:color w:val="auto"/>
              </w:rPr>
            </w:pPr>
            <w:r>
              <w:rPr>
                <w:rFonts w:ascii="Arial" w:cs="Arial" w:eastAsia="Arial" w:hAnsi="Arial"/>
                <w:sz w:val="14"/>
                <w:szCs w:val="14"/>
                <w:b w:val="1"/>
                <w:bCs w:val="1"/>
                <w:color w:val="auto"/>
              </w:rPr>
              <w:t>•</w:t>
            </w:r>
          </w:p>
        </w:tc>
        <w:tc>
          <w:tcPr>
            <w:tcW w:w="4440" w:type="dxa"/>
            <w:vAlign w:val="bottom"/>
            <w:shd w:val="clear" w:color="auto" w:fill="F4EFE7"/>
          </w:tcPr>
          <w:p>
            <w:pPr>
              <w:ind w:left="60"/>
              <w:spacing w:after="0"/>
              <w:rPr>
                <w:sz w:val="20"/>
                <w:szCs w:val="20"/>
                <w:color w:val="auto"/>
              </w:rPr>
            </w:pPr>
            <w:r>
              <w:rPr>
                <w:rFonts w:ascii="Arial" w:cs="Arial" w:eastAsia="Arial" w:hAnsi="Arial"/>
                <w:sz w:val="14"/>
                <w:szCs w:val="14"/>
                <w:color w:val="auto"/>
              </w:rPr>
              <w:t>Community and business leaders and clients</w:t>
            </w:r>
          </w:p>
        </w:tc>
      </w:tr>
      <w:tr>
        <w:trPr>
          <w:trHeight w:val="148"/>
        </w:trPr>
        <w:tc>
          <w:tcPr>
            <w:tcW w:w="2880" w:type="dxa"/>
            <w:vAlign w:val="bottom"/>
            <w:gridSpan w:val="2"/>
            <w:shd w:val="clear" w:color="auto" w:fill="F4EFE7"/>
          </w:tcPr>
          <w:p>
            <w:pPr>
              <w:ind w:left="260"/>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Proxy statement and supplemental</w:t>
            </w:r>
          </w:p>
        </w:tc>
        <w:tc>
          <w:tcPr>
            <w:tcW w:w="200" w:type="dxa"/>
            <w:vAlign w:val="bottom"/>
          </w:tcPr>
          <w:p>
            <w:pPr>
              <w:spacing w:after="0"/>
              <w:rPr>
                <w:sz w:val="12"/>
                <w:szCs w:val="12"/>
                <w:color w:val="auto"/>
              </w:rPr>
            </w:pPr>
          </w:p>
        </w:tc>
        <w:tc>
          <w:tcPr>
            <w:tcW w:w="360" w:type="dxa"/>
            <w:vAlign w:val="bottom"/>
            <w:shd w:val="clear" w:color="auto" w:fill="F4EFE7"/>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4440" w:type="dxa"/>
            <w:vAlign w:val="bottom"/>
            <w:shd w:val="clear" w:color="auto" w:fill="F4EFE7"/>
          </w:tcPr>
          <w:p>
            <w:pPr>
              <w:ind w:left="60"/>
              <w:spacing w:after="0" w:line="149" w:lineRule="exact"/>
              <w:rPr>
                <w:sz w:val="20"/>
                <w:szCs w:val="20"/>
                <w:color w:val="auto"/>
              </w:rPr>
            </w:pPr>
            <w:r>
              <w:rPr>
                <w:rFonts w:ascii="Arial" w:cs="Arial" w:eastAsia="Arial" w:hAnsi="Arial"/>
                <w:sz w:val="14"/>
                <w:szCs w:val="14"/>
                <w:color w:val="auto"/>
              </w:rPr>
              <w:t>Institutional shareholders, including portfolio managers, investment</w:t>
            </w:r>
          </w:p>
        </w:tc>
      </w:tr>
      <w:tr>
        <w:trPr>
          <w:trHeight w:val="176"/>
        </w:trPr>
        <w:tc>
          <w:tcPr>
            <w:tcW w:w="360" w:type="dxa"/>
            <w:vAlign w:val="bottom"/>
            <w:shd w:val="clear" w:color="auto" w:fill="F4EFE7"/>
          </w:tcPr>
          <w:p>
            <w:pPr>
              <w:spacing w:after="0"/>
              <w:rPr>
                <w:sz w:val="15"/>
                <w:szCs w:val="15"/>
                <w:color w:val="auto"/>
              </w:rPr>
            </w:pPr>
          </w:p>
        </w:tc>
        <w:tc>
          <w:tcPr>
            <w:tcW w:w="2520" w:type="dxa"/>
            <w:vAlign w:val="bottom"/>
            <w:shd w:val="clear" w:color="auto" w:fill="F4EFE7"/>
          </w:tcPr>
          <w:p>
            <w:pPr>
              <w:ind w:left="80"/>
              <w:spacing w:after="0"/>
              <w:rPr>
                <w:sz w:val="20"/>
                <w:szCs w:val="20"/>
                <w:color w:val="auto"/>
              </w:rPr>
            </w:pPr>
            <w:r>
              <w:rPr>
                <w:rFonts w:ascii="Arial" w:cs="Arial" w:eastAsia="Arial" w:hAnsi="Arial"/>
                <w:sz w:val="14"/>
                <w:szCs w:val="14"/>
                <w:color w:val="auto"/>
              </w:rPr>
              <w:t>filings</w:t>
            </w:r>
          </w:p>
        </w:tc>
        <w:tc>
          <w:tcPr>
            <w:tcW w:w="200" w:type="dxa"/>
            <w:vAlign w:val="bottom"/>
          </w:tcPr>
          <w:p>
            <w:pPr>
              <w:spacing w:after="0"/>
              <w:rPr>
                <w:sz w:val="15"/>
                <w:szCs w:val="15"/>
                <w:color w:val="auto"/>
              </w:rPr>
            </w:pPr>
          </w:p>
        </w:tc>
        <w:tc>
          <w:tcPr>
            <w:tcW w:w="360" w:type="dxa"/>
            <w:vAlign w:val="bottom"/>
            <w:shd w:val="clear" w:color="auto" w:fill="F4EFE7"/>
          </w:tcPr>
          <w:p>
            <w:pPr>
              <w:spacing w:after="0"/>
              <w:rPr>
                <w:sz w:val="15"/>
                <w:szCs w:val="15"/>
                <w:color w:val="auto"/>
              </w:rPr>
            </w:pPr>
          </w:p>
        </w:tc>
        <w:tc>
          <w:tcPr>
            <w:tcW w:w="4440" w:type="dxa"/>
            <w:vAlign w:val="bottom"/>
            <w:shd w:val="clear" w:color="auto" w:fill="F4EFE7"/>
          </w:tcPr>
          <w:p>
            <w:pPr>
              <w:ind w:left="80"/>
              <w:spacing w:after="0"/>
              <w:rPr>
                <w:sz w:val="20"/>
                <w:szCs w:val="20"/>
                <w:color w:val="auto"/>
              </w:rPr>
            </w:pPr>
            <w:r>
              <w:rPr>
                <w:rFonts w:ascii="Arial" w:cs="Arial" w:eastAsia="Arial" w:hAnsi="Arial"/>
                <w:sz w:val="14"/>
                <w:szCs w:val="14"/>
                <w:color w:val="auto"/>
              </w:rPr>
              <w:t>analysts and stewardship teams</w:t>
            </w:r>
          </w:p>
        </w:tc>
      </w:tr>
      <w:tr>
        <w:trPr>
          <w:trHeight w:val="175"/>
        </w:trPr>
        <w:tc>
          <w:tcPr>
            <w:tcW w:w="360" w:type="dxa"/>
            <w:vAlign w:val="bottom"/>
            <w:shd w:val="clear" w:color="auto" w:fill="F4EFE7"/>
          </w:tcPr>
          <w:p>
            <w:pPr>
              <w:ind w:left="260"/>
              <w:spacing w:after="0"/>
              <w:rPr>
                <w:sz w:val="20"/>
                <w:szCs w:val="20"/>
                <w:color w:val="auto"/>
              </w:rPr>
            </w:pPr>
            <w:r>
              <w:rPr>
                <w:rFonts w:ascii="Arial" w:cs="Arial" w:eastAsia="Arial" w:hAnsi="Arial"/>
                <w:sz w:val="14"/>
                <w:szCs w:val="14"/>
                <w:b w:val="1"/>
                <w:bCs w:val="1"/>
                <w:color w:val="auto"/>
              </w:rPr>
              <w:t>•</w:t>
            </w:r>
          </w:p>
        </w:tc>
        <w:tc>
          <w:tcPr>
            <w:tcW w:w="2520" w:type="dxa"/>
            <w:vAlign w:val="bottom"/>
            <w:shd w:val="clear" w:color="auto" w:fill="F4EFE7"/>
          </w:tcPr>
          <w:p>
            <w:pPr>
              <w:ind w:left="60"/>
              <w:spacing w:after="0"/>
              <w:rPr>
                <w:sz w:val="20"/>
                <w:szCs w:val="20"/>
                <w:color w:val="auto"/>
              </w:rPr>
            </w:pPr>
            <w:r>
              <w:rPr>
                <w:rFonts w:ascii="Arial" w:cs="Arial" w:eastAsia="Arial" w:hAnsi="Arial"/>
                <w:sz w:val="14"/>
                <w:szCs w:val="14"/>
                <w:color w:val="auto"/>
              </w:rPr>
              <w:t>SEC filings</w:t>
            </w:r>
          </w:p>
        </w:tc>
        <w:tc>
          <w:tcPr>
            <w:tcW w:w="200" w:type="dxa"/>
            <w:vAlign w:val="bottom"/>
          </w:tcPr>
          <w:p>
            <w:pPr>
              <w:spacing w:after="0"/>
              <w:rPr>
                <w:sz w:val="15"/>
                <w:szCs w:val="15"/>
                <w:color w:val="auto"/>
              </w:rPr>
            </w:pPr>
          </w:p>
        </w:tc>
        <w:tc>
          <w:tcPr>
            <w:tcW w:w="360" w:type="dxa"/>
            <w:vAlign w:val="bottom"/>
            <w:shd w:val="clear" w:color="auto" w:fill="F4EFE7"/>
          </w:tcPr>
          <w:p>
            <w:pPr>
              <w:ind w:left="240"/>
              <w:spacing w:after="0"/>
              <w:rPr>
                <w:sz w:val="20"/>
                <w:szCs w:val="20"/>
                <w:color w:val="auto"/>
              </w:rPr>
            </w:pPr>
            <w:r>
              <w:rPr>
                <w:rFonts w:ascii="Arial" w:cs="Arial" w:eastAsia="Arial" w:hAnsi="Arial"/>
                <w:sz w:val="14"/>
                <w:szCs w:val="14"/>
                <w:b w:val="1"/>
                <w:bCs w:val="1"/>
                <w:color w:val="auto"/>
              </w:rPr>
              <w:t>•</w:t>
            </w:r>
          </w:p>
        </w:tc>
        <w:tc>
          <w:tcPr>
            <w:tcW w:w="4440" w:type="dxa"/>
            <w:vAlign w:val="bottom"/>
            <w:shd w:val="clear" w:color="auto" w:fill="F4EFE7"/>
          </w:tcPr>
          <w:p>
            <w:pPr>
              <w:ind w:left="60"/>
              <w:spacing w:after="0"/>
              <w:rPr>
                <w:sz w:val="20"/>
                <w:szCs w:val="20"/>
                <w:color w:val="auto"/>
              </w:rPr>
            </w:pPr>
            <w:r>
              <w:rPr>
                <w:rFonts w:ascii="Arial" w:cs="Arial" w:eastAsia="Arial" w:hAnsi="Arial"/>
                <w:sz w:val="14"/>
                <w:szCs w:val="14"/>
                <w:color w:val="auto"/>
              </w:rPr>
              <w:t>Retail shareholders</w:t>
            </w:r>
          </w:p>
        </w:tc>
      </w:tr>
      <w:tr>
        <w:trPr>
          <w:trHeight w:val="189"/>
        </w:trPr>
        <w:tc>
          <w:tcPr>
            <w:tcW w:w="360" w:type="dxa"/>
            <w:vAlign w:val="bottom"/>
            <w:shd w:val="clear" w:color="auto" w:fill="F4EFE7"/>
          </w:tcPr>
          <w:p>
            <w:pPr>
              <w:ind w:left="260"/>
              <w:spacing w:after="0"/>
              <w:rPr>
                <w:sz w:val="20"/>
                <w:szCs w:val="20"/>
                <w:color w:val="auto"/>
              </w:rPr>
            </w:pPr>
            <w:r>
              <w:rPr>
                <w:rFonts w:ascii="Arial" w:cs="Arial" w:eastAsia="Arial" w:hAnsi="Arial"/>
                <w:sz w:val="14"/>
                <w:szCs w:val="14"/>
                <w:b w:val="1"/>
                <w:bCs w:val="1"/>
                <w:color w:val="auto"/>
              </w:rPr>
              <w:t>•</w:t>
            </w:r>
          </w:p>
        </w:tc>
        <w:tc>
          <w:tcPr>
            <w:tcW w:w="2520" w:type="dxa"/>
            <w:vAlign w:val="bottom"/>
            <w:shd w:val="clear" w:color="auto" w:fill="F4EFE7"/>
          </w:tcPr>
          <w:p>
            <w:pPr>
              <w:ind w:left="60"/>
              <w:spacing w:after="0"/>
              <w:rPr>
                <w:sz w:val="20"/>
                <w:szCs w:val="20"/>
                <w:color w:val="auto"/>
              </w:rPr>
            </w:pPr>
            <w:r>
              <w:rPr>
                <w:rFonts w:ascii="Arial" w:cs="Arial" w:eastAsia="Arial" w:hAnsi="Arial"/>
                <w:sz w:val="14"/>
                <w:szCs w:val="14"/>
                <w:color w:val="auto"/>
              </w:rPr>
              <w:t>Earnings materials</w:t>
            </w:r>
          </w:p>
        </w:tc>
        <w:tc>
          <w:tcPr>
            <w:tcW w:w="200" w:type="dxa"/>
            <w:vAlign w:val="bottom"/>
          </w:tcPr>
          <w:p>
            <w:pPr>
              <w:spacing w:after="0"/>
              <w:rPr>
                <w:sz w:val="16"/>
                <w:szCs w:val="16"/>
                <w:color w:val="auto"/>
              </w:rPr>
            </w:pPr>
          </w:p>
        </w:tc>
        <w:tc>
          <w:tcPr>
            <w:tcW w:w="360" w:type="dxa"/>
            <w:vAlign w:val="bottom"/>
            <w:shd w:val="clear" w:color="auto" w:fill="F4EFE7"/>
          </w:tcPr>
          <w:p>
            <w:pPr>
              <w:ind w:left="240"/>
              <w:spacing w:after="0"/>
              <w:rPr>
                <w:sz w:val="20"/>
                <w:szCs w:val="20"/>
                <w:color w:val="auto"/>
              </w:rPr>
            </w:pPr>
            <w:r>
              <w:rPr>
                <w:rFonts w:ascii="Arial" w:cs="Arial" w:eastAsia="Arial" w:hAnsi="Arial"/>
                <w:sz w:val="14"/>
                <w:szCs w:val="14"/>
                <w:b w:val="1"/>
                <w:bCs w:val="1"/>
                <w:color w:val="auto"/>
              </w:rPr>
              <w:t>•</w:t>
            </w:r>
          </w:p>
        </w:tc>
        <w:tc>
          <w:tcPr>
            <w:tcW w:w="4440" w:type="dxa"/>
            <w:vAlign w:val="bottom"/>
            <w:shd w:val="clear" w:color="auto" w:fill="F4EFE7"/>
          </w:tcPr>
          <w:p>
            <w:pPr>
              <w:ind w:left="60"/>
              <w:spacing w:after="0"/>
              <w:rPr>
                <w:sz w:val="20"/>
                <w:szCs w:val="20"/>
                <w:color w:val="auto"/>
              </w:rPr>
            </w:pPr>
            <w:r>
              <w:rPr>
                <w:rFonts w:ascii="Arial" w:cs="Arial" w:eastAsia="Arial" w:hAnsi="Arial"/>
                <w:sz w:val="14"/>
                <w:szCs w:val="14"/>
                <w:color w:val="auto"/>
              </w:rPr>
              <w:t>Fixed income investors and analysts</w:t>
            </w:r>
          </w:p>
        </w:tc>
      </w:tr>
      <w:tr>
        <w:trPr>
          <w:trHeight w:val="176"/>
        </w:trPr>
        <w:tc>
          <w:tcPr>
            <w:tcW w:w="360" w:type="dxa"/>
            <w:vAlign w:val="bottom"/>
            <w:shd w:val="clear" w:color="auto" w:fill="F4EFE7"/>
          </w:tcPr>
          <w:p>
            <w:pPr>
              <w:ind w:left="260"/>
              <w:spacing w:after="0"/>
              <w:rPr>
                <w:sz w:val="20"/>
                <w:szCs w:val="20"/>
                <w:color w:val="auto"/>
              </w:rPr>
            </w:pPr>
            <w:r>
              <w:rPr>
                <w:rFonts w:ascii="Arial" w:cs="Arial" w:eastAsia="Arial" w:hAnsi="Arial"/>
                <w:sz w:val="14"/>
                <w:szCs w:val="14"/>
                <w:b w:val="1"/>
                <w:bCs w:val="1"/>
                <w:color w:val="auto"/>
              </w:rPr>
              <w:t>•</w:t>
            </w:r>
          </w:p>
        </w:tc>
        <w:tc>
          <w:tcPr>
            <w:tcW w:w="2520" w:type="dxa"/>
            <w:vAlign w:val="bottom"/>
            <w:shd w:val="clear" w:color="auto" w:fill="F4EFE7"/>
          </w:tcPr>
          <w:p>
            <w:pPr>
              <w:ind w:left="60"/>
              <w:spacing w:after="0"/>
              <w:rPr>
                <w:sz w:val="20"/>
                <w:szCs w:val="20"/>
                <w:color w:val="auto"/>
              </w:rPr>
            </w:pPr>
            <w:r>
              <w:rPr>
                <w:rFonts w:ascii="Arial" w:cs="Arial" w:eastAsia="Arial" w:hAnsi="Arial"/>
                <w:sz w:val="14"/>
                <w:szCs w:val="14"/>
                <w:color w:val="auto"/>
              </w:rPr>
              <w:t>Press releases</w:t>
            </w:r>
          </w:p>
        </w:tc>
        <w:tc>
          <w:tcPr>
            <w:tcW w:w="200" w:type="dxa"/>
            <w:vAlign w:val="bottom"/>
          </w:tcPr>
          <w:p>
            <w:pPr>
              <w:spacing w:after="0"/>
              <w:rPr>
                <w:sz w:val="15"/>
                <w:szCs w:val="15"/>
                <w:color w:val="auto"/>
              </w:rPr>
            </w:pPr>
          </w:p>
        </w:tc>
        <w:tc>
          <w:tcPr>
            <w:tcW w:w="360" w:type="dxa"/>
            <w:vAlign w:val="bottom"/>
            <w:shd w:val="clear" w:color="auto" w:fill="F4EFE7"/>
          </w:tcPr>
          <w:p>
            <w:pPr>
              <w:ind w:left="240"/>
              <w:spacing w:after="0"/>
              <w:rPr>
                <w:sz w:val="20"/>
                <w:szCs w:val="20"/>
                <w:color w:val="auto"/>
              </w:rPr>
            </w:pPr>
            <w:r>
              <w:rPr>
                <w:rFonts w:ascii="Arial" w:cs="Arial" w:eastAsia="Arial" w:hAnsi="Arial"/>
                <w:sz w:val="14"/>
                <w:szCs w:val="14"/>
                <w:b w:val="1"/>
                <w:bCs w:val="1"/>
                <w:color w:val="auto"/>
              </w:rPr>
              <w:t>•</w:t>
            </w:r>
          </w:p>
        </w:tc>
        <w:tc>
          <w:tcPr>
            <w:tcW w:w="4440" w:type="dxa"/>
            <w:vAlign w:val="bottom"/>
            <w:shd w:val="clear" w:color="auto" w:fill="F4EFE7"/>
          </w:tcPr>
          <w:p>
            <w:pPr>
              <w:ind w:left="60"/>
              <w:spacing w:after="0"/>
              <w:rPr>
                <w:sz w:val="20"/>
                <w:szCs w:val="20"/>
                <w:color w:val="auto"/>
              </w:rPr>
            </w:pPr>
            <w:r>
              <w:rPr>
                <w:rFonts w:ascii="Arial" w:cs="Arial" w:eastAsia="Arial" w:hAnsi="Arial"/>
                <w:sz w:val="14"/>
                <w:szCs w:val="14"/>
                <w:color w:val="auto"/>
              </w:rPr>
              <w:t>Sell side and financials-focused analysts</w:t>
            </w:r>
          </w:p>
        </w:tc>
      </w:tr>
      <w:tr>
        <w:trPr>
          <w:trHeight w:val="175"/>
        </w:trPr>
        <w:tc>
          <w:tcPr>
            <w:tcW w:w="360" w:type="dxa"/>
            <w:vAlign w:val="bottom"/>
            <w:shd w:val="clear" w:color="auto" w:fill="F4EFE7"/>
          </w:tcPr>
          <w:p>
            <w:pPr>
              <w:ind w:left="260"/>
              <w:spacing w:after="0"/>
              <w:rPr>
                <w:sz w:val="20"/>
                <w:szCs w:val="20"/>
                <w:color w:val="auto"/>
              </w:rPr>
            </w:pPr>
            <w:r>
              <w:rPr>
                <w:rFonts w:ascii="Arial" w:cs="Arial" w:eastAsia="Arial" w:hAnsi="Arial"/>
                <w:sz w:val="14"/>
                <w:szCs w:val="14"/>
                <w:b w:val="1"/>
                <w:bCs w:val="1"/>
                <w:color w:val="auto"/>
              </w:rPr>
              <w:t>•</w:t>
            </w:r>
          </w:p>
        </w:tc>
        <w:tc>
          <w:tcPr>
            <w:tcW w:w="2520" w:type="dxa"/>
            <w:vAlign w:val="bottom"/>
            <w:shd w:val="clear" w:color="auto" w:fill="F4EFE7"/>
          </w:tcPr>
          <w:p>
            <w:pPr>
              <w:ind w:left="60"/>
              <w:spacing w:after="0"/>
              <w:rPr>
                <w:sz w:val="20"/>
                <w:szCs w:val="20"/>
                <w:color w:val="auto"/>
              </w:rPr>
            </w:pPr>
            <w:r>
              <w:rPr>
                <w:rFonts w:ascii="Arial" w:cs="Arial" w:eastAsia="Arial" w:hAnsi="Arial"/>
                <w:sz w:val="14"/>
                <w:szCs w:val="14"/>
                <w:color w:val="auto"/>
              </w:rPr>
              <w:t>Firm website</w:t>
            </w:r>
          </w:p>
        </w:tc>
        <w:tc>
          <w:tcPr>
            <w:tcW w:w="200" w:type="dxa"/>
            <w:vAlign w:val="bottom"/>
          </w:tcPr>
          <w:p>
            <w:pPr>
              <w:spacing w:after="0"/>
              <w:rPr>
                <w:sz w:val="15"/>
                <w:szCs w:val="15"/>
                <w:color w:val="auto"/>
              </w:rPr>
            </w:pPr>
          </w:p>
        </w:tc>
        <w:tc>
          <w:tcPr>
            <w:tcW w:w="360" w:type="dxa"/>
            <w:vAlign w:val="bottom"/>
            <w:shd w:val="clear" w:color="auto" w:fill="F4EFE7"/>
          </w:tcPr>
          <w:p>
            <w:pPr>
              <w:ind w:left="240"/>
              <w:spacing w:after="0"/>
              <w:rPr>
                <w:sz w:val="20"/>
                <w:szCs w:val="20"/>
                <w:color w:val="auto"/>
              </w:rPr>
            </w:pPr>
            <w:r>
              <w:rPr>
                <w:rFonts w:ascii="Arial" w:cs="Arial" w:eastAsia="Arial" w:hAnsi="Arial"/>
                <w:sz w:val="14"/>
                <w:szCs w:val="14"/>
                <w:b w:val="1"/>
                <w:bCs w:val="1"/>
                <w:color w:val="auto"/>
              </w:rPr>
              <w:t>•</w:t>
            </w:r>
          </w:p>
        </w:tc>
        <w:tc>
          <w:tcPr>
            <w:tcW w:w="4440" w:type="dxa"/>
            <w:vAlign w:val="bottom"/>
            <w:shd w:val="clear" w:color="auto" w:fill="F4EFE7"/>
          </w:tcPr>
          <w:p>
            <w:pPr>
              <w:ind w:left="60"/>
              <w:spacing w:after="0"/>
              <w:rPr>
                <w:sz w:val="20"/>
                <w:szCs w:val="20"/>
                <w:color w:val="auto"/>
              </w:rPr>
            </w:pPr>
            <w:r>
              <w:rPr>
                <w:rFonts w:ascii="Arial" w:cs="Arial" w:eastAsia="Arial" w:hAnsi="Arial"/>
                <w:sz w:val="14"/>
                <w:szCs w:val="14"/>
                <w:color w:val="auto"/>
              </w:rPr>
              <w:t>Proxy advisory firms</w:t>
            </w:r>
          </w:p>
        </w:tc>
      </w:tr>
      <w:tr>
        <w:trPr>
          <w:trHeight w:val="189"/>
        </w:trPr>
        <w:tc>
          <w:tcPr>
            <w:tcW w:w="360" w:type="dxa"/>
            <w:vAlign w:val="bottom"/>
            <w:shd w:val="clear" w:color="auto" w:fill="F4EFE7"/>
          </w:tcPr>
          <w:p>
            <w:pPr>
              <w:ind w:left="260"/>
              <w:spacing w:after="0"/>
              <w:rPr>
                <w:sz w:val="20"/>
                <w:szCs w:val="20"/>
                <w:color w:val="auto"/>
              </w:rPr>
            </w:pPr>
            <w:r>
              <w:rPr>
                <w:rFonts w:ascii="Arial" w:cs="Arial" w:eastAsia="Arial" w:hAnsi="Arial"/>
                <w:sz w:val="14"/>
                <w:szCs w:val="14"/>
                <w:b w:val="1"/>
                <w:bCs w:val="1"/>
                <w:color w:val="auto"/>
              </w:rPr>
              <w:t>•</w:t>
            </w:r>
          </w:p>
        </w:tc>
        <w:tc>
          <w:tcPr>
            <w:tcW w:w="2520" w:type="dxa"/>
            <w:vAlign w:val="bottom"/>
            <w:shd w:val="clear" w:color="auto" w:fill="F4EFE7"/>
          </w:tcPr>
          <w:p>
            <w:pPr>
              <w:ind w:left="60"/>
              <w:spacing w:after="0"/>
              <w:rPr>
                <w:sz w:val="20"/>
                <w:szCs w:val="20"/>
                <w:color w:val="auto"/>
              </w:rPr>
            </w:pPr>
            <w:r>
              <w:rPr>
                <w:rFonts w:ascii="Arial" w:cs="Arial" w:eastAsia="Arial" w:hAnsi="Arial"/>
                <w:sz w:val="14"/>
                <w:szCs w:val="14"/>
                <w:color w:val="auto"/>
              </w:rPr>
              <w:t>Reports and publications</w:t>
            </w:r>
          </w:p>
        </w:tc>
        <w:tc>
          <w:tcPr>
            <w:tcW w:w="200" w:type="dxa"/>
            <w:vAlign w:val="bottom"/>
          </w:tcPr>
          <w:p>
            <w:pPr>
              <w:spacing w:after="0"/>
              <w:rPr>
                <w:sz w:val="16"/>
                <w:szCs w:val="16"/>
                <w:color w:val="auto"/>
              </w:rPr>
            </w:pPr>
          </w:p>
        </w:tc>
        <w:tc>
          <w:tcPr>
            <w:tcW w:w="360" w:type="dxa"/>
            <w:vAlign w:val="bottom"/>
            <w:shd w:val="clear" w:color="auto" w:fill="F4EFE7"/>
          </w:tcPr>
          <w:p>
            <w:pPr>
              <w:ind w:left="240"/>
              <w:spacing w:after="0"/>
              <w:rPr>
                <w:sz w:val="20"/>
                <w:szCs w:val="20"/>
                <w:color w:val="auto"/>
              </w:rPr>
            </w:pPr>
            <w:r>
              <w:rPr>
                <w:rFonts w:ascii="Arial" w:cs="Arial" w:eastAsia="Arial" w:hAnsi="Arial"/>
                <w:sz w:val="14"/>
                <w:szCs w:val="14"/>
                <w:b w:val="1"/>
                <w:bCs w:val="1"/>
                <w:color w:val="auto"/>
              </w:rPr>
              <w:t>•</w:t>
            </w:r>
          </w:p>
        </w:tc>
        <w:tc>
          <w:tcPr>
            <w:tcW w:w="4440" w:type="dxa"/>
            <w:vAlign w:val="bottom"/>
            <w:shd w:val="clear" w:color="auto" w:fill="F4EFE7"/>
          </w:tcPr>
          <w:p>
            <w:pPr>
              <w:ind w:left="60"/>
              <w:spacing w:after="0"/>
              <w:rPr>
                <w:sz w:val="20"/>
                <w:szCs w:val="20"/>
                <w:color w:val="auto"/>
              </w:rPr>
            </w:pPr>
            <w:r>
              <w:rPr>
                <w:rFonts w:ascii="Arial" w:cs="Arial" w:eastAsia="Arial" w:hAnsi="Arial"/>
                <w:sz w:val="14"/>
                <w:szCs w:val="14"/>
                <w:color w:val="auto"/>
              </w:rPr>
              <w:t>Rating firms</w:t>
            </w:r>
          </w:p>
        </w:tc>
      </w:tr>
      <w:tr>
        <w:trPr>
          <w:trHeight w:val="176"/>
        </w:trPr>
        <w:tc>
          <w:tcPr>
            <w:tcW w:w="360" w:type="dxa"/>
            <w:vAlign w:val="bottom"/>
            <w:shd w:val="clear" w:color="auto" w:fill="F4EFE7"/>
          </w:tcPr>
          <w:p>
            <w:pPr>
              <w:ind w:left="260"/>
              <w:spacing w:after="0"/>
              <w:rPr>
                <w:sz w:val="20"/>
                <w:szCs w:val="20"/>
                <w:color w:val="auto"/>
              </w:rPr>
            </w:pPr>
            <w:r>
              <w:rPr>
                <w:rFonts w:ascii="Arial" w:cs="Arial" w:eastAsia="Arial" w:hAnsi="Arial"/>
                <w:sz w:val="14"/>
                <w:szCs w:val="14"/>
                <w:b w:val="1"/>
                <w:bCs w:val="1"/>
                <w:color w:val="auto"/>
              </w:rPr>
              <w:t>•</w:t>
            </w:r>
          </w:p>
        </w:tc>
        <w:tc>
          <w:tcPr>
            <w:tcW w:w="2520" w:type="dxa"/>
            <w:vAlign w:val="bottom"/>
            <w:shd w:val="clear" w:color="auto" w:fill="F4EFE7"/>
          </w:tcPr>
          <w:p>
            <w:pPr>
              <w:ind w:left="60"/>
              <w:spacing w:after="0"/>
              <w:rPr>
                <w:sz w:val="20"/>
                <w:szCs w:val="20"/>
                <w:color w:val="auto"/>
              </w:rPr>
            </w:pPr>
            <w:r>
              <w:rPr>
                <w:rFonts w:ascii="Arial" w:cs="Arial" w:eastAsia="Arial" w:hAnsi="Arial"/>
                <w:sz w:val="14"/>
                <w:szCs w:val="14"/>
                <w:color w:val="auto"/>
              </w:rPr>
              <w:t>Events and conferences</w:t>
            </w:r>
          </w:p>
        </w:tc>
        <w:tc>
          <w:tcPr>
            <w:tcW w:w="200" w:type="dxa"/>
            <w:vAlign w:val="bottom"/>
          </w:tcPr>
          <w:p>
            <w:pPr>
              <w:spacing w:after="0"/>
              <w:rPr>
                <w:sz w:val="15"/>
                <w:szCs w:val="15"/>
                <w:color w:val="auto"/>
              </w:rPr>
            </w:pPr>
          </w:p>
        </w:tc>
        <w:tc>
          <w:tcPr>
            <w:tcW w:w="360" w:type="dxa"/>
            <w:vAlign w:val="bottom"/>
            <w:shd w:val="clear" w:color="auto" w:fill="F4EFE7"/>
          </w:tcPr>
          <w:p>
            <w:pPr>
              <w:ind w:left="240"/>
              <w:spacing w:after="0"/>
              <w:rPr>
                <w:sz w:val="20"/>
                <w:szCs w:val="20"/>
                <w:color w:val="auto"/>
              </w:rPr>
            </w:pPr>
            <w:r>
              <w:rPr>
                <w:rFonts w:ascii="Arial" w:cs="Arial" w:eastAsia="Arial" w:hAnsi="Arial"/>
                <w:sz w:val="14"/>
                <w:szCs w:val="14"/>
                <w:b w:val="1"/>
                <w:bCs w:val="1"/>
                <w:color w:val="auto"/>
              </w:rPr>
              <w:t>•</w:t>
            </w:r>
          </w:p>
        </w:tc>
        <w:tc>
          <w:tcPr>
            <w:tcW w:w="4440" w:type="dxa"/>
            <w:vAlign w:val="bottom"/>
            <w:shd w:val="clear" w:color="auto" w:fill="F4EFE7"/>
          </w:tcPr>
          <w:p>
            <w:pPr>
              <w:ind w:left="60"/>
              <w:spacing w:after="0"/>
              <w:rPr>
                <w:sz w:val="20"/>
                <w:szCs w:val="20"/>
                <w:color w:val="auto"/>
              </w:rPr>
            </w:pPr>
            <w:r>
              <w:rPr>
                <w:rFonts w:ascii="Arial" w:cs="Arial" w:eastAsia="Arial" w:hAnsi="Arial"/>
                <w:sz w:val="14"/>
                <w:szCs w:val="14"/>
                <w:color w:val="auto"/>
              </w:rPr>
              <w:t>Non-governmental organizations</w:t>
            </w:r>
          </w:p>
        </w:tc>
      </w:tr>
      <w:tr>
        <w:trPr>
          <w:trHeight w:val="196"/>
        </w:trPr>
        <w:tc>
          <w:tcPr>
            <w:tcW w:w="360" w:type="dxa"/>
            <w:vAlign w:val="bottom"/>
            <w:shd w:val="clear" w:color="auto" w:fill="F4EFE7"/>
          </w:tcPr>
          <w:p>
            <w:pPr>
              <w:spacing w:after="0"/>
              <w:rPr>
                <w:sz w:val="17"/>
                <w:szCs w:val="17"/>
                <w:color w:val="auto"/>
              </w:rPr>
            </w:pPr>
          </w:p>
        </w:tc>
        <w:tc>
          <w:tcPr>
            <w:tcW w:w="2520" w:type="dxa"/>
            <w:vAlign w:val="bottom"/>
            <w:shd w:val="clear" w:color="auto" w:fill="F4EFE7"/>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shd w:val="clear" w:color="auto" w:fill="F4EFE7"/>
          </w:tcPr>
          <w:p>
            <w:pPr>
              <w:ind w:left="240"/>
              <w:spacing w:after="0"/>
              <w:rPr>
                <w:sz w:val="20"/>
                <w:szCs w:val="20"/>
                <w:color w:val="auto"/>
              </w:rPr>
            </w:pPr>
            <w:r>
              <w:rPr>
                <w:rFonts w:ascii="Arial" w:cs="Arial" w:eastAsia="Arial" w:hAnsi="Arial"/>
                <w:sz w:val="14"/>
                <w:szCs w:val="14"/>
                <w:b w:val="1"/>
                <w:bCs w:val="1"/>
                <w:color w:val="auto"/>
              </w:rPr>
              <w:t>•</w:t>
            </w:r>
          </w:p>
        </w:tc>
        <w:tc>
          <w:tcPr>
            <w:tcW w:w="4440" w:type="dxa"/>
            <w:vAlign w:val="bottom"/>
            <w:shd w:val="clear" w:color="auto" w:fill="F4EFE7"/>
          </w:tcPr>
          <w:p>
            <w:pPr>
              <w:ind w:left="60"/>
              <w:spacing w:after="0"/>
              <w:rPr>
                <w:sz w:val="20"/>
                <w:szCs w:val="20"/>
                <w:color w:val="auto"/>
              </w:rPr>
            </w:pPr>
            <w:r>
              <w:rPr>
                <w:rFonts w:ascii="Arial" w:cs="Arial" w:eastAsia="Arial" w:hAnsi="Arial"/>
                <w:sz w:val="14"/>
                <w:szCs w:val="14"/>
                <w:color w:val="auto"/>
              </w:rPr>
              <w:t>Industry thought leaders</w:t>
            </w:r>
          </w:p>
        </w:tc>
      </w:tr>
      <w:tr>
        <w:trPr>
          <w:trHeight w:val="124"/>
        </w:trPr>
        <w:tc>
          <w:tcPr>
            <w:tcW w:w="360" w:type="dxa"/>
            <w:vAlign w:val="bottom"/>
            <w:shd w:val="clear" w:color="auto" w:fill="F4EFE7"/>
          </w:tcPr>
          <w:p>
            <w:pPr>
              <w:spacing w:after="0"/>
              <w:rPr>
                <w:sz w:val="10"/>
                <w:szCs w:val="10"/>
                <w:color w:val="auto"/>
              </w:rPr>
            </w:pPr>
          </w:p>
        </w:tc>
        <w:tc>
          <w:tcPr>
            <w:tcW w:w="2520" w:type="dxa"/>
            <w:vAlign w:val="bottom"/>
            <w:shd w:val="clear" w:color="auto" w:fill="F4EFE7"/>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shd w:val="clear" w:color="auto" w:fill="F4EFE7"/>
          </w:tcPr>
          <w:p>
            <w:pPr>
              <w:spacing w:after="0"/>
              <w:rPr>
                <w:sz w:val="10"/>
                <w:szCs w:val="10"/>
                <w:color w:val="auto"/>
              </w:rPr>
            </w:pPr>
          </w:p>
        </w:tc>
        <w:tc>
          <w:tcPr>
            <w:tcW w:w="4440" w:type="dxa"/>
            <w:vAlign w:val="bottom"/>
            <w:shd w:val="clear" w:color="auto" w:fill="F4EFE7"/>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63" w:hanging="163"/>
        <w:spacing w:after="0"/>
        <w:tabs>
          <w:tab w:leader="none" w:pos="163" w:val="left"/>
        </w:tabs>
        <w:numPr>
          <w:ilvl w:val="0"/>
          <w:numId w:val="124"/>
        </w:numPr>
        <w:rPr>
          <w:rFonts w:ascii="Arial" w:cs="Arial" w:eastAsia="Arial" w:hAnsi="Arial"/>
          <w:sz w:val="14"/>
          <w:szCs w:val="14"/>
          <w:b w:val="1"/>
          <w:bCs w:val="1"/>
          <w:color w:val="auto"/>
        </w:rPr>
      </w:pPr>
      <w:r>
        <w:rPr>
          <w:rFonts w:ascii="Arial" w:cs="Arial" w:eastAsia="Arial" w:hAnsi="Arial"/>
          <w:sz w:val="14"/>
          <w:szCs w:val="14"/>
          <w:color w:val="auto"/>
        </w:rPr>
        <w:t>Quarterly earnings calls</w:t>
      </w:r>
    </w:p>
    <w:p>
      <w:pPr>
        <w:spacing w:after="0" w:line="35" w:lineRule="exact"/>
        <w:rPr>
          <w:rFonts w:ascii="Arial" w:cs="Arial" w:eastAsia="Arial" w:hAnsi="Arial"/>
          <w:sz w:val="14"/>
          <w:szCs w:val="14"/>
          <w:b w:val="1"/>
          <w:bCs w:val="1"/>
          <w:color w:val="auto"/>
        </w:rPr>
      </w:pPr>
    </w:p>
    <w:p>
      <w:pPr>
        <w:ind w:left="163" w:hanging="163"/>
        <w:spacing w:after="0" w:line="231" w:lineRule="auto"/>
        <w:tabs>
          <w:tab w:leader="none" w:pos="163" w:val="left"/>
        </w:tabs>
        <w:numPr>
          <w:ilvl w:val="0"/>
          <w:numId w:val="124"/>
        </w:numPr>
        <w:rPr>
          <w:rFonts w:ascii="Arial" w:cs="Arial" w:eastAsia="Arial" w:hAnsi="Arial"/>
          <w:sz w:val="14"/>
          <w:szCs w:val="14"/>
          <w:b w:val="1"/>
          <w:bCs w:val="1"/>
          <w:color w:val="auto"/>
        </w:rPr>
      </w:pPr>
      <w:r>
        <w:rPr>
          <w:rFonts w:ascii="Arial" w:cs="Arial" w:eastAsia="Arial" w:hAnsi="Arial"/>
          <w:sz w:val="14"/>
          <w:szCs w:val="14"/>
          <w:color w:val="auto"/>
        </w:rPr>
        <w:t>Investor meetings</w:t>
      </w:r>
    </w:p>
    <w:p>
      <w:pPr>
        <w:ind w:left="203"/>
        <w:spacing w:after="0"/>
        <w:rPr>
          <w:sz w:val="20"/>
          <w:szCs w:val="20"/>
          <w:color w:val="auto"/>
        </w:rPr>
      </w:pPr>
      <w:r>
        <w:rPr>
          <w:rFonts w:ascii="Arial" w:cs="Arial" w:eastAsia="Arial" w:hAnsi="Arial"/>
          <w:sz w:val="14"/>
          <w:szCs w:val="14"/>
          <w:color w:val="auto"/>
        </w:rPr>
        <w:t>and conferences</w:t>
      </w:r>
    </w:p>
    <w:p>
      <w:pPr>
        <w:spacing w:after="0" w:line="15" w:lineRule="exact"/>
        <w:rPr>
          <w:sz w:val="20"/>
          <w:szCs w:val="20"/>
          <w:color w:val="auto"/>
        </w:rPr>
      </w:pPr>
    </w:p>
    <w:p>
      <w:pPr>
        <w:ind w:left="163" w:hanging="163"/>
        <w:spacing w:after="0"/>
        <w:tabs>
          <w:tab w:leader="none" w:pos="163" w:val="left"/>
        </w:tabs>
        <w:numPr>
          <w:ilvl w:val="0"/>
          <w:numId w:val="125"/>
        </w:numPr>
        <w:rPr>
          <w:rFonts w:ascii="Arial" w:cs="Arial" w:eastAsia="Arial" w:hAnsi="Arial"/>
          <w:sz w:val="14"/>
          <w:szCs w:val="14"/>
          <w:b w:val="1"/>
          <w:bCs w:val="1"/>
          <w:color w:val="auto"/>
        </w:rPr>
      </w:pPr>
      <w:r>
        <w:rPr>
          <w:rFonts w:ascii="Arial" w:cs="Arial" w:eastAsia="Arial" w:hAnsi="Arial"/>
          <w:sz w:val="14"/>
          <w:szCs w:val="14"/>
          <w:color w:val="auto"/>
        </w:rPr>
        <w:t>Shareholder Outreach Program</w:t>
      </w:r>
    </w:p>
    <w:p>
      <w:pPr>
        <w:spacing w:after="0" w:line="27" w:lineRule="exact"/>
        <w:rPr>
          <w:rFonts w:ascii="Arial" w:cs="Arial" w:eastAsia="Arial" w:hAnsi="Arial"/>
          <w:sz w:val="14"/>
          <w:szCs w:val="14"/>
          <w:b w:val="1"/>
          <w:bCs w:val="1"/>
          <w:color w:val="auto"/>
        </w:rPr>
      </w:pPr>
    </w:p>
    <w:p>
      <w:pPr>
        <w:ind w:left="163" w:hanging="163"/>
        <w:spacing w:after="0"/>
        <w:tabs>
          <w:tab w:leader="none" w:pos="163" w:val="left"/>
        </w:tabs>
        <w:numPr>
          <w:ilvl w:val="0"/>
          <w:numId w:val="125"/>
        </w:numPr>
        <w:rPr>
          <w:rFonts w:ascii="Arial" w:cs="Arial" w:eastAsia="Arial" w:hAnsi="Arial"/>
          <w:sz w:val="14"/>
          <w:szCs w:val="14"/>
          <w:b w:val="1"/>
          <w:bCs w:val="1"/>
          <w:color w:val="auto"/>
        </w:rPr>
      </w:pPr>
      <w:r>
        <w:rPr>
          <w:rFonts w:ascii="Arial" w:cs="Arial" w:eastAsia="Arial" w:hAnsi="Arial"/>
          <w:sz w:val="14"/>
          <w:szCs w:val="14"/>
          <w:color w:val="auto"/>
        </w:rPr>
        <w:t>Annual Meeting of Shareholders</w:t>
      </w:r>
    </w:p>
    <w:p>
      <w:pPr>
        <w:spacing w:after="0" w:line="21" w:lineRule="exact"/>
        <w:rPr>
          <w:rFonts w:ascii="Arial" w:cs="Arial" w:eastAsia="Arial" w:hAnsi="Arial"/>
          <w:sz w:val="14"/>
          <w:szCs w:val="14"/>
          <w:b w:val="1"/>
          <w:bCs w:val="1"/>
          <w:color w:val="auto"/>
        </w:rPr>
      </w:pPr>
    </w:p>
    <w:p>
      <w:pPr>
        <w:ind w:left="163" w:hanging="163"/>
        <w:spacing w:after="0" w:line="231" w:lineRule="auto"/>
        <w:tabs>
          <w:tab w:leader="none" w:pos="163" w:val="left"/>
        </w:tabs>
        <w:numPr>
          <w:ilvl w:val="0"/>
          <w:numId w:val="125"/>
        </w:numPr>
        <w:rPr>
          <w:rFonts w:ascii="Arial" w:cs="Arial" w:eastAsia="Arial" w:hAnsi="Arial"/>
          <w:sz w:val="14"/>
          <w:szCs w:val="14"/>
          <w:b w:val="1"/>
          <w:bCs w:val="1"/>
          <w:color w:val="auto"/>
        </w:rPr>
      </w:pPr>
      <w:r>
        <w:rPr>
          <w:rFonts w:ascii="Arial" w:cs="Arial" w:eastAsia="Arial" w:hAnsi="Arial"/>
          <w:sz w:val="14"/>
          <w:szCs w:val="14"/>
          <w:color w:val="auto"/>
        </w:rPr>
        <w:t>Investor queries to</w:t>
      </w:r>
    </w:p>
    <w:p>
      <w:pPr>
        <w:ind w:left="203"/>
        <w:spacing w:after="0"/>
        <w:rPr>
          <w:sz w:val="20"/>
          <w:szCs w:val="20"/>
          <w:color w:val="auto"/>
        </w:rPr>
      </w:pPr>
      <w:r>
        <w:rPr>
          <w:rFonts w:ascii="Arial" w:cs="Arial" w:eastAsia="Arial" w:hAnsi="Arial"/>
          <w:sz w:val="14"/>
          <w:szCs w:val="14"/>
          <w:color w:val="auto"/>
        </w:rPr>
        <w:t>Investor Relations</w:t>
      </w:r>
    </w:p>
    <w:p>
      <w:pPr>
        <w:spacing w:after="0" w:line="884" w:lineRule="exact"/>
        <w:rPr>
          <w:sz w:val="20"/>
          <w:szCs w:val="20"/>
          <w:color w:val="auto"/>
        </w:rPr>
      </w:pPr>
    </w:p>
    <w:p>
      <w:pPr>
        <w:sectPr>
          <w:pgSz w:w="11900" w:h="16838" w:orient="portrait"/>
          <w:cols w:equalWidth="0" w:num="2">
            <w:col w:w="8060" w:space="457"/>
            <w:col w:w="2703"/>
          </w:cols>
          <w:pgMar w:left="320" w:top="157" w:right="359" w:bottom="1440" w:gutter="0" w:footer="0" w:header="0"/>
          <w:type w:val="continuous"/>
        </w:sectPr>
      </w:pPr>
    </w:p>
    <w:p>
      <w:pPr>
        <w:spacing w:after="0" w:line="4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8F5A39"/>
        </w:rPr>
        <w:t>Shareholder Outreach Program:</w:t>
      </w:r>
    </w:p>
    <w:p>
      <w:pPr>
        <w:spacing w:after="0" w:line="39" w:lineRule="exact"/>
        <w:rPr>
          <w:sz w:val="20"/>
          <w:szCs w:val="20"/>
          <w:color w:val="auto"/>
        </w:rPr>
      </w:pPr>
    </w:p>
    <w:p>
      <w:pPr>
        <w:ind w:left="620" w:right="500" w:hanging="189"/>
        <w:spacing w:after="0" w:line="245" w:lineRule="auto"/>
        <w:tabs>
          <w:tab w:leader="none" w:pos="608" w:val="left"/>
        </w:tabs>
        <w:numPr>
          <w:ilvl w:val="0"/>
          <w:numId w:val="126"/>
        </w:numPr>
        <w:rPr>
          <w:rFonts w:ascii="Arial" w:cs="Arial" w:eastAsia="Arial" w:hAnsi="Arial"/>
          <w:sz w:val="13"/>
          <w:szCs w:val="13"/>
          <w:b w:val="1"/>
          <w:bCs w:val="1"/>
          <w:color w:val="auto"/>
        </w:rPr>
      </w:pPr>
      <w:r>
        <w:rPr>
          <w:rFonts w:ascii="Arial" w:cs="Arial" w:eastAsia="Arial" w:hAnsi="Arial"/>
          <w:sz w:val="14"/>
          <w:szCs w:val="14"/>
          <w:color w:val="auto"/>
        </w:rPr>
        <w:t xml:space="preserve">We maintain an ongoing Shareholder Outreach Program to provide updates on topics of interest, address shareholder questions and solicit their perspectives and feedback. The program’s governance topics include Board composition and refreshment, management </w:t>
      </w:r>
      <w:r>
        <w:rPr>
          <w:rFonts w:ascii="Arial" w:cs="Arial" w:eastAsia="Arial" w:hAnsi="Arial"/>
          <w:sz w:val="13"/>
          <w:szCs w:val="13"/>
          <w:color w:val="auto"/>
        </w:rPr>
        <w:t>s</w:t>
      </w:r>
      <w:r>
        <w:rPr>
          <w:rFonts w:ascii="Arial" w:cs="Arial" w:eastAsia="Arial" w:hAnsi="Arial"/>
          <w:sz w:val="14"/>
          <w:szCs w:val="14"/>
          <w:color w:val="auto"/>
        </w:rPr>
        <w:t>uccession planning, executive compensation and shareholder rights, among others. We also host discussions to solicit investor feedback about the Firm's climate- and human rights-related disclosures, enterprise risk management framework and approach to AI development. Additionally, we seek to provide insights about opportunities and risks related to the Firm's climate strategies and targets, client engagement and human capital management approach, in addition to other topics. We also meet with shareholders and fixed income holders who request ad hoc engagements</w:t>
      </w:r>
    </w:p>
    <w:p>
      <w:pPr>
        <w:spacing w:after="0" w:line="38" w:lineRule="exact"/>
        <w:rPr>
          <w:rFonts w:ascii="Arial" w:cs="Arial" w:eastAsia="Arial" w:hAnsi="Arial"/>
          <w:sz w:val="13"/>
          <w:szCs w:val="13"/>
          <w:b w:val="1"/>
          <w:bCs w:val="1"/>
          <w:color w:val="auto"/>
        </w:rPr>
      </w:pPr>
    </w:p>
    <w:p>
      <w:pPr>
        <w:ind w:left="600" w:hanging="169"/>
        <w:spacing w:after="0"/>
        <w:tabs>
          <w:tab w:leader="none" w:pos="600" w:val="left"/>
        </w:tabs>
        <w:numPr>
          <w:ilvl w:val="0"/>
          <w:numId w:val="126"/>
        </w:numPr>
        <w:rPr>
          <w:rFonts w:ascii="Arial" w:cs="Arial" w:eastAsia="Arial" w:hAnsi="Arial"/>
          <w:sz w:val="14"/>
          <w:szCs w:val="14"/>
          <w:b w:val="1"/>
          <w:bCs w:val="1"/>
          <w:color w:val="auto"/>
        </w:rPr>
      </w:pPr>
      <w:r>
        <w:rPr>
          <w:rFonts w:ascii="Arial" w:cs="Arial" w:eastAsia="Arial" w:hAnsi="Arial"/>
          <w:sz w:val="14"/>
          <w:szCs w:val="14"/>
          <w:color w:val="auto"/>
        </w:rPr>
        <w:t>We provide the Board with information on areas of shareholder focus and feedback from these engagement sessions</w:t>
      </w:r>
    </w:p>
    <w:p>
      <w:pPr>
        <w:spacing w:after="0" w:line="55" w:lineRule="exact"/>
        <w:rPr>
          <w:rFonts w:ascii="Arial" w:cs="Arial" w:eastAsia="Arial" w:hAnsi="Arial"/>
          <w:sz w:val="14"/>
          <w:szCs w:val="14"/>
          <w:b w:val="1"/>
          <w:bCs w:val="1"/>
          <w:color w:val="auto"/>
        </w:rPr>
      </w:pPr>
    </w:p>
    <w:p>
      <w:pPr>
        <w:ind w:left="620" w:right="1020" w:hanging="189"/>
        <w:spacing w:after="0" w:line="268" w:lineRule="auto"/>
        <w:tabs>
          <w:tab w:leader="none" w:pos="597" w:val="left"/>
        </w:tabs>
        <w:numPr>
          <w:ilvl w:val="0"/>
          <w:numId w:val="126"/>
        </w:numPr>
        <w:rPr>
          <w:rFonts w:ascii="Arial" w:cs="Arial" w:eastAsia="Arial" w:hAnsi="Arial"/>
          <w:sz w:val="14"/>
          <w:szCs w:val="14"/>
          <w:b w:val="1"/>
          <w:bCs w:val="1"/>
          <w:color w:val="auto"/>
        </w:rPr>
      </w:pPr>
      <w:r>
        <w:rPr>
          <w:rFonts w:ascii="Arial" w:cs="Arial" w:eastAsia="Arial" w:hAnsi="Arial"/>
          <w:sz w:val="14"/>
          <w:szCs w:val="14"/>
          <w:color w:val="auto"/>
        </w:rPr>
        <w:t>In 2025, we invited more than 330 of our shareholders, fixed income holders, proxy advisory firms and third-party stewardship firms to join engagement sessions with the Firm’s directors, senior management and other subject matter experts</w:t>
      </w:r>
    </w:p>
    <w:p>
      <w:pPr>
        <w:spacing w:after="0" w:line="18" w:lineRule="exact"/>
        <w:rPr>
          <w:rFonts w:ascii="Arial" w:cs="Arial" w:eastAsia="Arial" w:hAnsi="Arial"/>
          <w:sz w:val="14"/>
          <w:szCs w:val="14"/>
          <w:b w:val="1"/>
          <w:bCs w:val="1"/>
          <w:color w:val="auto"/>
        </w:rPr>
      </w:pPr>
    </w:p>
    <w:p>
      <w:pPr>
        <w:ind w:left="620" w:right="540" w:hanging="189"/>
        <w:spacing w:after="0" w:line="245" w:lineRule="auto"/>
        <w:tabs>
          <w:tab w:leader="none" w:pos="604" w:val="left"/>
        </w:tabs>
        <w:numPr>
          <w:ilvl w:val="0"/>
          <w:numId w:val="126"/>
        </w:numPr>
        <w:rPr>
          <w:rFonts w:ascii="Arial" w:cs="Arial" w:eastAsia="Arial" w:hAnsi="Arial"/>
          <w:sz w:val="16"/>
          <w:szCs w:val="16"/>
          <w:b w:val="1"/>
          <w:bCs w:val="1"/>
          <w:color w:val="auto"/>
        </w:rPr>
      </w:pPr>
      <w:r>
        <w:rPr>
          <w:rFonts w:ascii="Arial" w:cs="Arial" w:eastAsia="Arial" w:hAnsi="Arial"/>
          <w:sz w:val="14"/>
          <w:szCs w:val="14"/>
          <w:color w:val="auto"/>
        </w:rPr>
        <w:t>We engaged with approximately 338 of our shareholders and third-party stewardship firms, representing approximately 37% of the Firm's outstanding common stock</w:t>
      </w:r>
    </w:p>
    <w:p>
      <w:pPr>
        <w:ind w:left="620"/>
        <w:spacing w:after="0"/>
        <w:rPr>
          <w:rFonts w:ascii="Arial" w:cs="Arial" w:eastAsia="Arial" w:hAnsi="Arial"/>
          <w:sz w:val="16"/>
          <w:szCs w:val="16"/>
          <w:b w:val="1"/>
          <w:bCs w:val="1"/>
          <w:color w:val="auto"/>
        </w:rPr>
      </w:pPr>
      <w:r>
        <w:rPr>
          <w:rFonts w:ascii="Arial" w:cs="Arial" w:eastAsia="Arial" w:hAnsi="Arial"/>
          <w:sz w:val="16"/>
          <w:szCs w:val="16"/>
          <w:color w:val="auto"/>
        </w:rPr>
        <w:t xml:space="preserve">— </w:t>
      </w:r>
      <w:r>
        <w:rPr>
          <w:rFonts w:ascii="Arial" w:cs="Arial" w:eastAsia="Arial" w:hAnsi="Arial"/>
          <w:sz w:val="14"/>
          <w:szCs w:val="14"/>
          <w:color w:val="auto"/>
        </w:rPr>
        <w:t>Board-level engagements represented approximately 14% of the Firm's outstanding common stock</w:t>
      </w:r>
    </w:p>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INVESTOR ENGAGEMENTS</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8F5A39"/>
        </w:rPr>
        <w:t>Investor Engagement in 2025</w:t>
      </w:r>
    </w:p>
    <w:p>
      <w:pPr>
        <w:spacing w:after="0" w:line="50" w:lineRule="exact"/>
        <w:rPr>
          <w:sz w:val="20"/>
          <w:szCs w:val="20"/>
          <w:color w:val="auto"/>
        </w:rPr>
      </w:pPr>
    </w:p>
    <w:p>
      <w:pPr>
        <w:ind w:left="600" w:hanging="169"/>
        <w:spacing w:after="0"/>
        <w:tabs>
          <w:tab w:leader="none" w:pos="600" w:val="left"/>
        </w:tabs>
        <w:numPr>
          <w:ilvl w:val="0"/>
          <w:numId w:val="127"/>
        </w:numPr>
        <w:rPr>
          <w:rFonts w:ascii="Arial" w:cs="Arial" w:eastAsia="Arial" w:hAnsi="Arial"/>
          <w:sz w:val="14"/>
          <w:szCs w:val="14"/>
          <w:b w:val="1"/>
          <w:bCs w:val="1"/>
          <w:color w:val="auto"/>
        </w:rPr>
      </w:pPr>
      <w:r>
        <w:rPr>
          <w:rFonts w:ascii="Arial" w:cs="Arial" w:eastAsia="Arial" w:hAnsi="Arial"/>
          <w:sz w:val="14"/>
          <w:szCs w:val="14"/>
          <w:color w:val="auto"/>
        </w:rPr>
        <w:t>Frequently discussed topics included, among others:</w:t>
      </w:r>
    </w:p>
    <w:p>
      <w:pPr>
        <w:spacing w:after="0" w:line="35" w:lineRule="exact"/>
        <w:rPr>
          <w:rFonts w:ascii="Arial" w:cs="Arial" w:eastAsia="Arial" w:hAnsi="Arial"/>
          <w:sz w:val="14"/>
          <w:szCs w:val="14"/>
          <w:b w:val="1"/>
          <w:bCs w:val="1"/>
          <w:color w:val="auto"/>
        </w:rPr>
      </w:pPr>
    </w:p>
    <w:p>
      <w:pPr>
        <w:ind w:left="620"/>
        <w:spacing w:after="0"/>
        <w:rPr>
          <w:rFonts w:ascii="Arial" w:cs="Arial" w:eastAsia="Arial" w:hAnsi="Arial"/>
          <w:sz w:val="14"/>
          <w:szCs w:val="14"/>
          <w:b w:val="1"/>
          <w:bCs w:val="1"/>
          <w:color w:val="auto"/>
        </w:rPr>
      </w:pPr>
      <w:r>
        <w:rPr>
          <w:rFonts w:ascii="Arial" w:cs="Arial" w:eastAsia="Arial" w:hAnsi="Arial"/>
          <w:sz w:val="14"/>
          <w:szCs w:val="14"/>
          <w:color w:val="auto"/>
        </w:rPr>
        <w:t>— Board composition, including the Board's leadership structure, Board refreshment and management succession planning</w:t>
      </w:r>
    </w:p>
    <w:p>
      <w:pPr>
        <w:spacing w:after="0" w:line="21" w:lineRule="exact"/>
        <w:rPr>
          <w:rFonts w:ascii="Arial" w:cs="Arial" w:eastAsia="Arial" w:hAnsi="Arial"/>
          <w:sz w:val="14"/>
          <w:szCs w:val="14"/>
          <w:b w:val="1"/>
          <w:bCs w:val="1"/>
          <w:color w:val="auto"/>
        </w:rPr>
      </w:pPr>
    </w:p>
    <w:p>
      <w:pPr>
        <w:ind w:left="620"/>
        <w:spacing w:after="0"/>
        <w:rPr>
          <w:rFonts w:ascii="Arial" w:cs="Arial" w:eastAsia="Arial" w:hAnsi="Arial"/>
          <w:sz w:val="14"/>
          <w:szCs w:val="14"/>
          <w:b w:val="1"/>
          <w:bCs w:val="1"/>
          <w:color w:val="auto"/>
        </w:rPr>
      </w:pPr>
      <w:r>
        <w:rPr>
          <w:rFonts w:ascii="Arial" w:cs="Arial" w:eastAsia="Arial" w:hAnsi="Arial"/>
          <w:sz w:val="14"/>
          <w:szCs w:val="14"/>
          <w:color w:val="auto"/>
        </w:rPr>
        <w:t>— Executive compensation philosophy and disclosures, including shareholder support for Say on Pay at the 2025 Annual Meeting</w:t>
      </w:r>
    </w:p>
    <w:p>
      <w:pPr>
        <w:spacing w:after="0" w:line="27" w:lineRule="exact"/>
        <w:rPr>
          <w:rFonts w:ascii="Arial" w:cs="Arial" w:eastAsia="Arial" w:hAnsi="Arial"/>
          <w:sz w:val="14"/>
          <w:szCs w:val="14"/>
          <w:b w:val="1"/>
          <w:bCs w:val="1"/>
          <w:color w:val="auto"/>
        </w:rPr>
      </w:pPr>
    </w:p>
    <w:p>
      <w:pPr>
        <w:ind w:left="620"/>
        <w:spacing w:after="0"/>
        <w:rPr>
          <w:rFonts w:ascii="Arial" w:cs="Arial" w:eastAsia="Arial" w:hAnsi="Arial"/>
          <w:sz w:val="14"/>
          <w:szCs w:val="14"/>
          <w:b w:val="1"/>
          <w:bCs w:val="1"/>
          <w:color w:val="auto"/>
        </w:rPr>
      </w:pPr>
      <w:r>
        <w:rPr>
          <w:rFonts w:ascii="Arial" w:cs="Arial" w:eastAsia="Arial" w:hAnsi="Arial"/>
          <w:sz w:val="14"/>
          <w:szCs w:val="14"/>
          <w:color w:val="auto"/>
        </w:rPr>
        <w:t>— The Firm's approach to the regulatory environment</w:t>
      </w:r>
    </w:p>
    <w:p>
      <w:pPr>
        <w:spacing w:after="0" w:line="28" w:lineRule="exact"/>
        <w:rPr>
          <w:rFonts w:ascii="Arial" w:cs="Arial" w:eastAsia="Arial" w:hAnsi="Arial"/>
          <w:sz w:val="14"/>
          <w:szCs w:val="14"/>
          <w:b w:val="1"/>
          <w:bCs w:val="1"/>
          <w:color w:val="auto"/>
        </w:rPr>
      </w:pPr>
    </w:p>
    <w:p>
      <w:pPr>
        <w:ind w:left="820" w:right="580" w:hanging="194"/>
        <w:spacing w:after="0" w:line="252" w:lineRule="auto"/>
        <w:rPr>
          <w:rFonts w:ascii="Arial" w:cs="Arial" w:eastAsia="Arial" w:hAnsi="Arial"/>
          <w:sz w:val="14"/>
          <w:szCs w:val="14"/>
          <w:b w:val="1"/>
          <w:bCs w:val="1"/>
          <w:color w:val="auto"/>
        </w:rPr>
      </w:pPr>
      <w:r>
        <w:rPr>
          <w:rFonts w:ascii="Arial" w:cs="Arial" w:eastAsia="Arial" w:hAnsi="Arial"/>
          <w:sz w:val="14"/>
          <w:szCs w:val="14"/>
          <w:color w:val="auto"/>
        </w:rPr>
        <w:t>— The Firm's risk management approaches tied to environmental, nature and social matters, cybersecurity and AI, human rights and the transition to a lower-carbon economy</w:t>
      </w:r>
    </w:p>
    <w:p>
      <w:pPr>
        <w:ind w:left="820" w:right="700" w:hanging="194"/>
        <w:spacing w:after="0" w:line="270" w:lineRule="auto"/>
        <w:rPr>
          <w:rFonts w:ascii="Arial" w:cs="Arial" w:eastAsia="Arial" w:hAnsi="Arial"/>
          <w:sz w:val="14"/>
          <w:szCs w:val="14"/>
          <w:b w:val="1"/>
          <w:bCs w:val="1"/>
          <w:color w:val="auto"/>
        </w:rPr>
      </w:pPr>
      <w:r>
        <w:rPr>
          <w:rFonts w:ascii="Arial" w:cs="Arial" w:eastAsia="Arial" w:hAnsi="Arial"/>
          <w:sz w:val="14"/>
          <w:szCs w:val="14"/>
          <w:color w:val="auto"/>
        </w:rPr>
        <w:t>— The Firm's disclosures related to climate opportunities and risks, climate strategies, climate-related targets and the Firm’s Energy Supply Financing Ratio disclosure</w:t>
      </w:r>
    </w:p>
    <w:p>
      <w:pPr>
        <w:spacing w:after="0" w:line="1" w:lineRule="exact"/>
        <w:rPr>
          <w:rFonts w:ascii="Arial" w:cs="Arial" w:eastAsia="Arial" w:hAnsi="Arial"/>
          <w:sz w:val="14"/>
          <w:szCs w:val="14"/>
          <w:b w:val="1"/>
          <w:bCs w:val="1"/>
          <w:color w:val="auto"/>
        </w:rPr>
      </w:pPr>
    </w:p>
    <w:p>
      <w:pPr>
        <w:ind w:left="620"/>
        <w:spacing w:after="0"/>
        <w:rPr>
          <w:rFonts w:ascii="Arial" w:cs="Arial" w:eastAsia="Arial" w:hAnsi="Arial"/>
          <w:sz w:val="14"/>
          <w:szCs w:val="14"/>
          <w:b w:val="1"/>
          <w:bCs w:val="1"/>
          <w:color w:val="auto"/>
        </w:rPr>
      </w:pPr>
      <w:r>
        <w:rPr>
          <w:rFonts w:ascii="Arial" w:cs="Arial" w:eastAsia="Arial" w:hAnsi="Arial"/>
          <w:sz w:val="14"/>
          <w:szCs w:val="14"/>
          <w:color w:val="auto"/>
        </w:rPr>
        <w:t>— The Firm’s human capital management strategy</w:t>
      </w:r>
    </w:p>
    <w:p>
      <w:pPr>
        <w:spacing w:after="0" w:line="29" w:lineRule="exact"/>
        <w:rPr>
          <w:rFonts w:ascii="Arial" w:cs="Arial" w:eastAsia="Arial" w:hAnsi="Arial"/>
          <w:sz w:val="14"/>
          <w:szCs w:val="14"/>
          <w:b w:val="1"/>
          <w:bCs w:val="1"/>
          <w:color w:val="auto"/>
        </w:rPr>
      </w:pPr>
    </w:p>
    <w:p>
      <w:pPr>
        <w:ind w:left="620"/>
        <w:spacing w:after="0"/>
        <w:rPr>
          <w:rFonts w:ascii="Arial" w:cs="Arial" w:eastAsia="Arial" w:hAnsi="Arial"/>
          <w:sz w:val="14"/>
          <w:szCs w:val="14"/>
          <w:b w:val="1"/>
          <w:bCs w:val="1"/>
          <w:color w:val="auto"/>
        </w:rPr>
      </w:pPr>
      <w:r>
        <w:rPr>
          <w:rFonts w:ascii="Arial" w:cs="Arial" w:eastAsia="Arial" w:hAnsi="Arial"/>
          <w:sz w:val="16"/>
          <w:szCs w:val="16"/>
          <w:color w:val="auto"/>
        </w:rPr>
        <w:t xml:space="preserve">— </w:t>
      </w:r>
      <w:r>
        <w:rPr>
          <w:rFonts w:ascii="Arial" w:cs="Arial" w:eastAsia="Arial" w:hAnsi="Arial"/>
          <w:sz w:val="14"/>
          <w:szCs w:val="14"/>
          <w:color w:val="auto"/>
        </w:rPr>
        <w:t>Shareholder engagement strategies and voting practices</w:t>
      </w:r>
    </w:p>
    <w:p>
      <w:pPr>
        <w:spacing w:after="0" w:line="11" w:lineRule="exact"/>
        <w:rPr>
          <w:rFonts w:ascii="Arial" w:cs="Arial" w:eastAsia="Arial" w:hAnsi="Arial"/>
          <w:sz w:val="14"/>
          <w:szCs w:val="14"/>
          <w:b w:val="1"/>
          <w:bCs w:val="1"/>
          <w:color w:val="auto"/>
        </w:rPr>
      </w:pPr>
    </w:p>
    <w:p>
      <w:pPr>
        <w:ind w:left="620"/>
        <w:spacing w:after="0"/>
        <w:rPr>
          <w:rFonts w:ascii="Arial" w:cs="Arial" w:eastAsia="Arial" w:hAnsi="Arial"/>
          <w:sz w:val="14"/>
          <w:szCs w:val="14"/>
          <w:b w:val="1"/>
          <w:bCs w:val="1"/>
          <w:color w:val="auto"/>
        </w:rPr>
      </w:pPr>
      <w:r>
        <w:rPr>
          <w:rFonts w:ascii="Arial" w:cs="Arial" w:eastAsia="Arial" w:hAnsi="Arial"/>
          <w:sz w:val="16"/>
          <w:szCs w:val="16"/>
          <w:color w:val="auto"/>
        </w:rPr>
        <w:t xml:space="preserve">— </w:t>
      </w:r>
      <w:r>
        <w:rPr>
          <w:rFonts w:ascii="Arial" w:cs="Arial" w:eastAsia="Arial" w:hAnsi="Arial"/>
          <w:sz w:val="14"/>
          <w:szCs w:val="14"/>
          <w:color w:val="auto"/>
        </w:rPr>
        <w:t>The Firm's strategy and financial and operating performance</w:t>
      </w:r>
    </w:p>
    <w:p>
      <w:pPr>
        <w:spacing w:after="0" w:line="27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8F5A39"/>
        </w:rPr>
        <w:t>Senior Management Engagement</w:t>
      </w:r>
    </w:p>
    <w:p>
      <w:pPr>
        <w:spacing w:after="0" w:line="64" w:lineRule="exact"/>
        <w:rPr>
          <w:sz w:val="20"/>
          <w:szCs w:val="20"/>
          <w:color w:val="auto"/>
        </w:rPr>
      </w:pPr>
    </w:p>
    <w:p>
      <w:pPr>
        <w:ind w:left="600" w:hanging="169"/>
        <w:spacing w:after="0"/>
        <w:tabs>
          <w:tab w:leader="none" w:pos="600" w:val="left"/>
        </w:tabs>
        <w:numPr>
          <w:ilvl w:val="0"/>
          <w:numId w:val="128"/>
        </w:numPr>
        <w:rPr>
          <w:rFonts w:ascii="Arial" w:cs="Arial" w:eastAsia="Arial" w:hAnsi="Arial"/>
          <w:sz w:val="14"/>
          <w:szCs w:val="14"/>
          <w:b w:val="1"/>
          <w:bCs w:val="1"/>
          <w:color w:val="auto"/>
        </w:rPr>
      </w:pPr>
      <w:r>
        <w:rPr>
          <w:rFonts w:ascii="Arial" w:cs="Arial" w:eastAsia="Arial" w:hAnsi="Arial"/>
          <w:sz w:val="14"/>
          <w:szCs w:val="14"/>
          <w:color w:val="auto"/>
        </w:rPr>
        <w:t>Presented at approximately 17 investor conferences</w:t>
      </w:r>
    </w:p>
    <w:p>
      <w:pPr>
        <w:spacing w:after="0" w:line="28" w:lineRule="exact"/>
        <w:rPr>
          <w:rFonts w:ascii="Arial" w:cs="Arial" w:eastAsia="Arial" w:hAnsi="Arial"/>
          <w:sz w:val="14"/>
          <w:szCs w:val="14"/>
          <w:b w:val="1"/>
          <w:bCs w:val="1"/>
          <w:color w:val="auto"/>
        </w:rPr>
      </w:pPr>
    </w:p>
    <w:p>
      <w:pPr>
        <w:ind w:left="600" w:hanging="169"/>
        <w:spacing w:after="0"/>
        <w:tabs>
          <w:tab w:leader="none" w:pos="600" w:val="left"/>
        </w:tabs>
        <w:numPr>
          <w:ilvl w:val="0"/>
          <w:numId w:val="128"/>
        </w:numPr>
        <w:rPr>
          <w:rFonts w:ascii="Arial" w:cs="Arial" w:eastAsia="Arial" w:hAnsi="Arial"/>
          <w:sz w:val="14"/>
          <w:szCs w:val="14"/>
          <w:b w:val="1"/>
          <w:bCs w:val="1"/>
          <w:color w:val="auto"/>
        </w:rPr>
      </w:pPr>
      <w:r>
        <w:rPr>
          <w:rFonts w:ascii="Arial" w:cs="Arial" w:eastAsia="Arial" w:hAnsi="Arial"/>
          <w:sz w:val="14"/>
          <w:szCs w:val="14"/>
          <w:color w:val="auto"/>
        </w:rPr>
        <w:t>Held approximately 61 meetings to connect shareholders with the Firm’s senior leaders</w:t>
      </w:r>
    </w:p>
    <w:p>
      <w:pPr>
        <w:spacing w:after="0" w:line="14" w:lineRule="exact"/>
        <w:rPr>
          <w:rFonts w:ascii="Arial" w:cs="Arial" w:eastAsia="Arial" w:hAnsi="Arial"/>
          <w:sz w:val="14"/>
          <w:szCs w:val="14"/>
          <w:b w:val="1"/>
          <w:bCs w:val="1"/>
          <w:color w:val="auto"/>
        </w:rPr>
      </w:pPr>
    </w:p>
    <w:p>
      <w:pPr>
        <w:ind w:left="600" w:hanging="169"/>
        <w:spacing w:after="0"/>
        <w:tabs>
          <w:tab w:leader="none" w:pos="600" w:val="left"/>
        </w:tabs>
        <w:numPr>
          <w:ilvl w:val="0"/>
          <w:numId w:val="128"/>
        </w:numPr>
        <w:rPr>
          <w:rFonts w:ascii="Arial" w:cs="Arial" w:eastAsia="Arial" w:hAnsi="Arial"/>
          <w:sz w:val="14"/>
          <w:szCs w:val="14"/>
          <w:b w:val="1"/>
          <w:bCs w:val="1"/>
          <w:color w:val="auto"/>
        </w:rPr>
      </w:pPr>
      <w:r>
        <w:rPr>
          <w:rFonts w:ascii="Arial" w:cs="Arial" w:eastAsia="Arial" w:hAnsi="Arial"/>
          <w:sz w:val="14"/>
          <w:szCs w:val="14"/>
          <w:color w:val="auto"/>
        </w:rPr>
        <w:t>Met with shareholders, fixed income holders and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494665</wp:posOffset>
            </wp:positionV>
            <wp:extent cx="651510" cy="857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30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Engagement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411"/>
        </w:trPr>
        <w:tc>
          <w:tcPr>
            <w:tcW w:w="2340" w:type="dxa"/>
            <w:vAlign w:val="bottom"/>
            <w:tcBorders>
              <w:top w:val="single" w:sz="8" w:color="auto"/>
              <w:left w:val="single" w:sz="8" w:color="auto"/>
              <w:right w:val="single" w:sz="8" w:color="auto"/>
            </w:tcBorders>
          </w:tcPr>
          <w:p>
            <w:pPr>
              <w:ind w:left="520"/>
              <w:spacing w:after="0"/>
              <w:rPr>
                <w:sz w:val="20"/>
                <w:szCs w:val="20"/>
                <w:color w:val="auto"/>
              </w:rPr>
            </w:pPr>
            <w:r>
              <w:rPr>
                <w:rFonts w:ascii="Arial" w:cs="Arial" w:eastAsia="Arial" w:hAnsi="Arial"/>
                <w:sz w:val="16"/>
                <w:szCs w:val="16"/>
                <w:color w:val="8F5A39"/>
              </w:rPr>
              <w:t>Director nominees</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6"/>
                <w:szCs w:val="16"/>
                <w:color w:val="8F5A39"/>
              </w:rPr>
              <w:t>Board governance</w:t>
            </w:r>
          </w:p>
        </w:tc>
        <w:tc>
          <w:tcPr>
            <w:tcW w:w="620" w:type="dxa"/>
            <w:vAlign w:val="bottom"/>
            <w:tcBorders>
              <w:right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6"/>
                <w:szCs w:val="16"/>
                <w:color w:val="8F5A39"/>
              </w:rPr>
              <w:t>Board oversight</w:t>
            </w:r>
          </w:p>
        </w:tc>
        <w:tc>
          <w:tcPr>
            <w:tcW w:w="600" w:type="dxa"/>
            <w:vAlign w:val="bottom"/>
          </w:tcPr>
          <w:p>
            <w:pPr>
              <w:spacing w:after="0"/>
              <w:rPr>
                <w:sz w:val="24"/>
                <w:szCs w:val="24"/>
                <w:color w:val="auto"/>
              </w:rPr>
            </w:pPr>
          </w:p>
        </w:tc>
        <w:tc>
          <w:tcPr>
            <w:tcW w:w="2360" w:type="dxa"/>
            <w:vAlign w:val="bottom"/>
            <w:tcBorders>
              <w:top w:val="single" w:sz="8" w:color="A6D7F0"/>
            </w:tcBorders>
            <w:shd w:val="clear" w:color="auto" w:fill="A6D7F0"/>
          </w:tcPr>
          <w:p>
            <w:pPr>
              <w:ind w:left="680"/>
              <w:spacing w:after="0"/>
              <w:rPr>
                <w:sz w:val="20"/>
                <w:szCs w:val="20"/>
                <w:color w:val="auto"/>
              </w:rPr>
            </w:pPr>
            <w:r>
              <w:rPr>
                <w:rFonts w:ascii="Arial" w:cs="Arial" w:eastAsia="Arial" w:hAnsi="Arial"/>
                <w:sz w:val="16"/>
                <w:szCs w:val="16"/>
                <w:b w:val="1"/>
                <w:bCs w:val="1"/>
                <w:color w:val="auto"/>
              </w:rPr>
              <w:t>Engagement</w:t>
            </w:r>
          </w:p>
        </w:tc>
      </w:tr>
      <w:tr>
        <w:trPr>
          <w:trHeight w:val="116"/>
        </w:trPr>
        <w:tc>
          <w:tcPr>
            <w:tcW w:w="2340" w:type="dxa"/>
            <w:vAlign w:val="bottom"/>
            <w:tcBorders>
              <w:left w:val="single" w:sz="8" w:color="auto"/>
              <w:bottom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360" w:type="dxa"/>
            <w:vAlign w:val="bottom"/>
            <w:shd w:val="clear" w:color="auto" w:fill="A6D7F0"/>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-213995</wp:posOffset>
            </wp:positionV>
            <wp:extent cx="120015" cy="9398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-213995</wp:posOffset>
            </wp:positionV>
            <wp:extent cx="120015" cy="939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-213995</wp:posOffset>
            </wp:positionV>
            <wp:extent cx="120015" cy="939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Employees</w:t>
      </w:r>
    </w:p>
    <w:p>
      <w:pPr>
        <w:spacing w:after="0" w:line="49"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Board is committed to maintaining a strong corporate governance culture that instills and enhances a sense of personal accountability on the part of all of the Firm’s employees.</w:t>
      </w:r>
    </w:p>
    <w:p>
      <w:pPr>
        <w:spacing w:after="0" w:line="88"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In addition to discussions at Board meetings with senior management about these efforts, our directors participate in events outside of the boardroom including meetings with employees that emphasize this commitment. These meetings include LOB and leadership team events such as our annual senior leaders’ meetings and informal sessions with members of the OC and other senior leaders. In 2025, members of our Board participated in Regional Director dinners, Firmwide senior leadership events, LOB industry events and Business Resource Groups’ (“BRGs”) events.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auto"/>
        </w:rPr>
        <w:t>Regulators</w:t>
      </w:r>
    </w:p>
    <w:p>
      <w:pPr>
        <w:spacing w:after="0" w:line="6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Our Board and senior leaders regularly meet with regulators. These interactions help us learn first-hand from regulators about matters of importance to them and their expectations of us. They also provide a forum for the Board and management to keep our regulators well-informed about the Firm’s performance and business practices.</w:t>
      </w: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Stakeholders</w:t>
      </w:r>
    </w:p>
    <w:p>
      <w:pPr>
        <w:spacing w:after="0" w:line="4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we strive to deliver value, management engages with our stakeholders, including our customers, suppliers and leaders in the communities in which we work, on a range of issues and in a variety of ways. These may include, for example, participation in consumer advisory groups and meetings with policy advocacy groups and nonprofit organizations. We seek feedback on key topics to help us better understand what is important to our stakeholders and find ways to deliver value while also navigating financial, legal and regulatory considerations. In recent years, we have engaged in extensive stakeholder outreach pertaining to, among other topics, the Firm’s enterprise risk management framework, human capital management and sustainability.</w:t>
      </w:r>
    </w:p>
    <w:p>
      <w:pPr>
        <w:spacing w:after="0" w:line="73"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Management shares feedback from these relationships and engagements with the Board, providing the Board with valuable insights. Board members also participate in engagements with stakeholders through client events, industry conferences and shareholder discussions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330835</wp:posOffset>
            </wp:positionV>
            <wp:extent cx="651510" cy="857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color w:val="auto"/>
        </w:rPr>
        <w:t>Director compensation</w:t>
      </w:r>
    </w:p>
    <w:p>
      <w:pPr>
        <w:spacing w:after="0" w:line="3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Governance Committee is responsible for reviewing director compensation and making recommendations to the Board. In making its recommendations, the Governance Committee annually reviews the Board’s responsibilities and the compensation practices of peer firms, which include the primary financial services peer group referenced with respect to the compensation of our NEOs. For more information see “Evaluating market practices” on page 46.</w:t>
      </w:r>
    </w:p>
    <w:p>
      <w:pPr>
        <w:spacing w:after="0" w:line="98"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 Board believes a best practice is to link director compensation to the Firm’s performance; therefore, a significant portion of director compensation is paid in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color w:val="auto"/>
        </w:rPr>
        <w:t>Annual compensation</w:t>
      </w:r>
    </w:p>
    <w:p>
      <w:pPr>
        <w:spacing w:after="0" w:line="63"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For 2025, each non-employee director was entitled to receive an annual cash retainer of up to $110,000 and, if the non-employee director was on the Board at the time when annual performance year equity awards were granted, an annual grant of deferred stock units valued at $265,000.</w:t>
      </w:r>
    </w:p>
    <w:p>
      <w:pPr>
        <w:spacing w:after="0" w:line="7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Pursuant to discretion authorized under the Firm's Long-Term Incentive Plan approved by shareholders at the 2024 Annual Meeting, the Governance Committee recommended, and the Board approved, an increase to director compensation to maintain the competitiveness of the program. Effective January 1, 2026, the directors' annual cash retainer was increased from $110,000 to $120,000 and the annual grant of deferred stock units was increased from $265,000 to $280,000.</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Compensation paid during 2025, including additional cash compensation paid for certain committee and other service, is described in the following tables.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deferred stock unit included in the annual grant to directors represents the right to receive one share of the Firm’s common stock and dividend equivalents payable in deferred stock units for any dividends paid. Deferred stock units have no voting rights. In January of the year immediately following a director’s retirement from the Board, deferred stock units are distributed in shares of the Firm’s common stock in either a lump sum or in annual installments for up to 15 years as elected by the director. Beginning with the annual deferred stock units to be granted in January 2027, provided that directors meet stock ownership requirements set forth in the Firm's Governance Principles, directors may elect to defer payment of up to 50% of their annual grant of deferred stock units for thirty-six months from the award date, and the remainder must be deferred until the director's retirement from the Board.</w:t>
      </w:r>
    </w:p>
    <w:p>
      <w:pPr>
        <w:spacing w:after="0" w:line="115"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following table summarizes the 2025 annual compensation for non-employee directors for service on the Boards of the Firm and the Bank. There is no additional compensation paid for service on the Board of IHC.</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shd w:val="clear" w:color="auto" w:fill="F4EFE7"/>
          </w:tcPr>
          <w:p>
            <w:pPr>
              <w:spacing w:after="0"/>
              <w:rPr>
                <w:sz w:val="16"/>
                <w:szCs w:val="16"/>
                <w:color w:val="auto"/>
              </w:rPr>
            </w:pPr>
          </w:p>
        </w:tc>
        <w:tc>
          <w:tcPr>
            <w:tcW w:w="3760" w:type="dxa"/>
            <w:vAlign w:val="bottom"/>
            <w:shd w:val="clear" w:color="auto" w:fill="F4EFE7"/>
          </w:tcPr>
          <w:p>
            <w:pPr>
              <w:spacing w:after="0"/>
              <w:rPr>
                <w:sz w:val="16"/>
                <w:szCs w:val="16"/>
                <w:color w:val="auto"/>
              </w:rPr>
            </w:pPr>
          </w:p>
        </w:tc>
        <w:tc>
          <w:tcPr>
            <w:tcW w:w="80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Amount</w:t>
            </w:r>
          </w:p>
        </w:tc>
      </w:tr>
      <w:tr>
        <w:trPr>
          <w:trHeight w:val="205"/>
        </w:trPr>
        <w:tc>
          <w:tcPr>
            <w:tcW w:w="668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Compensation</w:t>
            </w:r>
          </w:p>
        </w:tc>
        <w:tc>
          <w:tcPr>
            <w:tcW w:w="3760" w:type="dxa"/>
            <w:vAlign w:val="bottom"/>
            <w:tcBorders>
              <w:bottom w:val="single" w:sz="8" w:color="auto"/>
            </w:tcBorders>
            <w:shd w:val="clear" w:color="auto" w:fill="F4EFE7"/>
          </w:tcPr>
          <w:p>
            <w:pPr>
              <w:spacing w:after="0"/>
              <w:rPr>
                <w:sz w:val="17"/>
                <w:szCs w:val="17"/>
                <w:color w:val="auto"/>
              </w:rPr>
            </w:pPr>
          </w:p>
        </w:tc>
        <w:tc>
          <w:tcPr>
            <w:tcW w:w="80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w:t>
            </w:r>
          </w:p>
        </w:tc>
      </w:tr>
      <w:tr>
        <w:trPr>
          <w:trHeight w:val="237"/>
        </w:trPr>
        <w:tc>
          <w:tcPr>
            <w:tcW w:w="66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Board retainer</w:t>
            </w:r>
          </w:p>
        </w:tc>
        <w:tc>
          <w:tcPr>
            <w:tcW w:w="376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110,000</w:t>
            </w:r>
          </w:p>
        </w:tc>
      </w:tr>
      <w:tr>
        <w:trPr>
          <w:trHeight w:val="237"/>
        </w:trPr>
        <w:tc>
          <w:tcPr>
            <w:tcW w:w="66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Lead Independent Director retainer</w:t>
            </w:r>
          </w:p>
        </w:tc>
        <w:tc>
          <w:tcPr>
            <w:tcW w:w="37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35,000</w:t>
            </w:r>
          </w:p>
        </w:tc>
      </w:tr>
      <w:tr>
        <w:trPr>
          <w:trHeight w:val="236"/>
        </w:trPr>
        <w:tc>
          <w:tcPr>
            <w:tcW w:w="66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Audit and Risk Committee chair retainer</w:t>
            </w:r>
          </w:p>
        </w:tc>
        <w:tc>
          <w:tcPr>
            <w:tcW w:w="37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30,000</w:t>
            </w:r>
          </w:p>
        </w:tc>
      </w:tr>
      <w:tr>
        <w:trPr>
          <w:trHeight w:val="237"/>
        </w:trPr>
        <w:tc>
          <w:tcPr>
            <w:tcW w:w="66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Audit and Risk Committee member retainer</w:t>
            </w:r>
          </w:p>
        </w:tc>
        <w:tc>
          <w:tcPr>
            <w:tcW w:w="37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20,000</w:t>
            </w:r>
          </w:p>
        </w:tc>
      </w:tr>
      <w:tr>
        <w:trPr>
          <w:trHeight w:val="236"/>
        </w:trPr>
        <w:tc>
          <w:tcPr>
            <w:tcW w:w="66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All other committees chair retainer</w:t>
            </w:r>
          </w:p>
        </w:tc>
        <w:tc>
          <w:tcPr>
            <w:tcW w:w="37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20,000</w:t>
            </w:r>
          </w:p>
        </w:tc>
      </w:tr>
      <w:tr>
        <w:trPr>
          <w:trHeight w:val="237"/>
        </w:trPr>
        <w:tc>
          <w:tcPr>
            <w:tcW w:w="66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Deferred stock unit grant</w:t>
            </w:r>
          </w:p>
        </w:tc>
        <w:tc>
          <w:tcPr>
            <w:tcW w:w="37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265,000</w:t>
            </w:r>
          </w:p>
        </w:tc>
      </w:tr>
      <w:tr>
        <w:trPr>
          <w:trHeight w:val="236"/>
        </w:trPr>
        <w:tc>
          <w:tcPr>
            <w:tcW w:w="66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Bank Board retainer</w:t>
            </w:r>
          </w:p>
        </w:tc>
        <w:tc>
          <w:tcPr>
            <w:tcW w:w="37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20,000</w:t>
            </w:r>
          </w:p>
        </w:tc>
      </w:tr>
      <w:tr>
        <w:trPr>
          <w:trHeight w:val="237"/>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Bank Board’s chair retainer</w:t>
            </w:r>
          </w:p>
        </w:tc>
        <w:tc>
          <w:tcPr>
            <w:tcW w:w="3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30,000</w:t>
            </w:r>
          </w:p>
        </w:tc>
      </w:tr>
    </w:tbl>
    <w:p>
      <w:pPr>
        <w:spacing w:after="0" w:line="14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Board may periodically ask directors to serve on one or more specific purpose committees or other committees that are not one of the Board’s principal standing committees or to serve on the board of directors of a subsidiary of the Firm. Any compensation for such service is included in the “2025 Director compensation table”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383540</wp:posOffset>
            </wp:positionV>
            <wp:extent cx="651510" cy="857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32</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7840"/>
        <w:spacing w:after="0"/>
        <w:rPr>
          <w:sz w:val="20"/>
          <w:szCs w:val="20"/>
          <w:color w:val="auto"/>
        </w:rPr>
      </w:pPr>
      <w:r>
        <w:rPr>
          <w:rFonts w:ascii="Arial" w:cs="Arial" w:eastAsia="Arial" w:hAnsi="Arial"/>
          <w:sz w:val="14"/>
          <w:szCs w:val="14"/>
          <w:color w:val="8F5A39"/>
        </w:rPr>
        <w:t xml:space="preserve">Director compensation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color w:val="auto"/>
        </w:rPr>
        <w:t>2025 Director compensation table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compensation for each non-employee director in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60" w:type="dxa"/>
            <w:vAlign w:val="bottom"/>
            <w:shd w:val="clear" w:color="auto" w:fill="F4EFE7"/>
          </w:tcPr>
          <w:p>
            <w:pPr>
              <w:spacing w:after="0"/>
              <w:rPr>
                <w:sz w:val="16"/>
                <w:szCs w:val="16"/>
                <w:color w:val="auto"/>
              </w:rPr>
            </w:pPr>
          </w:p>
        </w:tc>
        <w:tc>
          <w:tcPr>
            <w:tcW w:w="3560" w:type="dxa"/>
            <w:vAlign w:val="bottom"/>
            <w:shd w:val="clear" w:color="auto" w:fill="F4EFE7"/>
          </w:tcPr>
          <w:p>
            <w:pPr>
              <w:spacing w:after="0"/>
              <w:rPr>
                <w:sz w:val="16"/>
                <w:szCs w:val="16"/>
                <w:color w:val="auto"/>
              </w:rPr>
            </w:pPr>
          </w:p>
        </w:tc>
        <w:tc>
          <w:tcPr>
            <w:tcW w:w="1380" w:type="dxa"/>
            <w:vAlign w:val="bottom"/>
            <w:shd w:val="clear" w:color="auto" w:fill="F4EFE7"/>
          </w:tcPr>
          <w:p>
            <w:pPr>
              <w:spacing w:after="0"/>
              <w:rPr>
                <w:sz w:val="16"/>
                <w:szCs w:val="16"/>
                <w:color w:val="auto"/>
              </w:rPr>
            </w:pPr>
          </w:p>
        </w:tc>
        <w:tc>
          <w:tcPr>
            <w:tcW w:w="1460" w:type="dxa"/>
            <w:vAlign w:val="bottom"/>
            <w:shd w:val="clear" w:color="auto" w:fill="F4EFE7"/>
          </w:tcPr>
          <w:p>
            <w:pPr>
              <w:jc w:val="right"/>
              <w:ind w:right="128"/>
              <w:spacing w:after="0"/>
              <w:rPr>
                <w:sz w:val="20"/>
                <w:szCs w:val="20"/>
                <w:color w:val="auto"/>
              </w:rPr>
            </w:pPr>
            <w:r>
              <w:rPr>
                <w:rFonts w:ascii="Arial" w:cs="Arial" w:eastAsia="Arial" w:hAnsi="Arial"/>
                <w:sz w:val="14"/>
                <w:szCs w:val="14"/>
                <w:b w:val="1"/>
                <w:bCs w:val="1"/>
                <w:color w:val="8F5A39"/>
              </w:rPr>
              <w:t>Other</w:t>
            </w:r>
          </w:p>
        </w:tc>
        <w:tc>
          <w:tcPr>
            <w:tcW w:w="1080" w:type="dxa"/>
            <w:vAlign w:val="bottom"/>
            <w:shd w:val="clear" w:color="auto" w:fill="F4EFE7"/>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F4EFE7"/>
          </w:tcPr>
          <w:p>
            <w:pPr>
              <w:spacing w:after="0"/>
              <w:rPr>
                <w:sz w:val="15"/>
                <w:szCs w:val="15"/>
                <w:color w:val="auto"/>
              </w:rPr>
            </w:pPr>
          </w:p>
        </w:tc>
        <w:tc>
          <w:tcPr>
            <w:tcW w:w="3560" w:type="dxa"/>
            <w:vAlign w:val="bottom"/>
            <w:shd w:val="clear" w:color="auto" w:fill="F4EFE7"/>
          </w:tcPr>
          <w:p>
            <w:pPr>
              <w:jc w:val="right"/>
              <w:ind w:right="108"/>
              <w:spacing w:after="0"/>
              <w:rPr>
                <w:sz w:val="20"/>
                <w:szCs w:val="20"/>
                <w:color w:val="auto"/>
              </w:rPr>
            </w:pPr>
            <w:r>
              <w:rPr>
                <w:rFonts w:ascii="Arial" w:cs="Arial" w:eastAsia="Arial" w:hAnsi="Arial"/>
                <w:sz w:val="14"/>
                <w:szCs w:val="14"/>
                <w:b w:val="1"/>
                <w:bCs w:val="1"/>
                <w:color w:val="8F5A39"/>
              </w:rPr>
              <w:t>Fees earned or</w:t>
            </w:r>
          </w:p>
        </w:tc>
        <w:tc>
          <w:tcPr>
            <w:tcW w:w="1380" w:type="dxa"/>
            <w:vAlign w:val="bottom"/>
            <w:shd w:val="clear" w:color="auto" w:fill="F4EFE7"/>
          </w:tcPr>
          <w:p>
            <w:pPr>
              <w:jc w:val="right"/>
              <w:ind w:right="228"/>
              <w:spacing w:after="0"/>
              <w:rPr>
                <w:sz w:val="20"/>
                <w:szCs w:val="20"/>
                <w:color w:val="auto"/>
              </w:rPr>
            </w:pPr>
            <w:r>
              <w:rPr>
                <w:rFonts w:ascii="Arial" w:cs="Arial" w:eastAsia="Arial" w:hAnsi="Arial"/>
                <w:sz w:val="14"/>
                <w:szCs w:val="14"/>
                <w:b w:val="1"/>
                <w:bCs w:val="1"/>
                <w:color w:val="8F5A39"/>
              </w:rPr>
              <w:t>2025 Stock</w:t>
            </w:r>
          </w:p>
        </w:tc>
        <w:tc>
          <w:tcPr>
            <w:tcW w:w="1460" w:type="dxa"/>
            <w:vAlign w:val="bottom"/>
            <w:shd w:val="clear" w:color="auto" w:fill="F4EFE7"/>
          </w:tcPr>
          <w:p>
            <w:pPr>
              <w:jc w:val="right"/>
              <w:ind w:right="128"/>
              <w:spacing w:after="0"/>
              <w:rPr>
                <w:sz w:val="20"/>
                <w:szCs w:val="20"/>
                <w:color w:val="auto"/>
              </w:rPr>
            </w:pPr>
            <w:r>
              <w:rPr>
                <w:rFonts w:ascii="Arial" w:cs="Arial" w:eastAsia="Arial" w:hAnsi="Arial"/>
                <w:sz w:val="14"/>
                <w:szCs w:val="14"/>
                <w:b w:val="1"/>
                <w:bCs w:val="1"/>
                <w:color w:val="8F5A39"/>
              </w:rPr>
              <w:t>fees earned or</w:t>
            </w:r>
          </w:p>
        </w:tc>
        <w:tc>
          <w:tcPr>
            <w:tcW w:w="1080" w:type="dxa"/>
            <w:vAlign w:val="bottom"/>
            <w:vMerge w:val="restart"/>
            <w:shd w:val="clear" w:color="auto" w:fill="F4EFE7"/>
          </w:tcPr>
          <w:p>
            <w:pPr>
              <w:jc w:val="right"/>
              <w:spacing w:after="0"/>
              <w:rPr>
                <w:sz w:val="20"/>
                <w:szCs w:val="20"/>
                <w:color w:val="auto"/>
              </w:rPr>
            </w:pPr>
            <w:r>
              <w:rPr>
                <w:rFonts w:ascii="Arial" w:cs="Arial" w:eastAsia="Arial" w:hAnsi="Arial"/>
                <w:sz w:val="14"/>
                <w:szCs w:val="14"/>
                <w:b w:val="1"/>
                <w:bCs w:val="1"/>
                <w:color w:val="8F5A39"/>
              </w:rPr>
              <w:t>Total</w:t>
            </w:r>
          </w:p>
        </w:tc>
        <w:tc>
          <w:tcPr>
            <w:tcW w:w="0" w:type="dxa"/>
            <w:vAlign w:val="bottom"/>
          </w:tcPr>
          <w:p>
            <w:pPr>
              <w:spacing w:after="0"/>
              <w:rPr>
                <w:sz w:val="1"/>
                <w:szCs w:val="1"/>
                <w:color w:val="auto"/>
              </w:rPr>
            </w:pPr>
          </w:p>
        </w:tc>
      </w:tr>
      <w:tr>
        <w:trPr>
          <w:trHeight w:val="162"/>
        </w:trPr>
        <w:tc>
          <w:tcPr>
            <w:tcW w:w="3760" w:type="dxa"/>
            <w:vAlign w:val="bottom"/>
            <w:shd w:val="clear" w:color="auto" w:fill="F4EFE7"/>
          </w:tcPr>
          <w:p>
            <w:pPr>
              <w:spacing w:after="0"/>
              <w:rPr>
                <w:sz w:val="14"/>
                <w:szCs w:val="14"/>
                <w:color w:val="auto"/>
              </w:rPr>
            </w:pPr>
          </w:p>
        </w:tc>
        <w:tc>
          <w:tcPr>
            <w:tcW w:w="3560" w:type="dxa"/>
            <w:vAlign w:val="bottom"/>
            <w:shd w:val="clear" w:color="auto" w:fill="F4EFE7"/>
          </w:tcPr>
          <w:p>
            <w:pPr>
              <w:jc w:val="right"/>
              <w:ind w:right="108"/>
              <w:spacing w:after="0"/>
              <w:rPr>
                <w:sz w:val="20"/>
                <w:szCs w:val="20"/>
                <w:color w:val="auto"/>
              </w:rPr>
            </w:pPr>
            <w:r>
              <w:rPr>
                <w:rFonts w:ascii="Arial" w:cs="Arial" w:eastAsia="Arial" w:hAnsi="Arial"/>
                <w:sz w:val="14"/>
                <w:szCs w:val="14"/>
                <w:b w:val="1"/>
                <w:bCs w:val="1"/>
                <w:color w:val="8F5A39"/>
              </w:rPr>
              <w:t>paid in cash</w:t>
            </w:r>
          </w:p>
        </w:tc>
        <w:tc>
          <w:tcPr>
            <w:tcW w:w="1380" w:type="dxa"/>
            <w:vAlign w:val="bottom"/>
            <w:shd w:val="clear" w:color="auto" w:fill="F4EFE7"/>
          </w:tcPr>
          <w:p>
            <w:pPr>
              <w:jc w:val="right"/>
              <w:ind w:right="228"/>
              <w:spacing w:after="0"/>
              <w:rPr>
                <w:sz w:val="20"/>
                <w:szCs w:val="20"/>
                <w:color w:val="auto"/>
              </w:rPr>
            </w:pPr>
            <w:r>
              <w:rPr>
                <w:rFonts w:ascii="Arial" w:cs="Arial" w:eastAsia="Arial" w:hAnsi="Arial"/>
                <w:sz w:val="14"/>
                <w:szCs w:val="14"/>
                <w:b w:val="1"/>
                <w:bCs w:val="1"/>
                <w:color w:val="8F5A39"/>
              </w:rPr>
              <w:t>award</w:t>
            </w:r>
          </w:p>
        </w:tc>
        <w:tc>
          <w:tcPr>
            <w:tcW w:w="1460" w:type="dxa"/>
            <w:vAlign w:val="bottom"/>
            <w:shd w:val="clear" w:color="auto" w:fill="F4EFE7"/>
          </w:tcPr>
          <w:p>
            <w:pPr>
              <w:jc w:val="right"/>
              <w:ind w:right="128"/>
              <w:spacing w:after="0"/>
              <w:rPr>
                <w:sz w:val="20"/>
                <w:szCs w:val="20"/>
                <w:color w:val="auto"/>
              </w:rPr>
            </w:pPr>
            <w:r>
              <w:rPr>
                <w:rFonts w:ascii="Arial" w:cs="Arial" w:eastAsia="Arial" w:hAnsi="Arial"/>
                <w:sz w:val="14"/>
                <w:szCs w:val="14"/>
                <w:b w:val="1"/>
                <w:bCs w:val="1"/>
                <w:color w:val="8F5A39"/>
              </w:rPr>
              <w:t>paid in cash</w:t>
            </w:r>
          </w:p>
        </w:tc>
        <w:tc>
          <w:tcPr>
            <w:tcW w:w="1080" w:type="dxa"/>
            <w:vAlign w:val="bottom"/>
            <w:vMerge w:val="continue"/>
            <w:shd w:val="clear" w:color="auto" w:fill="F4EFE7"/>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6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Director</w:t>
            </w:r>
          </w:p>
        </w:tc>
        <w:tc>
          <w:tcPr>
            <w:tcW w:w="3560" w:type="dxa"/>
            <w:vAlign w:val="bottom"/>
            <w:tcBorders>
              <w:bottom w:val="single" w:sz="8" w:color="auto"/>
            </w:tcBorders>
            <w:shd w:val="clear" w:color="auto" w:fill="F4EFE7"/>
          </w:tcPr>
          <w:p>
            <w:pPr>
              <w:jc w:val="right"/>
              <w:ind w:right="108"/>
              <w:spacing w:after="0"/>
              <w:rPr>
                <w:sz w:val="20"/>
                <w:szCs w:val="20"/>
                <w:color w:val="auto"/>
              </w:rPr>
            </w:pPr>
            <w:r>
              <w:rPr>
                <w:rFonts w:ascii="Arial" w:cs="Arial" w:eastAsia="Arial" w:hAnsi="Arial"/>
                <w:sz w:val="14"/>
                <w:szCs w:val="14"/>
                <w:b w:val="1"/>
                <w:bCs w:val="1"/>
                <w:color w:val="8F5A39"/>
              </w:rPr>
              <w:t>($)</w:t>
            </w:r>
            <w:r>
              <w:rPr>
                <w:rFonts w:ascii="Arial" w:cs="Arial" w:eastAsia="Arial" w:hAnsi="Arial"/>
                <w:sz w:val="18"/>
                <w:szCs w:val="18"/>
                <w:b w:val="1"/>
                <w:bCs w:val="1"/>
                <w:color w:val="8F5A39"/>
                <w:vertAlign w:val="superscript"/>
              </w:rPr>
              <w:t>1</w:t>
            </w:r>
          </w:p>
        </w:tc>
        <w:tc>
          <w:tcPr>
            <w:tcW w:w="1380" w:type="dxa"/>
            <w:vAlign w:val="bottom"/>
            <w:tcBorders>
              <w:bottom w:val="single" w:sz="8" w:color="auto"/>
            </w:tcBorders>
            <w:shd w:val="clear" w:color="auto" w:fill="F4EFE7"/>
          </w:tcPr>
          <w:p>
            <w:pPr>
              <w:jc w:val="right"/>
              <w:ind w:right="228"/>
              <w:spacing w:after="0"/>
              <w:rPr>
                <w:sz w:val="20"/>
                <w:szCs w:val="20"/>
                <w:color w:val="auto"/>
              </w:rPr>
            </w:pPr>
            <w:r>
              <w:rPr>
                <w:rFonts w:ascii="Arial" w:cs="Arial" w:eastAsia="Arial" w:hAnsi="Arial"/>
                <w:sz w:val="14"/>
                <w:szCs w:val="14"/>
                <w:b w:val="1"/>
                <w:bCs w:val="1"/>
                <w:color w:val="8F5A39"/>
              </w:rPr>
              <w:t>($)</w:t>
            </w:r>
            <w:r>
              <w:rPr>
                <w:rFonts w:ascii="Arial" w:cs="Arial" w:eastAsia="Arial" w:hAnsi="Arial"/>
                <w:sz w:val="18"/>
                <w:szCs w:val="18"/>
                <w:b w:val="1"/>
                <w:bCs w:val="1"/>
                <w:color w:val="8F5A39"/>
                <w:vertAlign w:val="superscript"/>
              </w:rPr>
              <w:t>2</w:t>
            </w:r>
          </w:p>
        </w:tc>
        <w:tc>
          <w:tcPr>
            <w:tcW w:w="1460" w:type="dxa"/>
            <w:vAlign w:val="bottom"/>
            <w:tcBorders>
              <w:bottom w:val="single" w:sz="8" w:color="auto"/>
            </w:tcBorders>
            <w:shd w:val="clear" w:color="auto" w:fill="F4EFE7"/>
          </w:tcPr>
          <w:p>
            <w:pPr>
              <w:jc w:val="right"/>
              <w:ind w:right="128"/>
              <w:spacing w:after="0"/>
              <w:rPr>
                <w:sz w:val="20"/>
                <w:szCs w:val="20"/>
                <w:color w:val="auto"/>
              </w:rPr>
            </w:pPr>
            <w:r>
              <w:rPr>
                <w:rFonts w:ascii="Arial" w:cs="Arial" w:eastAsia="Arial" w:hAnsi="Arial"/>
                <w:sz w:val="14"/>
                <w:szCs w:val="14"/>
                <w:b w:val="1"/>
                <w:bCs w:val="1"/>
                <w:color w:val="8F5A39"/>
              </w:rPr>
              <w:t>($)</w:t>
            </w:r>
            <w:r>
              <w:rPr>
                <w:rFonts w:ascii="Arial" w:cs="Arial" w:eastAsia="Arial" w:hAnsi="Arial"/>
                <w:sz w:val="18"/>
                <w:szCs w:val="18"/>
                <w:b w:val="1"/>
                <w:bCs w:val="1"/>
                <w:color w:val="8F5A39"/>
                <w:vertAlign w:val="superscript"/>
              </w:rPr>
              <w:t>3</w:t>
            </w:r>
          </w:p>
        </w:tc>
        <w:tc>
          <w:tcPr>
            <w:tcW w:w="108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Stephen B. Burke</w:t>
            </w:r>
          </w:p>
        </w:tc>
        <w:tc>
          <w:tcPr>
            <w:tcW w:w="35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   165,000</w:t>
            </w:r>
          </w:p>
        </w:tc>
        <w:tc>
          <w:tcPr>
            <w:tcW w:w="138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   265,000</w:t>
            </w:r>
          </w:p>
        </w:tc>
        <w:tc>
          <w:tcPr>
            <w:tcW w:w="1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   60,000</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   490,000</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Linda B. Bammann</w:t>
            </w:r>
          </w:p>
        </w:tc>
        <w:tc>
          <w:tcPr>
            <w:tcW w:w="35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160,000</w:t>
            </w:r>
          </w:p>
        </w:tc>
        <w:tc>
          <w:tcPr>
            <w:tcW w:w="138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265,000</w:t>
            </w:r>
          </w:p>
        </w:tc>
        <w:tc>
          <w:tcPr>
            <w:tcW w:w="1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20,000</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445,000</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Michele G. Buck</w:t>
            </w:r>
          </w:p>
        </w:tc>
        <w:tc>
          <w:tcPr>
            <w:tcW w:w="35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102,861</w:t>
            </w:r>
          </w:p>
        </w:tc>
        <w:tc>
          <w:tcPr>
            <w:tcW w:w="138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15,833</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118,694</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Todd A. Combs</w:t>
            </w:r>
            <w:r>
              <w:rPr>
                <w:rFonts w:ascii="Arial" w:cs="Arial" w:eastAsia="Arial" w:hAnsi="Arial"/>
                <w:sz w:val="9"/>
                <w:szCs w:val="9"/>
                <w:b w:val="1"/>
                <w:bCs w:val="1"/>
                <w:color w:val="8F5A39"/>
              </w:rPr>
              <w:t>4</w:t>
            </w:r>
          </w:p>
        </w:tc>
        <w:tc>
          <w:tcPr>
            <w:tcW w:w="35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121,522</w:t>
            </w:r>
          </w:p>
        </w:tc>
        <w:tc>
          <w:tcPr>
            <w:tcW w:w="138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265,000</w:t>
            </w:r>
          </w:p>
        </w:tc>
        <w:tc>
          <w:tcPr>
            <w:tcW w:w="1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26,195</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412,717</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Alicia Boler Davis</w:t>
            </w:r>
          </w:p>
        </w:tc>
        <w:tc>
          <w:tcPr>
            <w:tcW w:w="35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130,000</w:t>
            </w:r>
          </w:p>
        </w:tc>
        <w:tc>
          <w:tcPr>
            <w:tcW w:w="138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265,000</w:t>
            </w:r>
          </w:p>
        </w:tc>
        <w:tc>
          <w:tcPr>
            <w:tcW w:w="1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20,000</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415,000</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Alex Gorsky</w:t>
            </w:r>
          </w:p>
        </w:tc>
        <w:tc>
          <w:tcPr>
            <w:tcW w:w="35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130,000</w:t>
            </w:r>
          </w:p>
        </w:tc>
        <w:tc>
          <w:tcPr>
            <w:tcW w:w="138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265,000</w:t>
            </w:r>
          </w:p>
        </w:tc>
        <w:tc>
          <w:tcPr>
            <w:tcW w:w="1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20,000</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415,000</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Mellody Hobson</w:t>
            </w:r>
          </w:p>
        </w:tc>
        <w:tc>
          <w:tcPr>
            <w:tcW w:w="35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150,000</w:t>
            </w:r>
          </w:p>
        </w:tc>
        <w:tc>
          <w:tcPr>
            <w:tcW w:w="138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265,000</w:t>
            </w:r>
          </w:p>
        </w:tc>
        <w:tc>
          <w:tcPr>
            <w:tcW w:w="1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27,500</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442,500</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Phebe N. Novakovic</w:t>
            </w:r>
          </w:p>
        </w:tc>
        <w:tc>
          <w:tcPr>
            <w:tcW w:w="35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130,000</w:t>
            </w:r>
          </w:p>
        </w:tc>
        <w:tc>
          <w:tcPr>
            <w:tcW w:w="138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265,000</w:t>
            </w:r>
          </w:p>
        </w:tc>
        <w:tc>
          <w:tcPr>
            <w:tcW w:w="1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20,000</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415,000</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Virginia M. Rometty</w:t>
            </w:r>
          </w:p>
        </w:tc>
        <w:tc>
          <w:tcPr>
            <w:tcW w:w="35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111,304</w:t>
            </w:r>
          </w:p>
        </w:tc>
        <w:tc>
          <w:tcPr>
            <w:tcW w:w="138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265,000</w:t>
            </w:r>
          </w:p>
        </w:tc>
        <w:tc>
          <w:tcPr>
            <w:tcW w:w="1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30,000</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406,304</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Brad D. Smith</w:t>
            </w:r>
          </w:p>
        </w:tc>
        <w:tc>
          <w:tcPr>
            <w:tcW w:w="35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119,667</w:t>
            </w:r>
          </w:p>
        </w:tc>
        <w:tc>
          <w:tcPr>
            <w:tcW w:w="138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2B2B2"/>
            </w:tcBorders>
          </w:tcPr>
          <w:p>
            <w:pPr>
              <w:jc w:val="right"/>
              <w:ind w:right="168"/>
              <w:spacing w:after="0"/>
              <w:rPr>
                <w:sz w:val="20"/>
                <w:szCs w:val="20"/>
                <w:color w:val="auto"/>
              </w:rPr>
            </w:pPr>
            <w:r>
              <w:rPr>
                <w:rFonts w:ascii="Arial" w:cs="Arial" w:eastAsia="Arial" w:hAnsi="Arial"/>
                <w:sz w:val="14"/>
                <w:szCs w:val="14"/>
                <w:color w:val="auto"/>
              </w:rPr>
              <w:t>18,889</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138,556</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F5A39"/>
              </w:rPr>
              <w:t>Mark A. Weinberger</w:t>
            </w:r>
          </w:p>
        </w:tc>
        <w:tc>
          <w:tcPr>
            <w:tcW w:w="3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160,000</w:t>
            </w:r>
          </w:p>
        </w:tc>
        <w:tc>
          <w:tcPr>
            <w:tcW w:w="13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265,000</w:t>
            </w: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445,000</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00" w:hanging="192"/>
        <w:spacing w:after="0"/>
        <w:tabs>
          <w:tab w:leader="none" w:pos="200" w:val="left"/>
        </w:tabs>
        <w:numPr>
          <w:ilvl w:val="0"/>
          <w:numId w:val="129"/>
        </w:numPr>
        <w:rPr>
          <w:rFonts w:ascii="Arial" w:cs="Arial" w:eastAsia="Arial" w:hAnsi="Arial"/>
          <w:sz w:val="19"/>
          <w:szCs w:val="19"/>
          <w:color w:val="auto"/>
          <w:vertAlign w:val="superscript"/>
        </w:rPr>
      </w:pPr>
      <w:r>
        <w:rPr>
          <w:rFonts w:ascii="Arial" w:cs="Arial" w:eastAsia="Arial" w:hAnsi="Arial"/>
          <w:sz w:val="13"/>
          <w:szCs w:val="13"/>
          <w:color w:val="auto"/>
        </w:rPr>
        <w:t>Includes fees earned, whether paid in cash or deferred, for service on the Board of Directors. For additional information on each director’s service on committees of JPMorganChase, see</w:t>
      </w:r>
    </w:p>
    <w:p>
      <w:pPr>
        <w:ind w:left="200"/>
        <w:spacing w:after="0" w:line="211" w:lineRule="auto"/>
        <w:rPr>
          <w:sz w:val="20"/>
          <w:szCs w:val="20"/>
          <w:color w:val="auto"/>
        </w:rPr>
      </w:pPr>
      <w:r>
        <w:rPr>
          <w:rFonts w:ascii="Arial" w:cs="Arial" w:eastAsia="Arial" w:hAnsi="Arial"/>
          <w:sz w:val="13"/>
          <w:szCs w:val="13"/>
          <w:color w:val="auto"/>
        </w:rPr>
        <w:t>“Committees of the Board” on pages 23-25.</w:t>
      </w:r>
    </w:p>
    <w:p>
      <w:pPr>
        <w:spacing w:after="0" w:line="13" w:lineRule="exact"/>
        <w:rPr>
          <w:sz w:val="20"/>
          <w:szCs w:val="20"/>
          <w:color w:val="auto"/>
        </w:rPr>
      </w:pPr>
    </w:p>
    <w:p>
      <w:pPr>
        <w:ind w:left="200" w:right="260" w:hanging="192"/>
        <w:spacing w:after="0" w:line="214" w:lineRule="auto"/>
        <w:tabs>
          <w:tab w:leader="none" w:pos="193" w:val="left"/>
        </w:tabs>
        <w:numPr>
          <w:ilvl w:val="0"/>
          <w:numId w:val="130"/>
        </w:numPr>
        <w:rPr>
          <w:rFonts w:ascii="Arial" w:cs="Arial" w:eastAsia="Arial" w:hAnsi="Arial"/>
          <w:sz w:val="19"/>
          <w:szCs w:val="19"/>
          <w:color w:val="auto"/>
          <w:vertAlign w:val="superscript"/>
        </w:rPr>
      </w:pPr>
      <w:r>
        <w:rPr>
          <w:rFonts w:ascii="Arial" w:cs="Arial" w:eastAsia="Arial" w:hAnsi="Arial"/>
          <w:sz w:val="13"/>
          <w:szCs w:val="13"/>
          <w:color w:val="auto"/>
        </w:rPr>
        <w:t>On January 21, 2025, each non-employee director who was on the Board at the time when annual performance year equity awards were granted, received an annual grant of deferred stock units valued at $265,000, based on a grant date fair market value of the Firm’s common stock of $261.8768 per share. The aggregate number of stock and option awards outstanding at December 31, 2025, for each current director is included in the “Security ownership of directors and executive officers” table on page 75 under the columns “SARs/Options exercisable within 60 days” and “Additional underlying stock units,” respectively. All such awards are vested.</w:t>
      </w:r>
    </w:p>
    <w:p>
      <w:pPr>
        <w:ind w:left="200" w:hanging="192"/>
        <w:spacing w:after="0" w:line="200" w:lineRule="auto"/>
        <w:tabs>
          <w:tab w:leader="none" w:pos="200" w:val="left"/>
        </w:tabs>
        <w:numPr>
          <w:ilvl w:val="0"/>
          <w:numId w:val="131"/>
        </w:numPr>
        <w:rPr>
          <w:rFonts w:ascii="Arial" w:cs="Arial" w:eastAsia="Arial" w:hAnsi="Arial"/>
          <w:sz w:val="18"/>
          <w:szCs w:val="18"/>
          <w:color w:val="auto"/>
          <w:vertAlign w:val="superscript"/>
        </w:rPr>
      </w:pPr>
      <w:r>
        <w:rPr>
          <w:rFonts w:ascii="Arial" w:cs="Arial" w:eastAsia="Arial" w:hAnsi="Arial"/>
          <w:sz w:val="12"/>
          <w:szCs w:val="12"/>
          <w:color w:val="auto"/>
        </w:rPr>
        <w:t>Includes fees paid to non-employee directors for service on the Board of Directors of the Bank or who are members of one or more specific purpose committees. A fee of $2,500 is paid for each</w:t>
      </w:r>
    </w:p>
    <w:p>
      <w:pPr>
        <w:ind w:left="200"/>
        <w:spacing w:after="0" w:line="200" w:lineRule="auto"/>
        <w:rPr>
          <w:sz w:val="20"/>
          <w:szCs w:val="20"/>
          <w:color w:val="auto"/>
        </w:rPr>
      </w:pPr>
      <w:r>
        <w:rPr>
          <w:rFonts w:ascii="Arial" w:cs="Arial" w:eastAsia="Arial" w:hAnsi="Arial"/>
          <w:sz w:val="13"/>
          <w:szCs w:val="13"/>
          <w:color w:val="auto"/>
        </w:rPr>
        <w:t>specific purpose committee meeting attended (with the exception of the Omnibus Committee).</w:t>
      </w:r>
    </w:p>
    <w:p>
      <w:pPr>
        <w:ind w:left="200" w:hanging="192"/>
        <w:spacing w:after="0" w:line="196" w:lineRule="auto"/>
        <w:tabs>
          <w:tab w:leader="none" w:pos="200" w:val="left"/>
        </w:tabs>
        <w:numPr>
          <w:ilvl w:val="0"/>
          <w:numId w:val="132"/>
        </w:numPr>
        <w:rPr>
          <w:rFonts w:ascii="Arial" w:cs="Arial" w:eastAsia="Arial" w:hAnsi="Arial"/>
          <w:sz w:val="19"/>
          <w:szCs w:val="19"/>
          <w:color w:val="auto"/>
          <w:vertAlign w:val="superscript"/>
        </w:rPr>
      </w:pPr>
      <w:r>
        <w:rPr>
          <w:rFonts w:ascii="Arial" w:cs="Arial" w:eastAsia="Arial" w:hAnsi="Arial"/>
          <w:sz w:val="13"/>
          <w:szCs w:val="13"/>
          <w:color w:val="auto"/>
        </w:rPr>
        <w:t>Mr. Combs resigned from the Board in December 2025.</w:t>
      </w:r>
    </w:p>
    <w:p>
      <w:pPr>
        <w:spacing w:after="0" w:line="185" w:lineRule="exact"/>
        <w:rPr>
          <w:sz w:val="20"/>
          <w:szCs w:val="20"/>
          <w:color w:val="auto"/>
        </w:rPr>
      </w:pPr>
    </w:p>
    <w:p>
      <w:pPr>
        <w:spacing w:after="0"/>
        <w:rPr>
          <w:sz w:val="20"/>
          <w:szCs w:val="20"/>
          <w:color w:val="auto"/>
        </w:rPr>
      </w:pPr>
      <w:r>
        <w:rPr>
          <w:rFonts w:ascii="Arial" w:cs="Arial" w:eastAsia="Arial" w:hAnsi="Arial"/>
          <w:sz w:val="29"/>
          <w:szCs w:val="29"/>
          <w:color w:val="auto"/>
        </w:rPr>
        <w:t>Stock ownership: no sales, no hedging, no pledging</w:t>
      </w:r>
    </w:p>
    <w:p>
      <w:pPr>
        <w:spacing w:after="0" w:line="49"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As stated in the Governance Principles, each director retains all shares of the Firm’s common stock he or she purchased on the open market or received pursuant to his or her service as a Board member for as long as he or she serves on our Board absent any exceptions discussed by the Governance Committee. In addition, shares held personally by a director may not be held in margin accounts or otherwise pledged as collateral, nor may the economic risk of such shares be hedged. Further information on the Firm’s “Anti-hedging/anti-pledging provisions” can be found on page 50.</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color w:val="auto"/>
        </w:rPr>
        <w:t>Deferred compensation</w:t>
      </w:r>
    </w:p>
    <w:p>
      <w:pPr>
        <w:spacing w:after="0" w:line="4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Each year, non-employee directors may elect to defer all or part of their cash compensation. A director’s right to receive future payments under any deferred compensation arrangement is an unsecured claim against JPMorganChase’s general assets. Cash amounts may be deferred into various investment equivalents, including deferred stock units.</w:t>
      </w:r>
    </w:p>
    <w:p>
      <w:pPr>
        <w:spacing w:after="0" w:line="97"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Cash compensation deferred into stock units will be distributed in stock; all other deferred cash compensation will be distributed in cash. Deferred compensation, with the exception of annual deferred stock units that directors may elect to be distributed after thirty-six months (as described on the prior page), will be distributed in either a lump sum or in annual installments for up to 15 years as elected by the director commencing in January of the year following the director’s retirement from the Board.</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color w:val="auto"/>
        </w:rPr>
        <w:t>Reimbursements and insurance</w:t>
      </w:r>
    </w:p>
    <w:p>
      <w:pPr>
        <w:spacing w:after="0" w:line="49"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Firm reimburses directors for their expenses in connection with their Board service or pays such expenses directly. The Firm also pays the premiums on directors’ and officers’ liability insurance policies and on travel accident insurance policies covering directors as well as employees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347345</wp:posOffset>
            </wp:positionV>
            <wp:extent cx="651510" cy="857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Other 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color w:val="auto"/>
        </w:rPr>
        <w:t>Other corporate governance policies and practices</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color w:val="auto"/>
        </w:rPr>
        <w:t>Shareholder rights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Firm’s Certificate of Incorporation and By-laws provide shareholders with important rights, including:</w:t>
      </w:r>
    </w:p>
    <w:p>
      <w:pPr>
        <w:spacing w:after="0" w:line="181" w:lineRule="exact"/>
        <w:rPr>
          <w:sz w:val="20"/>
          <w:szCs w:val="20"/>
          <w:color w:val="auto"/>
        </w:rPr>
      </w:pPr>
    </w:p>
    <w:p>
      <w:pPr>
        <w:ind w:left="200" w:right="20" w:hanging="192"/>
        <w:spacing w:after="0" w:line="316" w:lineRule="auto"/>
        <w:tabs>
          <w:tab w:leader="none" w:pos="184"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Proxy access, which enables eligible shareholders to include their nominees for election as directors in the Firm’s proxy statement. For further information, see page 101, “Shareholder proposals and nominations for the 2027 annual meeting”</w:t>
      </w:r>
    </w:p>
    <w:p>
      <w:pPr>
        <w:spacing w:after="0" w:line="1" w:lineRule="exact"/>
        <w:rPr>
          <w:rFonts w:ascii="Arial" w:cs="Arial" w:eastAsia="Arial" w:hAnsi="Arial"/>
          <w:sz w:val="16"/>
          <w:szCs w:val="16"/>
          <w:b w:val="1"/>
          <w:bCs w:val="1"/>
          <w:color w:val="auto"/>
        </w:rPr>
      </w:pPr>
    </w:p>
    <w:p>
      <w:pPr>
        <w:ind w:left="180" w:hanging="172"/>
        <w:spacing w:after="0"/>
        <w:tabs>
          <w:tab w:leader="none" w:pos="180"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The ability to call a special meeting by shareholders holding at least 20% of the outstanding shares of our common stock (net of hedges)</w:t>
      </w:r>
    </w:p>
    <w:p>
      <w:pPr>
        <w:spacing w:after="0" w:line="86" w:lineRule="exact"/>
        <w:rPr>
          <w:rFonts w:ascii="Arial" w:cs="Arial" w:eastAsia="Arial" w:hAnsi="Arial"/>
          <w:sz w:val="16"/>
          <w:szCs w:val="16"/>
          <w:b w:val="1"/>
          <w:bCs w:val="1"/>
          <w:color w:val="auto"/>
        </w:rPr>
      </w:pPr>
    </w:p>
    <w:p>
      <w:pPr>
        <w:ind w:left="200" w:right="460" w:hanging="192"/>
        <w:spacing w:after="0" w:line="316" w:lineRule="auto"/>
        <w:tabs>
          <w:tab w:leader="none" w:pos="184"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The ability of shareholders holding at least 20% of the outstanding shares of our common stock (net of hedges) to seek a corporate action by written consent without a meeting on terms substantially similar to the terms applicable to call special meetings</w:t>
      </w:r>
    </w:p>
    <w:p>
      <w:pPr>
        <w:spacing w:after="0" w:line="1" w:lineRule="exact"/>
        <w:rPr>
          <w:rFonts w:ascii="Arial" w:cs="Arial" w:eastAsia="Arial" w:hAnsi="Arial"/>
          <w:sz w:val="16"/>
          <w:szCs w:val="16"/>
          <w:b w:val="1"/>
          <w:bCs w:val="1"/>
          <w:color w:val="auto"/>
        </w:rPr>
      </w:pPr>
    </w:p>
    <w:p>
      <w:pPr>
        <w:ind w:left="180" w:hanging="172"/>
        <w:spacing w:after="0"/>
        <w:tabs>
          <w:tab w:leader="none" w:pos="180"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Majority election of directors</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No poison pill in effect</w:t>
      </w:r>
    </w:p>
    <w:p>
      <w:pPr>
        <w:spacing w:after="0" w:line="72" w:lineRule="exact"/>
        <w:rPr>
          <w:rFonts w:ascii="Arial" w:cs="Arial" w:eastAsia="Arial" w:hAnsi="Arial"/>
          <w:sz w:val="16"/>
          <w:szCs w:val="16"/>
          <w:b w:val="1"/>
          <w:bCs w:val="1"/>
          <w:color w:val="auto"/>
        </w:rPr>
      </w:pPr>
    </w:p>
    <w:p>
      <w:pPr>
        <w:ind w:left="180" w:hanging="172"/>
        <w:spacing w:after="0"/>
        <w:tabs>
          <w:tab w:leader="none" w:pos="180"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No super-majority vote requirements in our Certificate of Incorporation or By-laws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Firm’s Certificate of Incorporation and By-laws are available on our website at jpmorganchase.com/about/governance.</w:t>
      </w: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color w:val="auto"/>
        </w:rPr>
        <w:t>Delinquent section 16(a) reports</w:t>
      </w:r>
    </w:p>
    <w:p>
      <w:pPr>
        <w:spacing w:after="0" w:line="63"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A late Form 4 filing was made in March 2025 to report the Firm's February 2025 redemption of a series of preferred stock held by Mary Callahan Erdoes, which was non-discretionary.</w:t>
      </w:r>
    </w:p>
    <w:p>
      <w:pPr>
        <w:spacing w:after="0" w:line="245" w:lineRule="exact"/>
        <w:rPr>
          <w:sz w:val="20"/>
          <w:szCs w:val="20"/>
          <w:color w:val="auto"/>
        </w:rPr>
      </w:pPr>
    </w:p>
    <w:p>
      <w:pPr>
        <w:spacing w:after="0"/>
        <w:rPr>
          <w:sz w:val="20"/>
          <w:szCs w:val="20"/>
          <w:color w:val="auto"/>
        </w:rPr>
      </w:pPr>
      <w:r>
        <w:rPr>
          <w:rFonts w:ascii="Arial" w:cs="Arial" w:eastAsia="Arial" w:hAnsi="Arial"/>
          <w:sz w:val="29"/>
          <w:szCs w:val="29"/>
          <w:color w:val="auto"/>
        </w:rPr>
        <w:t>Policies and procedures for approval of related party transactions</w:t>
      </w:r>
    </w:p>
    <w:p>
      <w:pPr>
        <w:spacing w:after="0" w:line="4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Firm has adopted a written Transactions with Related Persons Policy (“Related Persons Policy”), which sets forth the Firm’s policies and procedures for reviewing and approving transactions with related persons — our directors, executive officers, their respective immediate family members and 5% shareholders. The transactions covered by the Related Persons Policy include any financial transaction, arrangement or relationship in which the Firm is a participant, and the related person has or will have a direct or indirect material interest.</w:t>
      </w:r>
    </w:p>
    <w:p>
      <w:pPr>
        <w:spacing w:after="0" w:line="10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After becoming aware of any transaction which may be subject to the Related Persons Policy, the director or executive officer involved in such transaction is required to report all relevant facts with respect to the transaction to the General Counsel of the Firm. Upon determination by the General Counsel that a transaction requires review under the Related Persons Policy, the material facts of the transaction and the related person’s interest in the transaction are provided to the Governance Committee. The transaction is then reviewed by the disinterested members of the Governance Committee, who determine whether approval or ratification of the transaction shall be granted. In reviewing a transaction, the Governance Committee considers facts and circumstances that it deems relevant to its determination, such as management’s assessment of the commercial reasonableness of the transaction; the materiality of the related person’s direct or indirect interest in the transaction; whether the transaction may involve an actual, or the appearance of, a conflict of interest; and, if the transaction involves a director, the impact of the transaction on the director’s independence.</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Certain types of transactions are pre-approved in accordance with the terms of the Related Persons Policy. These include transactions in the ordinary course of business involving financial products and services provided by, or to, the Firm, including loans, provided such transactions are in compliance with the Sarbanes-Oxley Act of 2002, Federal Reserve Board Regulation O and other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383540</wp:posOffset>
            </wp:positionV>
            <wp:extent cx="651510" cy="857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34</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6060"/>
        <w:spacing w:after="0"/>
        <w:rPr>
          <w:sz w:val="20"/>
          <w:szCs w:val="20"/>
          <w:color w:val="auto"/>
        </w:rPr>
      </w:pPr>
      <w:r>
        <w:rPr>
          <w:rFonts w:ascii="Arial" w:cs="Arial" w:eastAsia="Arial" w:hAnsi="Arial"/>
          <w:sz w:val="14"/>
          <w:szCs w:val="14"/>
          <w:color w:val="8F5A39"/>
        </w:rPr>
        <w:t xml:space="preserve">Other corporate governance policies and practices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color w:val="auto"/>
        </w:rPr>
        <w:t>Transactions with directors, executive officers and 5% shareholders</w:t>
      </w:r>
    </w:p>
    <w:p>
      <w:pPr>
        <w:spacing w:after="0" w:line="49"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Our directors and executive officers, and some of their immediate family members and affiliated entities, and BlackRock, Inc. and affiliated entities (“BlackRock”) and The Vanguard Group and affiliated entities (“Vanguard”), beneficial owners of more than 5% of our outstanding common stock, were customers of, or had transactions with or involving, JPMorganChase or our banking or other subsidiaries in the ordinary course of business during 2025. Additional transactions may be expected to take place in the future.</w:t>
      </w:r>
    </w:p>
    <w:p>
      <w:pPr>
        <w:spacing w:after="0" w:line="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Any outstanding loans to the foregoing persons and entities and any other transactions involving the Firm’s financial products and services (such as banking, brokerage, investment, investment banking and financial advisory products and services) provided to such persons and entities: (i) were made in the ordinary course of business, (ii) were made on substantially the same terms (including interest rates and collateral (where applicable)), as those prevailing at the time for comparable transactions with persons and entities not related to the Firm (or, where eligible with respect to executive officers, immediate family members and affiliated entities, on such terms as are available under our employee benefits or compensation programs) and (iii) did not involve more than the normal risk of collectibility or present other unfavorable features.</w:t>
      </w:r>
    </w:p>
    <w:p>
      <w:pPr>
        <w:spacing w:after="0" w:line="11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fiduciary committees for the JPMorgan Chase Retirement Plan and for the JPMorgan Chase 401(k) Savings Plan (each, a “Plan”) entered into agreements with BlackRock giving it discretionary authority to manage certain assets on behalf of each Plan. Pursuant to these agreements, fees of approximately $5.7 million were paid by the Plans to BlackRock in 2025. JPMorganChase paid BlackRock approximately $25.6 million in 2025 to access and utilize its Aladdin® platform.</w:t>
      </w:r>
    </w:p>
    <w:p>
      <w:pPr>
        <w:spacing w:after="0" w:line="94"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Mr. Combs, a former member of the Board during 2025, joined the Firm in January 2026 to head the Strategic Investment Group of the Firm's new SRI. He will receive an annual base salary of $1 million and annual incentive compensation (set at $24 million for 2026).</w:t>
      </w:r>
    </w:p>
    <w:p>
      <w:pPr>
        <w:spacing w:after="0" w:line="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Firm agreed to co-invest up to $200 million alongside the Project Black Fund (the “Co-Invest Program”), a private equity initiative of an affiliate of Ariel Investments, LLC, of which Ms. Hobson is Co-CEO and President, which is intended to position the portfolio companies to serve as leading suppliers to Fortune 500 companies increasing the number of minority business enterprises in this sector. In 2025, the Firm made one co-investment under the Program of $20 million. The Firm receives no fees from and pays no fees to Ariel Investments, LLC or any of its affiliates in connection with the Co-Invest Program, and such Program is not material to Ms. Hobson or Ariel Investments, LLC.</w:t>
      </w:r>
    </w:p>
    <w:p>
      <w:pPr>
        <w:spacing w:after="0" w:line="244" w:lineRule="exact"/>
        <w:rPr>
          <w:sz w:val="20"/>
          <w:szCs w:val="20"/>
          <w:color w:val="auto"/>
        </w:rPr>
      </w:pPr>
    </w:p>
    <w:p>
      <w:pPr>
        <w:ind w:right="1300"/>
        <w:spacing w:after="0" w:line="259" w:lineRule="auto"/>
        <w:rPr>
          <w:sz w:val="20"/>
          <w:szCs w:val="20"/>
          <w:color w:val="auto"/>
        </w:rPr>
      </w:pPr>
      <w:r>
        <w:rPr>
          <w:rFonts w:ascii="Arial" w:cs="Arial" w:eastAsia="Arial" w:hAnsi="Arial"/>
          <w:sz w:val="29"/>
          <w:szCs w:val="29"/>
          <w:color w:val="auto"/>
        </w:rPr>
        <w:t>Compensation &amp; Management Development Committee interlocks and insider participation</w:t>
      </w:r>
    </w:p>
    <w:p>
      <w:pPr>
        <w:ind w:right="60"/>
        <w:spacing w:after="0" w:line="284" w:lineRule="auto"/>
        <w:rPr>
          <w:sz w:val="20"/>
          <w:szCs w:val="20"/>
          <w:color w:val="auto"/>
        </w:rPr>
      </w:pPr>
      <w:r>
        <w:rPr>
          <w:rFonts w:ascii="Arial" w:cs="Arial" w:eastAsia="Arial" w:hAnsi="Arial"/>
          <w:sz w:val="16"/>
          <w:szCs w:val="16"/>
          <w:color w:val="auto"/>
        </w:rPr>
        <w:t>The members of the CMDC are listed on page 25. No member of the CMDC is or ever was a JPMorganChase officer or employee, other than Linda B. Bammann, who previously served as an officer of JPMorganChase 15 years before joining the CMDC and 8 years before joining the Board. No JPMorganChase executive officer is, or was during 2025, a member of the board of directors or compensation committee (or other committee serving an equivalent function) of another company that has, or had during 2025, an executive officer serving as a member of our Board or the CMDC. All of the members of the CMDC, and/or some of their immediate family members and affiliated entities, were customers of, or had transactions with or involving, JPMorganChase or our banking or other subsidiaries in the ordinary course of business during 2025. Additional transactions may be expected to take place in the future. Any outstanding loans to the directors serving on the CMDC and their immediate family members and affiliated entities, and any transactions involving other financial products and services provided by the Firm to such persons and entities, were made in accordance with the standards stated above for transactions with directors, executive officers and 5% shareholders.</w:t>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auto"/>
        </w:rPr>
        <w:t>Political activities and lobbying</w:t>
      </w:r>
    </w:p>
    <w:p>
      <w:pPr>
        <w:spacing w:after="0" w:line="6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JPMorganChase believes that responsible corporate citizenship demands a commitment to a healthy and informed democracy through civic and community involvement. Our business is subject to extensive laws and regulations at the international, federal, state and local levels, and changes to such laws can significantly affect how we operate, our revenues and the costs we incur. Because of the potential impact public policy can have on our businesses, employees, communities and customers, we engage with policymakers in order to advance and protect the long-term interests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368935</wp:posOffset>
            </wp:positionV>
            <wp:extent cx="651510" cy="857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Other 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The PRC oversees the Firm’s significant policies and practices regarding political contributions, major lobbying priorities and principal trade association memberships that relate to the Firm’s public policy objectives.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Except as described below, the Firm’s policies related to political activities:</w:t>
      </w:r>
    </w:p>
    <w:p>
      <w:pPr>
        <w:spacing w:after="0" w:line="167" w:lineRule="exact"/>
        <w:rPr>
          <w:sz w:val="20"/>
          <w:szCs w:val="20"/>
          <w:color w:val="auto"/>
        </w:rPr>
      </w:pPr>
    </w:p>
    <w:p>
      <w:pPr>
        <w:ind w:left="200" w:right="480" w:hanging="192"/>
        <w:spacing w:after="0" w:line="308" w:lineRule="auto"/>
        <w:tabs>
          <w:tab w:leader="none" w:pos="184" w:val="left"/>
        </w:tabs>
        <w:numPr>
          <w:ilvl w:val="0"/>
          <w:numId w:val="134"/>
        </w:numPr>
        <w:rPr>
          <w:rFonts w:ascii="Arial" w:cs="Arial" w:eastAsia="Arial" w:hAnsi="Arial"/>
          <w:sz w:val="16"/>
          <w:szCs w:val="16"/>
          <w:b w:val="1"/>
          <w:bCs w:val="1"/>
          <w:color w:val="auto"/>
        </w:rPr>
      </w:pPr>
      <w:r>
        <w:rPr>
          <w:rFonts w:ascii="Arial" w:cs="Arial" w:eastAsia="Arial" w:hAnsi="Arial"/>
          <w:sz w:val="16"/>
          <w:szCs w:val="16"/>
          <w:color w:val="auto"/>
        </w:rPr>
        <w:t>prohibit the use of corporate funds to make contributions to candidates, political parties and political committees organized under Section 527 of the Internal Revenue Code, to promote the election or defeat of candidates for office;</w:t>
      </w:r>
    </w:p>
    <w:p>
      <w:pPr>
        <w:ind w:left="200" w:right="40" w:hanging="192"/>
        <w:spacing w:after="0" w:line="304" w:lineRule="auto"/>
        <w:tabs>
          <w:tab w:leader="none" w:pos="184" w:val="left"/>
        </w:tabs>
        <w:numPr>
          <w:ilvl w:val="0"/>
          <w:numId w:val="134"/>
        </w:numPr>
        <w:rPr>
          <w:rFonts w:ascii="Arial" w:cs="Arial" w:eastAsia="Arial" w:hAnsi="Arial"/>
          <w:sz w:val="16"/>
          <w:szCs w:val="16"/>
          <w:b w:val="1"/>
          <w:bCs w:val="1"/>
          <w:color w:val="auto"/>
        </w:rPr>
      </w:pPr>
      <w:r>
        <w:rPr>
          <w:rFonts w:ascii="Arial" w:cs="Arial" w:eastAsia="Arial" w:hAnsi="Arial"/>
          <w:sz w:val="16"/>
          <w:szCs w:val="16"/>
          <w:color w:val="auto"/>
        </w:rPr>
        <w:t>provide that the Firm restrict U.S. trade associations and groups organized under Section 501(c)(4) of the Internal Revenue Code to which it belongs from using membership dues for election-related activity; and</w:t>
      </w:r>
    </w:p>
    <w:p>
      <w:pPr>
        <w:spacing w:after="0" w:line="6" w:lineRule="exact"/>
        <w:rPr>
          <w:rFonts w:ascii="Arial" w:cs="Arial" w:eastAsia="Arial" w:hAnsi="Arial"/>
          <w:sz w:val="16"/>
          <w:szCs w:val="16"/>
          <w:b w:val="1"/>
          <w:bCs w:val="1"/>
          <w:color w:val="auto"/>
        </w:rPr>
      </w:pPr>
    </w:p>
    <w:p>
      <w:pPr>
        <w:ind w:left="200" w:right="400" w:hanging="192"/>
        <w:spacing w:after="0" w:line="304" w:lineRule="auto"/>
        <w:tabs>
          <w:tab w:leader="none" w:pos="184" w:val="left"/>
        </w:tabs>
        <w:numPr>
          <w:ilvl w:val="0"/>
          <w:numId w:val="134"/>
        </w:numPr>
        <w:rPr>
          <w:rFonts w:ascii="Arial" w:cs="Arial" w:eastAsia="Arial" w:hAnsi="Arial"/>
          <w:sz w:val="16"/>
          <w:szCs w:val="16"/>
          <w:b w:val="1"/>
          <w:bCs w:val="1"/>
          <w:color w:val="auto"/>
        </w:rPr>
      </w:pPr>
      <w:r>
        <w:rPr>
          <w:rFonts w:ascii="Arial" w:cs="Arial" w:eastAsia="Arial" w:hAnsi="Arial"/>
          <w:sz w:val="16"/>
          <w:szCs w:val="16"/>
          <w:color w:val="auto"/>
        </w:rPr>
        <w:t>prohibit the use of corporate funds to make independent political expenditures, as defined by the rules of the Federal Election Commission, including electioneering communications.</w:t>
      </w:r>
    </w:p>
    <w:p>
      <w:pPr>
        <w:spacing w:after="0" w:line="8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Head of global Government Relations and Public Policy may approve corporate payments, including to a political committee or social welfare organization operating under 501(c)(4) of the Internal Revenue Code, for the purpose of making direct or indirect independent expenditures, or to support or oppose a state or local ballot initiative that may materially affect the Firm or our business operations.</w:t>
      </w:r>
    </w:p>
    <w:p>
      <w:pPr>
        <w:spacing w:after="0" w:line="98"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For further information regarding the Firm’s policy engagement, political contributions and lobbying activity, view our Political Engagement and Public Policy Statement on our website.</w:t>
      </w: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color w:val="auto"/>
        </w:rPr>
        <w:t>Code of Conduct</w:t>
      </w:r>
    </w:p>
    <w:p>
      <w:pPr>
        <w:spacing w:after="0" w:line="49"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The Code of Conduct is a collection of principles designed to assist employees and directors in making decisions about their conduct in relation to the Firm’s business.</w:t>
      </w:r>
    </w:p>
    <w:p>
      <w:pPr>
        <w:spacing w:after="0" w:line="7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Employees and directors receive regular conduct training. They must also affirm that they have read, understand, and are in compliance with the Code of Conduct. Employees and directors are required to raise concerns about misconduct and report any potential or actual violations of the Code of Conduct, any Firm policy, or any law or regulation applicable to the Firm’s business. The Code of Conduct prohibits intimidation or retaliation against anyone who raises an issue or concern in good faith or assists with an investigation.</w:t>
      </w:r>
    </w:p>
    <w:p>
      <w:pPr>
        <w:spacing w:after="0" w:line="104"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Employees and directors can report potential or actual violations of the Code of Conduct, Firm policy, law, or regulation to management, Human Resources (“HR”), Global Security, Compliance, the Office of the General Counsel, or the Firm's Conduct Hotline (“Hotline”). Reports to the Hotline can be made by phone, online or via mobile device. The Hotline is anonymous, where permitted by law. It is available 24/7 globally, with translation services. The Hotline is maintained by a third-party service provider.</w:t>
      </w:r>
    </w:p>
    <w:p>
      <w:pPr>
        <w:spacing w:after="0" w:line="10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Employees in HR and Global Security follow specific procedures when handling reports of potential Code of Conduct concerns. Suspected violations of the Code of Conduct, Firm policy, or law or regulation are investigated by the Firm and may result in an employee being cleared of the suspected violation or in an escalating range of actions, including termination of employment, depending upon the facts and circumstances. Periodically, the Audit Committee receives reports on the Code of Conduct program. The CMDC periodically reviews reports from management regarding significant conduct issues and any related employee actions.</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color w:val="auto"/>
        </w:rPr>
        <w:t>Code of Ethics for Finance Professionals</w:t>
      </w:r>
    </w:p>
    <w:p>
      <w:pPr>
        <w:spacing w:after="0" w:line="49"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The Code of Ethics for Finance Professionals (“Code of Ethics”), a supplement to the Code of Conduct, applies to the Chairman, CEO, CFO, and Principal Accounting Officer, and all other finance professionals of the Firm serving in a finance, accounting, treasury, tax, or investor relations roles. The purpose of our Code of Ethics is to promote honest and ethical conduct and adherence with the law in connection with the maintenance of the Firm’s financial books and records and the preparation of our External Financial Reporting. It also addresses the reporting of actual or apparent conflicts of interest and actual or potential violations of the Code of Ethics or other matters that would compromise the integrity of the Firm’s External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385445</wp:posOffset>
            </wp:positionV>
            <wp:extent cx="651510" cy="857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36</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6060"/>
        <w:spacing w:after="0"/>
        <w:rPr>
          <w:sz w:val="20"/>
          <w:szCs w:val="20"/>
          <w:color w:val="auto"/>
        </w:rPr>
      </w:pPr>
      <w:r>
        <w:rPr>
          <w:rFonts w:ascii="Arial" w:cs="Arial" w:eastAsia="Arial" w:hAnsi="Arial"/>
          <w:sz w:val="14"/>
          <w:szCs w:val="14"/>
          <w:color w:val="8F5A39"/>
        </w:rPr>
        <w:t xml:space="preserve">Other corporate governance policies and practices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color w:val="auto"/>
        </w:rPr>
        <w:t>Supplier Code of Conduct</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Supplier Code of Conduct outlines the Firm’s expectation that suppliers demonstrate the highest standards of business conduct, integrity, and adherence to the law. The Supplier Code of Conduct applies to our suppliers, vendors, consultants, agents, contractors, temporary workers, and other third parties working on behalf of the Firm, as well as to the owners, officers, directors, employees, consultants, affiliates, contractors, and subcontractors of these organizations and entities. The Supplier Code of Conduct provides specific guidance regarding suppliers’ responsibility to comply with all applicable laws and regulations and to have policies ensuring such compliance. It also discusses suppliers' duty to escalate concerns, handle information properly, maintain accurate records, address potential conflicts of interest, and encourages suppliers to operate responsibly on matters such as environmental sustainability, non-discrimination and equal opportunity.</w:t>
      </w: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color w:val="auto"/>
        </w:rPr>
        <w:t>Insider Trading Policy</w:t>
      </w:r>
    </w:p>
    <w:p>
      <w:pPr>
        <w:spacing w:after="0" w:line="7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JPMorganChase has adopted an insider trading policy applicable to its directors, officers, employees and certain non-employees (e.g., contingent workers), as well as to JPMorganChase itself, governing the purchase, sale and other dispositions of the Firm’s securities (the “Insider Trading Policy”). The Firm believes that the Insider Trading Policy is reasonably designed to promote compliance with applicable U.S. federal securities laws and the listing standards of the New York Stock Exchange relating to insider trading. The Insider Trading Policy is filed with the SEC as Exhibit 19 to the Firm's Annual Report on Form 10-K for the year ended December 31, 2025 ("2025 Form 10-K").</w:t>
      </w:r>
    </w:p>
    <w:p>
      <w:pPr>
        <w:spacing w:after="0" w:line="244" w:lineRule="exact"/>
        <w:rPr>
          <w:sz w:val="20"/>
          <w:szCs w:val="20"/>
          <w:color w:val="auto"/>
        </w:rPr>
      </w:pPr>
    </w:p>
    <w:p>
      <w:pPr>
        <w:spacing w:after="0"/>
        <w:rPr>
          <w:sz w:val="20"/>
          <w:szCs w:val="20"/>
          <w:color w:val="auto"/>
        </w:rPr>
      </w:pPr>
      <w:r>
        <w:rPr>
          <w:rFonts w:ascii="Arial" w:cs="Arial" w:eastAsia="Arial" w:hAnsi="Arial"/>
          <w:sz w:val="29"/>
          <w:szCs w:val="29"/>
          <w:color w:val="auto"/>
        </w:rPr>
        <w:t>How to contact our Board</w:t>
      </w:r>
    </w:p>
    <w:p>
      <w:pPr>
        <w:spacing w:after="0" w:line="63"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Board actively manages its information flow through a variety of means and requires management to provide the Board with the appropriate information to assist the Board in meeting its core responsibilities, as described in this Corporate Governance section.</w:t>
      </w:r>
    </w:p>
    <w:p>
      <w:pPr>
        <w:spacing w:after="0" w:line="7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To contact our Board of Directors, any Board member, including the Lead Independent Director, any committee chair, or the independent directors as a group, email correspondence to the Office of the Secretary at corporate.secretary@jpmchase.com, or mail to: JPMorgan Chase &amp; Co., Attention (name of Board member(s)), Office of the Secretary, 270 Park Avenue,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366395</wp:posOffset>
            </wp:positionV>
            <wp:extent cx="651510" cy="857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52"/>
          <w:szCs w:val="52"/>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23488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PROPOSAL 2:</w:t>
      </w:r>
    </w:p>
    <w:p>
      <w:pPr>
        <w:spacing w:after="0" w:line="325" w:lineRule="exact"/>
        <w:rPr>
          <w:sz w:val="20"/>
          <w:szCs w:val="20"/>
          <w:color w:val="auto"/>
        </w:rPr>
      </w:pPr>
    </w:p>
    <w:p>
      <w:pPr>
        <w:ind w:left="760"/>
        <w:spacing w:after="0"/>
        <w:rPr>
          <w:sz w:val="20"/>
          <w:szCs w:val="20"/>
          <w:color w:val="auto"/>
        </w:rPr>
      </w:pPr>
      <w:r>
        <w:rPr>
          <w:rFonts w:ascii="Arial" w:cs="Arial" w:eastAsia="Arial" w:hAnsi="Arial"/>
          <w:sz w:val="40"/>
          <w:szCs w:val="40"/>
          <w:color w:val="8F5A39"/>
        </w:rPr>
        <w:t>Advisory resolution to approve executive compensation</w:t>
      </w:r>
    </w:p>
    <w:p>
      <w:pPr>
        <w:spacing w:after="0" w:line="350" w:lineRule="exact"/>
        <w:rPr>
          <w:sz w:val="20"/>
          <w:szCs w:val="20"/>
          <w:color w:val="auto"/>
        </w:rPr>
      </w:pPr>
    </w:p>
    <w:p>
      <w:pPr>
        <w:ind w:left="760" w:right="760"/>
        <w:spacing w:after="0" w:line="292" w:lineRule="auto"/>
        <w:rPr>
          <w:sz w:val="20"/>
          <w:szCs w:val="20"/>
          <w:color w:val="auto"/>
        </w:rPr>
      </w:pPr>
      <w:r>
        <w:rPr>
          <w:rFonts w:ascii="Arial" w:cs="Arial" w:eastAsia="Arial" w:hAnsi="Arial"/>
          <w:sz w:val="18"/>
          <w:szCs w:val="18"/>
          <w:color w:val="auto"/>
        </w:rPr>
        <w:t>Approve the Firm’s compensation practices and principles and their implementation for 2025 for the compensation of the Firm’s Named Executive Officers as discussed and disclosed in the Compensation discussion and analysis, the compensation tables, and any related material contained in this proxy statement.</w:t>
      </w:r>
    </w:p>
    <w:p>
      <w:pPr>
        <w:spacing w:after="0" w:line="27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RECOMMENDATION:</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8F5A39"/>
        </w:rPr>
        <w:t>FOR</w:t>
      </w:r>
      <w:r>
        <w:rPr>
          <w:rFonts w:ascii="Arial" w:cs="Arial" w:eastAsia="Arial" w:hAnsi="Arial"/>
          <w:sz w:val="16"/>
          <w:szCs w:val="16"/>
          <w:color w:val="auto"/>
        </w:rPr>
        <w:t xml:space="preserve"> approval of this advisory resolution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8F5A39"/>
        </w:rPr>
        <w:t>Proposal 2: Advisory resolution to approve executive compensation</w:t>
      </w:r>
    </w:p>
    <w:p>
      <w:pPr>
        <w:spacing w:after="0" w:line="140" w:lineRule="exact"/>
        <w:rPr>
          <w:sz w:val="20"/>
          <w:szCs w:val="20"/>
          <w:color w:val="auto"/>
        </w:rPr>
      </w:pPr>
    </w:p>
    <w:p>
      <w:pPr>
        <w:ind w:left="760"/>
        <w:spacing w:after="0" w:line="301" w:lineRule="auto"/>
        <w:rPr>
          <w:sz w:val="20"/>
          <w:szCs w:val="20"/>
          <w:color w:val="auto"/>
        </w:rPr>
      </w:pPr>
      <w:r>
        <w:rPr>
          <w:rFonts w:ascii="Arial" w:cs="Arial" w:eastAsia="Arial" w:hAnsi="Arial"/>
          <w:sz w:val="16"/>
          <w:szCs w:val="16"/>
          <w:color w:val="auto"/>
        </w:rPr>
        <w:t>As required by Section 14A of the Securities Exchange Act of 1934, as amended, we currently provide our shareholders with an annual advisory vote to approve the compensation of our Named Executive Officers. This proposal seeks a shareholder advisory vote to approve the compensation of our Named Executive Officers as disclosed pursuant to Item 402 of Regulation S-K through the following resolution:</w:t>
      </w:r>
    </w:p>
    <w:p>
      <w:pPr>
        <w:spacing w:after="0" w:line="64" w:lineRule="exact"/>
        <w:rPr>
          <w:sz w:val="20"/>
          <w:szCs w:val="20"/>
          <w:color w:val="auto"/>
        </w:rPr>
      </w:pPr>
    </w:p>
    <w:p>
      <w:pPr>
        <w:ind w:left="760" w:right="100"/>
        <w:spacing w:after="0" w:line="306" w:lineRule="auto"/>
        <w:rPr>
          <w:sz w:val="20"/>
          <w:szCs w:val="20"/>
          <w:color w:val="auto"/>
        </w:rPr>
      </w:pPr>
      <w:r>
        <w:rPr>
          <w:rFonts w:ascii="Arial" w:cs="Arial" w:eastAsia="Arial" w:hAnsi="Arial"/>
          <w:sz w:val="16"/>
          <w:szCs w:val="16"/>
          <w:b w:val="1"/>
          <w:bCs w:val="1"/>
          <w:color w:val="auto"/>
        </w:rPr>
        <w:t>“Resolved, that shareholders approve the Firm’s compensation practices and principles and their implementation for 2025 for the compensation of the Firm’s Named Executive Officers as discussed and disclosed in the Compensation discussion and analysis, the compensation tables, and any related material contained in this proxy statement.”</w:t>
      </w:r>
    </w:p>
    <w:p>
      <w:pPr>
        <w:spacing w:after="0" w:line="79" w:lineRule="exact"/>
        <w:rPr>
          <w:sz w:val="20"/>
          <w:szCs w:val="20"/>
          <w:color w:val="auto"/>
        </w:rPr>
      </w:pPr>
    </w:p>
    <w:p>
      <w:pPr>
        <w:ind w:left="760" w:right="380"/>
        <w:spacing w:after="0" w:line="321" w:lineRule="auto"/>
        <w:rPr>
          <w:sz w:val="20"/>
          <w:szCs w:val="20"/>
          <w:color w:val="auto"/>
        </w:rPr>
      </w:pPr>
      <w:r>
        <w:rPr>
          <w:rFonts w:ascii="Arial" w:cs="Arial" w:eastAsia="Arial" w:hAnsi="Arial"/>
          <w:sz w:val="16"/>
          <w:szCs w:val="16"/>
          <w:color w:val="auto"/>
        </w:rPr>
        <w:t>This advisory vote will not be binding upon the Board of Directors. However, the CMDC will take into account the outcome of the vote when considering future executive compensation arrangements.</w:t>
      </w:r>
    </w:p>
    <w:p>
      <w:pPr>
        <w:spacing w:after="0" w:line="88" w:lineRule="exact"/>
        <w:rPr>
          <w:sz w:val="20"/>
          <w:szCs w:val="20"/>
          <w:color w:val="auto"/>
        </w:rPr>
      </w:pPr>
    </w:p>
    <w:p>
      <w:pPr>
        <w:ind w:left="760" w:right="160"/>
        <w:spacing w:after="0" w:line="295" w:lineRule="auto"/>
        <w:rPr>
          <w:sz w:val="20"/>
          <w:szCs w:val="20"/>
          <w:color w:val="auto"/>
        </w:rPr>
      </w:pPr>
      <w:r>
        <w:rPr>
          <w:rFonts w:ascii="Arial" w:cs="Arial" w:eastAsia="Arial" w:hAnsi="Arial"/>
          <w:sz w:val="16"/>
          <w:szCs w:val="16"/>
          <w:color w:val="auto"/>
        </w:rPr>
        <w:t>We highly value engaging with our shareholders and do so extensively each year. The Firm has a demonstrable history of being responsive to shareholder feedback, which informs the decisions of our Board and CMDC. Our 2025 Say on Pay proposal received 91% approval, and shareholders expressed their continued deep support for the management team, the Firm’s strategy, long-term performance and pay-for-performance compensation program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462915</wp:posOffset>
            </wp:positionV>
            <wp:extent cx="651510" cy="857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38</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57" w:right="49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6620"/>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color w:val="auto"/>
        </w:rPr>
        <w:t>Compensation discussion and analysis</w:t>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auto"/>
        </w:rPr>
        <w:t>Introduction</w:t>
      </w:r>
    </w:p>
    <w:p>
      <w:pPr>
        <w:spacing w:after="0" w:line="45" w:lineRule="exact"/>
        <w:rPr>
          <w:sz w:val="20"/>
          <w:szCs w:val="20"/>
          <w:color w:val="auto"/>
        </w:rPr>
      </w:pPr>
    </w:p>
    <w:p>
      <w:pPr>
        <w:jc w:val="both"/>
        <w:ind w:right="300"/>
        <w:spacing w:after="0" w:line="301" w:lineRule="auto"/>
        <w:rPr>
          <w:sz w:val="20"/>
          <w:szCs w:val="20"/>
          <w:color w:val="auto"/>
        </w:rPr>
      </w:pPr>
      <w:r>
        <w:rPr>
          <w:rFonts w:ascii="Arial" w:cs="Arial" w:eastAsia="Arial" w:hAnsi="Arial"/>
          <w:sz w:val="16"/>
          <w:szCs w:val="16"/>
          <w:color w:val="auto"/>
        </w:rPr>
        <w:t>Our compensation philosophy promotes a fair and well-governed, long-term approach to compensation, including pay-for-performance practices that are designed to attract and retain top talent from all backgrounds, to be responsive to and aligned with shareholders, to mitigate excessive risk-taking, and to encourage a culture that supports our Purpose, Values, Business Principles and strategic framework.</w:t>
      </w:r>
    </w:p>
    <w:p>
      <w:pPr>
        <w:spacing w:after="0" w:line="1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Board believes that JPMorganChase’s long-term success depends on the talents of our employees and a proper alignment of their compensation with performance and sustained shareholder value. The Firm’s compensation programs play a significant role in our ability to attract, retain and properly motivate a highly talented workforce.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 the discussion that follows, we review the philosophy, key features and process of our executive compensation program as well as how our Board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CMDC make pay decisions. This Compensation discussion and analysis ("CD&amp;A") is organized around the following factors:</w:t>
      </w:r>
    </w:p>
    <w:p>
      <w:pPr>
        <w:spacing w:after="0" w:line="89" w:lineRule="exact"/>
        <w:rPr>
          <w:sz w:val="20"/>
          <w:szCs w:val="20"/>
          <w:color w:val="auto"/>
        </w:rPr>
      </w:pPr>
    </w:p>
    <w:p>
      <w:pPr>
        <w:ind w:left="180" w:hanging="172"/>
        <w:spacing w:after="0"/>
        <w:tabs>
          <w:tab w:leader="none" w:pos="180" w:val="left"/>
        </w:tabs>
        <w:numPr>
          <w:ilvl w:val="0"/>
          <w:numId w:val="1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CD&amp;A overview </w:t>
      </w:r>
      <w:r>
        <w:rPr>
          <w:rFonts w:ascii="Arial" w:cs="Arial" w:eastAsia="Arial" w:hAnsi="Arial"/>
          <w:sz w:val="16"/>
          <w:szCs w:val="16"/>
          <w:i w:val="1"/>
          <w:iCs w:val="1"/>
          <w:color w:val="auto"/>
        </w:rPr>
        <w:t>(pages 39 - 42)</w:t>
      </w:r>
    </w:p>
    <w:p>
      <w:pPr>
        <w:spacing w:after="0" w:line="59" w:lineRule="exact"/>
        <w:rPr>
          <w:rFonts w:ascii="Arial" w:cs="Arial" w:eastAsia="Arial" w:hAnsi="Arial"/>
          <w:sz w:val="16"/>
          <w:szCs w:val="16"/>
          <w:b w:val="1"/>
          <w:bCs w:val="1"/>
          <w:i w:val="1"/>
          <w:iCs w:val="1"/>
          <w:color w:val="auto"/>
        </w:rPr>
      </w:pPr>
    </w:p>
    <w:p>
      <w:pPr>
        <w:ind w:left="180" w:hanging="172"/>
        <w:spacing w:after="0"/>
        <w:tabs>
          <w:tab w:leader="none" w:pos="180" w:val="left"/>
        </w:tabs>
        <w:numPr>
          <w:ilvl w:val="0"/>
          <w:numId w:val="1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How we think about pay decisions </w:t>
      </w:r>
      <w:r>
        <w:rPr>
          <w:rFonts w:ascii="Arial" w:cs="Arial" w:eastAsia="Arial" w:hAnsi="Arial"/>
          <w:sz w:val="16"/>
          <w:szCs w:val="16"/>
          <w:i w:val="1"/>
          <w:iCs w:val="1"/>
          <w:color w:val="auto"/>
        </w:rPr>
        <w:t>(pages 43 - 52)</w:t>
      </w:r>
    </w:p>
    <w:p>
      <w:pPr>
        <w:spacing w:after="0" w:line="72" w:lineRule="exact"/>
        <w:rPr>
          <w:rFonts w:ascii="Arial" w:cs="Arial" w:eastAsia="Arial" w:hAnsi="Arial"/>
          <w:sz w:val="16"/>
          <w:szCs w:val="16"/>
          <w:b w:val="1"/>
          <w:bCs w:val="1"/>
          <w:i w:val="1"/>
          <w:iCs w:val="1"/>
          <w:color w:val="auto"/>
        </w:rPr>
      </w:pPr>
    </w:p>
    <w:p>
      <w:pPr>
        <w:ind w:left="180" w:hanging="172"/>
        <w:spacing w:after="0"/>
        <w:tabs>
          <w:tab w:leader="none" w:pos="180" w:val="left"/>
        </w:tabs>
        <w:numPr>
          <w:ilvl w:val="0"/>
          <w:numId w:val="1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How we performed against our business strategy </w:t>
      </w:r>
      <w:r>
        <w:rPr>
          <w:rFonts w:ascii="Arial" w:cs="Arial" w:eastAsia="Arial" w:hAnsi="Arial"/>
          <w:sz w:val="16"/>
          <w:szCs w:val="16"/>
          <w:i w:val="1"/>
          <w:iCs w:val="1"/>
          <w:color w:val="auto"/>
        </w:rPr>
        <w:t>(pages 53 - 55)</w:t>
      </w:r>
    </w:p>
    <w:p>
      <w:pPr>
        <w:spacing w:after="0" w:line="59" w:lineRule="exact"/>
        <w:rPr>
          <w:rFonts w:ascii="Arial" w:cs="Arial" w:eastAsia="Arial" w:hAnsi="Arial"/>
          <w:sz w:val="16"/>
          <w:szCs w:val="16"/>
          <w:b w:val="1"/>
          <w:bCs w:val="1"/>
          <w:i w:val="1"/>
          <w:iCs w:val="1"/>
          <w:color w:val="auto"/>
        </w:rPr>
      </w:pPr>
    </w:p>
    <w:p>
      <w:pPr>
        <w:ind w:left="180" w:hanging="172"/>
        <w:spacing w:after="0"/>
        <w:tabs>
          <w:tab w:leader="none" w:pos="180" w:val="left"/>
        </w:tabs>
        <w:numPr>
          <w:ilvl w:val="0"/>
          <w:numId w:val="1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How performance determined pay in 2025 </w:t>
      </w:r>
      <w:r>
        <w:rPr>
          <w:rFonts w:ascii="Arial" w:cs="Arial" w:eastAsia="Arial" w:hAnsi="Arial"/>
          <w:sz w:val="16"/>
          <w:szCs w:val="16"/>
          <w:i w:val="1"/>
          <w:iCs w:val="1"/>
          <w:color w:val="auto"/>
        </w:rPr>
        <w:t>(pages 56 - 61)</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Our 2025 NEOs are: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17"/>
        </w:trPr>
        <w:tc>
          <w:tcPr>
            <w:tcW w:w="1860" w:type="dxa"/>
            <w:vAlign w:val="bottom"/>
            <w:shd w:val="clear" w:color="auto" w:fill="F4EFE7"/>
          </w:tcPr>
          <w:p>
            <w:pPr>
              <w:jc w:val="center"/>
              <w:spacing w:after="0"/>
              <w:rPr>
                <w:sz w:val="20"/>
                <w:szCs w:val="20"/>
                <w:color w:val="auto"/>
              </w:rPr>
            </w:pPr>
            <w:r>
              <w:rPr>
                <w:rFonts w:ascii="Arial" w:cs="Arial" w:eastAsia="Arial" w:hAnsi="Arial"/>
                <w:sz w:val="14"/>
                <w:szCs w:val="14"/>
                <w:color w:val="auto"/>
              </w:rPr>
              <w:t>James Dimon</w:t>
            </w:r>
          </w:p>
        </w:tc>
        <w:tc>
          <w:tcPr>
            <w:tcW w:w="1880" w:type="dxa"/>
            <w:vAlign w:val="bottom"/>
            <w:shd w:val="clear" w:color="auto" w:fill="F4EFE7"/>
          </w:tcPr>
          <w:p>
            <w:pPr>
              <w:jc w:val="center"/>
              <w:spacing w:after="0"/>
              <w:rPr>
                <w:sz w:val="20"/>
                <w:szCs w:val="20"/>
                <w:color w:val="auto"/>
              </w:rPr>
            </w:pPr>
            <w:r>
              <w:rPr>
                <w:rFonts w:ascii="Arial" w:cs="Arial" w:eastAsia="Arial" w:hAnsi="Arial"/>
                <w:sz w:val="14"/>
                <w:szCs w:val="14"/>
                <w:color w:val="auto"/>
              </w:rPr>
              <w:t>Mary Callahan Erdoes</w:t>
            </w:r>
          </w:p>
        </w:tc>
        <w:tc>
          <w:tcPr>
            <w:tcW w:w="1880" w:type="dxa"/>
            <w:vAlign w:val="bottom"/>
            <w:shd w:val="clear" w:color="auto" w:fill="F4EFE7"/>
          </w:tcPr>
          <w:p>
            <w:pPr>
              <w:jc w:val="center"/>
              <w:spacing w:after="0"/>
              <w:rPr>
                <w:sz w:val="20"/>
                <w:szCs w:val="20"/>
                <w:color w:val="auto"/>
              </w:rPr>
            </w:pPr>
            <w:r>
              <w:rPr>
                <w:rFonts w:ascii="Arial" w:cs="Arial" w:eastAsia="Arial" w:hAnsi="Arial"/>
                <w:sz w:val="14"/>
                <w:szCs w:val="14"/>
                <w:color w:val="auto"/>
              </w:rPr>
              <w:t>Troy Rohrbaugh</w:t>
            </w:r>
          </w:p>
        </w:tc>
        <w:tc>
          <w:tcPr>
            <w:tcW w:w="2000" w:type="dxa"/>
            <w:vAlign w:val="bottom"/>
            <w:shd w:val="clear" w:color="auto" w:fill="F4EFE7"/>
          </w:tcPr>
          <w:p>
            <w:pPr>
              <w:jc w:val="center"/>
              <w:ind w:right="68"/>
              <w:spacing w:after="0"/>
              <w:rPr>
                <w:sz w:val="20"/>
                <w:szCs w:val="20"/>
                <w:color w:val="auto"/>
              </w:rPr>
            </w:pPr>
            <w:r>
              <w:rPr>
                <w:rFonts w:ascii="Arial" w:cs="Arial" w:eastAsia="Arial" w:hAnsi="Arial"/>
                <w:sz w:val="14"/>
                <w:szCs w:val="14"/>
                <w:color w:val="auto"/>
              </w:rPr>
              <w:t>Douglas Petno</w:t>
            </w:r>
          </w:p>
        </w:tc>
        <w:tc>
          <w:tcPr>
            <w:tcW w:w="1800" w:type="dxa"/>
            <w:vAlign w:val="bottom"/>
            <w:shd w:val="clear" w:color="auto" w:fill="F4EFE7"/>
          </w:tcPr>
          <w:p>
            <w:pPr>
              <w:jc w:val="center"/>
              <w:ind w:right="108"/>
              <w:spacing w:after="0"/>
              <w:rPr>
                <w:sz w:val="20"/>
                <w:szCs w:val="20"/>
                <w:color w:val="auto"/>
              </w:rPr>
            </w:pPr>
            <w:r>
              <w:rPr>
                <w:rFonts w:ascii="Arial" w:cs="Arial" w:eastAsia="Arial" w:hAnsi="Arial"/>
                <w:sz w:val="14"/>
                <w:szCs w:val="14"/>
                <w:color w:val="auto"/>
              </w:rPr>
              <w:t>Jeremy Barnum</w:t>
            </w:r>
          </w:p>
        </w:tc>
        <w:tc>
          <w:tcPr>
            <w:tcW w:w="1820" w:type="dxa"/>
            <w:vAlign w:val="bottom"/>
            <w:shd w:val="clear" w:color="auto" w:fill="F4EFE7"/>
          </w:tcPr>
          <w:p>
            <w:pPr>
              <w:jc w:val="center"/>
              <w:spacing w:after="0"/>
              <w:rPr>
                <w:sz w:val="20"/>
                <w:szCs w:val="20"/>
                <w:color w:val="auto"/>
              </w:rPr>
            </w:pPr>
            <w:r>
              <w:rPr>
                <w:rFonts w:ascii="Arial" w:cs="Arial" w:eastAsia="Arial" w:hAnsi="Arial"/>
                <w:sz w:val="14"/>
                <w:szCs w:val="14"/>
                <w:color w:val="auto"/>
              </w:rPr>
              <w:t>Daniel Pinto</w:t>
            </w:r>
          </w:p>
        </w:tc>
      </w:tr>
      <w:tr>
        <w:trPr>
          <w:trHeight w:val="188"/>
        </w:trPr>
        <w:tc>
          <w:tcPr>
            <w:tcW w:w="1860" w:type="dxa"/>
            <w:vAlign w:val="bottom"/>
            <w:shd w:val="clear" w:color="auto" w:fill="F4EFE7"/>
          </w:tcPr>
          <w:p>
            <w:pPr>
              <w:jc w:val="center"/>
              <w:spacing w:after="0"/>
              <w:rPr>
                <w:sz w:val="20"/>
                <w:szCs w:val="20"/>
                <w:color w:val="auto"/>
              </w:rPr>
            </w:pPr>
            <w:r>
              <w:rPr>
                <w:rFonts w:ascii="Arial" w:cs="Arial" w:eastAsia="Arial" w:hAnsi="Arial"/>
                <w:sz w:val="14"/>
                <w:szCs w:val="14"/>
                <w:color w:val="auto"/>
              </w:rPr>
              <w:t>Chairman and CEO</w:t>
            </w:r>
          </w:p>
        </w:tc>
        <w:tc>
          <w:tcPr>
            <w:tcW w:w="1880" w:type="dxa"/>
            <w:vAlign w:val="bottom"/>
            <w:shd w:val="clear" w:color="auto" w:fill="F4EFE7"/>
          </w:tcPr>
          <w:p>
            <w:pPr>
              <w:jc w:val="center"/>
              <w:spacing w:after="0"/>
              <w:rPr>
                <w:sz w:val="20"/>
                <w:szCs w:val="20"/>
                <w:color w:val="auto"/>
              </w:rPr>
            </w:pPr>
            <w:r>
              <w:rPr>
                <w:rFonts w:ascii="Arial" w:cs="Arial" w:eastAsia="Arial" w:hAnsi="Arial"/>
                <w:sz w:val="14"/>
                <w:szCs w:val="14"/>
                <w:color w:val="auto"/>
              </w:rPr>
              <w:t>CEO, Asset &amp; Wealth</w:t>
            </w:r>
          </w:p>
        </w:tc>
        <w:tc>
          <w:tcPr>
            <w:tcW w:w="1880" w:type="dxa"/>
            <w:vAlign w:val="bottom"/>
            <w:shd w:val="clear" w:color="auto" w:fill="F4EFE7"/>
          </w:tcPr>
          <w:p>
            <w:pPr>
              <w:jc w:val="center"/>
              <w:spacing w:after="0"/>
              <w:rPr>
                <w:sz w:val="20"/>
                <w:szCs w:val="20"/>
                <w:color w:val="auto"/>
              </w:rPr>
            </w:pPr>
            <w:r>
              <w:rPr>
                <w:rFonts w:ascii="Arial" w:cs="Arial" w:eastAsia="Arial" w:hAnsi="Arial"/>
                <w:sz w:val="14"/>
                <w:szCs w:val="14"/>
                <w:color w:val="auto"/>
              </w:rPr>
              <w:t>Co-CEO, Commercial &amp;</w:t>
            </w:r>
          </w:p>
        </w:tc>
        <w:tc>
          <w:tcPr>
            <w:tcW w:w="2000" w:type="dxa"/>
            <w:vAlign w:val="bottom"/>
            <w:shd w:val="clear" w:color="auto" w:fill="F4EFE7"/>
          </w:tcPr>
          <w:p>
            <w:pPr>
              <w:jc w:val="center"/>
              <w:ind w:right="68"/>
              <w:spacing w:after="0"/>
              <w:rPr>
                <w:sz w:val="20"/>
                <w:szCs w:val="20"/>
                <w:color w:val="auto"/>
              </w:rPr>
            </w:pPr>
            <w:r>
              <w:rPr>
                <w:rFonts w:ascii="Arial" w:cs="Arial" w:eastAsia="Arial" w:hAnsi="Arial"/>
                <w:sz w:val="14"/>
                <w:szCs w:val="14"/>
                <w:color w:val="auto"/>
              </w:rPr>
              <w:t>Co-CEO, Commercial &amp;</w:t>
            </w:r>
          </w:p>
        </w:tc>
        <w:tc>
          <w:tcPr>
            <w:tcW w:w="1800" w:type="dxa"/>
            <w:vAlign w:val="bottom"/>
            <w:shd w:val="clear" w:color="auto" w:fill="F4EFE7"/>
          </w:tcPr>
          <w:p>
            <w:pPr>
              <w:jc w:val="center"/>
              <w:ind w:right="108"/>
              <w:spacing w:after="0"/>
              <w:rPr>
                <w:sz w:val="20"/>
                <w:szCs w:val="20"/>
                <w:color w:val="auto"/>
              </w:rPr>
            </w:pPr>
            <w:r>
              <w:rPr>
                <w:rFonts w:ascii="Arial" w:cs="Arial" w:eastAsia="Arial" w:hAnsi="Arial"/>
                <w:sz w:val="14"/>
                <w:szCs w:val="14"/>
                <w:color w:val="auto"/>
              </w:rPr>
              <w:t>CFO</w:t>
            </w:r>
          </w:p>
        </w:tc>
        <w:tc>
          <w:tcPr>
            <w:tcW w:w="1820" w:type="dxa"/>
            <w:vAlign w:val="bottom"/>
            <w:shd w:val="clear" w:color="auto" w:fill="F4EFE7"/>
          </w:tcPr>
          <w:p>
            <w:pPr>
              <w:jc w:val="center"/>
              <w:spacing w:after="0" w:line="188" w:lineRule="exact"/>
              <w:rPr>
                <w:sz w:val="20"/>
                <w:szCs w:val="20"/>
                <w:color w:val="auto"/>
              </w:rPr>
            </w:pPr>
            <w:r>
              <w:rPr>
                <w:rFonts w:ascii="Arial" w:cs="Arial" w:eastAsia="Arial" w:hAnsi="Arial"/>
                <w:sz w:val="14"/>
                <w:szCs w:val="14"/>
                <w:color w:val="auto"/>
              </w:rPr>
              <w:t>Vice Chair</w:t>
            </w:r>
            <w:r>
              <w:rPr>
                <w:rFonts w:ascii="Arial" w:cs="Arial" w:eastAsia="Arial" w:hAnsi="Arial"/>
                <w:sz w:val="18"/>
                <w:szCs w:val="18"/>
                <w:color w:val="auto"/>
                <w:vertAlign w:val="superscript"/>
              </w:rPr>
              <w:t>1</w:t>
            </w:r>
          </w:p>
        </w:tc>
      </w:tr>
      <w:tr>
        <w:trPr>
          <w:trHeight w:val="190"/>
        </w:trPr>
        <w:tc>
          <w:tcPr>
            <w:tcW w:w="1860" w:type="dxa"/>
            <w:vAlign w:val="bottom"/>
            <w:shd w:val="clear" w:color="auto" w:fill="F4EFE7"/>
          </w:tcPr>
          <w:p>
            <w:pPr>
              <w:spacing w:after="0"/>
              <w:rPr>
                <w:sz w:val="16"/>
                <w:szCs w:val="16"/>
                <w:color w:val="auto"/>
              </w:rPr>
            </w:pPr>
          </w:p>
        </w:tc>
        <w:tc>
          <w:tcPr>
            <w:tcW w:w="1880" w:type="dxa"/>
            <w:vAlign w:val="bottom"/>
            <w:shd w:val="clear" w:color="auto" w:fill="F4EFE7"/>
          </w:tcPr>
          <w:p>
            <w:pPr>
              <w:jc w:val="center"/>
              <w:spacing w:after="0"/>
              <w:rPr>
                <w:sz w:val="20"/>
                <w:szCs w:val="20"/>
                <w:color w:val="auto"/>
              </w:rPr>
            </w:pPr>
            <w:r>
              <w:rPr>
                <w:rFonts w:ascii="Arial" w:cs="Arial" w:eastAsia="Arial" w:hAnsi="Arial"/>
                <w:sz w:val="14"/>
                <w:szCs w:val="14"/>
                <w:color w:val="auto"/>
              </w:rPr>
              <w:t>Management</w:t>
            </w:r>
          </w:p>
        </w:tc>
        <w:tc>
          <w:tcPr>
            <w:tcW w:w="1880" w:type="dxa"/>
            <w:vAlign w:val="bottom"/>
            <w:shd w:val="clear" w:color="auto" w:fill="F4EFE7"/>
          </w:tcPr>
          <w:p>
            <w:pPr>
              <w:jc w:val="center"/>
              <w:spacing w:after="0"/>
              <w:rPr>
                <w:sz w:val="20"/>
                <w:szCs w:val="20"/>
                <w:color w:val="auto"/>
              </w:rPr>
            </w:pPr>
            <w:r>
              <w:rPr>
                <w:rFonts w:ascii="Arial" w:cs="Arial" w:eastAsia="Arial" w:hAnsi="Arial"/>
                <w:sz w:val="14"/>
                <w:szCs w:val="14"/>
                <w:color w:val="auto"/>
              </w:rPr>
              <w:t>Investment Bank</w:t>
            </w:r>
          </w:p>
        </w:tc>
        <w:tc>
          <w:tcPr>
            <w:tcW w:w="2000" w:type="dxa"/>
            <w:vAlign w:val="bottom"/>
            <w:shd w:val="clear" w:color="auto" w:fill="F4EFE7"/>
          </w:tcPr>
          <w:p>
            <w:pPr>
              <w:jc w:val="center"/>
              <w:ind w:right="68"/>
              <w:spacing w:after="0"/>
              <w:rPr>
                <w:sz w:val="20"/>
                <w:szCs w:val="20"/>
                <w:color w:val="auto"/>
              </w:rPr>
            </w:pPr>
            <w:r>
              <w:rPr>
                <w:rFonts w:ascii="Arial" w:cs="Arial" w:eastAsia="Arial" w:hAnsi="Arial"/>
                <w:sz w:val="14"/>
                <w:szCs w:val="14"/>
                <w:color w:val="auto"/>
              </w:rPr>
              <w:t>Investment Bank</w:t>
            </w:r>
          </w:p>
        </w:tc>
        <w:tc>
          <w:tcPr>
            <w:tcW w:w="1800" w:type="dxa"/>
            <w:vAlign w:val="bottom"/>
            <w:shd w:val="clear" w:color="auto" w:fill="F4EFE7"/>
          </w:tcPr>
          <w:p>
            <w:pPr>
              <w:spacing w:after="0"/>
              <w:rPr>
                <w:sz w:val="16"/>
                <w:szCs w:val="16"/>
                <w:color w:val="auto"/>
              </w:rPr>
            </w:pPr>
          </w:p>
        </w:tc>
        <w:tc>
          <w:tcPr>
            <w:tcW w:w="1820" w:type="dxa"/>
            <w:vAlign w:val="bottom"/>
            <w:shd w:val="clear" w:color="auto" w:fill="F4EFE7"/>
          </w:tcPr>
          <w:p>
            <w:pPr>
              <w:spacing w:after="0"/>
              <w:rPr>
                <w:sz w:val="16"/>
                <w:szCs w:val="16"/>
                <w:color w:val="auto"/>
              </w:rPr>
            </w:pPr>
          </w:p>
        </w:tc>
      </w:tr>
      <w:tr>
        <w:trPr>
          <w:trHeight w:val="35"/>
        </w:trPr>
        <w:tc>
          <w:tcPr>
            <w:tcW w:w="1860" w:type="dxa"/>
            <w:vAlign w:val="bottom"/>
            <w:shd w:val="clear" w:color="auto" w:fill="F4EFE7"/>
          </w:tcPr>
          <w:p>
            <w:pPr>
              <w:spacing w:after="0"/>
              <w:rPr>
                <w:sz w:val="3"/>
                <w:szCs w:val="3"/>
                <w:color w:val="auto"/>
              </w:rPr>
            </w:pPr>
          </w:p>
        </w:tc>
        <w:tc>
          <w:tcPr>
            <w:tcW w:w="1880" w:type="dxa"/>
            <w:vAlign w:val="bottom"/>
            <w:shd w:val="clear" w:color="auto" w:fill="F4EFE7"/>
          </w:tcPr>
          <w:p>
            <w:pPr>
              <w:spacing w:after="0"/>
              <w:rPr>
                <w:sz w:val="3"/>
                <w:szCs w:val="3"/>
                <w:color w:val="auto"/>
              </w:rPr>
            </w:pPr>
          </w:p>
        </w:tc>
        <w:tc>
          <w:tcPr>
            <w:tcW w:w="1880" w:type="dxa"/>
            <w:vAlign w:val="bottom"/>
            <w:shd w:val="clear" w:color="auto" w:fill="F4EFE7"/>
          </w:tcPr>
          <w:p>
            <w:pPr>
              <w:spacing w:after="0"/>
              <w:rPr>
                <w:sz w:val="3"/>
                <w:szCs w:val="3"/>
                <w:color w:val="auto"/>
              </w:rPr>
            </w:pPr>
          </w:p>
        </w:tc>
        <w:tc>
          <w:tcPr>
            <w:tcW w:w="2000" w:type="dxa"/>
            <w:vAlign w:val="bottom"/>
            <w:shd w:val="clear" w:color="auto" w:fill="F4EFE7"/>
          </w:tcPr>
          <w:p>
            <w:pPr>
              <w:spacing w:after="0"/>
              <w:rPr>
                <w:sz w:val="3"/>
                <w:szCs w:val="3"/>
                <w:color w:val="auto"/>
              </w:rPr>
            </w:pPr>
          </w:p>
        </w:tc>
        <w:tc>
          <w:tcPr>
            <w:tcW w:w="1800" w:type="dxa"/>
            <w:vAlign w:val="bottom"/>
            <w:shd w:val="clear" w:color="auto" w:fill="F4EFE7"/>
          </w:tcPr>
          <w:p>
            <w:pPr>
              <w:spacing w:after="0"/>
              <w:rPr>
                <w:sz w:val="3"/>
                <w:szCs w:val="3"/>
                <w:color w:val="auto"/>
              </w:rPr>
            </w:pPr>
          </w:p>
        </w:tc>
        <w:tc>
          <w:tcPr>
            <w:tcW w:w="1820" w:type="dxa"/>
            <w:vAlign w:val="bottom"/>
            <w:shd w:val="clear" w:color="auto" w:fill="F4EFE7"/>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-1191260</wp:posOffset>
            </wp:positionV>
            <wp:extent cx="651510" cy="6515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51510" cy="65151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-1191260</wp:posOffset>
            </wp:positionV>
            <wp:extent cx="651510" cy="6515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51510" cy="65151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-1191260</wp:posOffset>
            </wp:positionV>
            <wp:extent cx="651510" cy="6515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51510" cy="65151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-1191260</wp:posOffset>
            </wp:positionV>
            <wp:extent cx="651510" cy="6515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51510" cy="65151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-1191260</wp:posOffset>
            </wp:positionV>
            <wp:extent cx="651510" cy="6515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51510" cy="65151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-1191260</wp:posOffset>
            </wp:positionV>
            <wp:extent cx="651510" cy="6515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2025 Firm performance</w:t>
      </w:r>
    </w:p>
    <w:p>
      <w:pPr>
        <w:spacing w:after="0" w:line="83"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2025, the Firm achieved strong business results and maintained its fortress balance sheet principles. Results reflect execution on long-term strategic initiatives, years of investment, a favorable market backdrop, and selective deployment of excess capital. The Firm delivered managed revenue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$185.6 billion, which was a record for the eighth-consecutive year, and net income of $57.0 billion, or $20.02 per share, with ROTCE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20%. The Firm increased its quarterly common dividend from $1.25 to $1.50 per share.</w:t>
      </w:r>
    </w:p>
    <w:p>
      <w:pPr>
        <w:spacing w:after="0" w:line="71"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color w:val="auto"/>
        </w:rPr>
        <w:t>Throughout 2025, the Firm continued to invest in data, technology, and AI research and capabilities, people and products, and corporate responsibility, positioning it for future success. The Firm also opened its new global headquarters building at 270 Park Avenue in New York, enabling the Firm to create enhanced collaborative work environments for employees, serve clients locally and globally, and contribute to local economies.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right="160" w:hanging="192"/>
        <w:spacing w:after="0" w:line="194" w:lineRule="auto"/>
        <w:tabs>
          <w:tab w:leader="none" w:pos="206" w:val="left"/>
        </w:tabs>
        <w:numPr>
          <w:ilvl w:val="0"/>
          <w:numId w:val="136"/>
        </w:numPr>
        <w:rPr>
          <w:rFonts w:ascii="Arial" w:cs="Arial" w:eastAsia="Arial" w:hAnsi="Arial"/>
          <w:sz w:val="19"/>
          <w:szCs w:val="19"/>
          <w:color w:val="auto"/>
          <w:vertAlign w:val="superscript"/>
        </w:rPr>
      </w:pPr>
      <w:r>
        <w:rPr>
          <w:rFonts w:ascii="Arial" w:cs="Arial" w:eastAsia="Arial" w:hAnsi="Arial"/>
          <w:sz w:val="13"/>
          <w:szCs w:val="13"/>
          <w:color w:val="auto"/>
        </w:rPr>
        <w:t>Mr. Pinto served as President &amp; COO of the Firm until June 2025, after which he ceased to be an Executive Officer, and is now serving as a Vice Chair through December 2026. The compensation disclosures required by the SEC can be found in the Executive compensation tables starting on page 63.</w:t>
      </w:r>
    </w:p>
    <w:p>
      <w:pPr>
        <w:spacing w:after="0" w:line="13" w:lineRule="exact"/>
        <w:rPr>
          <w:sz w:val="20"/>
          <w:szCs w:val="20"/>
          <w:color w:val="auto"/>
        </w:rPr>
      </w:pPr>
    </w:p>
    <w:p>
      <w:pPr>
        <w:ind w:left="200" w:right="40" w:hanging="192"/>
        <w:spacing w:after="0" w:line="205" w:lineRule="auto"/>
        <w:tabs>
          <w:tab w:leader="none" w:pos="193" w:val="left"/>
        </w:tabs>
        <w:numPr>
          <w:ilvl w:val="0"/>
          <w:numId w:val="137"/>
        </w:numPr>
        <w:rPr>
          <w:rFonts w:ascii="Arial" w:cs="Arial" w:eastAsia="Arial" w:hAnsi="Arial"/>
          <w:sz w:val="19"/>
          <w:szCs w:val="19"/>
          <w:color w:val="auto"/>
          <w:vertAlign w:val="superscript"/>
        </w:rPr>
      </w:pPr>
      <w:r>
        <w:rPr>
          <w:rFonts w:ascii="Arial" w:cs="Arial" w:eastAsia="Arial" w:hAnsi="Arial"/>
          <w:sz w:val="13"/>
          <w:szCs w:val="13"/>
          <w:color w:val="auto"/>
        </w:rPr>
        <w:t>The Firm reviews the results of the Firm on a managed basis. Managed Revenue and ROTCE are each non-GAAP financial measures. Refer to Notes 1 and 2 on page 103 for a further discussion of these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292100</wp:posOffset>
            </wp:positionV>
            <wp:extent cx="651510" cy="8572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auto"/>
        </w:rPr>
        <w:t>CD&amp;A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6515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22"/>
          <w:szCs w:val="22"/>
          <w:color w:val="8F5A39"/>
        </w:rPr>
        <w:t>How we think about pay decisions</w:t>
      </w:r>
    </w:p>
    <w:p>
      <w:pPr>
        <w:ind w:left="140"/>
        <w:spacing w:after="0"/>
        <w:rPr>
          <w:sz w:val="20"/>
          <w:szCs w:val="20"/>
          <w:color w:val="auto"/>
        </w:rPr>
      </w:pPr>
      <w:r>
        <w:rPr>
          <w:rFonts w:ascii="Arial" w:cs="Arial" w:eastAsia="Arial" w:hAnsi="Arial"/>
          <w:sz w:val="22"/>
          <w:szCs w:val="22"/>
          <w:color w:val="8F5A39"/>
        </w:rPr>
        <w:t>01</w:t>
      </w:r>
    </w:p>
    <w:p>
      <w:pPr>
        <w:spacing w:after="0" w:line="6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Pages 43-52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Evaluating performance</w:t>
      </w:r>
    </w:p>
    <w:p>
      <w:pPr>
        <w:spacing w:after="0" w:line="32"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The Firm’s Business Principles and strategic framework guide our OC members in determining their annual strategic priorities. The CMDC assesses OC members’ performance against those priorities, as well as four broad financial and non-financial performance dimensions in a balanced and holistic way in accordance with the Firm’s compensation philosophy. To determine OC compensation, the CMDC considers both what progress has been made against long-term strategic priorities, and how that progress has been achieved. The CMDC applies:</w:t>
      </w:r>
    </w:p>
    <w:p>
      <w:pPr>
        <w:spacing w:after="0" w:line="42" w:lineRule="exact"/>
        <w:rPr>
          <w:sz w:val="20"/>
          <w:szCs w:val="20"/>
          <w:color w:val="auto"/>
        </w:rPr>
      </w:pPr>
    </w:p>
    <w:p>
      <w:pPr>
        <w:ind w:left="180" w:hanging="172"/>
        <w:spacing w:after="0"/>
        <w:tabs>
          <w:tab w:leader="none" w:pos="18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~50% weighting </w:t>
      </w:r>
      <w:r>
        <w:rPr>
          <w:rFonts w:ascii="Arial" w:cs="Arial" w:eastAsia="Arial" w:hAnsi="Arial"/>
          <w:sz w:val="16"/>
          <w:szCs w:val="16"/>
          <w:color w:val="auto"/>
        </w:rPr>
        <w:t>to its consideration of absolute and relative Business Results (</w:t>
      </w:r>
      <w:r>
        <w:rPr>
          <w:rFonts w:ascii="Arial" w:cs="Arial" w:eastAsia="Arial" w:hAnsi="Arial"/>
          <w:sz w:val="16"/>
          <w:szCs w:val="16"/>
          <w:b w:val="1"/>
          <w:bCs w:val="1"/>
          <w:color w:val="auto"/>
        </w:rPr>
        <w:t xml:space="preserve">what </w:t>
      </w:r>
      <w:r>
        <w:rPr>
          <w:rFonts w:ascii="Arial" w:cs="Arial" w:eastAsia="Arial" w:hAnsi="Arial"/>
          <w:sz w:val="16"/>
          <w:szCs w:val="16"/>
          <w:color w:val="auto"/>
        </w:rPr>
        <w:t>they have accomplished)</w:t>
      </w:r>
    </w:p>
    <w:p>
      <w:pPr>
        <w:spacing w:after="0" w:line="45" w:lineRule="exact"/>
        <w:rPr>
          <w:rFonts w:ascii="Arial" w:cs="Arial" w:eastAsia="Arial" w:hAnsi="Arial"/>
          <w:sz w:val="16"/>
          <w:szCs w:val="16"/>
          <w:b w:val="1"/>
          <w:bCs w:val="1"/>
          <w:color w:val="auto"/>
        </w:rPr>
      </w:pPr>
    </w:p>
    <w:p>
      <w:pPr>
        <w:ind w:left="200" w:right="60" w:hanging="192"/>
        <w:spacing w:after="0" w:line="268" w:lineRule="auto"/>
        <w:tabs>
          <w:tab w:leader="none" w:pos="184"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~50% weighting </w:t>
      </w:r>
      <w:r>
        <w:rPr>
          <w:rFonts w:ascii="Arial" w:cs="Arial" w:eastAsia="Arial" w:hAnsi="Arial"/>
          <w:sz w:val="16"/>
          <w:szCs w:val="16"/>
          <w:color w:val="auto"/>
        </w:rPr>
        <w:t>to its qualitative consideration of Client/Customer/Stakeholder; Risk, Controls &amp; Conduct; and Teamwork &amp; Leadership (</w:t>
      </w:r>
      <w:r>
        <w:rPr>
          <w:rFonts w:ascii="Arial" w:cs="Arial" w:eastAsia="Arial" w:hAnsi="Arial"/>
          <w:sz w:val="16"/>
          <w:szCs w:val="16"/>
          <w:b w:val="1"/>
          <w:bCs w:val="1"/>
          <w:color w:val="auto"/>
        </w:rPr>
        <w:t xml:space="preserve">how </w:t>
      </w:r>
      <w:r>
        <w:rPr>
          <w:rFonts w:ascii="Arial" w:cs="Arial" w:eastAsia="Arial" w:hAnsi="Arial"/>
          <w:sz w:val="16"/>
          <w:szCs w:val="16"/>
          <w:color w:val="auto"/>
        </w:rPr>
        <w:t>they have</w:t>
      </w:r>
      <w:r>
        <w:rPr>
          <w:rFonts w:ascii="Arial" w:cs="Arial" w:eastAsia="Arial" w:hAnsi="Arial"/>
          <w:sz w:val="16"/>
          <w:szCs w:val="16"/>
          <w:b w:val="1"/>
          <w:bCs w:val="1"/>
          <w:color w:val="auto"/>
        </w:rPr>
        <w:t xml:space="preserve"> </w:t>
      </w:r>
      <w:r>
        <w:rPr>
          <w:rFonts w:ascii="Arial" w:cs="Arial" w:eastAsia="Arial" w:hAnsi="Arial"/>
          <w:sz w:val="16"/>
          <w:szCs w:val="16"/>
          <w:color w:val="auto"/>
        </w:rPr>
        <w:t>accomplished results)</w:t>
      </w:r>
    </w:p>
    <w:p>
      <w:pPr>
        <w:spacing w:after="0" w:line="21"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While there is no single performance dimension in isolation that determines compensation, a significant shortcoming in any one dimension may result in downward adjustments to OC members’ variable compensation, without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69608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FOUR BROAD PERFORMANCE DIMENSIONS</w:t>
      </w:r>
    </w:p>
    <w:p>
      <w:pPr>
        <w:spacing w:after="0" w:line="270" w:lineRule="exact"/>
        <w:rPr>
          <w:sz w:val="20"/>
          <w:szCs w:val="20"/>
          <w:color w:val="auto"/>
        </w:rPr>
      </w:pPr>
    </w:p>
    <w:tbl>
      <w:tblPr>
        <w:tblLayout w:type="fixed"/>
        <w:tblInd w:w="180" w:type="dxa"/>
        <w:tblCellMar>
          <w:top w:w="0" w:type="dxa"/>
          <w:left w:w="0" w:type="dxa"/>
          <w:bottom w:w="0" w:type="dxa"/>
          <w:right w:w="0" w:type="dxa"/>
        </w:tblCellMar>
      </w:tblPr>
      <w:tr>
        <w:trPr>
          <w:trHeight w:val="208"/>
        </w:trPr>
        <w:tc>
          <w:tcPr>
            <w:tcW w:w="1640" w:type="dxa"/>
            <w:vAlign w:val="bottom"/>
            <w:gridSpan w:val="2"/>
          </w:tcPr>
          <w:p>
            <w:pPr>
              <w:ind w:left="540"/>
              <w:spacing w:after="0"/>
              <w:rPr>
                <w:sz w:val="20"/>
                <w:szCs w:val="20"/>
                <w:color w:val="auto"/>
              </w:rPr>
            </w:pPr>
            <w:r>
              <w:rPr>
                <w:rFonts w:ascii="Arial" w:cs="Arial" w:eastAsia="Arial" w:hAnsi="Arial"/>
                <w:sz w:val="15"/>
                <w:szCs w:val="15"/>
                <w:b w:val="1"/>
                <w:bCs w:val="1"/>
                <w:color w:val="auto"/>
              </w:rPr>
              <w:t>The "what"</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ind w:left="260"/>
              <w:spacing w:after="0"/>
              <w:rPr>
                <w:sz w:val="20"/>
                <w:szCs w:val="20"/>
                <w:color w:val="auto"/>
              </w:rPr>
            </w:pPr>
            <w:r>
              <w:rPr>
                <w:rFonts w:ascii="Arial" w:cs="Arial" w:eastAsia="Arial" w:hAnsi="Arial"/>
                <w:sz w:val="15"/>
                <w:szCs w:val="15"/>
                <w:b w:val="1"/>
                <w:bCs w:val="1"/>
                <w:color w:val="auto"/>
              </w:rPr>
              <w:t>The "how"</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20" w:type="dxa"/>
            <w:vAlign w:val="bottom"/>
            <w:tcBorders>
              <w:right w:val="single" w:sz="8" w:color="8F5A39"/>
            </w:tcBorders>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vMerge w:val="restart"/>
          </w:tcPr>
          <w:p>
            <w:pPr>
              <w:jc w:val="right"/>
              <w:ind w:right="14"/>
              <w:spacing w:after="0"/>
              <w:rPr>
                <w:sz w:val="20"/>
                <w:szCs w:val="20"/>
                <w:color w:val="auto"/>
              </w:rPr>
            </w:pPr>
            <w:r>
              <w:rPr>
                <w:rFonts w:ascii="Arial" w:cs="Arial" w:eastAsia="Arial" w:hAnsi="Arial"/>
                <w:sz w:val="25"/>
                <w:szCs w:val="25"/>
                <w:b w:val="1"/>
                <w:bCs w:val="1"/>
                <w:color w:val="auto"/>
              </w:rPr>
              <w:t>+</w:t>
            </w:r>
          </w:p>
        </w:tc>
        <w:tc>
          <w:tcPr>
            <w:tcW w:w="1100" w:type="dxa"/>
            <w:vAlign w:val="bottom"/>
            <w:tcBorders>
              <w:right w:val="single" w:sz="8" w:color="8F5A39"/>
            </w:tcBorders>
          </w:tcPr>
          <w:p>
            <w:pPr>
              <w:spacing w:after="0"/>
              <w:rPr>
                <w:sz w:val="7"/>
                <w:szCs w:val="7"/>
                <w:color w:val="auto"/>
              </w:rPr>
            </w:pPr>
          </w:p>
        </w:tc>
        <w:tc>
          <w:tcPr>
            <w:tcW w:w="1060" w:type="dxa"/>
            <w:vAlign w:val="bottom"/>
            <w:tcBorders>
              <w:top w:val="single" w:sz="8" w:color="8F5A39"/>
            </w:tcBorders>
          </w:tcPr>
          <w:p>
            <w:pPr>
              <w:spacing w:after="0"/>
              <w:rPr>
                <w:sz w:val="7"/>
                <w:szCs w:val="7"/>
                <w:color w:val="auto"/>
              </w:rPr>
            </w:pPr>
          </w:p>
        </w:tc>
        <w:tc>
          <w:tcPr>
            <w:tcW w:w="440" w:type="dxa"/>
            <w:vAlign w:val="bottom"/>
            <w:tcBorders>
              <w:top w:val="single" w:sz="8" w:color="8F5A39"/>
            </w:tcBorders>
            <w:vMerge w:val="restart"/>
          </w:tcPr>
          <w:p>
            <w:pPr>
              <w:jc w:val="right"/>
              <w:ind w:right="14"/>
              <w:spacing w:after="0"/>
              <w:rPr>
                <w:sz w:val="20"/>
                <w:szCs w:val="20"/>
                <w:color w:val="auto"/>
              </w:rPr>
            </w:pPr>
            <w:r>
              <w:rPr>
                <w:rFonts w:ascii="Arial" w:cs="Arial" w:eastAsia="Arial" w:hAnsi="Arial"/>
                <w:sz w:val="25"/>
                <w:szCs w:val="25"/>
                <w:b w:val="1"/>
                <w:bCs w:val="1"/>
                <w:color w:val="auto"/>
              </w:rPr>
              <w:t>+</w:t>
            </w:r>
          </w:p>
        </w:tc>
        <w:tc>
          <w:tcPr>
            <w:tcW w:w="1700" w:type="dxa"/>
            <w:vAlign w:val="bottom"/>
            <w:tcBorders>
              <w:top w:val="single" w:sz="8" w:color="8F5A39"/>
            </w:tcBorders>
          </w:tcPr>
          <w:p>
            <w:pPr>
              <w:spacing w:after="0"/>
              <w:rPr>
                <w:sz w:val="7"/>
                <w:szCs w:val="7"/>
                <w:color w:val="auto"/>
              </w:rPr>
            </w:pPr>
          </w:p>
        </w:tc>
        <w:tc>
          <w:tcPr>
            <w:tcW w:w="440" w:type="dxa"/>
            <w:vAlign w:val="bottom"/>
            <w:tcBorders>
              <w:top w:val="single" w:sz="8" w:color="8F5A39"/>
            </w:tcBorders>
            <w:vMerge w:val="restart"/>
          </w:tcPr>
          <w:p>
            <w:pPr>
              <w:jc w:val="right"/>
              <w:ind w:right="14"/>
              <w:spacing w:after="0"/>
              <w:rPr>
                <w:sz w:val="20"/>
                <w:szCs w:val="20"/>
                <w:color w:val="auto"/>
              </w:rPr>
            </w:pPr>
            <w:r>
              <w:rPr>
                <w:rFonts w:ascii="Arial" w:cs="Arial" w:eastAsia="Arial" w:hAnsi="Arial"/>
                <w:sz w:val="25"/>
                <w:szCs w:val="25"/>
                <w:b w:val="1"/>
                <w:bCs w:val="1"/>
                <w:color w:val="auto"/>
              </w:rPr>
              <w:t>+</w:t>
            </w:r>
          </w:p>
        </w:tc>
        <w:tc>
          <w:tcPr>
            <w:tcW w:w="900" w:type="dxa"/>
            <w:vAlign w:val="bottom"/>
            <w:tcBorders>
              <w:top w:val="single" w:sz="8" w:color="8F5A39"/>
              <w:right w:val="single" w:sz="8" w:color="8F5A39"/>
            </w:tcBorders>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25"/>
                <w:szCs w:val="25"/>
                <w:b w:val="1"/>
                <w:bCs w:val="1"/>
                <w:color w:val="auto"/>
              </w:rPr>
              <w:t>=</w:t>
            </w: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640" w:type="dxa"/>
            <w:vAlign w:val="bottom"/>
            <w:gridSpan w:val="2"/>
            <w:shd w:val="clear" w:color="auto" w:fill="F4EFE7"/>
          </w:tcPr>
          <w:p>
            <w:pPr>
              <w:ind w:left="480"/>
              <w:spacing w:after="0"/>
              <w:rPr>
                <w:sz w:val="20"/>
                <w:szCs w:val="20"/>
                <w:color w:val="auto"/>
              </w:rPr>
            </w:pPr>
            <w:r>
              <w:rPr>
                <w:rFonts w:ascii="Arial" w:cs="Arial" w:eastAsia="Arial" w:hAnsi="Arial"/>
                <w:sz w:val="15"/>
                <w:szCs w:val="15"/>
                <w:b w:val="1"/>
                <w:bCs w:val="1"/>
                <w:color w:val="8F5A39"/>
              </w:rPr>
              <w:t>Business</w:t>
            </w:r>
          </w:p>
        </w:tc>
        <w:tc>
          <w:tcPr>
            <w:tcW w:w="420" w:type="dxa"/>
            <w:vAlign w:val="bottom"/>
            <w:vMerge w:val="continue"/>
          </w:tcPr>
          <w:p>
            <w:pPr>
              <w:spacing w:after="0"/>
              <w:rPr>
                <w:sz w:val="24"/>
                <w:szCs w:val="24"/>
                <w:color w:val="auto"/>
              </w:rPr>
            </w:pPr>
          </w:p>
        </w:tc>
        <w:tc>
          <w:tcPr>
            <w:tcW w:w="2160" w:type="dxa"/>
            <w:vAlign w:val="bottom"/>
            <w:gridSpan w:val="2"/>
            <w:shd w:val="clear" w:color="auto" w:fill="F4EFE7"/>
          </w:tcPr>
          <w:p>
            <w:pPr>
              <w:ind w:left="40"/>
              <w:spacing w:after="0"/>
              <w:rPr>
                <w:sz w:val="20"/>
                <w:szCs w:val="20"/>
                <w:color w:val="auto"/>
              </w:rPr>
            </w:pPr>
            <w:r>
              <w:rPr>
                <w:rFonts w:ascii="Arial" w:cs="Arial" w:eastAsia="Arial" w:hAnsi="Arial"/>
                <w:sz w:val="15"/>
                <w:szCs w:val="15"/>
                <w:b w:val="1"/>
                <w:bCs w:val="1"/>
                <w:color w:val="8F5A39"/>
              </w:rPr>
              <w:t>Client/Customer/Stakeholder</w:t>
            </w:r>
          </w:p>
        </w:tc>
        <w:tc>
          <w:tcPr>
            <w:tcW w:w="440" w:type="dxa"/>
            <w:vAlign w:val="bottom"/>
            <w:vMerge w:val="continue"/>
          </w:tcPr>
          <w:p>
            <w:pPr>
              <w:spacing w:after="0"/>
              <w:rPr>
                <w:sz w:val="24"/>
                <w:szCs w:val="24"/>
                <w:color w:val="auto"/>
              </w:rPr>
            </w:pPr>
          </w:p>
        </w:tc>
        <w:tc>
          <w:tcPr>
            <w:tcW w:w="1700" w:type="dxa"/>
            <w:vAlign w:val="bottom"/>
            <w:shd w:val="clear" w:color="auto" w:fill="F4EFE7"/>
          </w:tcPr>
          <w:p>
            <w:pPr>
              <w:jc w:val="center"/>
              <w:spacing w:after="0"/>
              <w:rPr>
                <w:sz w:val="20"/>
                <w:szCs w:val="20"/>
                <w:color w:val="auto"/>
              </w:rPr>
            </w:pPr>
            <w:r>
              <w:rPr>
                <w:rFonts w:ascii="Arial" w:cs="Arial" w:eastAsia="Arial" w:hAnsi="Arial"/>
                <w:sz w:val="15"/>
                <w:szCs w:val="15"/>
                <w:b w:val="1"/>
                <w:bCs w:val="1"/>
                <w:color w:val="8F5A39"/>
              </w:rPr>
              <w:t>Risk, Controls</w:t>
            </w:r>
          </w:p>
        </w:tc>
        <w:tc>
          <w:tcPr>
            <w:tcW w:w="440" w:type="dxa"/>
            <w:vAlign w:val="bottom"/>
            <w:vMerge w:val="continue"/>
          </w:tcPr>
          <w:p>
            <w:pPr>
              <w:spacing w:after="0"/>
              <w:rPr>
                <w:sz w:val="24"/>
                <w:szCs w:val="24"/>
                <w:color w:val="auto"/>
              </w:rPr>
            </w:pPr>
          </w:p>
        </w:tc>
        <w:tc>
          <w:tcPr>
            <w:tcW w:w="1740" w:type="dxa"/>
            <w:vAlign w:val="bottom"/>
            <w:gridSpan w:val="2"/>
            <w:shd w:val="clear" w:color="auto" w:fill="F4EFE7"/>
          </w:tcPr>
          <w:p>
            <w:pPr>
              <w:jc w:val="center"/>
              <w:spacing w:after="0"/>
              <w:rPr>
                <w:sz w:val="20"/>
                <w:szCs w:val="20"/>
                <w:color w:val="auto"/>
              </w:rPr>
            </w:pPr>
            <w:r>
              <w:rPr>
                <w:rFonts w:ascii="Arial" w:cs="Arial" w:eastAsia="Arial" w:hAnsi="Arial"/>
                <w:sz w:val="15"/>
                <w:szCs w:val="15"/>
                <w:b w:val="1"/>
                <w:bCs w:val="1"/>
                <w:color w:val="8F5A39"/>
              </w:rPr>
              <w:t>Teamwork &amp;</w:t>
            </w:r>
          </w:p>
        </w:tc>
        <w:tc>
          <w:tcPr>
            <w:tcW w:w="460" w:type="dxa"/>
            <w:vAlign w:val="bottom"/>
            <w:vMerge w:val="continue"/>
          </w:tcPr>
          <w:p>
            <w:pPr>
              <w:spacing w:after="0"/>
              <w:rPr>
                <w:sz w:val="24"/>
                <w:szCs w:val="24"/>
                <w:color w:val="auto"/>
              </w:rPr>
            </w:pPr>
          </w:p>
        </w:tc>
        <w:tc>
          <w:tcPr>
            <w:tcW w:w="1780" w:type="dxa"/>
            <w:vAlign w:val="bottom"/>
            <w:shd w:val="clear" w:color="auto" w:fill="8F5A39"/>
          </w:tcPr>
          <w:p>
            <w:pPr>
              <w:jc w:val="center"/>
              <w:spacing w:after="0"/>
              <w:rPr>
                <w:sz w:val="20"/>
                <w:szCs w:val="20"/>
                <w:color w:val="auto"/>
              </w:rPr>
            </w:pPr>
            <w:r>
              <w:rPr>
                <w:rFonts w:ascii="Arial" w:cs="Arial" w:eastAsia="Arial" w:hAnsi="Arial"/>
                <w:sz w:val="16"/>
                <w:szCs w:val="16"/>
                <w:b w:val="1"/>
                <w:bCs w:val="1"/>
                <w:color w:val="FFFFFF"/>
              </w:rPr>
              <w:t>OC Member</w:t>
            </w:r>
          </w:p>
        </w:tc>
        <w:tc>
          <w:tcPr>
            <w:tcW w:w="0" w:type="dxa"/>
            <w:vAlign w:val="bottom"/>
          </w:tcPr>
          <w:p>
            <w:pPr>
              <w:spacing w:after="0"/>
              <w:rPr>
                <w:sz w:val="1"/>
                <w:szCs w:val="1"/>
                <w:color w:val="auto"/>
              </w:rPr>
            </w:pPr>
          </w:p>
        </w:tc>
      </w:tr>
      <w:tr>
        <w:trPr>
          <w:trHeight w:val="230"/>
        </w:trPr>
        <w:tc>
          <w:tcPr>
            <w:tcW w:w="1640" w:type="dxa"/>
            <w:vAlign w:val="bottom"/>
            <w:gridSpan w:val="2"/>
            <w:shd w:val="clear" w:color="auto" w:fill="F4EFE7"/>
          </w:tcPr>
          <w:p>
            <w:pPr>
              <w:ind w:left="540"/>
              <w:spacing w:after="0"/>
              <w:rPr>
                <w:sz w:val="20"/>
                <w:szCs w:val="20"/>
                <w:color w:val="auto"/>
              </w:rPr>
            </w:pPr>
            <w:r>
              <w:rPr>
                <w:rFonts w:ascii="Arial" w:cs="Arial" w:eastAsia="Arial" w:hAnsi="Arial"/>
                <w:sz w:val="15"/>
                <w:szCs w:val="15"/>
                <w:b w:val="1"/>
                <w:bCs w:val="1"/>
                <w:color w:val="8F5A39"/>
              </w:rPr>
              <w:t>Results</w:t>
            </w:r>
          </w:p>
        </w:tc>
        <w:tc>
          <w:tcPr>
            <w:tcW w:w="420" w:type="dxa"/>
            <w:vAlign w:val="bottom"/>
          </w:tcPr>
          <w:p>
            <w:pPr>
              <w:spacing w:after="0"/>
              <w:rPr>
                <w:sz w:val="19"/>
                <w:szCs w:val="19"/>
                <w:color w:val="auto"/>
              </w:rPr>
            </w:pPr>
          </w:p>
        </w:tc>
        <w:tc>
          <w:tcPr>
            <w:tcW w:w="1100" w:type="dxa"/>
            <w:vAlign w:val="bottom"/>
            <w:tcBorders>
              <w:right w:val="single" w:sz="8" w:color="F4EFE7"/>
            </w:tcBorders>
            <w:shd w:val="clear" w:color="auto" w:fill="F4EFE7"/>
          </w:tcPr>
          <w:p>
            <w:pPr>
              <w:spacing w:after="0"/>
              <w:rPr>
                <w:sz w:val="19"/>
                <w:szCs w:val="19"/>
                <w:color w:val="auto"/>
              </w:rPr>
            </w:pPr>
          </w:p>
        </w:tc>
        <w:tc>
          <w:tcPr>
            <w:tcW w:w="1060" w:type="dxa"/>
            <w:vAlign w:val="bottom"/>
            <w:shd w:val="clear" w:color="auto" w:fill="F4EFE7"/>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shd w:val="clear" w:color="auto" w:fill="F4EFE7"/>
          </w:tcPr>
          <w:p>
            <w:pPr>
              <w:jc w:val="center"/>
              <w:spacing w:after="0"/>
              <w:rPr>
                <w:sz w:val="20"/>
                <w:szCs w:val="20"/>
                <w:color w:val="auto"/>
              </w:rPr>
            </w:pPr>
            <w:r>
              <w:rPr>
                <w:rFonts w:ascii="Arial" w:cs="Arial" w:eastAsia="Arial" w:hAnsi="Arial"/>
                <w:sz w:val="15"/>
                <w:szCs w:val="15"/>
                <w:b w:val="1"/>
                <w:bCs w:val="1"/>
                <w:color w:val="8F5A39"/>
              </w:rPr>
              <w:t>&amp; Conduct</w:t>
            </w:r>
          </w:p>
        </w:tc>
        <w:tc>
          <w:tcPr>
            <w:tcW w:w="440" w:type="dxa"/>
            <w:vAlign w:val="bottom"/>
          </w:tcPr>
          <w:p>
            <w:pPr>
              <w:spacing w:after="0"/>
              <w:rPr>
                <w:sz w:val="19"/>
                <w:szCs w:val="19"/>
                <w:color w:val="auto"/>
              </w:rPr>
            </w:pPr>
          </w:p>
        </w:tc>
        <w:tc>
          <w:tcPr>
            <w:tcW w:w="1740" w:type="dxa"/>
            <w:vAlign w:val="bottom"/>
            <w:gridSpan w:val="2"/>
            <w:shd w:val="clear" w:color="auto" w:fill="F4EFE7"/>
          </w:tcPr>
          <w:p>
            <w:pPr>
              <w:jc w:val="center"/>
              <w:spacing w:after="0"/>
              <w:rPr>
                <w:sz w:val="20"/>
                <w:szCs w:val="20"/>
                <w:color w:val="auto"/>
              </w:rPr>
            </w:pPr>
            <w:r>
              <w:rPr>
                <w:rFonts w:ascii="Arial" w:cs="Arial" w:eastAsia="Arial" w:hAnsi="Arial"/>
                <w:sz w:val="15"/>
                <w:szCs w:val="15"/>
                <w:b w:val="1"/>
                <w:bCs w:val="1"/>
                <w:color w:val="8F5A39"/>
                <w:w w:val="99"/>
              </w:rPr>
              <w:t>Leadership</w:t>
            </w:r>
          </w:p>
        </w:tc>
        <w:tc>
          <w:tcPr>
            <w:tcW w:w="460" w:type="dxa"/>
            <w:vAlign w:val="bottom"/>
          </w:tcPr>
          <w:p>
            <w:pPr>
              <w:spacing w:after="0"/>
              <w:rPr>
                <w:sz w:val="19"/>
                <w:szCs w:val="19"/>
                <w:color w:val="auto"/>
              </w:rPr>
            </w:pPr>
          </w:p>
        </w:tc>
        <w:tc>
          <w:tcPr>
            <w:tcW w:w="1780" w:type="dxa"/>
            <w:vAlign w:val="bottom"/>
            <w:shd w:val="clear" w:color="auto" w:fill="8F5A39"/>
          </w:tcPr>
          <w:p>
            <w:pPr>
              <w:jc w:val="center"/>
              <w:spacing w:after="0"/>
              <w:rPr>
                <w:sz w:val="20"/>
                <w:szCs w:val="20"/>
                <w:color w:val="auto"/>
              </w:rPr>
            </w:pPr>
            <w:r>
              <w:rPr>
                <w:rFonts w:ascii="Arial" w:cs="Arial" w:eastAsia="Arial" w:hAnsi="Arial"/>
                <w:sz w:val="16"/>
                <w:szCs w:val="16"/>
                <w:b w:val="1"/>
                <w:bCs w:val="1"/>
                <w:color w:val="FFFFFF"/>
              </w:rPr>
              <w:t>Performance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34290</wp:posOffset>
            </wp:positionV>
            <wp:extent cx="351155" cy="146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51155" cy="14605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34290</wp:posOffset>
            </wp:positionV>
            <wp:extent cx="325755" cy="146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25755" cy="146050"/>
                    </a:xfrm>
                    <a:prstGeom prst="rect">
                      <a:avLst/>
                    </a:prstGeom>
                    <a:noFill/>
                  </pic:spPr>
                </pic:pic>
              </a:graphicData>
            </a:graphic>
          </wp:anchor>
        </w:drawing>
      </w:r>
    </w:p>
    <w:p>
      <w:pPr>
        <w:spacing w:after="0" w:line="42" w:lineRule="exact"/>
        <w:rPr>
          <w:sz w:val="20"/>
          <w:szCs w:val="20"/>
          <w:color w:val="auto"/>
        </w:rPr>
      </w:pPr>
    </w:p>
    <w:p>
      <w:pPr>
        <w:ind w:left="2260"/>
        <w:spacing w:after="0"/>
        <w:rPr>
          <w:sz w:val="20"/>
          <w:szCs w:val="20"/>
          <w:color w:val="auto"/>
        </w:rPr>
      </w:pPr>
      <w:r>
        <w:rPr>
          <w:rFonts w:ascii="Arial" w:cs="Arial" w:eastAsia="Arial" w:hAnsi="Arial"/>
          <w:sz w:val="15"/>
          <w:szCs w:val="15"/>
          <w:b w:val="1"/>
          <w:bCs w:val="1"/>
          <w:color w:val="auto"/>
        </w:rPr>
        <w:t>Unlimited downward potential for significant shortcomings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Determining total compensation</w:t>
      </w:r>
    </w:p>
    <w:p>
      <w:pPr>
        <w:spacing w:after="0" w:line="30"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After considering OC members’ performance throughout the year and over the long-term, the CMDC first determines their respective total compensation levels and then their pay mix — a combination of fixed pay (salary) and variable pay (cash awards and long-term equity). Pay mix is weighted toward long-term equity, and for PSUs, ROTCE performance drives the ultimate payout.</w:t>
      </w:r>
    </w:p>
    <w:p>
      <w:pPr>
        <w:spacing w:after="0" w:line="44"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The CMDC also considers competitive market practices, referencing our primary financial services peer group of American Express, Bank of America, Citigroup, Goldman Sachs, Morgan Stanley and Wells Fargo.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Pay mix</w:t>
      </w:r>
    </w:p>
    <w:p>
      <w:pPr>
        <w:spacing w:after="0" w:line="30" w:lineRule="exact"/>
        <w:rPr>
          <w:sz w:val="20"/>
          <w:szCs w:val="20"/>
          <w:color w:val="auto"/>
        </w:rPr>
      </w:pPr>
    </w:p>
    <w:p>
      <w:pPr>
        <w:jc w:val="both"/>
        <w:ind w:right="520"/>
        <w:spacing w:after="0" w:line="238" w:lineRule="auto"/>
        <w:rPr>
          <w:sz w:val="20"/>
          <w:szCs w:val="20"/>
          <w:color w:val="auto"/>
        </w:rPr>
      </w:pPr>
      <w:r>
        <w:rPr>
          <w:rFonts w:ascii="Arial" w:cs="Arial" w:eastAsia="Arial" w:hAnsi="Arial"/>
          <w:sz w:val="16"/>
          <w:szCs w:val="16"/>
          <w:color w:val="auto"/>
        </w:rPr>
        <w:t>To determine the appropriate pay mix, the CMDC considers the fixed and variable components of each OC member’s pay. The salary portion of total compensation has already been paid, and the variable portion can include a cash award that is paid immediately, plus long-term equity in the form of restricted stock units (“RSUs”) and at-risk PSUs.</w:t>
      </w:r>
    </w:p>
    <w:p>
      <w:pPr>
        <w:spacing w:after="0" w:line="4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Mr. Dimon receives all of his equity in at-risk PSUs, comprising ~88% of his variable compensation, which is a higher proportion than any of our peer firms’ CEOs. Mr. Dimon’s total cash compensation is consistently among the lowest, and in 2025, well below the ~$12 million median of the total cash amounts paid to peer CEOs.</w:t>
      </w:r>
    </w:p>
    <w:p>
      <w:pPr>
        <w:sectPr>
          <w:pgSz w:w="11900" w:h="16838" w:orient="portrait"/>
          <w:cols w:equalWidth="0" w:num="1">
            <w:col w:w="11140"/>
          </w:cols>
          <w:pgMar w:left="320" w:top="157" w:right="4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illustrates the components of our OC members’ 2025 pay mix.</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40" w:type="dxa"/>
            <w:vAlign w:val="bottom"/>
            <w:tcBorders>
              <w:top w:val="single" w:sz="8" w:color="8F5A39"/>
              <w:left w:val="single" w:sz="8" w:color="8F5A39"/>
            </w:tcBorders>
          </w:tcPr>
          <w:p>
            <w:pPr>
              <w:spacing w:after="0"/>
              <w:rPr>
                <w:sz w:val="22"/>
                <w:szCs w:val="22"/>
                <w:color w:val="auto"/>
              </w:rPr>
            </w:pPr>
          </w:p>
        </w:tc>
        <w:tc>
          <w:tcPr>
            <w:tcW w:w="1520" w:type="dxa"/>
            <w:vAlign w:val="bottom"/>
            <w:tcBorders>
              <w:top w:val="single" w:sz="8" w:color="8F5A39"/>
            </w:tcBorders>
          </w:tcPr>
          <w:p>
            <w:pPr>
              <w:spacing w:after="0"/>
              <w:rPr>
                <w:sz w:val="22"/>
                <w:szCs w:val="22"/>
                <w:color w:val="auto"/>
              </w:rPr>
            </w:pPr>
          </w:p>
        </w:tc>
        <w:tc>
          <w:tcPr>
            <w:tcW w:w="3680" w:type="dxa"/>
            <w:vAlign w:val="bottom"/>
            <w:tcBorders>
              <w:top w:val="single" w:sz="8" w:color="8F5A39"/>
              <w:bottom w:val="single" w:sz="8" w:color="232323"/>
            </w:tcBorders>
            <w:gridSpan w:val="2"/>
          </w:tcPr>
          <w:p>
            <w:pPr>
              <w:jc w:val="center"/>
              <w:spacing w:after="0"/>
              <w:rPr>
                <w:sz w:val="20"/>
                <w:szCs w:val="20"/>
                <w:color w:val="auto"/>
              </w:rPr>
            </w:pPr>
            <w:r>
              <w:rPr>
                <w:rFonts w:ascii="Arial" w:cs="Arial" w:eastAsia="Arial" w:hAnsi="Arial"/>
                <w:sz w:val="13"/>
                <w:szCs w:val="13"/>
                <w:b w:val="1"/>
                <w:bCs w:val="1"/>
                <w:color w:val="8F5A39"/>
              </w:rPr>
              <w:t>Approximate % of 2025 Variable Compensation</w:t>
            </w:r>
          </w:p>
        </w:tc>
        <w:tc>
          <w:tcPr>
            <w:tcW w:w="160" w:type="dxa"/>
            <w:vAlign w:val="bottom"/>
            <w:tcBorders>
              <w:top w:val="single" w:sz="8" w:color="8F5A39"/>
              <w:right w:val="single" w:sz="8" w:color="8F5A39"/>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40" w:type="dxa"/>
            <w:vAlign w:val="bottom"/>
            <w:tcBorders>
              <w:left w:val="single" w:sz="8" w:color="8F5A39"/>
            </w:tcBorders>
          </w:tcPr>
          <w:p>
            <w:pPr>
              <w:spacing w:after="0"/>
              <w:rPr>
                <w:sz w:val="21"/>
                <w:szCs w:val="21"/>
                <w:color w:val="auto"/>
              </w:rPr>
            </w:pPr>
          </w:p>
        </w:tc>
        <w:tc>
          <w:tcPr>
            <w:tcW w:w="1520" w:type="dxa"/>
            <w:vAlign w:val="bottom"/>
          </w:tcPr>
          <w:p>
            <w:pPr>
              <w:spacing w:after="0"/>
              <w:rPr>
                <w:sz w:val="21"/>
                <w:szCs w:val="21"/>
                <w:color w:val="auto"/>
              </w:rPr>
            </w:pPr>
          </w:p>
        </w:tc>
        <w:tc>
          <w:tcPr>
            <w:tcW w:w="1720" w:type="dxa"/>
            <w:vAlign w:val="bottom"/>
          </w:tcPr>
          <w:p>
            <w:pPr>
              <w:ind w:left="780"/>
              <w:spacing w:after="0"/>
              <w:rPr>
                <w:sz w:val="20"/>
                <w:szCs w:val="20"/>
                <w:color w:val="auto"/>
              </w:rPr>
            </w:pPr>
            <w:r>
              <w:rPr>
                <w:rFonts w:ascii="Arial" w:cs="Arial" w:eastAsia="Arial" w:hAnsi="Arial"/>
                <w:sz w:val="13"/>
                <w:szCs w:val="13"/>
                <w:b w:val="1"/>
                <w:bCs w:val="1"/>
                <w:color w:val="8F5A39"/>
              </w:rPr>
              <w:t>CEO</w:t>
            </w:r>
          </w:p>
        </w:tc>
        <w:tc>
          <w:tcPr>
            <w:tcW w:w="1960" w:type="dxa"/>
            <w:vAlign w:val="bottom"/>
          </w:tcPr>
          <w:p>
            <w:pPr>
              <w:jc w:val="center"/>
              <w:ind w:left="53"/>
              <w:spacing w:after="0"/>
              <w:rPr>
                <w:sz w:val="20"/>
                <w:szCs w:val="20"/>
                <w:color w:val="auto"/>
              </w:rPr>
            </w:pPr>
            <w:r>
              <w:rPr>
                <w:rFonts w:ascii="Arial" w:cs="Arial" w:eastAsia="Arial" w:hAnsi="Arial"/>
                <w:sz w:val="13"/>
                <w:szCs w:val="13"/>
                <w:b w:val="1"/>
                <w:bCs w:val="1"/>
                <w:color w:val="8F5A39"/>
                <w:w w:val="99"/>
              </w:rPr>
              <w:t>Other NEOs</w:t>
            </w:r>
            <w:r>
              <w:rPr>
                <w:rFonts w:ascii="Arial" w:cs="Arial" w:eastAsia="Arial" w:hAnsi="Arial"/>
                <w:sz w:val="17"/>
                <w:szCs w:val="17"/>
                <w:b w:val="1"/>
                <w:bCs w:val="1"/>
                <w:color w:val="8F5A39"/>
                <w:w w:val="99"/>
                <w:vertAlign w:val="superscript"/>
              </w:rPr>
              <w:t>1</w:t>
            </w:r>
          </w:p>
        </w:tc>
        <w:tc>
          <w:tcPr>
            <w:tcW w:w="160" w:type="dxa"/>
            <w:vAlign w:val="bottom"/>
            <w:tcBorders>
              <w:right w:val="single" w:sz="8" w:color="8F5A39"/>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140" w:type="dxa"/>
            <w:vAlign w:val="bottom"/>
            <w:tcBorders>
              <w:left w:val="single" w:sz="8" w:color="8F5A39"/>
            </w:tcBorders>
          </w:tcPr>
          <w:p>
            <w:pPr>
              <w:spacing w:after="0"/>
              <w:rPr>
                <w:sz w:val="2"/>
                <w:szCs w:val="2"/>
                <w:color w:val="auto"/>
              </w:rPr>
            </w:pPr>
          </w:p>
        </w:tc>
        <w:tc>
          <w:tcPr>
            <w:tcW w:w="1520" w:type="dxa"/>
            <w:vAlign w:val="bottom"/>
          </w:tcPr>
          <w:p>
            <w:pPr>
              <w:spacing w:after="0"/>
              <w:rPr>
                <w:sz w:val="2"/>
                <w:szCs w:val="2"/>
                <w:color w:val="auto"/>
              </w:rPr>
            </w:pPr>
          </w:p>
        </w:tc>
        <w:tc>
          <w:tcPr>
            <w:tcW w:w="3680" w:type="dxa"/>
            <w:vAlign w:val="bottom"/>
            <w:gridSpan w:val="2"/>
          </w:tcPr>
          <w:p>
            <w:pPr>
              <w:spacing w:after="0"/>
              <w:rPr>
                <w:sz w:val="2"/>
                <w:szCs w:val="2"/>
                <w:color w:val="auto"/>
              </w:rPr>
            </w:pPr>
          </w:p>
        </w:tc>
        <w:tc>
          <w:tcPr>
            <w:tcW w:w="160" w:type="dxa"/>
            <w:vAlign w:val="bottom"/>
            <w:tcBorders>
              <w:right w:val="single" w:sz="8" w:color="8F5A39"/>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40" w:type="dxa"/>
            <w:vAlign w:val="bottom"/>
            <w:tcBorders>
              <w:left w:val="single" w:sz="8" w:color="8F5A39"/>
            </w:tcBorders>
          </w:tcPr>
          <w:p>
            <w:pPr>
              <w:spacing w:after="0"/>
              <w:rPr>
                <w:sz w:val="17"/>
                <w:szCs w:val="17"/>
                <w:color w:val="auto"/>
              </w:rPr>
            </w:pPr>
          </w:p>
        </w:tc>
        <w:tc>
          <w:tcPr>
            <w:tcW w:w="1520" w:type="dxa"/>
            <w:vAlign w:val="bottom"/>
            <w:vMerge w:val="restart"/>
            <w:shd w:val="clear" w:color="auto" w:fill="4A876E"/>
          </w:tcPr>
          <w:p>
            <w:pPr>
              <w:ind w:left="80"/>
              <w:spacing w:after="0"/>
              <w:rPr>
                <w:sz w:val="20"/>
                <w:szCs w:val="20"/>
                <w:color w:val="auto"/>
              </w:rPr>
            </w:pPr>
            <w:r>
              <w:rPr>
                <w:rFonts w:ascii="Arial" w:cs="Arial" w:eastAsia="Arial" w:hAnsi="Arial"/>
                <w:sz w:val="13"/>
                <w:szCs w:val="13"/>
                <w:b w:val="1"/>
                <w:bCs w:val="1"/>
                <w:color w:val="FFFFFF"/>
              </w:rPr>
              <w:t>Salary</w:t>
            </w:r>
          </w:p>
        </w:tc>
        <w:tc>
          <w:tcPr>
            <w:tcW w:w="3680" w:type="dxa"/>
            <w:vAlign w:val="bottom"/>
            <w:gridSpan w:val="2"/>
            <w:shd w:val="clear" w:color="auto" w:fill="4A876E"/>
          </w:tcPr>
          <w:p>
            <w:pPr>
              <w:jc w:val="center"/>
              <w:spacing w:after="0"/>
              <w:rPr>
                <w:sz w:val="20"/>
                <w:szCs w:val="20"/>
                <w:color w:val="auto"/>
              </w:rPr>
            </w:pPr>
            <w:r>
              <w:rPr>
                <w:rFonts w:ascii="Arial" w:cs="Arial" w:eastAsia="Arial" w:hAnsi="Arial"/>
                <w:sz w:val="13"/>
                <w:szCs w:val="13"/>
                <w:color w:val="FFFFFF"/>
              </w:rPr>
              <w:t>Fixed Component of Total Pay</w:t>
            </w:r>
          </w:p>
        </w:tc>
        <w:tc>
          <w:tcPr>
            <w:tcW w:w="160" w:type="dxa"/>
            <w:vAlign w:val="bottom"/>
            <w:tcBorders>
              <w:right w:val="single" w:sz="8" w:color="8F5A39"/>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40" w:type="dxa"/>
            <w:vAlign w:val="bottom"/>
            <w:tcBorders>
              <w:left w:val="single" w:sz="8" w:color="8F5A39"/>
            </w:tcBorders>
          </w:tcPr>
          <w:p>
            <w:pPr>
              <w:spacing w:after="0"/>
              <w:rPr>
                <w:sz w:val="6"/>
                <w:szCs w:val="6"/>
                <w:color w:val="auto"/>
              </w:rPr>
            </w:pPr>
          </w:p>
        </w:tc>
        <w:tc>
          <w:tcPr>
            <w:tcW w:w="1520" w:type="dxa"/>
            <w:vAlign w:val="bottom"/>
            <w:vMerge w:val="continue"/>
            <w:shd w:val="clear" w:color="auto" w:fill="4A876E"/>
          </w:tcPr>
          <w:p>
            <w:pPr>
              <w:spacing w:after="0"/>
              <w:rPr>
                <w:sz w:val="6"/>
                <w:szCs w:val="6"/>
                <w:color w:val="auto"/>
              </w:rPr>
            </w:pPr>
          </w:p>
        </w:tc>
        <w:tc>
          <w:tcPr>
            <w:tcW w:w="1720" w:type="dxa"/>
            <w:vAlign w:val="bottom"/>
            <w:shd w:val="clear" w:color="auto" w:fill="4A876E"/>
          </w:tcPr>
          <w:p>
            <w:pPr>
              <w:spacing w:after="0"/>
              <w:rPr>
                <w:sz w:val="6"/>
                <w:szCs w:val="6"/>
                <w:color w:val="auto"/>
              </w:rPr>
            </w:pPr>
          </w:p>
        </w:tc>
        <w:tc>
          <w:tcPr>
            <w:tcW w:w="1960" w:type="dxa"/>
            <w:vAlign w:val="bottom"/>
            <w:shd w:val="clear" w:color="auto" w:fill="4A876E"/>
          </w:tcPr>
          <w:p>
            <w:pPr>
              <w:spacing w:after="0"/>
              <w:rPr>
                <w:sz w:val="6"/>
                <w:szCs w:val="6"/>
                <w:color w:val="auto"/>
              </w:rPr>
            </w:pPr>
          </w:p>
        </w:tc>
        <w:tc>
          <w:tcPr>
            <w:tcW w:w="160" w:type="dxa"/>
            <w:vAlign w:val="bottom"/>
            <w:tcBorders>
              <w:right w:val="single" w:sz="8" w:color="8F5A39"/>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40" w:type="dxa"/>
            <w:vAlign w:val="bottom"/>
            <w:tcBorders>
              <w:left w:val="single" w:sz="8" w:color="8F5A39"/>
            </w:tcBorders>
          </w:tcPr>
          <w:p>
            <w:pPr>
              <w:spacing w:after="0"/>
              <w:rPr>
                <w:sz w:val="13"/>
                <w:szCs w:val="13"/>
                <w:color w:val="auto"/>
              </w:rPr>
            </w:pPr>
          </w:p>
        </w:tc>
        <w:tc>
          <w:tcPr>
            <w:tcW w:w="1520" w:type="dxa"/>
            <w:vAlign w:val="bottom"/>
            <w:shd w:val="clear" w:color="auto" w:fill="4A876E"/>
          </w:tcPr>
          <w:p>
            <w:pPr>
              <w:spacing w:after="0"/>
              <w:rPr>
                <w:sz w:val="13"/>
                <w:szCs w:val="13"/>
                <w:color w:val="auto"/>
              </w:rPr>
            </w:pPr>
          </w:p>
        </w:tc>
        <w:tc>
          <w:tcPr>
            <w:tcW w:w="1720" w:type="dxa"/>
            <w:vAlign w:val="bottom"/>
            <w:shd w:val="clear" w:color="auto" w:fill="4A876E"/>
          </w:tcPr>
          <w:p>
            <w:pPr>
              <w:spacing w:after="0"/>
              <w:rPr>
                <w:sz w:val="13"/>
                <w:szCs w:val="13"/>
                <w:color w:val="auto"/>
              </w:rPr>
            </w:pPr>
          </w:p>
        </w:tc>
        <w:tc>
          <w:tcPr>
            <w:tcW w:w="1960" w:type="dxa"/>
            <w:vAlign w:val="bottom"/>
            <w:shd w:val="clear" w:color="auto" w:fill="4A876E"/>
          </w:tcPr>
          <w:p>
            <w:pPr>
              <w:spacing w:after="0"/>
              <w:rPr>
                <w:sz w:val="13"/>
                <w:szCs w:val="13"/>
                <w:color w:val="auto"/>
              </w:rPr>
            </w:pPr>
          </w:p>
        </w:tc>
        <w:tc>
          <w:tcPr>
            <w:tcW w:w="160" w:type="dxa"/>
            <w:vAlign w:val="bottom"/>
            <w:tcBorders>
              <w:right w:val="single" w:sz="8" w:color="8F5A39"/>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8F5A39"/>
            </w:tcBorders>
          </w:tcPr>
          <w:p>
            <w:pPr>
              <w:spacing w:after="0"/>
              <w:rPr>
                <w:sz w:val="4"/>
                <w:szCs w:val="4"/>
                <w:color w:val="auto"/>
              </w:rPr>
            </w:pPr>
          </w:p>
        </w:tc>
        <w:tc>
          <w:tcPr>
            <w:tcW w:w="15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60" w:type="dxa"/>
            <w:vAlign w:val="bottom"/>
            <w:tcBorders>
              <w:right w:val="single" w:sz="8" w:color="8F5A39"/>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40" w:type="dxa"/>
            <w:vAlign w:val="bottom"/>
            <w:tcBorders>
              <w:left w:val="single" w:sz="8" w:color="8F5A39"/>
            </w:tcBorders>
          </w:tcPr>
          <w:p>
            <w:pPr>
              <w:spacing w:after="0"/>
              <w:rPr>
                <w:sz w:val="17"/>
                <w:szCs w:val="17"/>
                <w:color w:val="auto"/>
              </w:rPr>
            </w:pPr>
          </w:p>
        </w:tc>
        <w:tc>
          <w:tcPr>
            <w:tcW w:w="1520" w:type="dxa"/>
            <w:vAlign w:val="bottom"/>
            <w:shd w:val="clear" w:color="auto" w:fill="A6A6A6"/>
          </w:tcPr>
          <w:p>
            <w:pPr>
              <w:ind w:left="80"/>
              <w:spacing w:after="0"/>
              <w:rPr>
                <w:sz w:val="20"/>
                <w:szCs w:val="20"/>
                <w:color w:val="auto"/>
              </w:rPr>
            </w:pPr>
            <w:r>
              <w:rPr>
                <w:rFonts w:ascii="Arial" w:cs="Arial" w:eastAsia="Arial" w:hAnsi="Arial"/>
                <w:sz w:val="13"/>
                <w:szCs w:val="13"/>
                <w:b w:val="1"/>
                <w:bCs w:val="1"/>
                <w:color w:val="auto"/>
              </w:rPr>
              <w:t>Cash Award</w:t>
            </w:r>
          </w:p>
        </w:tc>
        <w:tc>
          <w:tcPr>
            <w:tcW w:w="1720" w:type="dxa"/>
            <w:vAlign w:val="bottom"/>
            <w:shd w:val="clear" w:color="auto" w:fill="A6A6A6"/>
          </w:tcPr>
          <w:p>
            <w:pPr>
              <w:jc w:val="center"/>
              <w:ind w:left="73"/>
              <w:spacing w:after="0"/>
              <w:rPr>
                <w:sz w:val="20"/>
                <w:szCs w:val="20"/>
                <w:color w:val="auto"/>
              </w:rPr>
            </w:pPr>
            <w:r>
              <w:rPr>
                <w:rFonts w:ascii="Arial" w:cs="Arial" w:eastAsia="Arial" w:hAnsi="Arial"/>
                <w:sz w:val="13"/>
                <w:szCs w:val="13"/>
                <w:color w:val="auto"/>
                <w:w w:val="99"/>
              </w:rPr>
              <w:t>12%</w:t>
            </w:r>
          </w:p>
        </w:tc>
        <w:tc>
          <w:tcPr>
            <w:tcW w:w="1960" w:type="dxa"/>
            <w:vAlign w:val="bottom"/>
            <w:shd w:val="clear" w:color="auto" w:fill="A6A6A6"/>
          </w:tcPr>
          <w:p>
            <w:pPr>
              <w:jc w:val="center"/>
              <w:ind w:left="53"/>
              <w:spacing w:after="0"/>
              <w:rPr>
                <w:sz w:val="20"/>
                <w:szCs w:val="20"/>
                <w:color w:val="auto"/>
              </w:rPr>
            </w:pPr>
            <w:r>
              <w:rPr>
                <w:rFonts w:ascii="Arial" w:cs="Arial" w:eastAsia="Arial" w:hAnsi="Arial"/>
                <w:sz w:val="13"/>
                <w:szCs w:val="13"/>
                <w:color w:val="auto"/>
              </w:rPr>
              <w:t>40%</w:t>
            </w:r>
          </w:p>
        </w:tc>
        <w:tc>
          <w:tcPr>
            <w:tcW w:w="160" w:type="dxa"/>
            <w:vAlign w:val="bottom"/>
            <w:tcBorders>
              <w:right w:val="single" w:sz="8" w:color="8F5A39"/>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40" w:type="dxa"/>
            <w:vAlign w:val="bottom"/>
            <w:tcBorders>
              <w:left w:val="single" w:sz="8" w:color="8F5A39"/>
            </w:tcBorders>
          </w:tcPr>
          <w:p>
            <w:pPr>
              <w:spacing w:after="0"/>
              <w:rPr>
                <w:sz w:val="6"/>
                <w:szCs w:val="6"/>
                <w:color w:val="auto"/>
              </w:rPr>
            </w:pPr>
          </w:p>
        </w:tc>
        <w:tc>
          <w:tcPr>
            <w:tcW w:w="1520" w:type="dxa"/>
            <w:vAlign w:val="bottom"/>
            <w:shd w:val="clear" w:color="auto" w:fill="A6A6A6"/>
          </w:tcPr>
          <w:p>
            <w:pPr>
              <w:spacing w:after="0"/>
              <w:rPr>
                <w:sz w:val="6"/>
                <w:szCs w:val="6"/>
                <w:color w:val="auto"/>
              </w:rPr>
            </w:pPr>
          </w:p>
        </w:tc>
        <w:tc>
          <w:tcPr>
            <w:tcW w:w="1720" w:type="dxa"/>
            <w:vAlign w:val="bottom"/>
            <w:shd w:val="clear" w:color="auto" w:fill="A6A6A6"/>
          </w:tcPr>
          <w:p>
            <w:pPr>
              <w:spacing w:after="0"/>
              <w:rPr>
                <w:sz w:val="6"/>
                <w:szCs w:val="6"/>
                <w:color w:val="auto"/>
              </w:rPr>
            </w:pPr>
          </w:p>
        </w:tc>
        <w:tc>
          <w:tcPr>
            <w:tcW w:w="1960" w:type="dxa"/>
            <w:vAlign w:val="bottom"/>
            <w:shd w:val="clear" w:color="auto" w:fill="A6A6A6"/>
          </w:tcPr>
          <w:p>
            <w:pPr>
              <w:spacing w:after="0"/>
              <w:rPr>
                <w:sz w:val="6"/>
                <w:szCs w:val="6"/>
                <w:color w:val="auto"/>
              </w:rPr>
            </w:pPr>
          </w:p>
        </w:tc>
        <w:tc>
          <w:tcPr>
            <w:tcW w:w="160" w:type="dxa"/>
            <w:vAlign w:val="bottom"/>
            <w:tcBorders>
              <w:right w:val="single" w:sz="8" w:color="8F5A39"/>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8F5A39"/>
            </w:tcBorders>
          </w:tcPr>
          <w:p>
            <w:pPr>
              <w:spacing w:after="0"/>
              <w:rPr>
                <w:sz w:val="4"/>
                <w:szCs w:val="4"/>
                <w:color w:val="auto"/>
              </w:rPr>
            </w:pPr>
          </w:p>
        </w:tc>
        <w:tc>
          <w:tcPr>
            <w:tcW w:w="15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60" w:type="dxa"/>
            <w:vAlign w:val="bottom"/>
            <w:tcBorders>
              <w:right w:val="single" w:sz="8" w:color="8F5A39"/>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40" w:type="dxa"/>
            <w:vAlign w:val="bottom"/>
            <w:tcBorders>
              <w:left w:val="single" w:sz="8" w:color="8F5A39"/>
            </w:tcBorders>
          </w:tcPr>
          <w:p>
            <w:pPr>
              <w:spacing w:after="0"/>
              <w:rPr>
                <w:sz w:val="17"/>
                <w:szCs w:val="17"/>
                <w:color w:val="auto"/>
              </w:rPr>
            </w:pPr>
          </w:p>
        </w:tc>
        <w:tc>
          <w:tcPr>
            <w:tcW w:w="1520" w:type="dxa"/>
            <w:vAlign w:val="bottom"/>
            <w:shd w:val="clear" w:color="auto" w:fill="4A879E"/>
          </w:tcPr>
          <w:p>
            <w:pPr>
              <w:ind w:left="80"/>
              <w:spacing w:after="0"/>
              <w:rPr>
                <w:sz w:val="20"/>
                <w:szCs w:val="20"/>
                <w:color w:val="auto"/>
              </w:rPr>
            </w:pPr>
            <w:r>
              <w:rPr>
                <w:rFonts w:ascii="Arial" w:cs="Arial" w:eastAsia="Arial" w:hAnsi="Arial"/>
                <w:sz w:val="13"/>
                <w:szCs w:val="13"/>
                <w:b w:val="1"/>
                <w:bCs w:val="1"/>
                <w:color w:val="FFFFFF"/>
              </w:rPr>
              <w:t>RSUs</w:t>
            </w:r>
          </w:p>
        </w:tc>
        <w:tc>
          <w:tcPr>
            <w:tcW w:w="1720" w:type="dxa"/>
            <w:vAlign w:val="bottom"/>
            <w:shd w:val="clear" w:color="auto" w:fill="4A879E"/>
          </w:tcPr>
          <w:p>
            <w:pPr>
              <w:jc w:val="center"/>
              <w:ind w:left="53"/>
              <w:spacing w:after="0"/>
              <w:rPr>
                <w:sz w:val="20"/>
                <w:szCs w:val="20"/>
                <w:color w:val="auto"/>
              </w:rPr>
            </w:pPr>
            <w:r>
              <w:rPr>
                <w:rFonts w:ascii="Arial" w:cs="Arial" w:eastAsia="Arial" w:hAnsi="Arial"/>
                <w:sz w:val="13"/>
                <w:szCs w:val="13"/>
                <w:color w:val="FFFFFF"/>
              </w:rPr>
              <w:t>0%</w:t>
            </w:r>
          </w:p>
        </w:tc>
        <w:tc>
          <w:tcPr>
            <w:tcW w:w="1960" w:type="dxa"/>
            <w:vAlign w:val="bottom"/>
            <w:shd w:val="clear" w:color="auto" w:fill="4A879E"/>
          </w:tcPr>
          <w:p>
            <w:pPr>
              <w:jc w:val="center"/>
              <w:ind w:left="53"/>
              <w:spacing w:after="0"/>
              <w:rPr>
                <w:sz w:val="20"/>
                <w:szCs w:val="20"/>
                <w:color w:val="auto"/>
              </w:rPr>
            </w:pPr>
            <w:r>
              <w:rPr>
                <w:rFonts w:ascii="Arial" w:cs="Arial" w:eastAsia="Arial" w:hAnsi="Arial"/>
                <w:sz w:val="13"/>
                <w:szCs w:val="13"/>
                <w:color w:val="FFFFFF"/>
              </w:rPr>
              <w:t>30%</w:t>
            </w:r>
          </w:p>
        </w:tc>
        <w:tc>
          <w:tcPr>
            <w:tcW w:w="160" w:type="dxa"/>
            <w:vAlign w:val="bottom"/>
            <w:tcBorders>
              <w:right w:val="single" w:sz="8" w:color="8F5A39"/>
            </w:tcBorders>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140" w:type="dxa"/>
            <w:vAlign w:val="bottom"/>
            <w:tcBorders>
              <w:left w:val="single" w:sz="8" w:color="8F5A39"/>
            </w:tcBorders>
          </w:tcPr>
          <w:p>
            <w:pPr>
              <w:spacing w:after="0"/>
              <w:rPr>
                <w:sz w:val="6"/>
                <w:szCs w:val="6"/>
                <w:color w:val="auto"/>
              </w:rPr>
            </w:pPr>
          </w:p>
        </w:tc>
        <w:tc>
          <w:tcPr>
            <w:tcW w:w="1520" w:type="dxa"/>
            <w:vAlign w:val="bottom"/>
            <w:shd w:val="clear" w:color="auto" w:fill="4A879E"/>
          </w:tcPr>
          <w:p>
            <w:pPr>
              <w:spacing w:after="0"/>
              <w:rPr>
                <w:sz w:val="6"/>
                <w:szCs w:val="6"/>
                <w:color w:val="auto"/>
              </w:rPr>
            </w:pPr>
          </w:p>
        </w:tc>
        <w:tc>
          <w:tcPr>
            <w:tcW w:w="1720" w:type="dxa"/>
            <w:vAlign w:val="bottom"/>
            <w:shd w:val="clear" w:color="auto" w:fill="4A879E"/>
          </w:tcPr>
          <w:p>
            <w:pPr>
              <w:spacing w:after="0"/>
              <w:rPr>
                <w:sz w:val="6"/>
                <w:szCs w:val="6"/>
                <w:color w:val="auto"/>
              </w:rPr>
            </w:pPr>
          </w:p>
        </w:tc>
        <w:tc>
          <w:tcPr>
            <w:tcW w:w="1960" w:type="dxa"/>
            <w:vAlign w:val="bottom"/>
            <w:shd w:val="clear" w:color="auto" w:fill="4A879E"/>
          </w:tcPr>
          <w:p>
            <w:pPr>
              <w:spacing w:after="0"/>
              <w:rPr>
                <w:sz w:val="6"/>
                <w:szCs w:val="6"/>
                <w:color w:val="auto"/>
              </w:rPr>
            </w:pPr>
          </w:p>
        </w:tc>
        <w:tc>
          <w:tcPr>
            <w:tcW w:w="160" w:type="dxa"/>
            <w:vAlign w:val="bottom"/>
            <w:tcBorders>
              <w:right w:val="single" w:sz="8" w:color="8F5A39"/>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8F5A39"/>
            </w:tcBorders>
          </w:tcPr>
          <w:p>
            <w:pPr>
              <w:spacing w:after="0"/>
              <w:rPr>
                <w:sz w:val="4"/>
                <w:szCs w:val="4"/>
                <w:color w:val="auto"/>
              </w:rPr>
            </w:pPr>
          </w:p>
        </w:tc>
        <w:tc>
          <w:tcPr>
            <w:tcW w:w="15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60" w:type="dxa"/>
            <w:vAlign w:val="bottom"/>
            <w:tcBorders>
              <w:right w:val="single" w:sz="8" w:color="8F5A39"/>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40" w:type="dxa"/>
            <w:vAlign w:val="bottom"/>
            <w:tcBorders>
              <w:left w:val="single" w:sz="8" w:color="8F5A39"/>
            </w:tcBorders>
          </w:tcPr>
          <w:p>
            <w:pPr>
              <w:spacing w:after="0"/>
              <w:rPr>
                <w:sz w:val="17"/>
                <w:szCs w:val="17"/>
                <w:color w:val="auto"/>
              </w:rPr>
            </w:pPr>
          </w:p>
        </w:tc>
        <w:tc>
          <w:tcPr>
            <w:tcW w:w="1520" w:type="dxa"/>
            <w:vAlign w:val="bottom"/>
            <w:shd w:val="clear" w:color="auto" w:fill="173359"/>
          </w:tcPr>
          <w:p>
            <w:pPr>
              <w:ind w:left="80"/>
              <w:spacing w:after="0"/>
              <w:rPr>
                <w:sz w:val="20"/>
                <w:szCs w:val="20"/>
                <w:color w:val="auto"/>
              </w:rPr>
            </w:pPr>
            <w:r>
              <w:rPr>
                <w:rFonts w:ascii="Arial" w:cs="Arial" w:eastAsia="Arial" w:hAnsi="Arial"/>
                <w:sz w:val="13"/>
                <w:szCs w:val="13"/>
                <w:b w:val="1"/>
                <w:bCs w:val="1"/>
                <w:color w:val="FFFFFF"/>
              </w:rPr>
              <w:t>PSUs at-risk</w:t>
            </w:r>
          </w:p>
        </w:tc>
        <w:tc>
          <w:tcPr>
            <w:tcW w:w="1720" w:type="dxa"/>
            <w:vAlign w:val="bottom"/>
            <w:shd w:val="clear" w:color="auto" w:fill="173359"/>
          </w:tcPr>
          <w:p>
            <w:pPr>
              <w:jc w:val="center"/>
              <w:ind w:left="73"/>
              <w:spacing w:after="0"/>
              <w:rPr>
                <w:sz w:val="20"/>
                <w:szCs w:val="20"/>
                <w:color w:val="auto"/>
              </w:rPr>
            </w:pPr>
            <w:r>
              <w:rPr>
                <w:rFonts w:ascii="Arial" w:cs="Arial" w:eastAsia="Arial" w:hAnsi="Arial"/>
                <w:sz w:val="13"/>
                <w:szCs w:val="13"/>
                <w:color w:val="FFFFFF"/>
                <w:w w:val="99"/>
              </w:rPr>
              <w:t>88%</w:t>
            </w:r>
          </w:p>
        </w:tc>
        <w:tc>
          <w:tcPr>
            <w:tcW w:w="1960" w:type="dxa"/>
            <w:vAlign w:val="bottom"/>
            <w:shd w:val="clear" w:color="auto" w:fill="173359"/>
          </w:tcPr>
          <w:p>
            <w:pPr>
              <w:jc w:val="center"/>
              <w:ind w:left="53"/>
              <w:spacing w:after="0"/>
              <w:rPr>
                <w:sz w:val="20"/>
                <w:szCs w:val="20"/>
                <w:color w:val="auto"/>
              </w:rPr>
            </w:pPr>
            <w:r>
              <w:rPr>
                <w:rFonts w:ascii="Arial" w:cs="Arial" w:eastAsia="Arial" w:hAnsi="Arial"/>
                <w:sz w:val="13"/>
                <w:szCs w:val="13"/>
                <w:color w:val="FFFFFF"/>
              </w:rPr>
              <w:t>30%</w:t>
            </w:r>
          </w:p>
        </w:tc>
        <w:tc>
          <w:tcPr>
            <w:tcW w:w="160" w:type="dxa"/>
            <w:vAlign w:val="bottom"/>
            <w:tcBorders>
              <w:right w:val="single" w:sz="8" w:color="8F5A39"/>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140" w:type="dxa"/>
            <w:vAlign w:val="bottom"/>
            <w:tcBorders>
              <w:left w:val="single" w:sz="8" w:color="8F5A39"/>
            </w:tcBorders>
          </w:tcPr>
          <w:p>
            <w:pPr>
              <w:spacing w:after="0"/>
              <w:rPr>
                <w:sz w:val="6"/>
                <w:szCs w:val="6"/>
                <w:color w:val="auto"/>
              </w:rPr>
            </w:pPr>
          </w:p>
        </w:tc>
        <w:tc>
          <w:tcPr>
            <w:tcW w:w="1520" w:type="dxa"/>
            <w:vAlign w:val="bottom"/>
            <w:shd w:val="clear" w:color="auto" w:fill="173359"/>
          </w:tcPr>
          <w:p>
            <w:pPr>
              <w:spacing w:after="0"/>
              <w:rPr>
                <w:sz w:val="6"/>
                <w:szCs w:val="6"/>
                <w:color w:val="auto"/>
              </w:rPr>
            </w:pPr>
          </w:p>
        </w:tc>
        <w:tc>
          <w:tcPr>
            <w:tcW w:w="1720" w:type="dxa"/>
            <w:vAlign w:val="bottom"/>
            <w:shd w:val="clear" w:color="auto" w:fill="173359"/>
          </w:tcPr>
          <w:p>
            <w:pPr>
              <w:spacing w:after="0"/>
              <w:rPr>
                <w:sz w:val="6"/>
                <w:szCs w:val="6"/>
                <w:color w:val="auto"/>
              </w:rPr>
            </w:pPr>
          </w:p>
        </w:tc>
        <w:tc>
          <w:tcPr>
            <w:tcW w:w="1960" w:type="dxa"/>
            <w:vAlign w:val="bottom"/>
            <w:shd w:val="clear" w:color="auto" w:fill="173359"/>
          </w:tcPr>
          <w:p>
            <w:pPr>
              <w:spacing w:after="0"/>
              <w:rPr>
                <w:sz w:val="6"/>
                <w:szCs w:val="6"/>
                <w:color w:val="auto"/>
              </w:rPr>
            </w:pPr>
          </w:p>
        </w:tc>
        <w:tc>
          <w:tcPr>
            <w:tcW w:w="160" w:type="dxa"/>
            <w:vAlign w:val="bottom"/>
            <w:tcBorders>
              <w:right w:val="single" w:sz="8" w:color="8F5A39"/>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8F5A39"/>
              <w:bottom w:val="single" w:sz="8" w:color="8F5A39"/>
            </w:tcBorders>
          </w:tcPr>
          <w:p>
            <w:pPr>
              <w:spacing w:after="0"/>
              <w:rPr>
                <w:sz w:val="4"/>
                <w:szCs w:val="4"/>
                <w:color w:val="auto"/>
              </w:rPr>
            </w:pPr>
          </w:p>
        </w:tc>
        <w:tc>
          <w:tcPr>
            <w:tcW w:w="1520" w:type="dxa"/>
            <w:vAlign w:val="bottom"/>
            <w:tcBorders>
              <w:bottom w:val="single" w:sz="8" w:color="8F5A39"/>
            </w:tcBorders>
          </w:tcPr>
          <w:p>
            <w:pPr>
              <w:spacing w:after="0"/>
              <w:rPr>
                <w:sz w:val="4"/>
                <w:szCs w:val="4"/>
                <w:color w:val="auto"/>
              </w:rPr>
            </w:pPr>
          </w:p>
        </w:tc>
        <w:tc>
          <w:tcPr>
            <w:tcW w:w="1720" w:type="dxa"/>
            <w:vAlign w:val="bottom"/>
            <w:tcBorders>
              <w:bottom w:val="single" w:sz="8" w:color="8F5A39"/>
            </w:tcBorders>
          </w:tcPr>
          <w:p>
            <w:pPr>
              <w:spacing w:after="0"/>
              <w:rPr>
                <w:sz w:val="4"/>
                <w:szCs w:val="4"/>
                <w:color w:val="auto"/>
              </w:rPr>
            </w:pPr>
          </w:p>
        </w:tc>
        <w:tc>
          <w:tcPr>
            <w:tcW w:w="1960" w:type="dxa"/>
            <w:vAlign w:val="bottom"/>
            <w:tcBorders>
              <w:bottom w:val="single" w:sz="8" w:color="8F5A39"/>
            </w:tcBorders>
          </w:tcPr>
          <w:p>
            <w:pPr>
              <w:spacing w:after="0"/>
              <w:rPr>
                <w:sz w:val="4"/>
                <w:szCs w:val="4"/>
                <w:color w:val="auto"/>
              </w:rPr>
            </w:pPr>
          </w:p>
        </w:tc>
        <w:tc>
          <w:tcPr>
            <w:tcW w:w="160" w:type="dxa"/>
            <w:vAlign w:val="bottom"/>
            <w:tcBorders>
              <w:bottom w:val="single" w:sz="8" w:color="8F5A39"/>
              <w:right w:val="single" w:sz="8" w:color="8F5A39"/>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-504825</wp:posOffset>
            </wp:positionV>
            <wp:extent cx="162560" cy="12255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62560" cy="1225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33"/>
        </w:trPr>
        <w:tc>
          <w:tcPr>
            <w:tcW w:w="120" w:type="dxa"/>
            <w:vAlign w:val="bottom"/>
          </w:tcPr>
          <w:p>
            <w:pPr>
              <w:spacing w:after="0"/>
              <w:rPr>
                <w:sz w:val="24"/>
                <w:szCs w:val="24"/>
                <w:color w:val="auto"/>
              </w:rPr>
            </w:pPr>
          </w:p>
        </w:tc>
        <w:tc>
          <w:tcPr>
            <w:tcW w:w="1020" w:type="dxa"/>
            <w:vAlign w:val="bottom"/>
            <w:shd w:val="clear" w:color="auto" w:fill="F4EFE7"/>
          </w:tcPr>
          <w:p>
            <w:pPr>
              <w:ind w:left="360"/>
              <w:spacing w:after="0"/>
              <w:rPr>
                <w:sz w:val="20"/>
                <w:szCs w:val="20"/>
                <w:color w:val="auto"/>
              </w:rPr>
            </w:pPr>
            <w:r>
              <w:rPr>
                <w:rFonts w:ascii="Arial" w:cs="Arial" w:eastAsia="Arial" w:hAnsi="Arial"/>
                <w:sz w:val="13"/>
                <w:szCs w:val="13"/>
                <w:b w:val="1"/>
                <w:bCs w:val="1"/>
                <w:color w:val="8F5A39"/>
              </w:rPr>
              <w:t>2025</w:t>
            </w:r>
          </w:p>
        </w:tc>
        <w:tc>
          <w:tcPr>
            <w:tcW w:w="120" w:type="dxa"/>
            <w:vAlign w:val="bottom"/>
          </w:tcPr>
          <w:p>
            <w:pPr>
              <w:spacing w:after="0"/>
              <w:rPr>
                <w:sz w:val="24"/>
                <w:szCs w:val="24"/>
                <w:color w:val="auto"/>
              </w:rPr>
            </w:pPr>
          </w:p>
        </w:tc>
        <w:tc>
          <w:tcPr>
            <w:tcW w:w="620" w:type="dxa"/>
            <w:vAlign w:val="bottom"/>
            <w:shd w:val="clear" w:color="auto" w:fill="F4EFE7"/>
          </w:tcPr>
          <w:p>
            <w:pPr>
              <w:jc w:val="right"/>
              <w:ind w:right="93"/>
              <w:spacing w:after="0"/>
              <w:rPr>
                <w:sz w:val="20"/>
                <w:szCs w:val="20"/>
                <w:color w:val="auto"/>
              </w:rPr>
            </w:pPr>
            <w:r>
              <w:rPr>
                <w:rFonts w:ascii="Arial" w:cs="Arial" w:eastAsia="Arial" w:hAnsi="Arial"/>
                <w:sz w:val="13"/>
                <w:szCs w:val="13"/>
                <w:b w:val="1"/>
                <w:bCs w:val="1"/>
                <w:color w:val="8F5A39"/>
              </w:rPr>
              <w:t>2026</w:t>
            </w:r>
          </w:p>
        </w:tc>
        <w:tc>
          <w:tcPr>
            <w:tcW w:w="120" w:type="dxa"/>
            <w:vAlign w:val="bottom"/>
          </w:tcPr>
          <w:p>
            <w:pPr>
              <w:spacing w:after="0"/>
              <w:rPr>
                <w:sz w:val="24"/>
                <w:szCs w:val="24"/>
                <w:color w:val="auto"/>
              </w:rPr>
            </w:pPr>
          </w:p>
        </w:tc>
        <w:tc>
          <w:tcPr>
            <w:tcW w:w="640" w:type="dxa"/>
            <w:vAlign w:val="bottom"/>
            <w:shd w:val="clear" w:color="auto" w:fill="F4EFE7"/>
          </w:tcPr>
          <w:p>
            <w:pPr>
              <w:jc w:val="right"/>
              <w:ind w:right="113"/>
              <w:spacing w:after="0"/>
              <w:rPr>
                <w:sz w:val="20"/>
                <w:szCs w:val="20"/>
                <w:color w:val="auto"/>
              </w:rPr>
            </w:pPr>
            <w:r>
              <w:rPr>
                <w:rFonts w:ascii="Arial" w:cs="Arial" w:eastAsia="Arial" w:hAnsi="Arial"/>
                <w:sz w:val="13"/>
                <w:szCs w:val="13"/>
                <w:b w:val="1"/>
                <w:bCs w:val="1"/>
                <w:color w:val="8F5A39"/>
              </w:rPr>
              <w:t>2027</w:t>
            </w:r>
          </w:p>
        </w:tc>
        <w:tc>
          <w:tcPr>
            <w:tcW w:w="140" w:type="dxa"/>
            <w:vAlign w:val="bottom"/>
          </w:tcPr>
          <w:p>
            <w:pPr>
              <w:spacing w:after="0"/>
              <w:rPr>
                <w:sz w:val="24"/>
                <w:szCs w:val="24"/>
                <w:color w:val="auto"/>
              </w:rPr>
            </w:pPr>
          </w:p>
        </w:tc>
        <w:tc>
          <w:tcPr>
            <w:tcW w:w="640" w:type="dxa"/>
            <w:vAlign w:val="bottom"/>
            <w:shd w:val="clear" w:color="auto" w:fill="F4EFE7"/>
          </w:tcPr>
          <w:p>
            <w:pPr>
              <w:jc w:val="right"/>
              <w:ind w:right="113"/>
              <w:spacing w:after="0"/>
              <w:rPr>
                <w:sz w:val="20"/>
                <w:szCs w:val="20"/>
                <w:color w:val="auto"/>
              </w:rPr>
            </w:pPr>
            <w:r>
              <w:rPr>
                <w:rFonts w:ascii="Arial" w:cs="Arial" w:eastAsia="Arial" w:hAnsi="Arial"/>
                <w:sz w:val="13"/>
                <w:szCs w:val="13"/>
                <w:b w:val="1"/>
                <w:bCs w:val="1"/>
                <w:color w:val="8F5A39"/>
              </w:rPr>
              <w:t>2028</w:t>
            </w:r>
          </w:p>
        </w:tc>
        <w:tc>
          <w:tcPr>
            <w:tcW w:w="120" w:type="dxa"/>
            <w:vAlign w:val="bottom"/>
          </w:tcPr>
          <w:p>
            <w:pPr>
              <w:spacing w:after="0"/>
              <w:rPr>
                <w:sz w:val="24"/>
                <w:szCs w:val="24"/>
                <w:color w:val="auto"/>
              </w:rPr>
            </w:pPr>
          </w:p>
        </w:tc>
        <w:tc>
          <w:tcPr>
            <w:tcW w:w="640" w:type="dxa"/>
            <w:vAlign w:val="bottom"/>
            <w:shd w:val="clear" w:color="auto" w:fill="F4EFE7"/>
          </w:tcPr>
          <w:p>
            <w:pPr>
              <w:jc w:val="right"/>
              <w:ind w:right="113"/>
              <w:spacing w:after="0"/>
              <w:rPr>
                <w:sz w:val="20"/>
                <w:szCs w:val="20"/>
                <w:color w:val="auto"/>
              </w:rPr>
            </w:pPr>
            <w:r>
              <w:rPr>
                <w:rFonts w:ascii="Arial" w:cs="Arial" w:eastAsia="Arial" w:hAnsi="Arial"/>
                <w:sz w:val="13"/>
                <w:szCs w:val="13"/>
                <w:b w:val="1"/>
                <w:bCs w:val="1"/>
                <w:color w:val="8F5A39"/>
              </w:rPr>
              <w:t>2029</w:t>
            </w:r>
          </w:p>
        </w:tc>
        <w:tc>
          <w:tcPr>
            <w:tcW w:w="140" w:type="dxa"/>
            <w:vAlign w:val="bottom"/>
          </w:tcPr>
          <w:p>
            <w:pPr>
              <w:spacing w:after="0"/>
              <w:rPr>
                <w:sz w:val="24"/>
                <w:szCs w:val="24"/>
                <w:color w:val="auto"/>
              </w:rPr>
            </w:pPr>
          </w:p>
        </w:tc>
        <w:tc>
          <w:tcPr>
            <w:tcW w:w="660" w:type="dxa"/>
            <w:vAlign w:val="bottom"/>
            <w:shd w:val="clear" w:color="auto" w:fill="F4EFE7"/>
          </w:tcPr>
          <w:p>
            <w:pPr>
              <w:jc w:val="right"/>
              <w:ind w:right="113"/>
              <w:spacing w:after="0"/>
              <w:rPr>
                <w:sz w:val="20"/>
                <w:szCs w:val="20"/>
                <w:color w:val="auto"/>
              </w:rPr>
            </w:pPr>
            <w:r>
              <w:rPr>
                <w:rFonts w:ascii="Arial" w:cs="Arial" w:eastAsia="Arial" w:hAnsi="Arial"/>
                <w:sz w:val="13"/>
                <w:szCs w:val="13"/>
                <w:b w:val="1"/>
                <w:bCs w:val="1"/>
                <w:color w:val="8F5A39"/>
              </w:rPr>
              <w:t>2030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1020" w:type="dxa"/>
            <w:vAlign w:val="bottom"/>
            <w:tcBorders>
              <w:bottom w:val="single" w:sz="8" w:color="232323"/>
            </w:tcBorders>
            <w:shd w:val="clear" w:color="auto" w:fill="F4EFE7"/>
          </w:tcPr>
          <w:p>
            <w:pPr>
              <w:spacing w:after="0"/>
              <w:rPr>
                <w:sz w:val="14"/>
                <w:szCs w:val="14"/>
                <w:color w:val="auto"/>
              </w:rPr>
            </w:pPr>
          </w:p>
        </w:tc>
        <w:tc>
          <w:tcPr>
            <w:tcW w:w="120" w:type="dxa"/>
            <w:vAlign w:val="bottom"/>
            <w:tcBorders>
              <w:bottom w:val="single" w:sz="8" w:color="232323"/>
            </w:tcBorders>
          </w:tcPr>
          <w:p>
            <w:pPr>
              <w:spacing w:after="0"/>
              <w:rPr>
                <w:sz w:val="14"/>
                <w:szCs w:val="14"/>
                <w:color w:val="auto"/>
              </w:rPr>
            </w:pPr>
          </w:p>
        </w:tc>
        <w:tc>
          <w:tcPr>
            <w:tcW w:w="620" w:type="dxa"/>
            <w:vAlign w:val="bottom"/>
            <w:tcBorders>
              <w:bottom w:val="single" w:sz="8" w:color="232323"/>
            </w:tcBorders>
            <w:shd w:val="clear" w:color="auto" w:fill="F4EFE7"/>
          </w:tcPr>
          <w:p>
            <w:pPr>
              <w:spacing w:after="0"/>
              <w:rPr>
                <w:sz w:val="14"/>
                <w:szCs w:val="14"/>
                <w:color w:val="auto"/>
              </w:rPr>
            </w:pPr>
          </w:p>
        </w:tc>
        <w:tc>
          <w:tcPr>
            <w:tcW w:w="120" w:type="dxa"/>
            <w:vAlign w:val="bottom"/>
            <w:tcBorders>
              <w:bottom w:val="single" w:sz="8" w:color="232323"/>
            </w:tcBorders>
          </w:tcPr>
          <w:p>
            <w:pPr>
              <w:spacing w:after="0"/>
              <w:rPr>
                <w:sz w:val="14"/>
                <w:szCs w:val="14"/>
                <w:color w:val="auto"/>
              </w:rPr>
            </w:pPr>
          </w:p>
        </w:tc>
        <w:tc>
          <w:tcPr>
            <w:tcW w:w="640" w:type="dxa"/>
            <w:vAlign w:val="bottom"/>
            <w:tcBorders>
              <w:bottom w:val="single" w:sz="8" w:color="232323"/>
            </w:tcBorders>
            <w:shd w:val="clear" w:color="auto" w:fill="F4EFE7"/>
          </w:tcPr>
          <w:p>
            <w:pPr>
              <w:spacing w:after="0"/>
              <w:rPr>
                <w:sz w:val="14"/>
                <w:szCs w:val="14"/>
                <w:color w:val="auto"/>
              </w:rPr>
            </w:pPr>
          </w:p>
        </w:tc>
        <w:tc>
          <w:tcPr>
            <w:tcW w:w="140" w:type="dxa"/>
            <w:vAlign w:val="bottom"/>
            <w:tcBorders>
              <w:bottom w:val="single" w:sz="8" w:color="232323"/>
            </w:tcBorders>
          </w:tcPr>
          <w:p>
            <w:pPr>
              <w:spacing w:after="0"/>
              <w:rPr>
                <w:sz w:val="14"/>
                <w:szCs w:val="14"/>
                <w:color w:val="auto"/>
              </w:rPr>
            </w:pPr>
          </w:p>
        </w:tc>
        <w:tc>
          <w:tcPr>
            <w:tcW w:w="640" w:type="dxa"/>
            <w:vAlign w:val="bottom"/>
            <w:tcBorders>
              <w:bottom w:val="single" w:sz="8" w:color="232323"/>
            </w:tcBorders>
            <w:shd w:val="clear" w:color="auto" w:fill="F4EFE7"/>
          </w:tcPr>
          <w:p>
            <w:pPr>
              <w:spacing w:after="0"/>
              <w:rPr>
                <w:sz w:val="14"/>
                <w:szCs w:val="14"/>
                <w:color w:val="auto"/>
              </w:rPr>
            </w:pPr>
          </w:p>
        </w:tc>
        <w:tc>
          <w:tcPr>
            <w:tcW w:w="120" w:type="dxa"/>
            <w:vAlign w:val="bottom"/>
            <w:tcBorders>
              <w:bottom w:val="single" w:sz="8" w:color="232323"/>
            </w:tcBorders>
          </w:tcPr>
          <w:p>
            <w:pPr>
              <w:spacing w:after="0"/>
              <w:rPr>
                <w:sz w:val="14"/>
                <w:szCs w:val="14"/>
                <w:color w:val="auto"/>
              </w:rPr>
            </w:pPr>
          </w:p>
        </w:tc>
        <w:tc>
          <w:tcPr>
            <w:tcW w:w="640" w:type="dxa"/>
            <w:vAlign w:val="bottom"/>
            <w:tcBorders>
              <w:bottom w:val="single" w:sz="8" w:color="232323"/>
            </w:tcBorders>
            <w:shd w:val="clear" w:color="auto" w:fill="F4EFE7"/>
          </w:tcPr>
          <w:p>
            <w:pPr>
              <w:spacing w:after="0"/>
              <w:rPr>
                <w:sz w:val="14"/>
                <w:szCs w:val="14"/>
                <w:color w:val="auto"/>
              </w:rPr>
            </w:pPr>
          </w:p>
        </w:tc>
        <w:tc>
          <w:tcPr>
            <w:tcW w:w="140" w:type="dxa"/>
            <w:vAlign w:val="bottom"/>
            <w:tcBorders>
              <w:bottom w:val="single" w:sz="8" w:color="232323"/>
            </w:tcBorders>
          </w:tcPr>
          <w:p>
            <w:pPr>
              <w:spacing w:after="0"/>
              <w:rPr>
                <w:sz w:val="14"/>
                <w:szCs w:val="14"/>
                <w:color w:val="auto"/>
              </w:rPr>
            </w:pPr>
          </w:p>
        </w:tc>
        <w:tc>
          <w:tcPr>
            <w:tcW w:w="660" w:type="dxa"/>
            <w:vAlign w:val="bottom"/>
            <w:tcBorders>
              <w:bottom w:val="single" w:sz="8" w:color="232323"/>
            </w:tcBorders>
            <w:shd w:val="clear" w:color="auto" w:fill="F4EFE7"/>
          </w:tcPr>
          <w:p>
            <w:pPr>
              <w:spacing w:after="0"/>
              <w:rPr>
                <w:sz w:val="14"/>
                <w:szCs w:val="14"/>
                <w:color w:val="auto"/>
              </w:rPr>
            </w:pPr>
          </w:p>
        </w:tc>
        <w:tc>
          <w:tcPr>
            <w:tcW w:w="180" w:type="dxa"/>
            <w:vAlign w:val="bottom"/>
            <w:tcBorders>
              <w:bottom w:val="single" w:sz="8" w:color="232323"/>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120" w:type="dxa"/>
            <w:vAlign w:val="bottom"/>
          </w:tcPr>
          <w:p>
            <w:pPr>
              <w:spacing w:after="0"/>
              <w:rPr>
                <w:sz w:val="23"/>
                <w:szCs w:val="23"/>
                <w:color w:val="auto"/>
              </w:rPr>
            </w:pPr>
          </w:p>
        </w:tc>
        <w:tc>
          <w:tcPr>
            <w:tcW w:w="1020" w:type="dxa"/>
            <w:vAlign w:val="bottom"/>
            <w:shd w:val="clear" w:color="auto" w:fill="4A876E"/>
          </w:tcPr>
          <w:p>
            <w:pPr>
              <w:ind w:left="80"/>
              <w:spacing w:after="0"/>
              <w:rPr>
                <w:sz w:val="20"/>
                <w:szCs w:val="20"/>
                <w:color w:val="auto"/>
              </w:rPr>
            </w:pPr>
            <w:r>
              <w:rPr>
                <w:rFonts w:ascii="Arial" w:cs="Arial" w:eastAsia="Arial" w:hAnsi="Arial"/>
                <w:sz w:val="13"/>
                <w:szCs w:val="13"/>
                <w:color w:val="FFFFFF"/>
              </w:rPr>
              <w:t>Salary</w:t>
            </w:r>
          </w:p>
        </w:tc>
        <w:tc>
          <w:tcPr>
            <w:tcW w:w="120" w:type="dxa"/>
            <w:vAlign w:val="bottom"/>
          </w:tcPr>
          <w:p>
            <w:pPr>
              <w:spacing w:after="0"/>
              <w:rPr>
                <w:sz w:val="23"/>
                <w:szCs w:val="23"/>
                <w:color w:val="auto"/>
              </w:rPr>
            </w:pPr>
          </w:p>
        </w:tc>
        <w:tc>
          <w:tcPr>
            <w:tcW w:w="620" w:type="dxa"/>
            <w:vAlign w:val="bottom"/>
            <w:shd w:val="clear" w:color="auto" w:fill="F4EFE7"/>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shd w:val="clear" w:color="auto" w:fill="F4EFE7"/>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shd w:val="clear" w:color="auto" w:fill="F4EFE7"/>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shd w:val="clear" w:color="auto" w:fill="F4EFE7"/>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shd w:val="clear" w:color="auto" w:fill="F4EFE7"/>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1020" w:type="dxa"/>
            <w:vAlign w:val="bottom"/>
            <w:shd w:val="clear" w:color="auto" w:fill="4A876E"/>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shd w:val="clear" w:color="auto" w:fill="F4EFE7"/>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shd w:val="clear" w:color="auto" w:fill="F4EFE7"/>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shd w:val="clear" w:color="auto" w:fill="F4EFE7"/>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shd w:val="clear" w:color="auto" w:fill="F4EFE7"/>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shd w:val="clear" w:color="auto" w:fill="F4EFE7"/>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20" w:type="dxa"/>
            <w:vAlign w:val="bottom"/>
            <w:tcBorders>
              <w:bottom w:val="single" w:sz="8" w:color="8F5A39"/>
            </w:tcBorders>
          </w:tcPr>
          <w:p>
            <w:pPr>
              <w:spacing w:after="0"/>
              <w:rPr>
                <w:sz w:val="15"/>
                <w:szCs w:val="15"/>
                <w:color w:val="auto"/>
              </w:rPr>
            </w:pPr>
          </w:p>
        </w:tc>
        <w:tc>
          <w:tcPr>
            <w:tcW w:w="1020" w:type="dxa"/>
            <w:vAlign w:val="bottom"/>
            <w:tcBorders>
              <w:bottom w:val="single" w:sz="8" w:color="8F5A39"/>
            </w:tcBorders>
          </w:tcPr>
          <w:p>
            <w:pPr>
              <w:spacing w:after="0"/>
              <w:rPr>
                <w:sz w:val="15"/>
                <w:szCs w:val="15"/>
                <w:color w:val="auto"/>
              </w:rPr>
            </w:pPr>
          </w:p>
        </w:tc>
        <w:tc>
          <w:tcPr>
            <w:tcW w:w="120" w:type="dxa"/>
            <w:vAlign w:val="bottom"/>
            <w:tcBorders>
              <w:bottom w:val="single" w:sz="8" w:color="8F5A39"/>
            </w:tcBorders>
          </w:tcPr>
          <w:p>
            <w:pPr>
              <w:spacing w:after="0"/>
              <w:rPr>
                <w:sz w:val="15"/>
                <w:szCs w:val="15"/>
                <w:color w:val="auto"/>
              </w:rPr>
            </w:pPr>
          </w:p>
        </w:tc>
        <w:tc>
          <w:tcPr>
            <w:tcW w:w="620" w:type="dxa"/>
            <w:vAlign w:val="bottom"/>
            <w:tcBorders>
              <w:bottom w:val="single" w:sz="8" w:color="8F5A39"/>
            </w:tcBorders>
          </w:tcPr>
          <w:p>
            <w:pPr>
              <w:spacing w:after="0"/>
              <w:rPr>
                <w:sz w:val="15"/>
                <w:szCs w:val="15"/>
                <w:color w:val="auto"/>
              </w:rPr>
            </w:pPr>
          </w:p>
        </w:tc>
        <w:tc>
          <w:tcPr>
            <w:tcW w:w="120" w:type="dxa"/>
            <w:vAlign w:val="bottom"/>
            <w:tcBorders>
              <w:bottom w:val="single" w:sz="8" w:color="8F5A39"/>
            </w:tcBorders>
          </w:tcPr>
          <w:p>
            <w:pPr>
              <w:spacing w:after="0"/>
              <w:rPr>
                <w:sz w:val="15"/>
                <w:szCs w:val="15"/>
                <w:color w:val="auto"/>
              </w:rPr>
            </w:pPr>
          </w:p>
        </w:tc>
        <w:tc>
          <w:tcPr>
            <w:tcW w:w="640" w:type="dxa"/>
            <w:vAlign w:val="bottom"/>
            <w:tcBorders>
              <w:bottom w:val="single" w:sz="8" w:color="8F5A39"/>
            </w:tcBorders>
          </w:tcPr>
          <w:p>
            <w:pPr>
              <w:spacing w:after="0"/>
              <w:rPr>
                <w:sz w:val="15"/>
                <w:szCs w:val="15"/>
                <w:color w:val="auto"/>
              </w:rPr>
            </w:pPr>
          </w:p>
        </w:tc>
        <w:tc>
          <w:tcPr>
            <w:tcW w:w="140" w:type="dxa"/>
            <w:vAlign w:val="bottom"/>
            <w:tcBorders>
              <w:bottom w:val="single" w:sz="8" w:color="8F5A39"/>
            </w:tcBorders>
          </w:tcPr>
          <w:p>
            <w:pPr>
              <w:spacing w:after="0"/>
              <w:rPr>
                <w:sz w:val="15"/>
                <w:szCs w:val="15"/>
                <w:color w:val="auto"/>
              </w:rPr>
            </w:pPr>
          </w:p>
        </w:tc>
        <w:tc>
          <w:tcPr>
            <w:tcW w:w="640" w:type="dxa"/>
            <w:vAlign w:val="bottom"/>
            <w:tcBorders>
              <w:bottom w:val="single" w:sz="8" w:color="8F5A39"/>
            </w:tcBorders>
          </w:tcPr>
          <w:p>
            <w:pPr>
              <w:spacing w:after="0"/>
              <w:rPr>
                <w:sz w:val="15"/>
                <w:szCs w:val="15"/>
                <w:color w:val="auto"/>
              </w:rPr>
            </w:pPr>
          </w:p>
        </w:tc>
        <w:tc>
          <w:tcPr>
            <w:tcW w:w="120" w:type="dxa"/>
            <w:vAlign w:val="bottom"/>
            <w:tcBorders>
              <w:bottom w:val="single" w:sz="8" w:color="8F5A39"/>
            </w:tcBorders>
          </w:tcPr>
          <w:p>
            <w:pPr>
              <w:spacing w:after="0"/>
              <w:rPr>
                <w:sz w:val="15"/>
                <w:szCs w:val="15"/>
                <w:color w:val="auto"/>
              </w:rPr>
            </w:pPr>
          </w:p>
        </w:tc>
        <w:tc>
          <w:tcPr>
            <w:tcW w:w="640" w:type="dxa"/>
            <w:vAlign w:val="bottom"/>
            <w:tcBorders>
              <w:bottom w:val="single" w:sz="8" w:color="8F5A39"/>
            </w:tcBorders>
          </w:tcPr>
          <w:p>
            <w:pPr>
              <w:spacing w:after="0"/>
              <w:rPr>
                <w:sz w:val="15"/>
                <w:szCs w:val="15"/>
                <w:color w:val="auto"/>
              </w:rPr>
            </w:pPr>
          </w:p>
        </w:tc>
        <w:tc>
          <w:tcPr>
            <w:tcW w:w="140" w:type="dxa"/>
            <w:vAlign w:val="bottom"/>
            <w:tcBorders>
              <w:bottom w:val="single" w:sz="8" w:color="8F5A39"/>
            </w:tcBorders>
          </w:tcPr>
          <w:p>
            <w:pPr>
              <w:spacing w:after="0"/>
              <w:rPr>
                <w:sz w:val="15"/>
                <w:szCs w:val="15"/>
                <w:color w:val="auto"/>
              </w:rPr>
            </w:pPr>
          </w:p>
        </w:tc>
        <w:tc>
          <w:tcPr>
            <w:tcW w:w="660" w:type="dxa"/>
            <w:vAlign w:val="bottom"/>
            <w:tcBorders>
              <w:bottom w:val="single" w:sz="8" w:color="8F5A39"/>
            </w:tcBorders>
          </w:tcPr>
          <w:p>
            <w:pPr>
              <w:spacing w:after="0"/>
              <w:rPr>
                <w:sz w:val="15"/>
                <w:szCs w:val="15"/>
                <w:color w:val="auto"/>
              </w:rPr>
            </w:pPr>
          </w:p>
        </w:tc>
        <w:tc>
          <w:tcPr>
            <w:tcW w:w="180" w:type="dxa"/>
            <w:vAlign w:val="bottom"/>
            <w:tcBorders>
              <w:bottom w:val="single" w:sz="8" w:color="8F5A39"/>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0" w:type="dxa"/>
            <w:vAlign w:val="bottom"/>
            <w:tcBorders>
              <w:left w:val="single" w:sz="8" w:color="8F5A39"/>
            </w:tcBorders>
          </w:tcPr>
          <w:p>
            <w:pPr>
              <w:spacing w:after="0"/>
              <w:rPr>
                <w:sz w:val="20"/>
                <w:szCs w:val="20"/>
                <w:color w:val="auto"/>
              </w:rPr>
            </w:pPr>
          </w:p>
        </w:tc>
        <w:tc>
          <w:tcPr>
            <w:tcW w:w="1020" w:type="dxa"/>
            <w:vAlign w:val="bottom"/>
            <w:shd w:val="clear" w:color="auto" w:fill="A6A6A6"/>
          </w:tcPr>
          <w:p>
            <w:pPr>
              <w:ind w:left="80"/>
              <w:spacing w:after="0"/>
              <w:rPr>
                <w:sz w:val="20"/>
                <w:szCs w:val="20"/>
                <w:color w:val="auto"/>
              </w:rPr>
            </w:pPr>
            <w:r>
              <w:rPr>
                <w:rFonts w:ascii="Arial" w:cs="Arial" w:eastAsia="Arial" w:hAnsi="Arial"/>
                <w:sz w:val="13"/>
                <w:szCs w:val="13"/>
                <w:b w:val="1"/>
                <w:bCs w:val="1"/>
                <w:color w:val="auto"/>
              </w:rPr>
              <w:t>Cash Award</w:t>
            </w:r>
          </w:p>
        </w:tc>
        <w:tc>
          <w:tcPr>
            <w:tcW w:w="120" w:type="dxa"/>
            <w:vAlign w:val="bottom"/>
          </w:tcPr>
          <w:p>
            <w:pPr>
              <w:spacing w:after="0"/>
              <w:rPr>
                <w:sz w:val="20"/>
                <w:szCs w:val="20"/>
                <w:color w:val="auto"/>
              </w:rPr>
            </w:pPr>
          </w:p>
        </w:tc>
        <w:tc>
          <w:tcPr>
            <w:tcW w:w="620" w:type="dxa"/>
            <w:vAlign w:val="bottom"/>
            <w:shd w:val="clear" w:color="auto" w:fill="F4EFE7"/>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shd w:val="clear" w:color="auto" w:fill="F4EFE7"/>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shd w:val="clear" w:color="auto" w:fill="F4EFE7"/>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shd w:val="clear" w:color="auto" w:fill="F4EFE7"/>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shd w:val="clear" w:color="auto" w:fill="F4EFE7"/>
          </w:tcPr>
          <w:p>
            <w:pPr>
              <w:spacing w:after="0"/>
              <w:rPr>
                <w:sz w:val="20"/>
                <w:szCs w:val="20"/>
                <w:color w:val="auto"/>
              </w:rPr>
            </w:pPr>
          </w:p>
        </w:tc>
        <w:tc>
          <w:tcPr>
            <w:tcW w:w="180" w:type="dxa"/>
            <w:vAlign w:val="bottom"/>
            <w:tcBorders>
              <w:right w:val="single" w:sz="8" w:color="8F5A39"/>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20" w:type="dxa"/>
            <w:vAlign w:val="bottom"/>
            <w:tcBorders>
              <w:left w:val="single" w:sz="8" w:color="8F5A39"/>
            </w:tcBorders>
          </w:tcPr>
          <w:p>
            <w:pPr>
              <w:spacing w:after="0"/>
              <w:rPr>
                <w:sz w:val="24"/>
                <w:szCs w:val="24"/>
                <w:color w:val="auto"/>
              </w:rPr>
            </w:pPr>
          </w:p>
        </w:tc>
        <w:tc>
          <w:tcPr>
            <w:tcW w:w="1020" w:type="dxa"/>
            <w:vAlign w:val="bottom"/>
            <w:shd w:val="clear" w:color="auto" w:fill="A6A6A6"/>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shd w:val="clear" w:color="auto" w:fill="F4EFE7"/>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shd w:val="clear" w:color="auto" w:fill="F4EFE7"/>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shd w:val="clear" w:color="auto" w:fill="F4EFE7"/>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shd w:val="clear" w:color="auto" w:fill="F4EFE7"/>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shd w:val="clear" w:color="auto" w:fill="F4EFE7"/>
          </w:tcPr>
          <w:p>
            <w:pPr>
              <w:spacing w:after="0"/>
              <w:rPr>
                <w:sz w:val="24"/>
                <w:szCs w:val="24"/>
                <w:color w:val="auto"/>
              </w:rPr>
            </w:pPr>
          </w:p>
        </w:tc>
        <w:tc>
          <w:tcPr>
            <w:tcW w:w="180" w:type="dxa"/>
            <w:vAlign w:val="bottom"/>
            <w:tcBorders>
              <w:right w:val="single" w:sz="8" w:color="8F5A39"/>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0" w:type="dxa"/>
            <w:vAlign w:val="bottom"/>
            <w:tcBorders>
              <w:left w:val="single" w:sz="8" w:color="8F5A39"/>
            </w:tcBorders>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shd w:val="clear" w:color="auto" w:fill="F4EFE7"/>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shd w:val="clear" w:color="auto" w:fill="F4EFE7"/>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shd w:val="clear" w:color="auto" w:fill="F4EFE7"/>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shd w:val="clear" w:color="auto" w:fill="F4EFE7"/>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shd w:val="clear" w:color="auto" w:fill="F4EFE7"/>
          </w:tcPr>
          <w:p>
            <w:pPr>
              <w:spacing w:after="0"/>
              <w:rPr>
                <w:sz w:val="5"/>
                <w:szCs w:val="5"/>
                <w:color w:val="auto"/>
              </w:rPr>
            </w:pPr>
          </w:p>
        </w:tc>
        <w:tc>
          <w:tcPr>
            <w:tcW w:w="180" w:type="dxa"/>
            <w:vAlign w:val="bottom"/>
            <w:tcBorders>
              <w:right w:val="single" w:sz="8" w:color="8F5A39"/>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20" w:type="dxa"/>
            <w:vAlign w:val="bottom"/>
            <w:tcBorders>
              <w:left w:val="single" w:sz="8" w:color="8F5A39"/>
            </w:tcBorders>
          </w:tcPr>
          <w:p>
            <w:pPr>
              <w:spacing w:after="0"/>
              <w:rPr>
                <w:sz w:val="13"/>
                <w:szCs w:val="13"/>
                <w:color w:val="auto"/>
              </w:rPr>
            </w:pPr>
          </w:p>
        </w:tc>
        <w:tc>
          <w:tcPr>
            <w:tcW w:w="1020" w:type="dxa"/>
            <w:vAlign w:val="bottom"/>
            <w:vMerge w:val="restart"/>
            <w:shd w:val="clear" w:color="auto" w:fill="4A879E"/>
          </w:tcPr>
          <w:p>
            <w:pPr>
              <w:ind w:left="80"/>
              <w:spacing w:after="0"/>
              <w:rPr>
                <w:sz w:val="20"/>
                <w:szCs w:val="20"/>
                <w:color w:val="auto"/>
              </w:rPr>
            </w:pPr>
            <w:r>
              <w:rPr>
                <w:rFonts w:ascii="Arial" w:cs="Arial" w:eastAsia="Arial" w:hAnsi="Arial"/>
                <w:sz w:val="13"/>
                <w:szCs w:val="13"/>
                <w:b w:val="1"/>
                <w:bCs w:val="1"/>
                <w:color w:val="FFFFFF"/>
              </w:rPr>
              <w:t>RSUs</w:t>
            </w:r>
          </w:p>
        </w:tc>
        <w:tc>
          <w:tcPr>
            <w:tcW w:w="120" w:type="dxa"/>
            <w:vAlign w:val="bottom"/>
          </w:tcPr>
          <w:p>
            <w:pPr>
              <w:spacing w:after="0"/>
              <w:rPr>
                <w:sz w:val="13"/>
                <w:szCs w:val="13"/>
                <w:color w:val="auto"/>
              </w:rPr>
            </w:pPr>
          </w:p>
        </w:tc>
        <w:tc>
          <w:tcPr>
            <w:tcW w:w="620" w:type="dxa"/>
            <w:vAlign w:val="bottom"/>
            <w:shd w:val="clear" w:color="auto" w:fill="F4EFE7"/>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shd w:val="clear" w:color="auto" w:fill="4A879E"/>
          </w:tcPr>
          <w:p>
            <w:pPr>
              <w:ind w:left="20"/>
              <w:spacing w:after="0"/>
              <w:rPr>
                <w:sz w:val="20"/>
                <w:szCs w:val="20"/>
                <w:color w:val="auto"/>
              </w:rPr>
            </w:pPr>
            <w:r>
              <w:rPr>
                <w:rFonts w:ascii="Arial" w:cs="Arial" w:eastAsia="Arial" w:hAnsi="Arial"/>
                <w:sz w:val="13"/>
                <w:szCs w:val="13"/>
                <w:b w:val="1"/>
                <w:bCs w:val="1"/>
                <w:color w:val="FFFFFF"/>
              </w:rPr>
              <w:t>50%</w:t>
            </w:r>
          </w:p>
        </w:tc>
        <w:tc>
          <w:tcPr>
            <w:tcW w:w="140" w:type="dxa"/>
            <w:vAlign w:val="bottom"/>
          </w:tcPr>
          <w:p>
            <w:pPr>
              <w:spacing w:after="0"/>
              <w:rPr>
                <w:sz w:val="13"/>
                <w:szCs w:val="13"/>
                <w:color w:val="auto"/>
              </w:rPr>
            </w:pPr>
          </w:p>
        </w:tc>
        <w:tc>
          <w:tcPr>
            <w:tcW w:w="640" w:type="dxa"/>
            <w:vAlign w:val="bottom"/>
            <w:shd w:val="clear" w:color="auto" w:fill="4A879E"/>
          </w:tcPr>
          <w:p>
            <w:pPr>
              <w:spacing w:after="0"/>
              <w:rPr>
                <w:sz w:val="20"/>
                <w:szCs w:val="20"/>
                <w:color w:val="auto"/>
              </w:rPr>
            </w:pPr>
            <w:r>
              <w:rPr>
                <w:rFonts w:ascii="Arial" w:cs="Arial" w:eastAsia="Arial" w:hAnsi="Arial"/>
                <w:sz w:val="13"/>
                <w:szCs w:val="13"/>
                <w:b w:val="1"/>
                <w:bCs w:val="1"/>
                <w:color w:val="FFFFFF"/>
              </w:rPr>
              <w:t>50%</w:t>
            </w:r>
          </w:p>
        </w:tc>
        <w:tc>
          <w:tcPr>
            <w:tcW w:w="120" w:type="dxa"/>
            <w:vAlign w:val="bottom"/>
          </w:tcPr>
          <w:p>
            <w:pPr>
              <w:spacing w:after="0"/>
              <w:rPr>
                <w:sz w:val="13"/>
                <w:szCs w:val="13"/>
                <w:color w:val="auto"/>
              </w:rPr>
            </w:pPr>
          </w:p>
        </w:tc>
        <w:tc>
          <w:tcPr>
            <w:tcW w:w="640" w:type="dxa"/>
            <w:vAlign w:val="bottom"/>
            <w:shd w:val="clear" w:color="auto" w:fill="F4EFE7"/>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shd w:val="clear" w:color="auto" w:fill="F4EFE7"/>
          </w:tcPr>
          <w:p>
            <w:pPr>
              <w:spacing w:after="0"/>
              <w:rPr>
                <w:sz w:val="13"/>
                <w:szCs w:val="13"/>
                <w:color w:val="auto"/>
              </w:rPr>
            </w:pPr>
          </w:p>
        </w:tc>
        <w:tc>
          <w:tcPr>
            <w:tcW w:w="180" w:type="dxa"/>
            <w:vAlign w:val="bottom"/>
            <w:tcBorders>
              <w:right w:val="single" w:sz="8" w:color="8F5A39"/>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20" w:type="dxa"/>
            <w:vAlign w:val="bottom"/>
            <w:tcBorders>
              <w:left w:val="single" w:sz="8" w:color="8F5A39"/>
            </w:tcBorders>
          </w:tcPr>
          <w:p>
            <w:pPr>
              <w:spacing w:after="0"/>
              <w:rPr>
                <w:sz w:val="9"/>
                <w:szCs w:val="9"/>
                <w:color w:val="auto"/>
              </w:rPr>
            </w:pPr>
          </w:p>
        </w:tc>
        <w:tc>
          <w:tcPr>
            <w:tcW w:w="1020" w:type="dxa"/>
            <w:vAlign w:val="bottom"/>
            <w:vMerge w:val="continue"/>
            <w:shd w:val="clear" w:color="auto" w:fill="4A879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shd w:val="clear" w:color="auto" w:fill="F4EFE7"/>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shd w:val="clear" w:color="auto" w:fill="4A879E"/>
          </w:tcPr>
          <w:p>
            <w:pPr>
              <w:ind w:left="20"/>
              <w:spacing w:after="0"/>
              <w:rPr>
                <w:sz w:val="20"/>
                <w:szCs w:val="20"/>
                <w:color w:val="auto"/>
              </w:rPr>
            </w:pPr>
            <w:r>
              <w:rPr>
                <w:rFonts w:ascii="Arial" w:cs="Arial" w:eastAsia="Arial" w:hAnsi="Arial"/>
                <w:sz w:val="13"/>
                <w:szCs w:val="13"/>
                <w:b w:val="1"/>
                <w:bCs w:val="1"/>
                <w:color w:val="FFFFFF"/>
              </w:rPr>
              <w:t>Payout</w:t>
            </w:r>
          </w:p>
        </w:tc>
        <w:tc>
          <w:tcPr>
            <w:tcW w:w="140" w:type="dxa"/>
            <w:vAlign w:val="bottom"/>
          </w:tcPr>
          <w:p>
            <w:pPr>
              <w:spacing w:after="0"/>
              <w:rPr>
                <w:sz w:val="9"/>
                <w:szCs w:val="9"/>
                <w:color w:val="auto"/>
              </w:rPr>
            </w:pPr>
          </w:p>
        </w:tc>
        <w:tc>
          <w:tcPr>
            <w:tcW w:w="640" w:type="dxa"/>
            <w:vAlign w:val="bottom"/>
            <w:vMerge w:val="restart"/>
            <w:shd w:val="clear" w:color="auto" w:fill="4A879E"/>
          </w:tcPr>
          <w:p>
            <w:pPr>
              <w:spacing w:after="0"/>
              <w:rPr>
                <w:sz w:val="20"/>
                <w:szCs w:val="20"/>
                <w:color w:val="auto"/>
              </w:rPr>
            </w:pPr>
            <w:r>
              <w:rPr>
                <w:rFonts w:ascii="Arial" w:cs="Arial" w:eastAsia="Arial" w:hAnsi="Arial"/>
                <w:sz w:val="13"/>
                <w:szCs w:val="13"/>
                <w:b w:val="1"/>
                <w:bCs w:val="1"/>
                <w:color w:val="FFFFFF"/>
              </w:rPr>
              <w:t>Payout</w:t>
            </w:r>
          </w:p>
        </w:tc>
        <w:tc>
          <w:tcPr>
            <w:tcW w:w="120" w:type="dxa"/>
            <w:vAlign w:val="bottom"/>
          </w:tcPr>
          <w:p>
            <w:pPr>
              <w:spacing w:after="0"/>
              <w:rPr>
                <w:sz w:val="9"/>
                <w:szCs w:val="9"/>
                <w:color w:val="auto"/>
              </w:rPr>
            </w:pPr>
          </w:p>
        </w:tc>
        <w:tc>
          <w:tcPr>
            <w:tcW w:w="640" w:type="dxa"/>
            <w:vAlign w:val="bottom"/>
            <w:shd w:val="clear" w:color="auto" w:fill="F4EFE7"/>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shd w:val="clear" w:color="auto" w:fill="F4EFE7"/>
          </w:tcPr>
          <w:p>
            <w:pPr>
              <w:spacing w:after="0"/>
              <w:rPr>
                <w:sz w:val="9"/>
                <w:szCs w:val="9"/>
                <w:color w:val="auto"/>
              </w:rPr>
            </w:pPr>
          </w:p>
        </w:tc>
        <w:tc>
          <w:tcPr>
            <w:tcW w:w="180" w:type="dxa"/>
            <w:vAlign w:val="bottom"/>
            <w:tcBorders>
              <w:right w:val="single" w:sz="8" w:color="8F5A39"/>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Borders>
              <w:left w:val="single" w:sz="8" w:color="8F5A39"/>
            </w:tcBorders>
          </w:tcPr>
          <w:p>
            <w:pPr>
              <w:spacing w:after="0"/>
              <w:rPr>
                <w:sz w:val="7"/>
                <w:szCs w:val="7"/>
                <w:color w:val="auto"/>
              </w:rPr>
            </w:pPr>
          </w:p>
        </w:tc>
        <w:tc>
          <w:tcPr>
            <w:tcW w:w="1020" w:type="dxa"/>
            <w:vAlign w:val="bottom"/>
            <w:shd w:val="clear" w:color="auto" w:fill="4A879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shd w:val="clear" w:color="auto" w:fill="F4EFE7"/>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shd w:val="clear" w:color="auto" w:fill="4A879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shd w:val="clear" w:color="auto" w:fill="4A879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shd w:val="clear" w:color="auto" w:fill="F4EFE7"/>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shd w:val="clear" w:color="auto" w:fill="F4EFE7"/>
          </w:tcPr>
          <w:p>
            <w:pPr>
              <w:spacing w:after="0"/>
              <w:rPr>
                <w:sz w:val="7"/>
                <w:szCs w:val="7"/>
                <w:color w:val="auto"/>
              </w:rPr>
            </w:pPr>
          </w:p>
        </w:tc>
        <w:tc>
          <w:tcPr>
            <w:tcW w:w="180" w:type="dxa"/>
            <w:vAlign w:val="bottom"/>
            <w:tcBorders>
              <w:right w:val="single" w:sz="8" w:color="8F5A39"/>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20" w:type="dxa"/>
            <w:vAlign w:val="bottom"/>
            <w:tcBorders>
              <w:left w:val="single" w:sz="8" w:color="8F5A39"/>
            </w:tcBorders>
          </w:tcPr>
          <w:p>
            <w:pPr>
              <w:spacing w:after="0"/>
              <w:rPr>
                <w:sz w:val="21"/>
                <w:szCs w:val="21"/>
                <w:color w:val="auto"/>
              </w:rPr>
            </w:pPr>
          </w:p>
        </w:tc>
        <w:tc>
          <w:tcPr>
            <w:tcW w:w="1020" w:type="dxa"/>
            <w:vAlign w:val="bottom"/>
            <w:shd w:val="clear" w:color="auto" w:fill="4A879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shd w:val="clear" w:color="auto" w:fill="F4EFE7"/>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shd w:val="clear" w:color="auto" w:fill="4A879E"/>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shd w:val="clear" w:color="auto" w:fill="4A879E"/>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shd w:val="clear" w:color="auto" w:fill="F4EFE7"/>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shd w:val="clear" w:color="auto" w:fill="F4EFE7"/>
          </w:tcPr>
          <w:p>
            <w:pPr>
              <w:spacing w:after="0"/>
              <w:rPr>
                <w:sz w:val="21"/>
                <w:szCs w:val="21"/>
                <w:color w:val="auto"/>
              </w:rPr>
            </w:pPr>
          </w:p>
        </w:tc>
        <w:tc>
          <w:tcPr>
            <w:tcW w:w="180" w:type="dxa"/>
            <w:vAlign w:val="bottom"/>
            <w:tcBorders>
              <w:right w:val="single" w:sz="8" w:color="8F5A39"/>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120" w:type="dxa"/>
            <w:vAlign w:val="bottom"/>
            <w:tcBorders>
              <w:left w:val="single" w:sz="8" w:color="8F5A39"/>
            </w:tcBorders>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shd w:val="clear" w:color="auto" w:fill="F4EFE7"/>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shd w:val="clear" w:color="auto" w:fill="F4EFE7"/>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shd w:val="clear" w:color="auto" w:fill="F4EFE7"/>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shd w:val="clear" w:color="auto" w:fill="F4EFE7"/>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shd w:val="clear" w:color="auto" w:fill="F4EFE7"/>
          </w:tcPr>
          <w:p>
            <w:pPr>
              <w:spacing w:after="0"/>
              <w:rPr>
                <w:sz w:val="5"/>
                <w:szCs w:val="5"/>
                <w:color w:val="auto"/>
              </w:rPr>
            </w:pPr>
          </w:p>
        </w:tc>
        <w:tc>
          <w:tcPr>
            <w:tcW w:w="180" w:type="dxa"/>
            <w:vAlign w:val="bottom"/>
            <w:tcBorders>
              <w:right w:val="single" w:sz="8" w:color="8F5A39"/>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0" w:type="dxa"/>
            <w:vAlign w:val="bottom"/>
            <w:tcBorders>
              <w:left w:val="single" w:sz="8" w:color="8F5A39"/>
            </w:tcBorders>
          </w:tcPr>
          <w:p>
            <w:pPr>
              <w:spacing w:after="0"/>
              <w:rPr>
                <w:sz w:val="15"/>
                <w:szCs w:val="15"/>
                <w:color w:val="auto"/>
              </w:rPr>
            </w:pPr>
          </w:p>
        </w:tc>
        <w:tc>
          <w:tcPr>
            <w:tcW w:w="1020" w:type="dxa"/>
            <w:vAlign w:val="bottom"/>
            <w:vMerge w:val="restart"/>
            <w:shd w:val="clear" w:color="auto" w:fill="173359"/>
          </w:tcPr>
          <w:p>
            <w:pPr>
              <w:ind w:left="80"/>
              <w:spacing w:after="0"/>
              <w:rPr>
                <w:sz w:val="20"/>
                <w:szCs w:val="20"/>
                <w:color w:val="auto"/>
              </w:rPr>
            </w:pPr>
            <w:r>
              <w:rPr>
                <w:rFonts w:ascii="Arial" w:cs="Arial" w:eastAsia="Arial" w:hAnsi="Arial"/>
                <w:sz w:val="13"/>
                <w:szCs w:val="13"/>
                <w:b w:val="1"/>
                <w:bCs w:val="1"/>
                <w:color w:val="FFFFFF"/>
              </w:rPr>
              <w:t>PSUs</w:t>
            </w:r>
          </w:p>
        </w:tc>
        <w:tc>
          <w:tcPr>
            <w:tcW w:w="120" w:type="dxa"/>
            <w:vAlign w:val="bottom"/>
          </w:tcPr>
          <w:p>
            <w:pPr>
              <w:spacing w:after="0"/>
              <w:rPr>
                <w:sz w:val="15"/>
                <w:szCs w:val="15"/>
                <w:color w:val="auto"/>
              </w:rPr>
            </w:pPr>
          </w:p>
        </w:tc>
        <w:tc>
          <w:tcPr>
            <w:tcW w:w="1380" w:type="dxa"/>
            <w:vAlign w:val="bottom"/>
            <w:gridSpan w:val="3"/>
            <w:shd w:val="clear" w:color="auto" w:fill="173359"/>
          </w:tcPr>
          <w:p>
            <w:pPr>
              <w:ind w:left="80"/>
              <w:spacing w:after="0"/>
              <w:rPr>
                <w:sz w:val="20"/>
                <w:szCs w:val="20"/>
                <w:color w:val="auto"/>
              </w:rPr>
            </w:pPr>
            <w:r>
              <w:rPr>
                <w:rFonts w:ascii="Arial" w:cs="Arial" w:eastAsia="Arial" w:hAnsi="Arial"/>
                <w:sz w:val="13"/>
                <w:szCs w:val="13"/>
                <w:b w:val="1"/>
                <w:bCs w:val="1"/>
                <w:color w:val="FFFFFF"/>
              </w:rPr>
              <w:t>Performance period</w:t>
            </w:r>
          </w:p>
        </w:tc>
        <w:tc>
          <w:tcPr>
            <w:tcW w:w="140" w:type="dxa"/>
            <w:vAlign w:val="bottom"/>
            <w:shd w:val="clear" w:color="auto" w:fill="173359"/>
          </w:tcPr>
          <w:p>
            <w:pPr>
              <w:spacing w:after="0"/>
              <w:rPr>
                <w:sz w:val="15"/>
                <w:szCs w:val="15"/>
                <w:color w:val="auto"/>
              </w:rPr>
            </w:pPr>
          </w:p>
        </w:tc>
        <w:tc>
          <w:tcPr>
            <w:tcW w:w="640" w:type="dxa"/>
            <w:vAlign w:val="bottom"/>
            <w:shd w:val="clear" w:color="auto" w:fill="173359"/>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vMerge w:val="restart"/>
            <w:shd w:val="clear" w:color="auto" w:fill="173359"/>
          </w:tcPr>
          <w:p>
            <w:pPr>
              <w:ind w:left="80"/>
              <w:spacing w:after="0"/>
              <w:rPr>
                <w:sz w:val="20"/>
                <w:szCs w:val="20"/>
                <w:color w:val="auto"/>
              </w:rPr>
            </w:pPr>
            <w:r>
              <w:rPr>
                <w:rFonts w:ascii="Arial" w:cs="Arial" w:eastAsia="Arial" w:hAnsi="Arial"/>
                <w:sz w:val="13"/>
                <w:szCs w:val="13"/>
                <w:b w:val="1"/>
                <w:bCs w:val="1"/>
                <w:color w:val="FFFFFF"/>
              </w:rPr>
              <w:t xml:space="preserve">2-Year hold </w:t>
            </w:r>
            <w:r>
              <w:rPr>
                <w:rFonts w:ascii="Arial" w:cs="Arial" w:eastAsia="Arial" w:hAnsi="Arial"/>
                <w:sz w:val="13"/>
                <w:szCs w:val="13"/>
                <w:color w:val="FFFFFF"/>
              </w:rPr>
              <w:t>Shares</w:t>
            </w:r>
          </w:p>
        </w:tc>
        <w:tc>
          <w:tcPr>
            <w:tcW w:w="180" w:type="dxa"/>
            <w:vAlign w:val="bottom"/>
            <w:tcBorders>
              <w:right w:val="single" w:sz="8" w:color="8F5A39"/>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20" w:type="dxa"/>
            <w:vAlign w:val="bottom"/>
            <w:tcBorders>
              <w:left w:val="single" w:sz="8" w:color="8F5A39"/>
            </w:tcBorders>
          </w:tcPr>
          <w:p>
            <w:pPr>
              <w:spacing w:after="0"/>
              <w:rPr>
                <w:sz w:val="7"/>
                <w:szCs w:val="7"/>
                <w:color w:val="auto"/>
              </w:rPr>
            </w:pPr>
          </w:p>
        </w:tc>
        <w:tc>
          <w:tcPr>
            <w:tcW w:w="1020" w:type="dxa"/>
            <w:vAlign w:val="bottom"/>
            <w:vMerge w:val="continue"/>
            <w:shd w:val="clear" w:color="auto" w:fill="173359"/>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gridSpan w:val="5"/>
            <w:vMerge w:val="restart"/>
            <w:shd w:val="clear" w:color="auto" w:fill="173359"/>
          </w:tcPr>
          <w:p>
            <w:pPr>
              <w:ind w:left="80"/>
              <w:spacing w:after="0"/>
              <w:rPr>
                <w:sz w:val="20"/>
                <w:szCs w:val="20"/>
                <w:color w:val="auto"/>
              </w:rPr>
            </w:pPr>
            <w:r>
              <w:rPr>
                <w:rFonts w:ascii="Arial" w:cs="Arial" w:eastAsia="Arial" w:hAnsi="Arial"/>
                <w:sz w:val="13"/>
                <w:szCs w:val="13"/>
                <w:color w:val="FFFFFF"/>
              </w:rPr>
              <w:t>0%-150% payout based on</w:t>
            </w:r>
          </w:p>
        </w:tc>
        <w:tc>
          <w:tcPr>
            <w:tcW w:w="120" w:type="dxa"/>
            <w:vAlign w:val="bottom"/>
          </w:tcPr>
          <w:p>
            <w:pPr>
              <w:spacing w:after="0"/>
              <w:rPr>
                <w:sz w:val="7"/>
                <w:szCs w:val="7"/>
                <w:color w:val="auto"/>
              </w:rPr>
            </w:pPr>
          </w:p>
        </w:tc>
        <w:tc>
          <w:tcPr>
            <w:tcW w:w="1440" w:type="dxa"/>
            <w:vAlign w:val="bottom"/>
            <w:gridSpan w:val="3"/>
            <w:vMerge w:val="continue"/>
            <w:shd w:val="clear" w:color="auto" w:fill="173359"/>
          </w:tcPr>
          <w:p>
            <w:pPr>
              <w:spacing w:after="0"/>
              <w:rPr>
                <w:sz w:val="7"/>
                <w:szCs w:val="7"/>
                <w:color w:val="auto"/>
              </w:rPr>
            </w:pPr>
          </w:p>
        </w:tc>
        <w:tc>
          <w:tcPr>
            <w:tcW w:w="180" w:type="dxa"/>
            <w:vAlign w:val="bottom"/>
            <w:tcBorders>
              <w:right w:val="single" w:sz="8" w:color="8F5A39"/>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0" w:type="dxa"/>
            <w:vAlign w:val="bottom"/>
            <w:tcBorders>
              <w:left w:val="single" w:sz="8" w:color="8F5A39"/>
            </w:tcBorders>
          </w:tcPr>
          <w:p>
            <w:pPr>
              <w:spacing w:after="0"/>
              <w:rPr>
                <w:sz w:val="5"/>
                <w:szCs w:val="5"/>
                <w:color w:val="auto"/>
              </w:rPr>
            </w:pPr>
          </w:p>
        </w:tc>
        <w:tc>
          <w:tcPr>
            <w:tcW w:w="1020" w:type="dxa"/>
            <w:vAlign w:val="bottom"/>
            <w:vMerge w:val="restart"/>
            <w:shd w:val="clear" w:color="auto" w:fill="173359"/>
          </w:tcPr>
          <w:p>
            <w:pPr>
              <w:ind w:left="80"/>
              <w:spacing w:after="0"/>
              <w:rPr>
                <w:sz w:val="20"/>
                <w:szCs w:val="20"/>
                <w:color w:val="auto"/>
              </w:rPr>
            </w:pPr>
            <w:r>
              <w:rPr>
                <w:rFonts w:ascii="Arial" w:cs="Arial" w:eastAsia="Arial" w:hAnsi="Arial"/>
                <w:sz w:val="13"/>
                <w:szCs w:val="13"/>
                <w:color w:val="FFFFFF"/>
              </w:rPr>
              <w:t>at-risk</w:t>
            </w:r>
          </w:p>
        </w:tc>
        <w:tc>
          <w:tcPr>
            <w:tcW w:w="120" w:type="dxa"/>
            <w:vAlign w:val="bottom"/>
          </w:tcPr>
          <w:p>
            <w:pPr>
              <w:spacing w:after="0"/>
              <w:rPr>
                <w:sz w:val="5"/>
                <w:szCs w:val="5"/>
                <w:color w:val="auto"/>
              </w:rPr>
            </w:pPr>
          </w:p>
        </w:tc>
        <w:tc>
          <w:tcPr>
            <w:tcW w:w="2160" w:type="dxa"/>
            <w:vAlign w:val="bottom"/>
            <w:gridSpan w:val="5"/>
            <w:vMerge w:val="continue"/>
            <w:shd w:val="clear" w:color="auto" w:fill="173359"/>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gridSpan w:val="3"/>
            <w:vMerge w:val="restart"/>
            <w:shd w:val="clear" w:color="auto" w:fill="173359"/>
          </w:tcPr>
          <w:p>
            <w:pPr>
              <w:ind w:left="80"/>
              <w:spacing w:after="0"/>
              <w:rPr>
                <w:sz w:val="20"/>
                <w:szCs w:val="20"/>
                <w:color w:val="auto"/>
              </w:rPr>
            </w:pPr>
            <w:r>
              <w:rPr>
                <w:rFonts w:ascii="Arial" w:cs="Arial" w:eastAsia="Arial" w:hAnsi="Arial"/>
                <w:sz w:val="13"/>
                <w:szCs w:val="13"/>
                <w:color w:val="FFFFFF"/>
              </w:rPr>
              <w:t>available in 2031</w:t>
            </w:r>
          </w:p>
        </w:tc>
        <w:tc>
          <w:tcPr>
            <w:tcW w:w="180" w:type="dxa"/>
            <w:vAlign w:val="bottom"/>
            <w:tcBorders>
              <w:right w:val="single" w:sz="8" w:color="8F5A39"/>
            </w:tcBorders>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120" w:type="dxa"/>
            <w:vAlign w:val="bottom"/>
            <w:tcBorders>
              <w:left w:val="single" w:sz="8" w:color="8F5A39"/>
            </w:tcBorders>
          </w:tcPr>
          <w:p>
            <w:pPr>
              <w:spacing w:after="0"/>
              <w:rPr>
                <w:sz w:val="9"/>
                <w:szCs w:val="9"/>
                <w:color w:val="auto"/>
              </w:rPr>
            </w:pPr>
          </w:p>
        </w:tc>
        <w:tc>
          <w:tcPr>
            <w:tcW w:w="1020" w:type="dxa"/>
            <w:vAlign w:val="bottom"/>
            <w:vMerge w:val="continue"/>
            <w:shd w:val="clear" w:color="auto" w:fill="173359"/>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3"/>
            <w:vMerge w:val="restart"/>
            <w:shd w:val="clear" w:color="auto" w:fill="173359"/>
          </w:tcPr>
          <w:p>
            <w:pPr>
              <w:ind w:left="80"/>
              <w:spacing w:after="0"/>
              <w:rPr>
                <w:sz w:val="20"/>
                <w:szCs w:val="20"/>
                <w:color w:val="auto"/>
              </w:rPr>
            </w:pPr>
            <w:r>
              <w:rPr>
                <w:rFonts w:ascii="Arial" w:cs="Arial" w:eastAsia="Arial" w:hAnsi="Arial"/>
                <w:sz w:val="13"/>
                <w:szCs w:val="13"/>
                <w:color w:val="FFFFFF"/>
              </w:rPr>
              <w:t>average ROTCE</w:t>
            </w:r>
          </w:p>
        </w:tc>
        <w:tc>
          <w:tcPr>
            <w:tcW w:w="140" w:type="dxa"/>
            <w:vAlign w:val="bottom"/>
            <w:shd w:val="clear" w:color="auto" w:fill="173359"/>
          </w:tcPr>
          <w:p>
            <w:pPr>
              <w:spacing w:after="0"/>
              <w:rPr>
                <w:sz w:val="9"/>
                <w:szCs w:val="9"/>
                <w:color w:val="auto"/>
              </w:rPr>
            </w:pPr>
          </w:p>
        </w:tc>
        <w:tc>
          <w:tcPr>
            <w:tcW w:w="640" w:type="dxa"/>
            <w:vAlign w:val="bottom"/>
            <w:shd w:val="clear" w:color="auto" w:fill="173359"/>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3"/>
            <w:vMerge w:val="continue"/>
            <w:shd w:val="clear" w:color="auto" w:fill="173359"/>
          </w:tcPr>
          <w:p>
            <w:pPr>
              <w:spacing w:after="0"/>
              <w:rPr>
                <w:sz w:val="9"/>
                <w:szCs w:val="9"/>
                <w:color w:val="auto"/>
              </w:rPr>
            </w:pPr>
          </w:p>
        </w:tc>
        <w:tc>
          <w:tcPr>
            <w:tcW w:w="180" w:type="dxa"/>
            <w:vAlign w:val="bottom"/>
            <w:tcBorders>
              <w:right w:val="single" w:sz="8" w:color="8F5A39"/>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20" w:type="dxa"/>
            <w:vAlign w:val="bottom"/>
            <w:tcBorders>
              <w:left w:val="single" w:sz="8" w:color="8F5A39"/>
            </w:tcBorders>
          </w:tcPr>
          <w:p>
            <w:pPr>
              <w:spacing w:after="0"/>
              <w:rPr>
                <w:sz w:val="7"/>
                <w:szCs w:val="7"/>
                <w:color w:val="auto"/>
              </w:rPr>
            </w:pPr>
          </w:p>
        </w:tc>
        <w:tc>
          <w:tcPr>
            <w:tcW w:w="1020" w:type="dxa"/>
            <w:vAlign w:val="bottom"/>
            <w:tcBorders>
              <w:bottom w:val="single" w:sz="8" w:color="173359"/>
            </w:tcBorders>
            <w:shd w:val="clear" w:color="auto" w:fill="173359"/>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Borders>
              <w:bottom w:val="single" w:sz="8" w:color="173359"/>
            </w:tcBorders>
            <w:gridSpan w:val="3"/>
            <w:vMerge w:val="continue"/>
            <w:shd w:val="clear" w:color="auto" w:fill="173359"/>
          </w:tcPr>
          <w:p>
            <w:pPr>
              <w:spacing w:after="0"/>
              <w:rPr>
                <w:sz w:val="7"/>
                <w:szCs w:val="7"/>
                <w:color w:val="auto"/>
              </w:rPr>
            </w:pPr>
          </w:p>
        </w:tc>
        <w:tc>
          <w:tcPr>
            <w:tcW w:w="140" w:type="dxa"/>
            <w:vAlign w:val="bottom"/>
            <w:tcBorders>
              <w:bottom w:val="single" w:sz="8" w:color="173359"/>
            </w:tcBorders>
            <w:shd w:val="clear" w:color="auto" w:fill="173359"/>
          </w:tcPr>
          <w:p>
            <w:pPr>
              <w:spacing w:after="0"/>
              <w:rPr>
                <w:sz w:val="7"/>
                <w:szCs w:val="7"/>
                <w:color w:val="auto"/>
              </w:rPr>
            </w:pPr>
          </w:p>
        </w:tc>
        <w:tc>
          <w:tcPr>
            <w:tcW w:w="640" w:type="dxa"/>
            <w:vAlign w:val="bottom"/>
            <w:tcBorders>
              <w:bottom w:val="single" w:sz="8" w:color="173359"/>
            </w:tcBorders>
            <w:shd w:val="clear" w:color="auto" w:fill="173359"/>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bottom w:val="single" w:sz="8" w:color="173359"/>
            </w:tcBorders>
            <w:shd w:val="clear" w:color="auto" w:fill="173359"/>
          </w:tcPr>
          <w:p>
            <w:pPr>
              <w:spacing w:after="0"/>
              <w:rPr>
                <w:sz w:val="7"/>
                <w:szCs w:val="7"/>
                <w:color w:val="auto"/>
              </w:rPr>
            </w:pPr>
          </w:p>
        </w:tc>
        <w:tc>
          <w:tcPr>
            <w:tcW w:w="140" w:type="dxa"/>
            <w:vAlign w:val="bottom"/>
            <w:tcBorders>
              <w:bottom w:val="single" w:sz="8" w:color="173359"/>
            </w:tcBorders>
            <w:shd w:val="clear" w:color="auto" w:fill="173359"/>
          </w:tcPr>
          <w:p>
            <w:pPr>
              <w:spacing w:after="0"/>
              <w:rPr>
                <w:sz w:val="7"/>
                <w:szCs w:val="7"/>
                <w:color w:val="auto"/>
              </w:rPr>
            </w:pPr>
          </w:p>
        </w:tc>
        <w:tc>
          <w:tcPr>
            <w:tcW w:w="660" w:type="dxa"/>
            <w:vAlign w:val="bottom"/>
            <w:tcBorders>
              <w:bottom w:val="single" w:sz="8" w:color="173359"/>
            </w:tcBorders>
            <w:shd w:val="clear" w:color="auto" w:fill="173359"/>
          </w:tcPr>
          <w:p>
            <w:pPr>
              <w:spacing w:after="0"/>
              <w:rPr>
                <w:sz w:val="7"/>
                <w:szCs w:val="7"/>
                <w:color w:val="auto"/>
              </w:rPr>
            </w:pPr>
          </w:p>
        </w:tc>
        <w:tc>
          <w:tcPr>
            <w:tcW w:w="180" w:type="dxa"/>
            <w:vAlign w:val="bottom"/>
            <w:tcBorders>
              <w:right w:val="single" w:sz="8" w:color="8F5A39"/>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0" w:type="dxa"/>
            <w:vAlign w:val="bottom"/>
            <w:tcBorders>
              <w:left w:val="single" w:sz="8" w:color="8F5A39"/>
              <w:bottom w:val="single" w:sz="8" w:color="8F5A39"/>
            </w:tcBorders>
          </w:tcPr>
          <w:p>
            <w:pPr>
              <w:spacing w:after="0"/>
              <w:rPr>
                <w:sz w:val="5"/>
                <w:szCs w:val="5"/>
                <w:color w:val="auto"/>
              </w:rPr>
            </w:pPr>
          </w:p>
        </w:tc>
        <w:tc>
          <w:tcPr>
            <w:tcW w:w="1020" w:type="dxa"/>
            <w:vAlign w:val="bottom"/>
            <w:tcBorders>
              <w:bottom w:val="single" w:sz="8" w:color="8F5A39"/>
            </w:tcBorders>
          </w:tcPr>
          <w:p>
            <w:pPr>
              <w:spacing w:after="0"/>
              <w:rPr>
                <w:sz w:val="5"/>
                <w:szCs w:val="5"/>
                <w:color w:val="auto"/>
              </w:rPr>
            </w:pPr>
          </w:p>
        </w:tc>
        <w:tc>
          <w:tcPr>
            <w:tcW w:w="120" w:type="dxa"/>
            <w:vAlign w:val="bottom"/>
            <w:tcBorders>
              <w:bottom w:val="single" w:sz="8" w:color="8F5A39"/>
            </w:tcBorders>
          </w:tcPr>
          <w:p>
            <w:pPr>
              <w:spacing w:after="0"/>
              <w:rPr>
                <w:sz w:val="5"/>
                <w:szCs w:val="5"/>
                <w:color w:val="auto"/>
              </w:rPr>
            </w:pPr>
          </w:p>
        </w:tc>
        <w:tc>
          <w:tcPr>
            <w:tcW w:w="620" w:type="dxa"/>
            <w:vAlign w:val="bottom"/>
            <w:tcBorders>
              <w:bottom w:val="single" w:sz="8" w:color="8F5A39"/>
            </w:tcBorders>
          </w:tcPr>
          <w:p>
            <w:pPr>
              <w:spacing w:after="0"/>
              <w:rPr>
                <w:sz w:val="5"/>
                <w:szCs w:val="5"/>
                <w:color w:val="auto"/>
              </w:rPr>
            </w:pPr>
          </w:p>
        </w:tc>
        <w:tc>
          <w:tcPr>
            <w:tcW w:w="120" w:type="dxa"/>
            <w:vAlign w:val="bottom"/>
            <w:tcBorders>
              <w:bottom w:val="single" w:sz="8" w:color="8F5A39"/>
            </w:tcBorders>
          </w:tcPr>
          <w:p>
            <w:pPr>
              <w:spacing w:after="0"/>
              <w:rPr>
                <w:sz w:val="5"/>
                <w:szCs w:val="5"/>
                <w:color w:val="auto"/>
              </w:rPr>
            </w:pPr>
          </w:p>
        </w:tc>
        <w:tc>
          <w:tcPr>
            <w:tcW w:w="640" w:type="dxa"/>
            <w:vAlign w:val="bottom"/>
            <w:tcBorders>
              <w:bottom w:val="single" w:sz="8" w:color="8F5A39"/>
            </w:tcBorders>
          </w:tcPr>
          <w:p>
            <w:pPr>
              <w:spacing w:after="0"/>
              <w:rPr>
                <w:sz w:val="5"/>
                <w:szCs w:val="5"/>
                <w:color w:val="auto"/>
              </w:rPr>
            </w:pPr>
          </w:p>
        </w:tc>
        <w:tc>
          <w:tcPr>
            <w:tcW w:w="140" w:type="dxa"/>
            <w:vAlign w:val="bottom"/>
            <w:tcBorders>
              <w:bottom w:val="single" w:sz="8" w:color="8F5A39"/>
            </w:tcBorders>
          </w:tcPr>
          <w:p>
            <w:pPr>
              <w:spacing w:after="0"/>
              <w:rPr>
                <w:sz w:val="5"/>
                <w:szCs w:val="5"/>
                <w:color w:val="auto"/>
              </w:rPr>
            </w:pPr>
          </w:p>
        </w:tc>
        <w:tc>
          <w:tcPr>
            <w:tcW w:w="640" w:type="dxa"/>
            <w:vAlign w:val="bottom"/>
            <w:tcBorders>
              <w:bottom w:val="single" w:sz="8" w:color="8F5A39"/>
            </w:tcBorders>
          </w:tcPr>
          <w:p>
            <w:pPr>
              <w:spacing w:after="0"/>
              <w:rPr>
                <w:sz w:val="5"/>
                <w:szCs w:val="5"/>
                <w:color w:val="auto"/>
              </w:rPr>
            </w:pPr>
          </w:p>
        </w:tc>
        <w:tc>
          <w:tcPr>
            <w:tcW w:w="120" w:type="dxa"/>
            <w:vAlign w:val="bottom"/>
            <w:tcBorders>
              <w:bottom w:val="single" w:sz="8" w:color="8F5A39"/>
            </w:tcBorders>
          </w:tcPr>
          <w:p>
            <w:pPr>
              <w:spacing w:after="0"/>
              <w:rPr>
                <w:sz w:val="5"/>
                <w:szCs w:val="5"/>
                <w:color w:val="auto"/>
              </w:rPr>
            </w:pPr>
          </w:p>
        </w:tc>
        <w:tc>
          <w:tcPr>
            <w:tcW w:w="640" w:type="dxa"/>
            <w:vAlign w:val="bottom"/>
            <w:tcBorders>
              <w:bottom w:val="single" w:sz="8" w:color="8F5A39"/>
            </w:tcBorders>
          </w:tcPr>
          <w:p>
            <w:pPr>
              <w:spacing w:after="0"/>
              <w:rPr>
                <w:sz w:val="5"/>
                <w:szCs w:val="5"/>
                <w:color w:val="auto"/>
              </w:rPr>
            </w:pPr>
          </w:p>
        </w:tc>
        <w:tc>
          <w:tcPr>
            <w:tcW w:w="140" w:type="dxa"/>
            <w:vAlign w:val="bottom"/>
            <w:tcBorders>
              <w:bottom w:val="single" w:sz="8" w:color="8F5A39"/>
            </w:tcBorders>
          </w:tcPr>
          <w:p>
            <w:pPr>
              <w:spacing w:after="0"/>
              <w:rPr>
                <w:sz w:val="5"/>
                <w:szCs w:val="5"/>
                <w:color w:val="auto"/>
              </w:rPr>
            </w:pPr>
          </w:p>
        </w:tc>
        <w:tc>
          <w:tcPr>
            <w:tcW w:w="660" w:type="dxa"/>
            <w:vAlign w:val="bottom"/>
            <w:tcBorders>
              <w:bottom w:val="single" w:sz="8" w:color="8F5A39"/>
            </w:tcBorders>
          </w:tcPr>
          <w:p>
            <w:pPr>
              <w:spacing w:after="0"/>
              <w:rPr>
                <w:sz w:val="5"/>
                <w:szCs w:val="5"/>
                <w:color w:val="auto"/>
              </w:rPr>
            </w:pPr>
          </w:p>
        </w:tc>
        <w:tc>
          <w:tcPr>
            <w:tcW w:w="180" w:type="dxa"/>
            <w:vAlign w:val="bottom"/>
            <w:tcBorders>
              <w:bottom w:val="single" w:sz="8" w:color="8F5A39"/>
              <w:right w:val="single" w:sz="8" w:color="8F5A3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-1919605</wp:posOffset>
            </wp:positionV>
            <wp:extent cx="34290" cy="685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6858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-1919605</wp:posOffset>
            </wp:positionV>
            <wp:extent cx="34290" cy="6858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6858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-1919605</wp:posOffset>
            </wp:positionV>
            <wp:extent cx="34290" cy="685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6858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-1919605</wp:posOffset>
            </wp:positionV>
            <wp:extent cx="34290" cy="685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6858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-1919605</wp:posOffset>
            </wp:positionV>
            <wp:extent cx="34290" cy="685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6858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5640" w:space="340"/>
            <w:col w:w="5160"/>
          </w:cols>
          <w:pgMar w:left="320" w:top="157" w:right="439" w:bottom="1440" w:gutter="0" w:footer="0" w:header="0"/>
          <w:type w:val="continuous"/>
        </w:sectPr>
      </w:pPr>
    </w:p>
    <w:p>
      <w:pPr>
        <w:ind w:left="200" w:hanging="192"/>
        <w:spacing w:after="0"/>
        <w:tabs>
          <w:tab w:leader="none" w:pos="200" w:val="left"/>
        </w:tabs>
        <w:numPr>
          <w:ilvl w:val="0"/>
          <w:numId w:val="139"/>
        </w:numPr>
        <w:rPr>
          <w:rFonts w:ascii="Arial" w:cs="Arial" w:eastAsia="Arial" w:hAnsi="Arial"/>
          <w:sz w:val="18"/>
          <w:szCs w:val="18"/>
          <w:color w:val="auto"/>
          <w:vertAlign w:val="superscript"/>
        </w:rPr>
      </w:pPr>
      <w:r>
        <w:rPr>
          <w:rFonts w:ascii="Arial" w:cs="Arial" w:eastAsia="Arial" w:hAnsi="Arial"/>
          <w:sz w:val="12"/>
          <w:szCs w:val="12"/>
          <w:color w:val="auto"/>
        </w:rPr>
        <w:t>Excludes Mr. Pinto whose 2025 variable compensation mix comprises 23% in cash, 38.5% in RSUs and 38.5% in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308610</wp:posOffset>
            </wp:positionV>
            <wp:extent cx="651510" cy="857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140"/>
          </w:cols>
          <w:pgMar w:left="320" w:top="157" w:right="439" w:bottom="1440" w:gutter="0" w:footer="0" w:header="0"/>
          <w:type w:val="continuous"/>
        </w:sectPr>
      </w:pPr>
    </w:p>
    <w:p>
      <w:pPr>
        <w:spacing w:after="0" w:line="361"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40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57" w:right="4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6515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2"/>
          <w:szCs w:val="22"/>
          <w:color w:val="8F5A39"/>
        </w:rPr>
        <w:t>How we performed against our business strategy</w:t>
      </w:r>
    </w:p>
    <w:p>
      <w:pPr>
        <w:ind w:left="120"/>
        <w:spacing w:after="0"/>
        <w:rPr>
          <w:sz w:val="20"/>
          <w:szCs w:val="20"/>
          <w:color w:val="auto"/>
        </w:rPr>
      </w:pPr>
      <w:r>
        <w:rPr>
          <w:rFonts w:ascii="Arial" w:cs="Arial" w:eastAsia="Arial" w:hAnsi="Arial"/>
          <w:sz w:val="22"/>
          <w:szCs w:val="22"/>
          <w:color w:val="8F5A39"/>
        </w:rPr>
        <w:t>02</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Pages 53-55</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8F5A39"/>
        </w:rPr>
        <w:t>2025 Business Results</w:t>
      </w:r>
    </w:p>
    <w:p>
      <w:pPr>
        <w:spacing w:after="0" w:line="207" w:lineRule="exact"/>
        <w:rPr>
          <w:sz w:val="20"/>
          <w:szCs w:val="20"/>
          <w:color w:val="auto"/>
        </w:rPr>
      </w:pPr>
    </w:p>
    <w:p>
      <w:pPr>
        <w:ind w:left="180" w:right="820"/>
        <w:spacing w:after="0" w:line="255" w:lineRule="auto"/>
        <w:rPr>
          <w:sz w:val="20"/>
          <w:szCs w:val="20"/>
          <w:color w:val="auto"/>
        </w:rPr>
      </w:pPr>
      <w:r>
        <w:rPr>
          <w:rFonts w:ascii="Arial" w:cs="Arial" w:eastAsia="Arial" w:hAnsi="Arial"/>
          <w:sz w:val="16"/>
          <w:szCs w:val="16"/>
          <w:color w:val="auto"/>
        </w:rPr>
        <w:t>In the context of the Firm’s 2025 business results, the CMDC recognized the Firm’s continued focus on serving our clients and customers while investing in and executing on long-term strategic initiatives in its performance assessment for our OC members. The Firm:</w:t>
      </w:r>
    </w:p>
    <w:p>
      <w:pPr>
        <w:spacing w:after="0" w:line="1" w:lineRule="exact"/>
        <w:rPr>
          <w:sz w:val="20"/>
          <w:szCs w:val="20"/>
          <w:color w:val="auto"/>
        </w:rPr>
      </w:pPr>
    </w:p>
    <w:p>
      <w:pPr>
        <w:ind w:left="360" w:hanging="186"/>
        <w:spacing w:after="0"/>
        <w:tabs>
          <w:tab w:leader="none" w:pos="360" w:val="left"/>
        </w:tabs>
        <w:numPr>
          <w:ilvl w:val="0"/>
          <w:numId w:val="140"/>
        </w:numPr>
        <w:rPr>
          <w:rFonts w:ascii="Arial" w:cs="Arial" w:eastAsia="Arial" w:hAnsi="Arial"/>
          <w:sz w:val="16"/>
          <w:szCs w:val="16"/>
          <w:b w:val="1"/>
          <w:bCs w:val="1"/>
          <w:color w:val="auto"/>
        </w:rPr>
      </w:pPr>
      <w:r>
        <w:rPr>
          <w:rFonts w:ascii="Arial" w:cs="Arial" w:eastAsia="Arial" w:hAnsi="Arial"/>
          <w:sz w:val="16"/>
          <w:szCs w:val="16"/>
          <w:color w:val="auto"/>
        </w:rPr>
        <w:t>Experienced market share gains and expanded our lead</w:t>
      </w:r>
    </w:p>
    <w:p>
      <w:pPr>
        <w:spacing w:after="0" w:line="38" w:lineRule="exact"/>
        <w:rPr>
          <w:rFonts w:ascii="Arial" w:cs="Arial" w:eastAsia="Arial" w:hAnsi="Arial"/>
          <w:sz w:val="16"/>
          <w:szCs w:val="16"/>
          <w:b w:val="1"/>
          <w:bCs w:val="1"/>
          <w:color w:val="auto"/>
        </w:rPr>
      </w:pPr>
    </w:p>
    <w:p>
      <w:pPr>
        <w:ind w:left="360" w:hanging="186"/>
        <w:spacing w:after="0"/>
        <w:tabs>
          <w:tab w:leader="none" w:pos="360" w:val="left"/>
        </w:tabs>
        <w:numPr>
          <w:ilvl w:val="0"/>
          <w:numId w:val="140"/>
        </w:numPr>
        <w:rPr>
          <w:rFonts w:ascii="Arial" w:cs="Arial" w:eastAsia="Arial" w:hAnsi="Arial"/>
          <w:sz w:val="16"/>
          <w:szCs w:val="16"/>
          <w:b w:val="1"/>
          <w:bCs w:val="1"/>
          <w:color w:val="auto"/>
        </w:rPr>
      </w:pPr>
      <w:r>
        <w:rPr>
          <w:rFonts w:ascii="Arial" w:cs="Arial" w:eastAsia="Arial" w:hAnsi="Arial"/>
          <w:sz w:val="16"/>
          <w:szCs w:val="16"/>
          <w:color w:val="auto"/>
        </w:rPr>
        <w:t>Maintained a fortress balance sheet</w:t>
      </w:r>
    </w:p>
    <w:p>
      <w:pPr>
        <w:spacing w:after="0" w:line="27" w:lineRule="exact"/>
        <w:rPr>
          <w:rFonts w:ascii="Arial" w:cs="Arial" w:eastAsia="Arial" w:hAnsi="Arial"/>
          <w:sz w:val="16"/>
          <w:szCs w:val="16"/>
          <w:b w:val="1"/>
          <w:bCs w:val="1"/>
          <w:color w:val="auto"/>
        </w:rPr>
      </w:pPr>
    </w:p>
    <w:p>
      <w:pPr>
        <w:ind w:left="360" w:hanging="186"/>
        <w:spacing w:after="0"/>
        <w:tabs>
          <w:tab w:leader="none" w:pos="360" w:val="left"/>
        </w:tabs>
        <w:numPr>
          <w:ilvl w:val="0"/>
          <w:numId w:val="140"/>
        </w:numPr>
        <w:rPr>
          <w:rFonts w:ascii="Arial" w:cs="Arial" w:eastAsia="Arial" w:hAnsi="Arial"/>
          <w:sz w:val="16"/>
          <w:szCs w:val="16"/>
          <w:b w:val="1"/>
          <w:bCs w:val="1"/>
          <w:color w:val="auto"/>
        </w:rPr>
      </w:pPr>
      <w:r>
        <w:rPr>
          <w:rFonts w:ascii="Arial" w:cs="Arial" w:eastAsia="Arial" w:hAnsi="Arial"/>
          <w:sz w:val="16"/>
          <w:szCs w:val="16"/>
          <w:color w:val="auto"/>
        </w:rPr>
        <w:t>Achieved strong results - among other metrics, the CMDC considered that the Firm delivered:</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376"/>
        </w:trPr>
        <w:tc>
          <w:tcPr>
            <w:tcW w:w="2540" w:type="dxa"/>
            <w:vAlign w:val="bottom"/>
            <w:shd w:val="clear" w:color="auto" w:fill="F4EFE7"/>
          </w:tcPr>
          <w:p>
            <w:pPr>
              <w:jc w:val="center"/>
              <w:spacing w:after="0"/>
              <w:rPr>
                <w:sz w:val="20"/>
                <w:szCs w:val="20"/>
                <w:color w:val="auto"/>
              </w:rPr>
            </w:pPr>
            <w:r>
              <w:rPr>
                <w:rFonts w:ascii="Arial" w:cs="Arial" w:eastAsia="Arial" w:hAnsi="Arial"/>
                <w:sz w:val="27"/>
                <w:szCs w:val="27"/>
                <w:color w:val="8F5A39"/>
              </w:rPr>
              <w:t>$185.6B</w:t>
            </w:r>
          </w:p>
        </w:tc>
        <w:tc>
          <w:tcPr>
            <w:tcW w:w="200" w:type="dxa"/>
            <w:vAlign w:val="bottom"/>
          </w:tcPr>
          <w:p>
            <w:pPr>
              <w:spacing w:after="0"/>
              <w:rPr>
                <w:sz w:val="24"/>
                <w:szCs w:val="24"/>
                <w:color w:val="auto"/>
              </w:rPr>
            </w:pPr>
          </w:p>
        </w:tc>
        <w:tc>
          <w:tcPr>
            <w:tcW w:w="2620" w:type="dxa"/>
            <w:vAlign w:val="bottom"/>
            <w:shd w:val="clear" w:color="auto" w:fill="F4EFE7"/>
          </w:tcPr>
          <w:p>
            <w:pPr>
              <w:jc w:val="center"/>
              <w:spacing w:after="0"/>
              <w:rPr>
                <w:sz w:val="20"/>
                <w:szCs w:val="20"/>
                <w:color w:val="auto"/>
              </w:rPr>
            </w:pPr>
            <w:r>
              <w:rPr>
                <w:rFonts w:ascii="Arial" w:cs="Arial" w:eastAsia="Arial" w:hAnsi="Arial"/>
                <w:sz w:val="27"/>
                <w:szCs w:val="27"/>
                <w:color w:val="8F5A39"/>
              </w:rPr>
              <w:t>$80.1B</w:t>
            </w:r>
          </w:p>
        </w:tc>
        <w:tc>
          <w:tcPr>
            <w:tcW w:w="180" w:type="dxa"/>
            <w:vAlign w:val="bottom"/>
          </w:tcPr>
          <w:p>
            <w:pPr>
              <w:spacing w:after="0"/>
              <w:rPr>
                <w:sz w:val="24"/>
                <w:szCs w:val="24"/>
                <w:color w:val="auto"/>
              </w:rPr>
            </w:pPr>
          </w:p>
        </w:tc>
        <w:tc>
          <w:tcPr>
            <w:tcW w:w="2620" w:type="dxa"/>
            <w:vAlign w:val="bottom"/>
            <w:shd w:val="clear" w:color="auto" w:fill="F4EFE7"/>
          </w:tcPr>
          <w:p>
            <w:pPr>
              <w:jc w:val="center"/>
              <w:spacing w:after="0"/>
              <w:rPr>
                <w:sz w:val="20"/>
                <w:szCs w:val="20"/>
                <w:color w:val="auto"/>
              </w:rPr>
            </w:pPr>
            <w:r>
              <w:rPr>
                <w:rFonts w:ascii="Arial" w:cs="Arial" w:eastAsia="Arial" w:hAnsi="Arial"/>
                <w:sz w:val="27"/>
                <w:szCs w:val="27"/>
                <w:color w:val="8F5A39"/>
              </w:rPr>
              <w:t>$57.0B</w:t>
            </w:r>
          </w:p>
        </w:tc>
        <w:tc>
          <w:tcPr>
            <w:tcW w:w="180" w:type="dxa"/>
            <w:vAlign w:val="bottom"/>
          </w:tcPr>
          <w:p>
            <w:pPr>
              <w:spacing w:after="0"/>
              <w:rPr>
                <w:sz w:val="24"/>
                <w:szCs w:val="24"/>
                <w:color w:val="auto"/>
              </w:rPr>
            </w:pPr>
          </w:p>
        </w:tc>
        <w:tc>
          <w:tcPr>
            <w:tcW w:w="2540" w:type="dxa"/>
            <w:vAlign w:val="bottom"/>
            <w:shd w:val="clear" w:color="auto" w:fill="F4EFE7"/>
          </w:tcPr>
          <w:p>
            <w:pPr>
              <w:ind w:left="1000"/>
              <w:spacing w:after="0"/>
              <w:rPr>
                <w:sz w:val="20"/>
                <w:szCs w:val="20"/>
                <w:color w:val="auto"/>
              </w:rPr>
            </w:pPr>
            <w:r>
              <w:rPr>
                <w:rFonts w:ascii="Arial" w:cs="Arial" w:eastAsia="Arial" w:hAnsi="Arial"/>
                <w:sz w:val="27"/>
                <w:szCs w:val="27"/>
                <w:color w:val="8F5A39"/>
              </w:rPr>
              <w:t>20%</w:t>
            </w:r>
          </w:p>
        </w:tc>
      </w:tr>
      <w:tr>
        <w:trPr>
          <w:trHeight w:val="290"/>
        </w:trPr>
        <w:tc>
          <w:tcPr>
            <w:tcW w:w="2540" w:type="dxa"/>
            <w:vAlign w:val="bottom"/>
            <w:shd w:val="clear" w:color="auto" w:fill="F4EFE7"/>
          </w:tcPr>
          <w:p>
            <w:pPr>
              <w:jc w:val="center"/>
              <w:spacing w:after="0"/>
              <w:rPr>
                <w:sz w:val="20"/>
                <w:szCs w:val="20"/>
                <w:color w:val="auto"/>
              </w:rPr>
            </w:pPr>
            <w:r>
              <w:rPr>
                <w:rFonts w:ascii="Arial" w:cs="Arial" w:eastAsia="Arial" w:hAnsi="Arial"/>
                <w:sz w:val="15"/>
                <w:szCs w:val="15"/>
                <w:color w:val="auto"/>
              </w:rPr>
              <w:t>Record revenue</w:t>
            </w:r>
            <w:r>
              <w:rPr>
                <w:rFonts w:ascii="Arial" w:cs="Arial" w:eastAsia="Arial" w:hAnsi="Arial"/>
                <w:sz w:val="19"/>
                <w:szCs w:val="19"/>
                <w:color w:val="auto"/>
                <w:vertAlign w:val="superscript"/>
              </w:rPr>
              <w:t>1</w:t>
            </w:r>
          </w:p>
        </w:tc>
        <w:tc>
          <w:tcPr>
            <w:tcW w:w="200" w:type="dxa"/>
            <w:vAlign w:val="bottom"/>
          </w:tcPr>
          <w:p>
            <w:pPr>
              <w:spacing w:after="0"/>
              <w:rPr>
                <w:sz w:val="24"/>
                <w:szCs w:val="24"/>
                <w:color w:val="auto"/>
              </w:rPr>
            </w:pPr>
          </w:p>
        </w:tc>
        <w:tc>
          <w:tcPr>
            <w:tcW w:w="2620" w:type="dxa"/>
            <w:vAlign w:val="bottom"/>
            <w:shd w:val="clear" w:color="auto" w:fill="F4EFE7"/>
          </w:tcPr>
          <w:p>
            <w:pPr>
              <w:jc w:val="center"/>
              <w:spacing w:after="0"/>
              <w:rPr>
                <w:sz w:val="20"/>
                <w:szCs w:val="20"/>
                <w:color w:val="auto"/>
              </w:rPr>
            </w:pPr>
            <w:r>
              <w:rPr>
                <w:rFonts w:ascii="Arial" w:cs="Arial" w:eastAsia="Arial" w:hAnsi="Arial"/>
                <w:sz w:val="15"/>
                <w:szCs w:val="15"/>
                <w:color w:val="auto"/>
              </w:rPr>
              <w:t>Pre-tax income ex. LLR</w:t>
            </w:r>
            <w:r>
              <w:rPr>
                <w:rFonts w:ascii="Arial" w:cs="Arial" w:eastAsia="Arial" w:hAnsi="Arial"/>
                <w:sz w:val="19"/>
                <w:szCs w:val="19"/>
                <w:color w:val="auto"/>
                <w:vertAlign w:val="superscript"/>
              </w:rPr>
              <w:t>1</w:t>
            </w:r>
          </w:p>
        </w:tc>
        <w:tc>
          <w:tcPr>
            <w:tcW w:w="180" w:type="dxa"/>
            <w:vAlign w:val="bottom"/>
          </w:tcPr>
          <w:p>
            <w:pPr>
              <w:spacing w:after="0"/>
              <w:rPr>
                <w:sz w:val="24"/>
                <w:szCs w:val="24"/>
                <w:color w:val="auto"/>
              </w:rPr>
            </w:pPr>
          </w:p>
        </w:tc>
        <w:tc>
          <w:tcPr>
            <w:tcW w:w="2620" w:type="dxa"/>
            <w:vAlign w:val="bottom"/>
            <w:shd w:val="clear" w:color="auto" w:fill="F4EFE7"/>
          </w:tcPr>
          <w:p>
            <w:pPr>
              <w:jc w:val="center"/>
              <w:spacing w:after="0"/>
              <w:rPr>
                <w:sz w:val="20"/>
                <w:szCs w:val="20"/>
                <w:color w:val="auto"/>
              </w:rPr>
            </w:pPr>
            <w:r>
              <w:rPr>
                <w:rFonts w:ascii="Arial" w:cs="Arial" w:eastAsia="Arial" w:hAnsi="Arial"/>
                <w:sz w:val="15"/>
                <w:szCs w:val="15"/>
                <w:color w:val="auto"/>
              </w:rPr>
              <w:t>Net income</w:t>
            </w:r>
          </w:p>
        </w:tc>
        <w:tc>
          <w:tcPr>
            <w:tcW w:w="180" w:type="dxa"/>
            <w:vAlign w:val="bottom"/>
          </w:tcPr>
          <w:p>
            <w:pPr>
              <w:spacing w:after="0"/>
              <w:rPr>
                <w:sz w:val="24"/>
                <w:szCs w:val="24"/>
                <w:color w:val="auto"/>
              </w:rPr>
            </w:pPr>
          </w:p>
        </w:tc>
        <w:tc>
          <w:tcPr>
            <w:tcW w:w="2540" w:type="dxa"/>
            <w:vAlign w:val="bottom"/>
            <w:shd w:val="clear" w:color="auto" w:fill="F4EFE7"/>
          </w:tcPr>
          <w:p>
            <w:pPr>
              <w:ind w:left="980"/>
              <w:spacing w:after="0"/>
              <w:rPr>
                <w:sz w:val="20"/>
                <w:szCs w:val="20"/>
                <w:color w:val="auto"/>
              </w:rPr>
            </w:pPr>
            <w:r>
              <w:rPr>
                <w:rFonts w:ascii="Arial" w:cs="Arial" w:eastAsia="Arial" w:hAnsi="Arial"/>
                <w:sz w:val="15"/>
                <w:szCs w:val="15"/>
                <w:color w:val="auto"/>
              </w:rPr>
              <w:t>ROTCE</w:t>
            </w:r>
            <w:r>
              <w:rPr>
                <w:rFonts w:ascii="Arial" w:cs="Arial" w:eastAsia="Arial" w:hAnsi="Arial"/>
                <w:sz w:val="19"/>
                <w:szCs w:val="19"/>
                <w:color w:val="auto"/>
                <w:vertAlign w:val="superscript"/>
              </w:rPr>
              <w:t>1</w:t>
            </w:r>
          </w:p>
        </w:tc>
      </w:tr>
      <w:tr>
        <w:trPr>
          <w:trHeight w:val="395"/>
        </w:trPr>
        <w:tc>
          <w:tcPr>
            <w:tcW w:w="2540" w:type="dxa"/>
            <w:vAlign w:val="bottom"/>
            <w:shd w:val="clear" w:color="auto" w:fill="F4EFE7"/>
          </w:tcPr>
          <w:p>
            <w:pPr>
              <w:jc w:val="center"/>
              <w:spacing w:after="0"/>
              <w:rPr>
                <w:sz w:val="20"/>
                <w:szCs w:val="20"/>
                <w:color w:val="auto"/>
              </w:rPr>
            </w:pPr>
            <w:r>
              <w:rPr>
                <w:rFonts w:ascii="Arial" w:cs="Arial" w:eastAsia="Arial" w:hAnsi="Arial"/>
                <w:sz w:val="14"/>
                <w:szCs w:val="14"/>
                <w:i w:val="1"/>
                <w:iCs w:val="1"/>
                <w:color w:val="auto"/>
              </w:rPr>
              <w:t>8</w:t>
            </w:r>
            <w:r>
              <w:rPr>
                <w:rFonts w:ascii="Arial" w:cs="Arial" w:eastAsia="Arial" w:hAnsi="Arial"/>
                <w:sz w:val="18"/>
                <w:szCs w:val="18"/>
                <w:i w:val="1"/>
                <w:iCs w:val="1"/>
                <w:color w:val="auto"/>
                <w:vertAlign w:val="superscript"/>
              </w:rPr>
              <w:t>th</w:t>
            </w:r>
            <w:r>
              <w:rPr>
                <w:rFonts w:ascii="Arial" w:cs="Arial" w:eastAsia="Arial" w:hAnsi="Arial"/>
                <w:sz w:val="14"/>
                <w:szCs w:val="14"/>
                <w:i w:val="1"/>
                <w:iCs w:val="1"/>
                <w:color w:val="auto"/>
              </w:rPr>
              <w:t xml:space="preserve"> consecutive record year</w:t>
            </w:r>
          </w:p>
        </w:tc>
        <w:tc>
          <w:tcPr>
            <w:tcW w:w="200" w:type="dxa"/>
            <w:vAlign w:val="bottom"/>
          </w:tcPr>
          <w:p>
            <w:pPr>
              <w:spacing w:after="0"/>
              <w:rPr>
                <w:sz w:val="24"/>
                <w:szCs w:val="24"/>
                <w:color w:val="auto"/>
              </w:rPr>
            </w:pPr>
          </w:p>
        </w:tc>
        <w:tc>
          <w:tcPr>
            <w:tcW w:w="2620" w:type="dxa"/>
            <w:vAlign w:val="bottom"/>
            <w:shd w:val="clear" w:color="auto" w:fill="F4EFE7"/>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shd w:val="clear" w:color="auto" w:fill="F4EFE7"/>
          </w:tcPr>
          <w:p>
            <w:pPr>
              <w:jc w:val="center"/>
              <w:spacing w:after="0"/>
              <w:rPr>
                <w:sz w:val="20"/>
                <w:szCs w:val="20"/>
                <w:color w:val="auto"/>
              </w:rPr>
            </w:pPr>
            <w:r>
              <w:rPr>
                <w:rFonts w:ascii="Arial" w:cs="Arial" w:eastAsia="Arial" w:hAnsi="Arial"/>
                <w:sz w:val="14"/>
                <w:szCs w:val="14"/>
                <w:i w:val="1"/>
                <w:iCs w:val="1"/>
                <w:color w:val="auto"/>
              </w:rPr>
              <w:t>or $20.02 per share</w:t>
            </w:r>
          </w:p>
        </w:tc>
        <w:tc>
          <w:tcPr>
            <w:tcW w:w="180" w:type="dxa"/>
            <w:vAlign w:val="bottom"/>
          </w:tcPr>
          <w:p>
            <w:pPr>
              <w:spacing w:after="0"/>
              <w:rPr>
                <w:sz w:val="24"/>
                <w:szCs w:val="24"/>
                <w:color w:val="auto"/>
              </w:rPr>
            </w:pPr>
          </w:p>
        </w:tc>
        <w:tc>
          <w:tcPr>
            <w:tcW w:w="2540" w:type="dxa"/>
            <w:vAlign w:val="bottom"/>
            <w:shd w:val="clear" w:color="auto" w:fill="F4EFE7"/>
          </w:tcPr>
          <w:p>
            <w:pPr>
              <w:spacing w:after="0"/>
              <w:rPr>
                <w:sz w:val="24"/>
                <w:szCs w:val="24"/>
                <w:color w:val="auto"/>
              </w:rPr>
            </w:pPr>
          </w:p>
        </w:tc>
      </w:tr>
      <w:tr>
        <w:trPr>
          <w:trHeight w:val="207"/>
        </w:trPr>
        <w:tc>
          <w:tcPr>
            <w:tcW w:w="2540" w:type="dxa"/>
            <w:vAlign w:val="bottom"/>
            <w:shd w:val="clear" w:color="auto" w:fill="F4EFE7"/>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shd w:val="clear" w:color="auto" w:fill="F4EFE7"/>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shd w:val="clear" w:color="auto" w:fill="F4EFE7"/>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shd w:val="clear" w:color="auto" w:fill="F4EFE7"/>
          </w:tcPr>
          <w:p>
            <w:pPr>
              <w:spacing w:after="0"/>
              <w:rPr>
                <w:sz w:val="18"/>
                <w:szCs w:val="18"/>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summary of the qualitative factors the CMDC considered in assessing OC members’ 2025 performance is provided below.</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8F5A39"/>
        </w:rPr>
        <w:t>Client/Customer/Stakeholder</w:t>
      </w:r>
    </w:p>
    <w:p>
      <w:pPr>
        <w:spacing w:after="0" w:line="207" w:lineRule="exact"/>
        <w:rPr>
          <w:sz w:val="20"/>
          <w:szCs w:val="20"/>
          <w:color w:val="auto"/>
        </w:rPr>
      </w:pPr>
    </w:p>
    <w:p>
      <w:pPr>
        <w:ind w:left="360" w:right="1000" w:hanging="186"/>
        <w:spacing w:after="0" w:line="255" w:lineRule="auto"/>
        <w:tabs>
          <w:tab w:leader="none" w:pos="344" w:val="left"/>
        </w:tabs>
        <w:numPr>
          <w:ilvl w:val="0"/>
          <w:numId w:val="141"/>
        </w:numPr>
        <w:rPr>
          <w:rFonts w:ascii="Arial" w:cs="Arial" w:eastAsia="Arial" w:hAnsi="Arial"/>
          <w:sz w:val="16"/>
          <w:szCs w:val="16"/>
          <w:b w:val="1"/>
          <w:bCs w:val="1"/>
          <w:color w:val="auto"/>
        </w:rPr>
      </w:pPr>
      <w:r>
        <w:rPr>
          <w:rFonts w:ascii="Arial" w:cs="Arial" w:eastAsia="Arial" w:hAnsi="Arial"/>
          <w:sz w:val="16"/>
          <w:szCs w:val="16"/>
          <w:color w:val="auto"/>
        </w:rPr>
        <w:t>Continued to put clients and customers first by delivering a comprehensive set of products and services, including leveraging cutting-edge AI/Machine Learning ("ML") technology to provide tailored solutions and an intuitive digital experience</w:t>
      </w:r>
    </w:p>
    <w:p>
      <w:pPr>
        <w:ind w:left="360" w:right="840" w:hanging="186"/>
        <w:spacing w:after="0" w:line="263" w:lineRule="auto"/>
        <w:tabs>
          <w:tab w:leader="none" w:pos="344" w:val="left"/>
        </w:tabs>
        <w:numPr>
          <w:ilvl w:val="0"/>
          <w:numId w:val="141"/>
        </w:numPr>
        <w:rPr>
          <w:rFonts w:ascii="Arial" w:cs="Arial" w:eastAsia="Arial" w:hAnsi="Arial"/>
          <w:sz w:val="16"/>
          <w:szCs w:val="16"/>
          <w:b w:val="1"/>
          <w:bCs w:val="1"/>
          <w:color w:val="030303"/>
        </w:rPr>
      </w:pPr>
      <w:r>
        <w:rPr>
          <w:rFonts w:ascii="Arial" w:cs="Arial" w:eastAsia="Arial" w:hAnsi="Arial"/>
          <w:sz w:val="16"/>
          <w:szCs w:val="16"/>
          <w:color w:val="auto"/>
        </w:rPr>
        <w:t>Remained steadfast in driving economic growth, supporting and empowering the communities we serve around the world and engaging with policymakers to support the long-term interests of the Firm and stakeholders</w:t>
      </w:r>
    </w:p>
    <w:p>
      <w:pPr>
        <w:ind w:left="360" w:hanging="186"/>
        <w:spacing w:after="0"/>
        <w:tabs>
          <w:tab w:leader="none" w:pos="360" w:val="left"/>
        </w:tabs>
        <w:numPr>
          <w:ilvl w:val="0"/>
          <w:numId w:val="141"/>
        </w:numPr>
        <w:rPr>
          <w:rFonts w:ascii="Arial" w:cs="Arial" w:eastAsia="Arial" w:hAnsi="Arial"/>
          <w:sz w:val="16"/>
          <w:szCs w:val="16"/>
          <w:b w:val="1"/>
          <w:bCs w:val="1"/>
          <w:color w:val="auto"/>
        </w:rPr>
      </w:pPr>
      <w:r>
        <w:rPr>
          <w:rFonts w:ascii="Arial" w:cs="Arial" w:eastAsia="Arial" w:hAnsi="Arial"/>
          <w:sz w:val="16"/>
          <w:szCs w:val="16"/>
          <w:color w:val="auto"/>
        </w:rPr>
        <w:t>Examples of external recognition</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we received across our leading franchises in 2025 include:</w:t>
      </w:r>
    </w:p>
    <w:p>
      <w:pPr>
        <w:spacing w:after="0" w:line="71" w:lineRule="exact"/>
        <w:rPr>
          <w:sz w:val="20"/>
          <w:szCs w:val="20"/>
          <w:color w:val="auto"/>
        </w:rPr>
      </w:pPr>
    </w:p>
    <w:tbl>
      <w:tblPr>
        <w:tblLayout w:type="fixed"/>
        <w:tblInd w:w="160" w:type="dxa"/>
        <w:tblCellMar>
          <w:top w:w="0" w:type="dxa"/>
          <w:left w:w="0" w:type="dxa"/>
          <w:bottom w:w="0" w:type="dxa"/>
          <w:right w:w="0" w:type="dxa"/>
        </w:tblCellMar>
      </w:tblPr>
      <w:tr>
        <w:trPr>
          <w:trHeight w:val="350"/>
        </w:trPr>
        <w:tc>
          <w:tcPr>
            <w:tcW w:w="3440" w:type="dxa"/>
            <w:vAlign w:val="bottom"/>
            <w:shd w:val="clear" w:color="auto" w:fill="F4EFE7"/>
          </w:tcPr>
          <w:p>
            <w:pPr>
              <w:jc w:val="center"/>
              <w:spacing w:after="0"/>
              <w:rPr>
                <w:sz w:val="20"/>
                <w:szCs w:val="20"/>
                <w:color w:val="auto"/>
              </w:rPr>
            </w:pPr>
            <w:r>
              <w:rPr>
                <w:rFonts w:ascii="Arial" w:cs="Arial" w:eastAsia="Arial" w:hAnsi="Arial"/>
                <w:sz w:val="27"/>
                <w:szCs w:val="27"/>
                <w:color w:val="8F5A39"/>
                <w:w w:val="98"/>
              </w:rPr>
              <w:t>CCB</w:t>
            </w:r>
          </w:p>
        </w:tc>
        <w:tc>
          <w:tcPr>
            <w:tcW w:w="160" w:type="dxa"/>
            <w:vAlign w:val="bottom"/>
          </w:tcPr>
          <w:p>
            <w:pPr>
              <w:spacing w:after="0"/>
              <w:rPr>
                <w:sz w:val="24"/>
                <w:szCs w:val="24"/>
                <w:color w:val="auto"/>
              </w:rPr>
            </w:pPr>
          </w:p>
        </w:tc>
        <w:tc>
          <w:tcPr>
            <w:tcW w:w="3680" w:type="dxa"/>
            <w:vAlign w:val="bottom"/>
            <w:shd w:val="clear" w:color="auto" w:fill="F4EFE7"/>
          </w:tcPr>
          <w:p>
            <w:pPr>
              <w:jc w:val="center"/>
              <w:spacing w:after="0"/>
              <w:rPr>
                <w:sz w:val="20"/>
                <w:szCs w:val="20"/>
                <w:color w:val="auto"/>
              </w:rPr>
            </w:pPr>
            <w:r>
              <w:rPr>
                <w:rFonts w:ascii="Arial" w:cs="Arial" w:eastAsia="Arial" w:hAnsi="Arial"/>
                <w:sz w:val="27"/>
                <w:szCs w:val="27"/>
                <w:color w:val="8F5A39"/>
                <w:w w:val="97"/>
              </w:rPr>
              <w:t>CIB</w:t>
            </w:r>
          </w:p>
        </w:tc>
        <w:tc>
          <w:tcPr>
            <w:tcW w:w="160" w:type="dxa"/>
            <w:vAlign w:val="bottom"/>
          </w:tcPr>
          <w:p>
            <w:pPr>
              <w:spacing w:after="0"/>
              <w:rPr>
                <w:sz w:val="24"/>
                <w:szCs w:val="24"/>
                <w:color w:val="auto"/>
              </w:rPr>
            </w:pPr>
          </w:p>
        </w:tc>
        <w:tc>
          <w:tcPr>
            <w:tcW w:w="3460" w:type="dxa"/>
            <w:vAlign w:val="bottom"/>
            <w:shd w:val="clear" w:color="auto" w:fill="F4EFE7"/>
          </w:tcPr>
          <w:p>
            <w:pPr>
              <w:jc w:val="center"/>
              <w:spacing w:after="0"/>
              <w:rPr>
                <w:sz w:val="20"/>
                <w:szCs w:val="20"/>
                <w:color w:val="auto"/>
              </w:rPr>
            </w:pPr>
            <w:r>
              <w:rPr>
                <w:rFonts w:ascii="Arial" w:cs="Arial" w:eastAsia="Arial" w:hAnsi="Arial"/>
                <w:sz w:val="27"/>
                <w:szCs w:val="27"/>
                <w:color w:val="8F5A39"/>
                <w:w w:val="99"/>
              </w:rPr>
              <w:t>AWM</w:t>
            </w:r>
          </w:p>
        </w:tc>
      </w:tr>
      <w:tr>
        <w:trPr>
          <w:trHeight w:val="215"/>
        </w:trPr>
        <w:tc>
          <w:tcPr>
            <w:tcW w:w="3440" w:type="dxa"/>
            <w:vAlign w:val="bottom"/>
            <w:shd w:val="clear" w:color="auto" w:fill="F4EFE7"/>
          </w:tcPr>
          <w:p>
            <w:pPr>
              <w:jc w:val="center"/>
              <w:spacing w:after="0"/>
              <w:rPr>
                <w:sz w:val="20"/>
                <w:szCs w:val="20"/>
                <w:color w:val="auto"/>
              </w:rPr>
            </w:pPr>
            <w:r>
              <w:rPr>
                <w:rFonts w:ascii="Arial" w:cs="Arial" w:eastAsia="Arial" w:hAnsi="Arial"/>
                <w:sz w:val="16"/>
                <w:szCs w:val="16"/>
                <w:color w:val="auto"/>
              </w:rPr>
              <w:t>#1 U.S. Retail Deposit Market Share</w:t>
            </w:r>
          </w:p>
        </w:tc>
        <w:tc>
          <w:tcPr>
            <w:tcW w:w="160" w:type="dxa"/>
            <w:vAlign w:val="bottom"/>
          </w:tcPr>
          <w:p>
            <w:pPr>
              <w:spacing w:after="0"/>
              <w:rPr>
                <w:sz w:val="18"/>
                <w:szCs w:val="18"/>
                <w:color w:val="auto"/>
              </w:rPr>
            </w:pPr>
          </w:p>
        </w:tc>
        <w:tc>
          <w:tcPr>
            <w:tcW w:w="3680" w:type="dxa"/>
            <w:vAlign w:val="bottom"/>
            <w:shd w:val="clear" w:color="auto" w:fill="F4EFE7"/>
          </w:tcPr>
          <w:p>
            <w:pPr>
              <w:jc w:val="center"/>
              <w:spacing w:after="0"/>
              <w:rPr>
                <w:sz w:val="20"/>
                <w:szCs w:val="20"/>
                <w:color w:val="auto"/>
              </w:rPr>
            </w:pPr>
            <w:r>
              <w:rPr>
                <w:rFonts w:ascii="Arial" w:cs="Arial" w:eastAsia="Arial" w:hAnsi="Arial"/>
                <w:sz w:val="16"/>
                <w:szCs w:val="16"/>
                <w:color w:val="auto"/>
              </w:rPr>
              <w:t>#1 Markets revenue and global IB fees</w:t>
            </w:r>
          </w:p>
        </w:tc>
        <w:tc>
          <w:tcPr>
            <w:tcW w:w="160" w:type="dxa"/>
            <w:vAlign w:val="bottom"/>
          </w:tcPr>
          <w:p>
            <w:pPr>
              <w:spacing w:after="0"/>
              <w:rPr>
                <w:sz w:val="18"/>
                <w:szCs w:val="18"/>
                <w:color w:val="auto"/>
              </w:rPr>
            </w:pPr>
          </w:p>
        </w:tc>
        <w:tc>
          <w:tcPr>
            <w:tcW w:w="3460" w:type="dxa"/>
            <w:vAlign w:val="bottom"/>
            <w:shd w:val="clear" w:color="auto" w:fill="F4EFE7"/>
          </w:tcPr>
          <w:p>
            <w:pPr>
              <w:jc w:val="center"/>
              <w:spacing w:after="0"/>
              <w:rPr>
                <w:sz w:val="20"/>
                <w:szCs w:val="20"/>
                <w:color w:val="auto"/>
              </w:rPr>
            </w:pPr>
            <w:r>
              <w:rPr>
                <w:rFonts w:ascii="Arial" w:cs="Arial" w:eastAsia="Arial" w:hAnsi="Arial"/>
                <w:sz w:val="16"/>
                <w:szCs w:val="16"/>
                <w:color w:val="auto"/>
              </w:rPr>
              <w:t>#1 Active Flows</w:t>
            </w:r>
          </w:p>
        </w:tc>
      </w:tr>
      <w:tr>
        <w:trPr>
          <w:trHeight w:val="123"/>
        </w:trPr>
        <w:tc>
          <w:tcPr>
            <w:tcW w:w="3440" w:type="dxa"/>
            <w:vAlign w:val="bottom"/>
            <w:shd w:val="clear" w:color="auto" w:fill="F4EFE7"/>
          </w:tcPr>
          <w:p>
            <w:pPr>
              <w:spacing w:after="0"/>
              <w:rPr>
                <w:sz w:val="10"/>
                <w:szCs w:val="10"/>
                <w:color w:val="auto"/>
              </w:rPr>
            </w:pPr>
          </w:p>
        </w:tc>
        <w:tc>
          <w:tcPr>
            <w:tcW w:w="160" w:type="dxa"/>
            <w:vAlign w:val="bottom"/>
          </w:tcPr>
          <w:p>
            <w:pPr>
              <w:spacing w:after="0"/>
              <w:rPr>
                <w:sz w:val="10"/>
                <w:szCs w:val="10"/>
                <w:color w:val="auto"/>
              </w:rPr>
            </w:pPr>
          </w:p>
        </w:tc>
        <w:tc>
          <w:tcPr>
            <w:tcW w:w="3680" w:type="dxa"/>
            <w:vAlign w:val="bottom"/>
            <w:shd w:val="clear" w:color="auto" w:fill="F4EFE7"/>
          </w:tcPr>
          <w:p>
            <w:pPr>
              <w:spacing w:after="0"/>
              <w:rPr>
                <w:sz w:val="10"/>
                <w:szCs w:val="10"/>
                <w:color w:val="auto"/>
              </w:rPr>
            </w:pPr>
          </w:p>
        </w:tc>
        <w:tc>
          <w:tcPr>
            <w:tcW w:w="160" w:type="dxa"/>
            <w:vAlign w:val="bottom"/>
          </w:tcPr>
          <w:p>
            <w:pPr>
              <w:spacing w:after="0"/>
              <w:rPr>
                <w:sz w:val="10"/>
                <w:szCs w:val="10"/>
                <w:color w:val="auto"/>
              </w:rPr>
            </w:pPr>
          </w:p>
        </w:tc>
        <w:tc>
          <w:tcPr>
            <w:tcW w:w="3460" w:type="dxa"/>
            <w:vAlign w:val="bottom"/>
            <w:shd w:val="clear" w:color="auto" w:fill="F4EFE7"/>
          </w:tcPr>
          <w:p>
            <w:pPr>
              <w:spacing w:after="0"/>
              <w:rPr>
                <w:sz w:val="10"/>
                <w:szCs w:val="10"/>
                <w:color w:val="auto"/>
              </w:rPr>
            </w:pPr>
          </w:p>
        </w:tc>
      </w:tr>
    </w:tbl>
    <w:p>
      <w:pPr>
        <w:spacing w:after="0" w:line="26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8F5A39"/>
        </w:rPr>
        <w:t>Risk, Controls &amp; Conduct</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Continued to focus on:</w:t>
      </w:r>
    </w:p>
    <w:p>
      <w:pPr>
        <w:spacing w:after="0" w:line="32" w:lineRule="exact"/>
        <w:rPr>
          <w:sz w:val="20"/>
          <w:szCs w:val="20"/>
          <w:color w:val="auto"/>
        </w:rPr>
      </w:pPr>
    </w:p>
    <w:p>
      <w:pPr>
        <w:ind w:left="360" w:hanging="186"/>
        <w:spacing w:after="0"/>
        <w:tabs>
          <w:tab w:leader="none" w:pos="360" w:val="left"/>
        </w:tabs>
        <w:numPr>
          <w:ilvl w:val="0"/>
          <w:numId w:val="142"/>
        </w:numPr>
        <w:rPr>
          <w:rFonts w:ascii="Arial" w:cs="Arial" w:eastAsia="Arial" w:hAnsi="Arial"/>
          <w:sz w:val="16"/>
          <w:szCs w:val="16"/>
          <w:b w:val="1"/>
          <w:bCs w:val="1"/>
          <w:color w:val="auto"/>
        </w:rPr>
      </w:pPr>
      <w:r>
        <w:rPr>
          <w:rFonts w:ascii="Arial" w:cs="Arial" w:eastAsia="Arial" w:hAnsi="Arial"/>
          <w:sz w:val="16"/>
          <w:szCs w:val="16"/>
          <w:color w:val="auto"/>
        </w:rPr>
        <w:t>Managing key risks to the Firm and maintaining strong risk discipline and a satisfactory risk and controls environment across the organization</w:t>
      </w:r>
    </w:p>
    <w:p>
      <w:pPr>
        <w:spacing w:after="0" w:line="38" w:lineRule="exact"/>
        <w:rPr>
          <w:rFonts w:ascii="Arial" w:cs="Arial" w:eastAsia="Arial" w:hAnsi="Arial"/>
          <w:sz w:val="16"/>
          <w:szCs w:val="16"/>
          <w:b w:val="1"/>
          <w:bCs w:val="1"/>
          <w:color w:val="auto"/>
        </w:rPr>
      </w:pPr>
    </w:p>
    <w:p>
      <w:pPr>
        <w:ind w:left="360" w:right="240" w:hanging="186"/>
        <w:spacing w:after="0" w:line="251" w:lineRule="auto"/>
        <w:tabs>
          <w:tab w:leader="none" w:pos="34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Investing significantly in our technologies and cyber defense capabilities to mitigate risk, including through public and private sector partnerships that enhance our resiliency</w:t>
      </w:r>
    </w:p>
    <w:p>
      <w:pPr>
        <w:ind w:left="360" w:hanging="186"/>
        <w:spacing w:after="0"/>
        <w:tabs>
          <w:tab w:leader="none" w:pos="3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Setting the standards of leadership and manager expectations to drive the Firm’s culture, consistent with our Business Principles</w:t>
      </w:r>
    </w:p>
    <w:p>
      <w:pPr>
        <w:spacing w:after="0" w:line="355"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8F5A39"/>
        </w:rPr>
        <w:t>Teamwork &amp; Leadership</w:t>
      </w:r>
    </w:p>
    <w:p>
      <w:pPr>
        <w:spacing w:after="0" w:line="207" w:lineRule="exact"/>
        <w:rPr>
          <w:sz w:val="20"/>
          <w:szCs w:val="20"/>
          <w:color w:val="auto"/>
        </w:rPr>
      </w:pPr>
    </w:p>
    <w:p>
      <w:pPr>
        <w:ind w:left="360" w:right="380" w:hanging="186"/>
        <w:spacing w:after="0" w:line="255" w:lineRule="auto"/>
        <w:tabs>
          <w:tab w:leader="none" w:pos="344" w:val="left"/>
        </w:tabs>
        <w:numPr>
          <w:ilvl w:val="0"/>
          <w:numId w:val="143"/>
        </w:numPr>
        <w:rPr>
          <w:rFonts w:ascii="Arial" w:cs="Arial" w:eastAsia="Arial" w:hAnsi="Arial"/>
          <w:sz w:val="16"/>
          <w:szCs w:val="16"/>
          <w:b w:val="1"/>
          <w:bCs w:val="1"/>
          <w:color w:val="auto"/>
        </w:rPr>
      </w:pPr>
      <w:r>
        <w:rPr>
          <w:rFonts w:ascii="Arial" w:cs="Arial" w:eastAsia="Arial" w:hAnsi="Arial"/>
          <w:sz w:val="16"/>
          <w:szCs w:val="16"/>
          <w:color w:val="auto"/>
        </w:rPr>
        <w:t>Fostered a culture of respect, inclusion and performance-based accountability that encourages innovation, creativity and productivity, supported by continued investment in collaborative work environments for our employees</w:t>
      </w:r>
    </w:p>
    <w:p>
      <w:pPr>
        <w:ind w:left="360" w:hanging="186"/>
        <w:spacing w:after="0"/>
        <w:tabs>
          <w:tab w:leader="none" w:pos="360" w:val="left"/>
        </w:tabs>
        <w:numPr>
          <w:ilvl w:val="0"/>
          <w:numId w:val="143"/>
        </w:numPr>
        <w:rPr>
          <w:rFonts w:ascii="Arial" w:cs="Arial" w:eastAsia="Arial" w:hAnsi="Arial"/>
          <w:sz w:val="16"/>
          <w:szCs w:val="16"/>
          <w:b w:val="1"/>
          <w:bCs w:val="1"/>
          <w:color w:val="auto"/>
        </w:rPr>
      </w:pPr>
      <w:r>
        <w:rPr>
          <w:rFonts w:ascii="Arial" w:cs="Arial" w:eastAsia="Arial" w:hAnsi="Arial"/>
          <w:sz w:val="16"/>
          <w:szCs w:val="16"/>
          <w:color w:val="auto"/>
        </w:rPr>
        <w:t>Recognized as an employer of choice through our competitive recruitment, training, compensation and benefits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right="200" w:hanging="192"/>
        <w:spacing w:after="0" w:line="194" w:lineRule="auto"/>
        <w:tabs>
          <w:tab w:leader="none" w:pos="206" w:val="left"/>
        </w:tabs>
        <w:numPr>
          <w:ilvl w:val="0"/>
          <w:numId w:val="144"/>
        </w:numPr>
        <w:rPr>
          <w:rFonts w:ascii="Arial" w:cs="Arial" w:eastAsia="Arial" w:hAnsi="Arial"/>
          <w:sz w:val="19"/>
          <w:szCs w:val="19"/>
          <w:color w:val="auto"/>
          <w:vertAlign w:val="superscript"/>
        </w:rPr>
      </w:pPr>
      <w:r>
        <w:rPr>
          <w:rFonts w:ascii="Arial" w:cs="Arial" w:eastAsia="Arial" w:hAnsi="Arial"/>
          <w:sz w:val="13"/>
          <w:szCs w:val="13"/>
          <w:color w:val="auto"/>
        </w:rPr>
        <w:t>The Firm reviews the results of the Firm on a managed basis. Managed Revenue, Pre-Tax Income (ex. LLR) and ROTCE are each non-GAAP financial measures. Refer to Notes 1 and 2 on page 103 for a further discussion of these measures.</w:t>
      </w:r>
    </w:p>
    <w:p>
      <w:pPr>
        <w:ind w:left="200" w:hanging="192"/>
        <w:spacing w:after="0" w:line="196" w:lineRule="auto"/>
        <w:tabs>
          <w:tab w:leader="none" w:pos="200" w:val="left"/>
        </w:tabs>
        <w:numPr>
          <w:ilvl w:val="0"/>
          <w:numId w:val="145"/>
        </w:numPr>
        <w:rPr>
          <w:rFonts w:ascii="Arial" w:cs="Arial" w:eastAsia="Arial" w:hAnsi="Arial"/>
          <w:sz w:val="19"/>
          <w:szCs w:val="19"/>
          <w:color w:val="auto"/>
          <w:vertAlign w:val="superscript"/>
        </w:rPr>
      </w:pPr>
      <w:r>
        <w:rPr>
          <w:rFonts w:ascii="Arial" w:cs="Arial" w:eastAsia="Arial" w:hAnsi="Arial"/>
          <w:sz w:val="13"/>
          <w:szCs w:val="13"/>
          <w:color w:val="auto"/>
        </w:rPr>
        <w:t>For recognition sources for CCB and CIB refer to page 2, and for AWM source: Public filings, Company websites, Morningstar.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283845</wp:posOffset>
            </wp:positionV>
            <wp:extent cx="651510" cy="857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912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21"/>
          <w:szCs w:val="21"/>
          <w:color w:val="auto"/>
          <w:vertAlign w:val="superscript"/>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6515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2"/>
          <w:szCs w:val="22"/>
          <w:color w:val="8F5A39"/>
        </w:rPr>
        <w:t>How performance determined pay in 2025</w:t>
      </w:r>
    </w:p>
    <w:p>
      <w:pPr>
        <w:ind w:left="120"/>
        <w:spacing w:after="0"/>
        <w:rPr>
          <w:sz w:val="20"/>
          <w:szCs w:val="20"/>
          <w:color w:val="auto"/>
        </w:rPr>
      </w:pPr>
      <w:r>
        <w:rPr>
          <w:rFonts w:ascii="Arial" w:cs="Arial" w:eastAsia="Arial" w:hAnsi="Arial"/>
          <w:sz w:val="22"/>
          <w:szCs w:val="22"/>
          <w:color w:val="8F5A39"/>
        </w:rPr>
        <w:t>03</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Pages 56-61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Pay decisions are based on current year and long-term performance, which is driven by the Firm’s ongoing investments</w:t>
      </w:r>
    </w:p>
    <w:p>
      <w:pPr>
        <w:spacing w:after="0" w:line="54" w:lineRule="exact"/>
        <w:rPr>
          <w:sz w:val="20"/>
          <w:szCs w:val="20"/>
          <w:color w:val="auto"/>
        </w:rPr>
      </w:pPr>
    </w:p>
    <w:p>
      <w:pPr>
        <w:ind w:left="20" w:right="2200"/>
        <w:spacing w:after="0" w:line="268" w:lineRule="auto"/>
        <w:rPr>
          <w:sz w:val="20"/>
          <w:szCs w:val="20"/>
          <w:color w:val="auto"/>
        </w:rPr>
      </w:pPr>
      <w:r>
        <w:rPr>
          <w:rFonts w:ascii="Arial" w:cs="Arial" w:eastAsia="Arial" w:hAnsi="Arial"/>
          <w:sz w:val="16"/>
          <w:szCs w:val="16"/>
          <w:color w:val="auto"/>
        </w:rPr>
        <w:t>In addition to considering 2025 performance, including the factors on the prior page, the CMDC continues to assess long-term performance as part of its balanced and holistic review. The CMDC considered, in part,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-242570</wp:posOffset>
            </wp:positionV>
            <wp:extent cx="822960" cy="8229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8" w:lineRule="exact"/>
        <w:rPr>
          <w:sz w:val="20"/>
          <w:szCs w:val="20"/>
          <w:color w:val="auto"/>
        </w:rPr>
      </w:pPr>
    </w:p>
    <w:p>
      <w:pPr>
        <w:ind w:left="200" w:hanging="174"/>
        <w:spacing w:after="0"/>
        <w:tabs>
          <w:tab w:leader="none" w:pos="200"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Exceptional Performance: </w:t>
      </w:r>
      <w:r>
        <w:rPr>
          <w:rFonts w:ascii="Arial" w:cs="Arial" w:eastAsia="Arial" w:hAnsi="Arial"/>
          <w:sz w:val="16"/>
          <w:szCs w:val="16"/>
          <w:color w:val="auto"/>
        </w:rPr>
        <w:t>the Firm’s sustained strong relative outperformance compared to its peers</w:t>
      </w:r>
    </w:p>
    <w:p>
      <w:pPr>
        <w:spacing w:after="0" w:line="45" w:lineRule="exact"/>
        <w:rPr>
          <w:rFonts w:ascii="Arial" w:cs="Arial" w:eastAsia="Arial" w:hAnsi="Arial"/>
          <w:sz w:val="16"/>
          <w:szCs w:val="16"/>
          <w:b w:val="1"/>
          <w:bCs w:val="1"/>
          <w:color w:val="auto"/>
        </w:rPr>
      </w:pPr>
    </w:p>
    <w:p>
      <w:pPr>
        <w:ind w:left="200" w:hanging="174"/>
        <w:spacing w:after="0"/>
        <w:tabs>
          <w:tab w:leader="none" w:pos="200"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Scope: </w:t>
      </w:r>
      <w:r>
        <w:rPr>
          <w:rFonts w:ascii="Arial" w:cs="Arial" w:eastAsia="Arial" w:hAnsi="Arial"/>
          <w:sz w:val="16"/>
          <w:szCs w:val="16"/>
          <w:color w:val="auto"/>
        </w:rPr>
        <w:t>our larger size, scale, complexity and global reach</w:t>
      </w:r>
    </w:p>
    <w:p>
      <w:pPr>
        <w:spacing w:after="0" w:line="45" w:lineRule="exact"/>
        <w:rPr>
          <w:rFonts w:ascii="Arial" w:cs="Arial" w:eastAsia="Arial" w:hAnsi="Arial"/>
          <w:sz w:val="16"/>
          <w:szCs w:val="16"/>
          <w:b w:val="1"/>
          <w:bCs w:val="1"/>
          <w:color w:val="auto"/>
        </w:rPr>
      </w:pPr>
    </w:p>
    <w:p>
      <w:pPr>
        <w:ind w:left="220" w:right="2180" w:hanging="194"/>
        <w:spacing w:after="0" w:line="286" w:lineRule="auto"/>
        <w:tabs>
          <w:tab w:leader="none" w:pos="204"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Pay-for-Performance Alignment: </w:t>
      </w:r>
      <w:r>
        <w:rPr>
          <w:rFonts w:ascii="Arial" w:cs="Arial" w:eastAsia="Arial" w:hAnsi="Arial"/>
          <w:sz w:val="16"/>
          <w:szCs w:val="16"/>
          <w:color w:val="auto"/>
        </w:rPr>
        <w:t>Mr. Dimon’s annual compensation continues to demonstrate strong pay-for-performance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alignment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40" w:type="dxa"/>
            <w:vAlign w:val="bottom"/>
            <w:gridSpan w:val="4"/>
          </w:tcPr>
          <w:p>
            <w:pPr>
              <w:ind w:left="20"/>
              <w:spacing w:after="0"/>
              <w:rPr>
                <w:sz w:val="20"/>
                <w:szCs w:val="20"/>
                <w:color w:val="auto"/>
              </w:rPr>
            </w:pPr>
            <w:r>
              <w:rPr>
                <w:rFonts w:ascii="Arial" w:cs="Arial" w:eastAsia="Arial" w:hAnsi="Arial"/>
                <w:sz w:val="16"/>
                <w:szCs w:val="16"/>
                <w:color w:val="auto"/>
              </w:rPr>
              <w:t>Below are examples of the long-term performance factors the CMDC considered as part of its determination of Mr. Dimon’s 2025</w:t>
            </w:r>
          </w:p>
        </w:tc>
        <w:tc>
          <w:tcPr>
            <w:tcW w:w="0" w:type="dxa"/>
            <w:vAlign w:val="bottom"/>
          </w:tcPr>
          <w:p>
            <w:pPr>
              <w:spacing w:after="0"/>
              <w:rPr>
                <w:sz w:val="1"/>
                <w:szCs w:val="1"/>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annual compensation of $43 million.</w:t>
            </w:r>
          </w:p>
        </w:tc>
        <w:tc>
          <w:tcPr>
            <w:tcW w:w="160" w:type="dxa"/>
            <w:vAlign w:val="bottom"/>
          </w:tcPr>
          <w:p>
            <w:pPr>
              <w:spacing w:after="0"/>
              <w:rPr>
                <w:sz w:val="18"/>
                <w:szCs w:val="18"/>
                <w:color w:val="auto"/>
              </w:rPr>
            </w:pPr>
          </w:p>
        </w:tc>
        <w:tc>
          <w:tcPr>
            <w:tcW w:w="5600" w:type="dxa"/>
            <w:vAlign w:val="bottom"/>
            <w:gridSpan w:val="2"/>
            <w:vMerge w:val="restart"/>
          </w:tcPr>
          <w:p>
            <w:pPr>
              <w:ind w:left="4140"/>
              <w:spacing w:after="0"/>
              <w:rPr>
                <w:sz w:val="20"/>
                <w:szCs w:val="20"/>
                <w:color w:val="auto"/>
              </w:rPr>
            </w:pPr>
            <w:r>
              <w:rPr>
                <w:rFonts w:ascii="Arial" w:cs="Arial" w:eastAsia="Arial" w:hAnsi="Arial"/>
                <w:sz w:val="16"/>
                <w:szCs w:val="16"/>
                <w:b w:val="1"/>
                <w:bCs w:val="1"/>
                <w:color w:val="8F5A39"/>
              </w:rPr>
              <w:t>James Dimon</w:t>
            </w: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54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5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5480" w:type="dxa"/>
            <w:vAlign w:val="bottom"/>
            <w:shd w:val="clear" w:color="auto" w:fill="F4EFE7"/>
          </w:tcPr>
          <w:p>
            <w:pPr>
              <w:ind w:left="20"/>
              <w:spacing w:after="0"/>
              <w:rPr>
                <w:sz w:val="20"/>
                <w:szCs w:val="20"/>
                <w:color w:val="auto"/>
              </w:rPr>
            </w:pPr>
            <w:r>
              <w:rPr>
                <w:rFonts w:ascii="Arial" w:cs="Arial" w:eastAsia="Arial" w:hAnsi="Arial"/>
                <w:sz w:val="15"/>
                <w:szCs w:val="15"/>
                <w:b w:val="1"/>
                <w:bCs w:val="1"/>
                <w:color w:val="8F5A39"/>
              </w:rPr>
              <w:t>Exceptional ROTCE</w:t>
            </w:r>
            <w:r>
              <w:rPr>
                <w:rFonts w:ascii="Arial" w:cs="Arial" w:eastAsia="Arial" w:hAnsi="Arial"/>
                <w:sz w:val="19"/>
                <w:szCs w:val="19"/>
                <w:b w:val="1"/>
                <w:bCs w:val="1"/>
                <w:color w:val="8F5A39"/>
                <w:vertAlign w:val="superscript"/>
              </w:rPr>
              <w:t>1</w:t>
            </w:r>
            <w:r>
              <w:rPr>
                <w:rFonts w:ascii="Arial" w:cs="Arial" w:eastAsia="Arial" w:hAnsi="Arial"/>
                <w:sz w:val="15"/>
                <w:szCs w:val="15"/>
                <w:b w:val="1"/>
                <w:bCs w:val="1"/>
                <w:color w:val="8F5A39"/>
              </w:rPr>
              <w:t xml:space="preserve"> Performance</w:t>
            </w:r>
          </w:p>
        </w:tc>
        <w:tc>
          <w:tcPr>
            <w:tcW w:w="160" w:type="dxa"/>
            <w:vAlign w:val="bottom"/>
          </w:tcPr>
          <w:p>
            <w:pPr>
              <w:spacing w:after="0"/>
              <w:rPr>
                <w:sz w:val="24"/>
                <w:szCs w:val="24"/>
                <w:color w:val="auto"/>
              </w:rPr>
            </w:pPr>
          </w:p>
        </w:tc>
        <w:tc>
          <w:tcPr>
            <w:tcW w:w="5480" w:type="dxa"/>
            <w:vAlign w:val="bottom"/>
            <w:shd w:val="clear" w:color="auto" w:fill="F4EFE7"/>
          </w:tcPr>
          <w:p>
            <w:pPr>
              <w:spacing w:after="0"/>
              <w:rPr>
                <w:sz w:val="20"/>
                <w:szCs w:val="20"/>
                <w:color w:val="auto"/>
              </w:rPr>
            </w:pPr>
            <w:r>
              <w:rPr>
                <w:rFonts w:ascii="Arial" w:cs="Arial" w:eastAsia="Arial" w:hAnsi="Arial"/>
                <w:sz w:val="15"/>
                <w:szCs w:val="15"/>
                <w:b w:val="1"/>
                <w:bCs w:val="1"/>
                <w:color w:val="8F5A39"/>
              </w:rPr>
              <w:t>Strong Shareholder Returns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480" w:type="dxa"/>
            <w:vAlign w:val="bottom"/>
            <w:shd w:val="clear" w:color="auto" w:fill="F4EFE7"/>
          </w:tcPr>
          <w:p>
            <w:pPr>
              <w:ind w:left="20"/>
              <w:spacing w:after="0"/>
              <w:rPr>
                <w:sz w:val="20"/>
                <w:szCs w:val="20"/>
                <w:color w:val="auto"/>
              </w:rPr>
            </w:pPr>
            <w:r>
              <w:rPr>
                <w:rFonts w:ascii="Arial" w:cs="Arial" w:eastAsia="Arial" w:hAnsi="Arial"/>
                <w:sz w:val="14"/>
                <w:szCs w:val="14"/>
                <w:color w:val="auto"/>
              </w:rPr>
              <w:t>In the past 10 years, achieving reported ROTCE</w:t>
            </w:r>
            <w:r>
              <w:rPr>
                <w:rFonts w:ascii="Arial" w:cs="Arial" w:eastAsia="Arial" w:hAnsi="Arial"/>
                <w:sz w:val="9"/>
                <w:szCs w:val="9"/>
                <w:color w:val="auto"/>
              </w:rPr>
              <w:t>1</w:t>
            </w:r>
            <w:r>
              <w:rPr>
                <w:rFonts w:ascii="Arial" w:cs="Arial" w:eastAsia="Arial" w:hAnsi="Arial"/>
                <w:sz w:val="14"/>
                <w:szCs w:val="14"/>
                <w:color w:val="auto"/>
              </w:rPr>
              <w:t xml:space="preserve"> of ≥18% has been rare amongst</w:t>
            </w:r>
          </w:p>
        </w:tc>
        <w:tc>
          <w:tcPr>
            <w:tcW w:w="160" w:type="dxa"/>
            <w:vAlign w:val="bottom"/>
          </w:tcPr>
          <w:p>
            <w:pPr>
              <w:spacing w:after="0"/>
              <w:rPr>
                <w:sz w:val="24"/>
                <w:szCs w:val="24"/>
                <w:color w:val="auto"/>
              </w:rPr>
            </w:pPr>
          </w:p>
        </w:tc>
        <w:tc>
          <w:tcPr>
            <w:tcW w:w="5480" w:type="dxa"/>
            <w:vAlign w:val="bottom"/>
            <w:shd w:val="clear" w:color="auto" w:fill="F4EFE7"/>
          </w:tcPr>
          <w:p>
            <w:pPr>
              <w:spacing w:after="0"/>
              <w:rPr>
                <w:sz w:val="20"/>
                <w:szCs w:val="20"/>
                <w:color w:val="auto"/>
              </w:rPr>
            </w:pPr>
            <w:r>
              <w:rPr>
                <w:rFonts w:ascii="Arial" w:cs="Arial" w:eastAsia="Arial" w:hAnsi="Arial"/>
                <w:sz w:val="14"/>
                <w:szCs w:val="14"/>
                <w:color w:val="auto"/>
              </w:rPr>
              <w:t>An investment made in JPMorganChase 10 years ago would have significantly</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480" w:type="dxa"/>
            <w:vAlign w:val="bottom"/>
            <w:shd w:val="clear" w:color="auto" w:fill="F4EFE7"/>
          </w:tcPr>
          <w:p>
            <w:pPr>
              <w:ind w:left="20"/>
              <w:spacing w:after="0" w:line="159" w:lineRule="exact"/>
              <w:rPr>
                <w:sz w:val="20"/>
                <w:szCs w:val="20"/>
                <w:color w:val="auto"/>
              </w:rPr>
            </w:pPr>
            <w:r>
              <w:rPr>
                <w:rFonts w:ascii="Arial" w:cs="Arial" w:eastAsia="Arial" w:hAnsi="Arial"/>
                <w:sz w:val="14"/>
                <w:szCs w:val="14"/>
                <w:color w:val="auto"/>
              </w:rPr>
              <w:t>our PSU peers. JPMorganChase achieved it 6 times, and our 10 PSU peers</w:t>
            </w:r>
          </w:p>
        </w:tc>
        <w:tc>
          <w:tcPr>
            <w:tcW w:w="160" w:type="dxa"/>
            <w:vAlign w:val="bottom"/>
          </w:tcPr>
          <w:p>
            <w:pPr>
              <w:spacing w:after="0"/>
              <w:rPr>
                <w:sz w:val="13"/>
                <w:szCs w:val="13"/>
                <w:color w:val="auto"/>
              </w:rPr>
            </w:pPr>
          </w:p>
        </w:tc>
        <w:tc>
          <w:tcPr>
            <w:tcW w:w="5480" w:type="dxa"/>
            <w:vAlign w:val="bottom"/>
            <w:shd w:val="clear" w:color="auto" w:fill="F4EFE7"/>
          </w:tcPr>
          <w:p>
            <w:pPr>
              <w:spacing w:after="0" w:line="159" w:lineRule="exact"/>
              <w:rPr>
                <w:sz w:val="20"/>
                <w:szCs w:val="20"/>
                <w:color w:val="auto"/>
              </w:rPr>
            </w:pPr>
            <w:r>
              <w:rPr>
                <w:rFonts w:ascii="Arial" w:cs="Arial" w:eastAsia="Arial" w:hAnsi="Arial"/>
                <w:sz w:val="14"/>
                <w:szCs w:val="14"/>
                <w:color w:val="auto"/>
              </w:rPr>
              <w:t>outperformed that of the S&amp;P Financials and KBW Bank indices by 297 and 341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480" w:type="dxa"/>
            <w:vAlign w:val="bottom"/>
            <w:shd w:val="clear" w:color="auto" w:fill="F4EFE7"/>
          </w:tcPr>
          <w:p>
            <w:pPr>
              <w:ind w:left="20"/>
              <w:spacing w:after="0"/>
              <w:rPr>
                <w:sz w:val="20"/>
                <w:szCs w:val="20"/>
                <w:color w:val="auto"/>
              </w:rPr>
            </w:pPr>
            <w:r>
              <w:rPr>
                <w:rFonts w:ascii="Arial" w:cs="Arial" w:eastAsia="Arial" w:hAnsi="Arial"/>
                <w:sz w:val="14"/>
                <w:szCs w:val="14"/>
                <w:color w:val="auto"/>
              </w:rPr>
              <w:t>combined have only achieved it 8 times</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5480" w:type="dxa"/>
            <w:vAlign w:val="bottom"/>
            <w:shd w:val="clear" w:color="auto" w:fill="F4EFE7"/>
          </w:tcPr>
          <w:p>
            <w:pPr>
              <w:spacing w:after="0"/>
              <w:rPr>
                <w:sz w:val="20"/>
                <w:szCs w:val="20"/>
                <w:color w:val="auto"/>
              </w:rPr>
            </w:pPr>
            <w:r>
              <w:rPr>
                <w:rFonts w:ascii="Arial" w:cs="Arial" w:eastAsia="Arial" w:hAnsi="Arial"/>
                <w:sz w:val="14"/>
                <w:szCs w:val="14"/>
                <w:color w:val="auto"/>
              </w:rPr>
              <w:t>percentage points, respectively.</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5480" w:type="dxa"/>
            <w:vAlign w:val="bottom"/>
            <w:shd w:val="clear" w:color="auto" w:fill="F4EFE7"/>
          </w:tcPr>
          <w:p>
            <w:pPr>
              <w:spacing w:after="0"/>
              <w:rPr>
                <w:sz w:val="8"/>
                <w:szCs w:val="8"/>
                <w:color w:val="auto"/>
              </w:rPr>
            </w:pPr>
          </w:p>
        </w:tc>
        <w:tc>
          <w:tcPr>
            <w:tcW w:w="160" w:type="dxa"/>
            <w:vAlign w:val="bottom"/>
          </w:tcPr>
          <w:p>
            <w:pPr>
              <w:spacing w:after="0"/>
              <w:rPr>
                <w:sz w:val="8"/>
                <w:szCs w:val="8"/>
                <w:color w:val="auto"/>
              </w:rPr>
            </w:pPr>
          </w:p>
        </w:tc>
        <w:tc>
          <w:tcPr>
            <w:tcW w:w="5480" w:type="dxa"/>
            <w:vAlign w:val="bottom"/>
            <w:shd w:val="clear" w:color="auto" w:fill="F4EFE7"/>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5480" w:type="dxa"/>
            <w:vAlign w:val="bottom"/>
          </w:tcPr>
          <w:p>
            <w:pPr>
              <w:spacing w:after="0"/>
              <w:rPr>
                <w:sz w:val="20"/>
                <w:szCs w:val="20"/>
                <w:color w:val="auto"/>
              </w:rPr>
            </w:pPr>
            <w:r>
              <w:rPr>
                <w:rFonts w:ascii="Arial" w:cs="Arial" w:eastAsia="Arial" w:hAnsi="Arial"/>
                <w:sz w:val="13"/>
                <w:szCs w:val="13"/>
                <w:b w:val="1"/>
                <w:bCs w:val="1"/>
                <w:color w:val="auto"/>
              </w:rPr>
              <w:t>YEARS OF EXCEPTIONAL (≥18%) ROTCE</w:t>
            </w:r>
            <w:r>
              <w:rPr>
                <w:rFonts w:ascii="Arial" w:cs="Arial" w:eastAsia="Arial" w:hAnsi="Arial"/>
                <w:sz w:val="17"/>
                <w:szCs w:val="17"/>
                <w:b w:val="1"/>
                <w:bCs w:val="1"/>
                <w:color w:val="auto"/>
                <w:vertAlign w:val="superscript"/>
              </w:rPr>
              <w:t>1</w:t>
            </w:r>
            <w:r>
              <w:rPr>
                <w:rFonts w:ascii="Arial" w:cs="Arial" w:eastAsia="Arial" w:hAnsi="Arial"/>
                <w:sz w:val="13"/>
                <w:szCs w:val="13"/>
                <w:b w:val="1"/>
                <w:bCs w:val="1"/>
                <w:color w:val="auto"/>
              </w:rPr>
              <w:t xml:space="preserve"> PERFORMANCE</w:t>
            </w:r>
          </w:p>
        </w:tc>
        <w:tc>
          <w:tcPr>
            <w:tcW w:w="5760" w:type="dxa"/>
            <w:vAlign w:val="bottom"/>
            <w:gridSpan w:val="3"/>
          </w:tcPr>
          <w:p>
            <w:pPr>
              <w:ind w:left="160"/>
              <w:spacing w:after="0"/>
              <w:rPr>
                <w:sz w:val="20"/>
                <w:szCs w:val="20"/>
                <w:color w:val="auto"/>
              </w:rPr>
            </w:pPr>
            <w:r>
              <w:rPr>
                <w:rFonts w:ascii="Arial" w:cs="Arial" w:eastAsia="Arial" w:hAnsi="Arial"/>
                <w:sz w:val="13"/>
                <w:szCs w:val="13"/>
                <w:b w:val="1"/>
                <w:bCs w:val="1"/>
                <w:color w:val="auto"/>
              </w:rPr>
              <w:t>TOTAL SHAREHOLDER RETURNS (“TSR”)</w:t>
            </w:r>
            <w:r>
              <w:rPr>
                <w:rFonts w:ascii="Arial" w:cs="Arial" w:eastAsia="Arial" w:hAnsi="Arial"/>
                <w:sz w:val="17"/>
                <w:szCs w:val="17"/>
                <w:b w:val="1"/>
                <w:bCs w:val="1"/>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403340" cy="16459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403340" cy="1645920"/>
                    </a:xfrm>
                    <a:prstGeom prst="rect">
                      <a:avLst/>
                    </a:prstGeom>
                    <a:noFill/>
                  </pic:spPr>
                </pic:pic>
              </a:graphicData>
            </a:graphic>
          </wp:anchor>
        </w:drawing>
      </w:r>
    </w:p>
    <w:p>
      <w:pPr>
        <w:sectPr>
          <w:pgSz w:w="11900" w:h="16838" w:orient="portrait"/>
          <w:cols w:equalWidth="0" w:num="1">
            <w:col w:w="11240"/>
          </w:cols>
          <w:pgMar w:left="320" w:top="157" w:right="339" w:bottom="131" w:gutter="0" w:footer="0" w:header="0"/>
        </w:sectPr>
      </w:pPr>
    </w:p>
    <w:p>
      <w:pPr>
        <w:spacing w:after="0" w:line="317" w:lineRule="exact"/>
        <w:rPr>
          <w:sz w:val="20"/>
          <w:szCs w:val="20"/>
          <w:color w:val="auto"/>
        </w:rPr>
      </w:pPr>
    </w:p>
    <w:p>
      <w:pPr>
        <w:jc w:val="right"/>
        <w:spacing w:after="0"/>
        <w:tabs>
          <w:tab w:leader="none" w:pos="3400" w:val="left"/>
          <w:tab w:leader="none" w:pos="3000" w:val="left"/>
          <w:tab w:leader="none" w:pos="2600" w:val="left"/>
          <w:tab w:leader="none" w:pos="2200" w:val="left"/>
          <w:tab w:leader="none" w:pos="1780" w:val="left"/>
          <w:tab w:leader="none" w:pos="1380" w:val="left"/>
          <w:tab w:leader="none" w:pos="980" w:val="left"/>
          <w:tab w:leader="none" w:pos="560" w:val="left"/>
          <w:tab w:leader="none" w:pos="140" w:val="left"/>
        </w:tabs>
        <w:rPr>
          <w:sz w:val="20"/>
          <w:szCs w:val="20"/>
          <w:color w:val="auto"/>
        </w:rPr>
      </w:pPr>
      <w:r>
        <w:rPr>
          <w:rFonts w:ascii="Arial" w:cs="Arial" w:eastAsia="Arial" w:hAnsi="Arial"/>
          <w:sz w:val="13"/>
          <w:szCs w:val="13"/>
          <w:b w:val="1"/>
          <w:bCs w:val="1"/>
          <w:color w:val="173359"/>
        </w:rPr>
        <w:t>2016</w:t>
        <w:tab/>
        <w:t>'17</w:t>
      </w:r>
      <w:r>
        <w:rPr>
          <w:sz w:val="20"/>
          <w:szCs w:val="20"/>
          <w:color w:val="auto"/>
        </w:rPr>
        <w:tab/>
      </w:r>
      <w:r>
        <w:rPr>
          <w:rFonts w:ascii="Arial" w:cs="Arial" w:eastAsia="Arial" w:hAnsi="Arial"/>
          <w:sz w:val="13"/>
          <w:szCs w:val="13"/>
          <w:b w:val="1"/>
          <w:bCs w:val="1"/>
          <w:color w:val="173359"/>
        </w:rPr>
        <w:t>'18</w:t>
      </w:r>
      <w:r>
        <w:rPr>
          <w:sz w:val="20"/>
          <w:szCs w:val="20"/>
          <w:color w:val="auto"/>
        </w:rPr>
        <w:tab/>
      </w:r>
      <w:r>
        <w:rPr>
          <w:rFonts w:ascii="Arial" w:cs="Arial" w:eastAsia="Arial" w:hAnsi="Arial"/>
          <w:sz w:val="13"/>
          <w:szCs w:val="13"/>
          <w:b w:val="1"/>
          <w:bCs w:val="1"/>
          <w:color w:val="173359"/>
        </w:rPr>
        <w:t>'19</w:t>
      </w:r>
      <w:r>
        <w:rPr>
          <w:sz w:val="20"/>
          <w:szCs w:val="20"/>
          <w:color w:val="auto"/>
        </w:rPr>
        <w:tab/>
      </w:r>
      <w:r>
        <w:rPr>
          <w:rFonts w:ascii="Arial" w:cs="Arial" w:eastAsia="Arial" w:hAnsi="Arial"/>
          <w:sz w:val="13"/>
          <w:szCs w:val="13"/>
          <w:b w:val="1"/>
          <w:bCs w:val="1"/>
          <w:color w:val="173359"/>
        </w:rPr>
        <w:t>'20</w:t>
      </w:r>
      <w:r>
        <w:rPr>
          <w:sz w:val="20"/>
          <w:szCs w:val="20"/>
          <w:color w:val="auto"/>
        </w:rPr>
        <w:tab/>
      </w:r>
      <w:r>
        <w:rPr>
          <w:rFonts w:ascii="Arial" w:cs="Arial" w:eastAsia="Arial" w:hAnsi="Arial"/>
          <w:sz w:val="13"/>
          <w:szCs w:val="13"/>
          <w:b w:val="1"/>
          <w:bCs w:val="1"/>
          <w:color w:val="173359"/>
        </w:rPr>
        <w:t>'21</w:t>
      </w:r>
      <w:r>
        <w:rPr>
          <w:sz w:val="20"/>
          <w:szCs w:val="20"/>
          <w:color w:val="auto"/>
        </w:rPr>
        <w:tab/>
      </w:r>
      <w:r>
        <w:rPr>
          <w:rFonts w:ascii="Arial" w:cs="Arial" w:eastAsia="Arial" w:hAnsi="Arial"/>
          <w:sz w:val="13"/>
          <w:szCs w:val="13"/>
          <w:b w:val="1"/>
          <w:bCs w:val="1"/>
          <w:color w:val="173359"/>
        </w:rPr>
        <w:t>'22</w:t>
      </w:r>
      <w:r>
        <w:rPr>
          <w:sz w:val="20"/>
          <w:szCs w:val="20"/>
          <w:color w:val="auto"/>
        </w:rPr>
        <w:tab/>
      </w:r>
      <w:r>
        <w:rPr>
          <w:rFonts w:ascii="Arial" w:cs="Arial" w:eastAsia="Arial" w:hAnsi="Arial"/>
          <w:sz w:val="13"/>
          <w:szCs w:val="13"/>
          <w:b w:val="1"/>
          <w:bCs w:val="1"/>
          <w:color w:val="173359"/>
        </w:rPr>
        <w:t>'23</w:t>
      </w:r>
      <w:r>
        <w:rPr>
          <w:sz w:val="20"/>
          <w:szCs w:val="20"/>
          <w:color w:val="auto"/>
        </w:rPr>
        <w:tab/>
      </w:r>
      <w:r>
        <w:rPr>
          <w:rFonts w:ascii="Arial" w:cs="Arial" w:eastAsia="Arial" w:hAnsi="Arial"/>
          <w:sz w:val="13"/>
          <w:szCs w:val="13"/>
          <w:b w:val="1"/>
          <w:bCs w:val="1"/>
          <w:color w:val="173359"/>
        </w:rPr>
        <w:t>'24</w:t>
      </w:r>
      <w:r>
        <w:rPr>
          <w:sz w:val="20"/>
          <w:szCs w:val="20"/>
          <w:color w:val="auto"/>
        </w:rPr>
        <w:tab/>
      </w:r>
      <w:r>
        <w:rPr>
          <w:rFonts w:ascii="Arial" w:cs="Arial" w:eastAsia="Arial" w:hAnsi="Arial"/>
          <w:sz w:val="10"/>
          <w:szCs w:val="10"/>
          <w:b w:val="1"/>
          <w:bCs w:val="1"/>
          <w:color w:val="173359"/>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480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53340</wp:posOffset>
            </wp:positionV>
            <wp:extent cx="51435" cy="514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53340</wp:posOffset>
            </wp:positionV>
            <wp:extent cx="51435" cy="514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53340</wp:posOffset>
            </wp:positionV>
            <wp:extent cx="51435" cy="514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53340</wp:posOffset>
            </wp:positionV>
            <wp:extent cx="51435" cy="514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53340</wp:posOffset>
            </wp:positionV>
            <wp:extent cx="51435" cy="514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53340</wp:posOffset>
            </wp:positionV>
            <wp:extent cx="51435" cy="514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53340</wp:posOffset>
            </wp:positionV>
            <wp:extent cx="51435" cy="514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53340</wp:posOffset>
            </wp:positionV>
            <wp:extent cx="51435" cy="514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53340</wp:posOffset>
            </wp:positionV>
            <wp:extent cx="51435" cy="514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53340</wp:posOffset>
            </wp:positionV>
            <wp:extent cx="51435" cy="514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53340</wp:posOffset>
            </wp:positionV>
            <wp:extent cx="51435" cy="514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53340</wp:posOffset>
            </wp:positionV>
            <wp:extent cx="51435" cy="514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53340</wp:posOffset>
            </wp:positionV>
            <wp:extent cx="51435" cy="514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53340</wp:posOffset>
            </wp:positionV>
            <wp:extent cx="51435" cy="514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53340</wp:posOffset>
            </wp:positionV>
            <wp:extent cx="51435" cy="514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53340</wp:posOffset>
            </wp:positionV>
            <wp:extent cx="51435" cy="514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53340</wp:posOffset>
            </wp:positionV>
            <wp:extent cx="51435" cy="514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53340</wp:posOffset>
            </wp:positionV>
            <wp:extent cx="51435" cy="514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53340</wp:posOffset>
            </wp:positionV>
            <wp:extent cx="51435" cy="514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53340</wp:posOffset>
            </wp:positionV>
            <wp:extent cx="51435" cy="514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JPMorganChase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4804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4804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4804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4804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48043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8043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Deutsche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48043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8043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Goldman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48043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8043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4804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48043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UBS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48043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116840</wp:posOffset>
            </wp:positionV>
            <wp:extent cx="51435" cy="514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116840</wp:posOffset>
            </wp:positionV>
            <wp:extent cx="51435" cy="514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116840</wp:posOffset>
            </wp:positionV>
            <wp:extent cx="51435" cy="514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116840</wp:posOffset>
            </wp:positionV>
            <wp:extent cx="51435" cy="514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116840</wp:posOffset>
            </wp:positionV>
            <wp:extent cx="51435" cy="514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116840</wp:posOffset>
            </wp:positionV>
            <wp:extent cx="51435" cy="514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116840</wp:posOffset>
            </wp:positionV>
            <wp:extent cx="51435" cy="514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116840</wp:posOffset>
            </wp:positionV>
            <wp:extent cx="51435" cy="514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116840</wp:posOffset>
            </wp:positionV>
            <wp:extent cx="51435" cy="514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116840</wp:posOffset>
            </wp:positionV>
            <wp:extent cx="51435" cy="514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Wells Fargo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348043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3480435" cy="58293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480435" cy="582930"/>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8F5A39"/>
        </w:rPr>
        <w:t>Substantial Size &amp; Scale</w:t>
      </w:r>
    </w:p>
    <w:p>
      <w:pPr>
        <w:spacing w:after="0" w:line="216" w:lineRule="exact"/>
        <w:rPr>
          <w:sz w:val="20"/>
          <w:szCs w:val="20"/>
          <w:color w:val="auto"/>
        </w:rPr>
      </w:pPr>
    </w:p>
    <w:p>
      <w:pPr>
        <w:ind w:left="20" w:right="40"/>
        <w:spacing w:after="0" w:line="264" w:lineRule="auto"/>
        <w:rPr>
          <w:sz w:val="20"/>
          <w:szCs w:val="20"/>
          <w:color w:val="auto"/>
        </w:rPr>
      </w:pPr>
      <w:r>
        <w:rPr>
          <w:rFonts w:ascii="Arial" w:cs="Arial" w:eastAsia="Arial" w:hAnsi="Arial"/>
          <w:sz w:val="14"/>
          <w:szCs w:val="14"/>
          <w:color w:val="auto"/>
        </w:rPr>
        <w:t>Our revenue &amp; market capitalization continue to exceed those of our primary peers, demonstrating our significantly larger size and scale.</w:t>
      </w: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3-YEAR AVERAGE REVENUE &amp; MARKET CAP VS. PEERS (2023-2025)</w:t>
      </w:r>
      <w:r>
        <w:rPr>
          <w:rFonts w:ascii="Arial" w:cs="Arial" w:eastAsia="Arial" w:hAnsi="Arial"/>
          <w:sz w:val="7"/>
          <w:szCs w:val="7"/>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811780" cy="13284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811780" cy="1328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8F5A39"/>
        </w:rPr>
        <w:t>Leading CEO Pay-for-Performance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3480435" cy="6858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480435" cy="685800"/>
                    </a:xfrm>
                    <a:prstGeom prst="rect">
                      <a:avLst/>
                    </a:prstGeom>
                    <a:noFill/>
                  </pic:spPr>
                </pic:pic>
              </a:graphicData>
            </a:graphic>
          </wp:anchor>
        </w:drawing>
      </w:r>
    </w:p>
    <w:p>
      <w:pPr>
        <w:spacing w:after="0" w:line="196" w:lineRule="exact"/>
        <w:rPr>
          <w:sz w:val="20"/>
          <w:szCs w:val="20"/>
          <w:color w:val="auto"/>
        </w:rPr>
      </w:pPr>
    </w:p>
    <w:p>
      <w:pPr>
        <w:ind w:right="500"/>
        <w:spacing w:after="0" w:line="241" w:lineRule="auto"/>
        <w:rPr>
          <w:sz w:val="20"/>
          <w:szCs w:val="20"/>
          <w:color w:val="auto"/>
        </w:rPr>
      </w:pPr>
      <w:r>
        <w:rPr>
          <w:rFonts w:ascii="Arial" w:cs="Arial" w:eastAsia="Arial" w:hAnsi="Arial"/>
          <w:sz w:val="14"/>
          <w:szCs w:val="14"/>
          <w:color w:val="auto"/>
        </w:rPr>
        <w:t>Our relative annual CEO pay-for-performance alignment has been consistently stronger than our primary peers, reflected by our more efficient annual CEO pay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allocation ratio.</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3-YEAR AVERAGE ANNUAL CEO PAY AS % OF PROFITS (2023-2025)</w:t>
      </w:r>
      <w:r>
        <w:rPr>
          <w:rFonts w:ascii="Arial" w:cs="Arial" w:eastAsia="Arial" w:hAnsi="Arial"/>
          <w:sz w:val="7"/>
          <w:szCs w:val="7"/>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2794635" cy="13201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794635" cy="13201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280"/>
            <w:col w:w="5600"/>
          </w:cols>
          <w:pgMar w:left="320" w:top="157" w:right="339" w:bottom="13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1</w:t>
            </w:r>
          </w:p>
        </w:tc>
        <w:tc>
          <w:tcPr>
            <w:tcW w:w="10420" w:type="dxa"/>
            <w:vAlign w:val="bottom"/>
            <w:vMerge w:val="restart"/>
          </w:tcPr>
          <w:p>
            <w:pPr>
              <w:ind w:left="80"/>
              <w:spacing w:after="0"/>
              <w:rPr>
                <w:sz w:val="20"/>
                <w:szCs w:val="20"/>
                <w:color w:val="auto"/>
              </w:rPr>
            </w:pPr>
            <w:r>
              <w:rPr>
                <w:rFonts w:ascii="Arial" w:cs="Arial" w:eastAsia="Arial" w:hAnsi="Arial"/>
                <w:sz w:val="13"/>
                <w:szCs w:val="13"/>
                <w:color w:val="auto"/>
              </w:rPr>
              <w:t>ROTCE is a non-GAAP financial measure; refer to Note 1 on page 103 for a further discussion of this measure.</w:t>
            </w:r>
          </w:p>
        </w:tc>
        <w:tc>
          <w:tcPr>
            <w:tcW w:w="0" w:type="dxa"/>
            <w:vAlign w:val="bottom"/>
          </w:tcPr>
          <w:p>
            <w:pPr>
              <w:spacing w:after="0"/>
              <w:rPr>
                <w:sz w:val="1"/>
                <w:szCs w:val="1"/>
                <w:color w:val="auto"/>
              </w:rPr>
            </w:pPr>
          </w:p>
        </w:tc>
      </w:tr>
      <w:tr>
        <w:trPr>
          <w:trHeight w:val="33"/>
        </w:trPr>
        <w:tc>
          <w:tcPr>
            <w:tcW w:w="120" w:type="dxa"/>
            <w:vAlign w:val="bottom"/>
            <w:vMerge w:val="restart"/>
          </w:tcPr>
          <w:p>
            <w:pPr>
              <w:jc w:val="right"/>
              <w:ind w:right="13"/>
              <w:spacing w:after="0"/>
              <w:rPr>
                <w:sz w:val="20"/>
                <w:szCs w:val="20"/>
                <w:color w:val="auto"/>
              </w:rPr>
            </w:pPr>
            <w:r>
              <w:rPr>
                <w:rFonts w:ascii="Arial" w:cs="Arial" w:eastAsia="Arial" w:hAnsi="Arial"/>
                <w:sz w:val="9"/>
                <w:szCs w:val="9"/>
                <w:color w:val="auto"/>
                <w:w w:val="78"/>
              </w:rPr>
              <w:t>2</w:t>
            </w:r>
          </w:p>
        </w:tc>
        <w:tc>
          <w:tcPr>
            <w:tcW w:w="10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vMerge w:val="continue"/>
          </w:tcPr>
          <w:p>
            <w:pPr>
              <w:spacing w:after="0"/>
              <w:rPr>
                <w:sz w:val="12"/>
                <w:szCs w:val="12"/>
                <w:color w:val="auto"/>
              </w:rPr>
            </w:pPr>
          </w:p>
        </w:tc>
        <w:tc>
          <w:tcPr>
            <w:tcW w:w="10420" w:type="dxa"/>
            <w:vAlign w:val="bottom"/>
          </w:tcPr>
          <w:p>
            <w:pPr>
              <w:ind w:left="80"/>
              <w:spacing w:after="0"/>
              <w:rPr>
                <w:sz w:val="20"/>
                <w:szCs w:val="20"/>
                <w:color w:val="auto"/>
              </w:rPr>
            </w:pPr>
            <w:r>
              <w:rPr>
                <w:rFonts w:ascii="Arial" w:cs="Arial" w:eastAsia="Arial" w:hAnsi="Arial"/>
                <w:sz w:val="13"/>
                <w:szCs w:val="13"/>
                <w:color w:val="auto"/>
                <w:w w:val="96"/>
              </w:rPr>
              <w:t>Peer ROTCE, Revenue, Net Income and CEO Compensation based on public disclosures (Form 10-K, Form 8-K, Annual Proxy Filings); Market Capitalization from S&amp;P CapIQ database.</w:t>
            </w:r>
          </w:p>
        </w:tc>
        <w:tc>
          <w:tcPr>
            <w:tcW w:w="0" w:type="dxa"/>
            <w:vAlign w:val="bottom"/>
          </w:tcPr>
          <w:p>
            <w:pPr>
              <w:spacing w:after="0"/>
              <w:rPr>
                <w:sz w:val="1"/>
                <w:szCs w:val="1"/>
                <w:color w:val="auto"/>
              </w:rPr>
            </w:pPr>
          </w:p>
        </w:tc>
      </w:tr>
    </w:tbl>
    <w:p>
      <w:pPr>
        <w:ind w:left="200" w:hanging="192"/>
        <w:spacing w:after="0" w:line="182" w:lineRule="auto"/>
        <w:tabs>
          <w:tab w:leader="none" w:pos="200" w:val="left"/>
        </w:tabs>
        <w:numPr>
          <w:ilvl w:val="0"/>
          <w:numId w:val="147"/>
        </w:numPr>
        <w:rPr>
          <w:rFonts w:ascii="Arial" w:cs="Arial" w:eastAsia="Arial" w:hAnsi="Arial"/>
          <w:sz w:val="17"/>
          <w:szCs w:val="17"/>
          <w:color w:val="auto"/>
          <w:vertAlign w:val="superscript"/>
        </w:rPr>
      </w:pPr>
      <w:r>
        <w:rPr>
          <w:rFonts w:ascii="Arial" w:cs="Arial" w:eastAsia="Arial" w:hAnsi="Arial"/>
          <w:sz w:val="11"/>
          <w:szCs w:val="11"/>
          <w:color w:val="auto"/>
        </w:rPr>
        <w:t>TSR shows the cumulative total return of JPM common stock compared to the indices, with dividends reinvested.</w:t>
      </w:r>
    </w:p>
    <w:p>
      <w:pPr>
        <w:ind w:left="200" w:right="20" w:hanging="192"/>
        <w:spacing w:after="0" w:line="220" w:lineRule="auto"/>
        <w:tabs>
          <w:tab w:leader="none" w:pos="193" w:val="left"/>
        </w:tabs>
        <w:numPr>
          <w:ilvl w:val="0"/>
          <w:numId w:val="148"/>
        </w:numPr>
        <w:rPr>
          <w:rFonts w:ascii="Arial" w:cs="Arial" w:eastAsia="Arial" w:hAnsi="Arial"/>
          <w:sz w:val="19"/>
          <w:szCs w:val="19"/>
          <w:color w:val="auto"/>
          <w:vertAlign w:val="superscript"/>
        </w:rPr>
      </w:pPr>
      <w:r>
        <w:rPr>
          <w:rFonts w:ascii="Arial" w:cs="Arial" w:eastAsia="Arial" w:hAnsi="Arial"/>
          <w:sz w:val="13"/>
          <w:szCs w:val="13"/>
          <w:color w:val="auto"/>
        </w:rPr>
        <w:t>Annual compensation comprises base salary, cash bonus paid and long-term incentive compensation (target value) in connection with the performance year, which may be different from amounts reported in the Summary compensation table. Refer to page 56 for further information. The percentage of profits paid is equal to 3-year average annual CEO compensation divided by 3-year average net income. Excludes special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403860</wp:posOffset>
            </wp:positionV>
            <wp:extent cx="651510" cy="8572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31"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42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31"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390"/>
        </w:trPr>
        <w:tc>
          <w:tcPr>
            <w:tcW w:w="2840" w:type="dxa"/>
            <w:vAlign w:val="bottom"/>
            <w:tcBorders>
              <w:top w:val="single" w:sz="8" w:color="A6D7F0"/>
            </w:tcBorders>
            <w:shd w:val="clear" w:color="auto" w:fill="A6D7F0"/>
          </w:tcPr>
          <w:p>
            <w:pPr>
              <w:ind w:left="280"/>
              <w:spacing w:after="0"/>
              <w:rPr>
                <w:sz w:val="20"/>
                <w:szCs w:val="20"/>
                <w:color w:val="auto"/>
              </w:rPr>
            </w:pPr>
            <w:r>
              <w:rPr>
                <w:rFonts w:ascii="Arial" w:cs="Arial" w:eastAsia="Arial" w:hAnsi="Arial"/>
                <w:sz w:val="14"/>
                <w:szCs w:val="14"/>
                <w:b w:val="1"/>
                <w:bCs w:val="1"/>
                <w:color w:val="auto"/>
              </w:rPr>
              <w:t>How we think about pay decisions</w:t>
            </w:r>
          </w:p>
        </w:tc>
        <w:tc>
          <w:tcPr>
            <w:tcW w:w="440" w:type="dxa"/>
            <w:vAlign w:val="bottom"/>
            <w:tcBorders>
              <w:right w:val="single" w:sz="8" w:color="auto"/>
            </w:tcBorders>
          </w:tcPr>
          <w:p>
            <w:pPr>
              <w:spacing w:after="0"/>
              <w:rPr>
                <w:sz w:val="24"/>
                <w:szCs w:val="24"/>
                <w:color w:val="auto"/>
              </w:rPr>
            </w:pPr>
          </w:p>
        </w:tc>
        <w:tc>
          <w:tcPr>
            <w:tcW w:w="41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42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color w:val="8F5A39"/>
              </w:rPr>
              <w:t>How performance determined pay in 2025</w:t>
            </w:r>
          </w:p>
        </w:tc>
      </w:tr>
      <w:tr>
        <w:trPr>
          <w:trHeight w:val="83"/>
        </w:trPr>
        <w:tc>
          <w:tcPr>
            <w:tcW w:w="2840" w:type="dxa"/>
            <w:vAlign w:val="bottom"/>
            <w:shd w:val="clear" w:color="auto" w:fill="A6D7F0"/>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120" w:type="dxa"/>
            <w:vAlign w:val="bottom"/>
            <w:tcBorders>
              <w:bottom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340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-196850</wp:posOffset>
            </wp:positionV>
            <wp:extent cx="120015" cy="9398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-196850</wp:posOffset>
            </wp:positionV>
            <wp:extent cx="120015" cy="9398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163195</wp:posOffset>
            </wp:positionV>
            <wp:extent cx="8255" cy="4883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48831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20" w:hanging="1054"/>
        <w:spacing w:after="0"/>
        <w:tabs>
          <w:tab w:leader="none" w:pos="1220" w:val="left"/>
        </w:tabs>
        <w:numPr>
          <w:ilvl w:val="0"/>
          <w:numId w:val="149"/>
        </w:numPr>
        <w:rPr>
          <w:rFonts w:ascii="Arial" w:cs="Arial" w:eastAsia="Arial" w:hAnsi="Arial"/>
          <w:sz w:val="36"/>
          <w:szCs w:val="36"/>
          <w:color w:val="auto"/>
        </w:rPr>
      </w:pPr>
      <w:r>
        <w:rPr>
          <w:rFonts w:ascii="Arial" w:cs="Arial" w:eastAsia="Arial" w:hAnsi="Arial"/>
          <w:sz w:val="36"/>
          <w:szCs w:val="36"/>
          <w:color w:val="8F5A39"/>
        </w:rPr>
        <w:t>How we think about pay decisions</w:t>
      </w:r>
    </w:p>
    <w:p>
      <w:pPr>
        <w:spacing w:after="0" w:line="15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The Firm’s Business Principles and strategic framework form the basis of our OC members’ strategic priorities. The CMDC references those strategic priorities and the Firm’s compensation philosophy to assess OC members’ performance and determine their respective total compensation levels and pay mix.</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color w:val="auto"/>
        </w:rPr>
        <w:t>Business Principles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addition to our Purpose and Values, the Firm’s Business Principles and culture are fundamental to our success in </w:t>
      </w:r>
      <w:r>
        <w:rPr>
          <w:rFonts w:ascii="Arial" w:cs="Arial" w:eastAsia="Arial" w:hAnsi="Arial"/>
          <w:sz w:val="16"/>
          <w:szCs w:val="16"/>
          <w:b w:val="1"/>
          <w:bCs w:val="1"/>
          <w:color w:val="auto"/>
        </w:rPr>
        <w:t>how</w:t>
      </w:r>
      <w:r>
        <w:rPr>
          <w:rFonts w:ascii="Arial" w:cs="Arial" w:eastAsia="Arial" w:hAnsi="Arial"/>
          <w:sz w:val="16"/>
          <w:szCs w:val="16"/>
          <w:color w:val="auto"/>
        </w:rPr>
        <w:t xml:space="preserve"> we do business over the long-term.</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shd w:val="clear" w:color="auto" w:fill="F4EFE7"/>
          </w:tcPr>
          <w:p>
            <w:pPr>
              <w:jc w:val="center"/>
              <w:spacing w:after="0"/>
              <w:rPr>
                <w:sz w:val="20"/>
                <w:szCs w:val="20"/>
                <w:color w:val="auto"/>
              </w:rPr>
            </w:pPr>
            <w:r>
              <w:rPr>
                <w:rFonts w:ascii="Arial" w:cs="Arial" w:eastAsia="Arial" w:hAnsi="Arial"/>
                <w:sz w:val="16"/>
                <w:szCs w:val="16"/>
                <w:color w:val="auto"/>
              </w:rPr>
              <w:t>Exceptional</w:t>
            </w:r>
          </w:p>
        </w:tc>
        <w:tc>
          <w:tcPr>
            <w:tcW w:w="80" w:type="dxa"/>
            <w:vAlign w:val="bottom"/>
          </w:tcPr>
          <w:p>
            <w:pPr>
              <w:spacing w:after="0"/>
              <w:rPr>
                <w:sz w:val="19"/>
                <w:szCs w:val="19"/>
                <w:color w:val="auto"/>
              </w:rPr>
            </w:pPr>
          </w:p>
        </w:tc>
        <w:tc>
          <w:tcPr>
            <w:tcW w:w="2740" w:type="dxa"/>
            <w:vAlign w:val="bottom"/>
            <w:vMerge w:val="restart"/>
            <w:shd w:val="clear" w:color="auto" w:fill="F4EFE7"/>
          </w:tcPr>
          <w:p>
            <w:pPr>
              <w:ind w:left="540"/>
              <w:spacing w:after="0"/>
              <w:rPr>
                <w:sz w:val="20"/>
                <w:szCs w:val="20"/>
                <w:color w:val="auto"/>
              </w:rPr>
            </w:pPr>
            <w:r>
              <w:rPr>
                <w:rFonts w:ascii="Arial" w:cs="Arial" w:eastAsia="Arial" w:hAnsi="Arial"/>
                <w:sz w:val="16"/>
                <w:szCs w:val="16"/>
                <w:color w:val="auto"/>
              </w:rPr>
              <w:t>Operational Excellence</w:t>
            </w:r>
          </w:p>
        </w:tc>
        <w:tc>
          <w:tcPr>
            <w:tcW w:w="100" w:type="dxa"/>
            <w:vAlign w:val="bottom"/>
          </w:tcPr>
          <w:p>
            <w:pPr>
              <w:spacing w:after="0"/>
              <w:rPr>
                <w:sz w:val="19"/>
                <w:szCs w:val="19"/>
                <w:color w:val="auto"/>
              </w:rPr>
            </w:pPr>
          </w:p>
        </w:tc>
        <w:tc>
          <w:tcPr>
            <w:tcW w:w="2740" w:type="dxa"/>
            <w:vAlign w:val="bottom"/>
            <w:shd w:val="clear" w:color="auto" w:fill="F4EFE7"/>
          </w:tcPr>
          <w:p>
            <w:pPr>
              <w:jc w:val="center"/>
              <w:spacing w:after="0"/>
              <w:rPr>
                <w:sz w:val="20"/>
                <w:szCs w:val="20"/>
                <w:color w:val="auto"/>
              </w:rPr>
            </w:pPr>
            <w:r>
              <w:rPr>
                <w:rFonts w:ascii="Arial" w:cs="Arial" w:eastAsia="Arial" w:hAnsi="Arial"/>
                <w:sz w:val="16"/>
                <w:szCs w:val="16"/>
                <w:color w:val="auto"/>
              </w:rPr>
              <w:t>A Commitment to Integrity, Fairness</w:t>
            </w:r>
          </w:p>
        </w:tc>
        <w:tc>
          <w:tcPr>
            <w:tcW w:w="100" w:type="dxa"/>
            <w:vAlign w:val="bottom"/>
          </w:tcPr>
          <w:p>
            <w:pPr>
              <w:spacing w:after="0"/>
              <w:rPr>
                <w:sz w:val="19"/>
                <w:szCs w:val="19"/>
                <w:color w:val="auto"/>
              </w:rPr>
            </w:pPr>
          </w:p>
        </w:tc>
        <w:tc>
          <w:tcPr>
            <w:tcW w:w="2740" w:type="dxa"/>
            <w:vAlign w:val="bottom"/>
            <w:shd w:val="clear" w:color="auto" w:fill="F4EFE7"/>
          </w:tcPr>
          <w:p>
            <w:pPr>
              <w:jc w:val="center"/>
              <w:spacing w:after="0"/>
              <w:rPr>
                <w:sz w:val="20"/>
                <w:szCs w:val="20"/>
                <w:color w:val="auto"/>
              </w:rPr>
            </w:pPr>
            <w:r>
              <w:rPr>
                <w:rFonts w:ascii="Arial" w:cs="Arial" w:eastAsia="Arial" w:hAnsi="Arial"/>
                <w:sz w:val="16"/>
                <w:szCs w:val="16"/>
                <w:color w:val="auto"/>
                <w:w w:val="98"/>
              </w:rPr>
              <w:t>A Great Team and</w:t>
            </w:r>
          </w:p>
        </w:tc>
        <w:tc>
          <w:tcPr>
            <w:tcW w:w="0" w:type="dxa"/>
            <w:vAlign w:val="bottom"/>
          </w:tcPr>
          <w:p>
            <w:pPr>
              <w:spacing w:after="0"/>
              <w:rPr>
                <w:sz w:val="1"/>
                <w:szCs w:val="1"/>
                <w:color w:val="auto"/>
              </w:rPr>
            </w:pPr>
          </w:p>
        </w:tc>
      </w:tr>
      <w:tr>
        <w:trPr>
          <w:trHeight w:val="120"/>
        </w:trPr>
        <w:tc>
          <w:tcPr>
            <w:tcW w:w="2740" w:type="dxa"/>
            <w:vAlign w:val="bottom"/>
            <w:vMerge w:val="restart"/>
            <w:shd w:val="clear" w:color="auto" w:fill="F4EFE7"/>
          </w:tcPr>
          <w:p>
            <w:pPr>
              <w:jc w:val="center"/>
              <w:spacing w:after="0"/>
              <w:rPr>
                <w:sz w:val="20"/>
                <w:szCs w:val="20"/>
                <w:color w:val="auto"/>
              </w:rPr>
            </w:pPr>
            <w:r>
              <w:rPr>
                <w:rFonts w:ascii="Arial" w:cs="Arial" w:eastAsia="Arial" w:hAnsi="Arial"/>
                <w:sz w:val="16"/>
                <w:szCs w:val="16"/>
                <w:color w:val="auto"/>
              </w:rPr>
              <w:t>Client Service</w:t>
            </w:r>
          </w:p>
        </w:tc>
        <w:tc>
          <w:tcPr>
            <w:tcW w:w="80" w:type="dxa"/>
            <w:vAlign w:val="bottom"/>
          </w:tcPr>
          <w:p>
            <w:pPr>
              <w:spacing w:after="0"/>
              <w:rPr>
                <w:sz w:val="10"/>
                <w:szCs w:val="10"/>
                <w:color w:val="auto"/>
              </w:rPr>
            </w:pPr>
          </w:p>
        </w:tc>
        <w:tc>
          <w:tcPr>
            <w:tcW w:w="2740" w:type="dxa"/>
            <w:vAlign w:val="bottom"/>
            <w:vMerge w:val="continue"/>
            <w:shd w:val="clear" w:color="auto" w:fill="F4EFE7"/>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vMerge w:val="restart"/>
            <w:shd w:val="clear" w:color="auto" w:fill="F4EFE7"/>
          </w:tcPr>
          <w:p>
            <w:pPr>
              <w:jc w:val="center"/>
              <w:spacing w:after="0"/>
              <w:rPr>
                <w:sz w:val="20"/>
                <w:szCs w:val="20"/>
                <w:color w:val="auto"/>
              </w:rPr>
            </w:pPr>
            <w:r>
              <w:rPr>
                <w:rFonts w:ascii="Arial" w:cs="Arial" w:eastAsia="Arial" w:hAnsi="Arial"/>
                <w:sz w:val="16"/>
                <w:szCs w:val="16"/>
                <w:color w:val="auto"/>
              </w:rPr>
              <w:t>and Responsibility</w:t>
            </w:r>
          </w:p>
        </w:tc>
        <w:tc>
          <w:tcPr>
            <w:tcW w:w="100" w:type="dxa"/>
            <w:vAlign w:val="bottom"/>
          </w:tcPr>
          <w:p>
            <w:pPr>
              <w:spacing w:after="0"/>
              <w:rPr>
                <w:sz w:val="10"/>
                <w:szCs w:val="10"/>
                <w:color w:val="auto"/>
              </w:rPr>
            </w:pPr>
          </w:p>
        </w:tc>
        <w:tc>
          <w:tcPr>
            <w:tcW w:w="2740" w:type="dxa"/>
            <w:vAlign w:val="bottom"/>
            <w:vMerge w:val="restart"/>
            <w:shd w:val="clear" w:color="auto" w:fill="F4EFE7"/>
          </w:tcPr>
          <w:p>
            <w:pPr>
              <w:jc w:val="center"/>
              <w:spacing w:after="0"/>
              <w:rPr>
                <w:sz w:val="20"/>
                <w:szCs w:val="20"/>
                <w:color w:val="auto"/>
              </w:rPr>
            </w:pPr>
            <w:r>
              <w:rPr>
                <w:rFonts w:ascii="Arial" w:cs="Arial" w:eastAsia="Arial" w:hAnsi="Arial"/>
                <w:sz w:val="16"/>
                <w:szCs w:val="16"/>
                <w:color w:val="auto"/>
              </w:rPr>
              <w:t>Winning Culture</w:t>
            </w:r>
          </w:p>
        </w:tc>
        <w:tc>
          <w:tcPr>
            <w:tcW w:w="0" w:type="dxa"/>
            <w:vAlign w:val="bottom"/>
          </w:tcPr>
          <w:p>
            <w:pPr>
              <w:spacing w:after="0"/>
              <w:rPr>
                <w:sz w:val="1"/>
                <w:szCs w:val="1"/>
                <w:color w:val="auto"/>
              </w:rPr>
            </w:pPr>
          </w:p>
        </w:tc>
      </w:tr>
      <w:tr>
        <w:trPr>
          <w:trHeight w:val="95"/>
        </w:trPr>
        <w:tc>
          <w:tcPr>
            <w:tcW w:w="2740" w:type="dxa"/>
            <w:vAlign w:val="bottom"/>
            <w:vMerge w:val="continue"/>
            <w:shd w:val="clear" w:color="auto" w:fill="F4EFE7"/>
          </w:tcPr>
          <w:p>
            <w:pPr>
              <w:spacing w:after="0"/>
              <w:rPr>
                <w:sz w:val="8"/>
                <w:szCs w:val="8"/>
                <w:color w:val="auto"/>
              </w:rPr>
            </w:pPr>
          </w:p>
        </w:tc>
        <w:tc>
          <w:tcPr>
            <w:tcW w:w="80" w:type="dxa"/>
            <w:vAlign w:val="bottom"/>
          </w:tcPr>
          <w:p>
            <w:pPr>
              <w:spacing w:after="0"/>
              <w:rPr>
                <w:sz w:val="8"/>
                <w:szCs w:val="8"/>
                <w:color w:val="auto"/>
              </w:rPr>
            </w:pPr>
          </w:p>
        </w:tc>
        <w:tc>
          <w:tcPr>
            <w:tcW w:w="2740" w:type="dxa"/>
            <w:vAlign w:val="bottom"/>
            <w:shd w:val="clear" w:color="auto" w:fill="F4EFE7"/>
          </w:tcPr>
          <w:p>
            <w:pPr>
              <w:spacing w:after="0"/>
              <w:rPr>
                <w:sz w:val="8"/>
                <w:szCs w:val="8"/>
                <w:color w:val="auto"/>
              </w:rPr>
            </w:pPr>
          </w:p>
        </w:tc>
        <w:tc>
          <w:tcPr>
            <w:tcW w:w="100" w:type="dxa"/>
            <w:vAlign w:val="bottom"/>
          </w:tcPr>
          <w:p>
            <w:pPr>
              <w:spacing w:after="0"/>
              <w:rPr>
                <w:sz w:val="8"/>
                <w:szCs w:val="8"/>
                <w:color w:val="auto"/>
              </w:rPr>
            </w:pPr>
          </w:p>
        </w:tc>
        <w:tc>
          <w:tcPr>
            <w:tcW w:w="2740" w:type="dxa"/>
            <w:vAlign w:val="bottom"/>
            <w:vMerge w:val="continue"/>
            <w:shd w:val="clear" w:color="auto" w:fill="F4EFE7"/>
          </w:tcPr>
          <w:p>
            <w:pPr>
              <w:spacing w:after="0"/>
              <w:rPr>
                <w:sz w:val="8"/>
                <w:szCs w:val="8"/>
                <w:color w:val="auto"/>
              </w:rPr>
            </w:pPr>
          </w:p>
        </w:tc>
        <w:tc>
          <w:tcPr>
            <w:tcW w:w="100" w:type="dxa"/>
            <w:vAlign w:val="bottom"/>
          </w:tcPr>
          <w:p>
            <w:pPr>
              <w:spacing w:after="0"/>
              <w:rPr>
                <w:sz w:val="8"/>
                <w:szCs w:val="8"/>
                <w:color w:val="auto"/>
              </w:rPr>
            </w:pPr>
          </w:p>
        </w:tc>
        <w:tc>
          <w:tcPr>
            <w:tcW w:w="2740" w:type="dxa"/>
            <w:vAlign w:val="bottom"/>
            <w:vMerge w:val="continue"/>
            <w:shd w:val="clear" w:color="auto" w:fill="F4EFE7"/>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740" w:type="dxa"/>
            <w:vAlign w:val="bottom"/>
            <w:shd w:val="clear" w:color="auto" w:fill="F4EFE7"/>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shd w:val="clear" w:color="auto" w:fill="F4EFE7"/>
          </w:tcPr>
          <w:p>
            <w:pPr>
              <w:spacing w:after="0"/>
              <w:rPr>
                <w:sz w:val="6"/>
                <w:szCs w:val="6"/>
                <w:color w:val="auto"/>
              </w:rPr>
            </w:pPr>
          </w:p>
        </w:tc>
        <w:tc>
          <w:tcPr>
            <w:tcW w:w="100" w:type="dxa"/>
            <w:vAlign w:val="bottom"/>
          </w:tcPr>
          <w:p>
            <w:pPr>
              <w:spacing w:after="0"/>
              <w:rPr>
                <w:sz w:val="6"/>
                <w:szCs w:val="6"/>
                <w:color w:val="auto"/>
              </w:rPr>
            </w:pPr>
          </w:p>
        </w:tc>
        <w:tc>
          <w:tcPr>
            <w:tcW w:w="2740" w:type="dxa"/>
            <w:vAlign w:val="bottom"/>
            <w:shd w:val="clear" w:color="auto" w:fill="F4EFE7"/>
          </w:tcPr>
          <w:p>
            <w:pPr>
              <w:spacing w:after="0"/>
              <w:rPr>
                <w:sz w:val="6"/>
                <w:szCs w:val="6"/>
                <w:color w:val="auto"/>
              </w:rPr>
            </w:pPr>
          </w:p>
        </w:tc>
        <w:tc>
          <w:tcPr>
            <w:tcW w:w="100" w:type="dxa"/>
            <w:vAlign w:val="bottom"/>
          </w:tcPr>
          <w:p>
            <w:pPr>
              <w:spacing w:after="0"/>
              <w:rPr>
                <w:sz w:val="6"/>
                <w:szCs w:val="6"/>
                <w:color w:val="auto"/>
              </w:rPr>
            </w:pPr>
          </w:p>
        </w:tc>
        <w:tc>
          <w:tcPr>
            <w:tcW w:w="2740" w:type="dxa"/>
            <w:vAlign w:val="bottom"/>
            <w:shd w:val="clear" w:color="auto" w:fill="F4EFE7"/>
          </w:tcPr>
          <w:p>
            <w:pPr>
              <w:spacing w:after="0"/>
              <w:rPr>
                <w:sz w:val="6"/>
                <w:szCs w:val="6"/>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auto"/>
        </w:rPr>
        <w:t>Strategic Framework</w:t>
      </w:r>
    </w:p>
    <w:p>
      <w:pPr>
        <w:spacing w:after="0" w:line="63"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Guided by our Business Principles, our strategic framework provides holistic direction for the Firm and ultimately focuses on four primary strategic tenets listed below.</w:t>
      </w:r>
    </w:p>
    <w:p>
      <w:pPr>
        <w:spacing w:after="0" w:line="60"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Each year, the Operating Committee reviews the strategic framework, which is approved by the Board. In 2025, the CMDC approved the Firm’s strategic framework as the priorities of the CEO, including the 15 strategic priorities listed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tcBorders>
              <w:top w:val="single" w:sz="8" w:color="auto"/>
            </w:tcBorders>
            <w:shd w:val="clear" w:color="auto" w:fill="F4EFE7"/>
          </w:tcPr>
          <w:p>
            <w:pPr>
              <w:ind w:left="100"/>
              <w:spacing w:after="0"/>
              <w:rPr>
                <w:sz w:val="20"/>
                <w:szCs w:val="20"/>
                <w:color w:val="auto"/>
              </w:rPr>
            </w:pPr>
            <w:r>
              <w:rPr>
                <w:rFonts w:ascii="Arial" w:cs="Arial" w:eastAsia="Arial" w:hAnsi="Arial"/>
                <w:sz w:val="16"/>
                <w:szCs w:val="16"/>
                <w:color w:val="8F5A39"/>
              </w:rPr>
              <w:t>Exceptional</w:t>
            </w:r>
          </w:p>
        </w:tc>
        <w:tc>
          <w:tcPr>
            <w:tcW w:w="490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 xml:space="preserve">•  Customer centric </w:t>
            </w:r>
            <w:r>
              <w:rPr>
                <w:rFonts w:ascii="Arial" w:cs="Arial" w:eastAsia="Arial" w:hAnsi="Arial"/>
                <w:sz w:val="16"/>
                <w:szCs w:val="16"/>
                <w:color w:val="auto"/>
              </w:rPr>
              <w:t>and</w:t>
            </w:r>
            <w:r>
              <w:rPr>
                <w:rFonts w:ascii="Arial" w:cs="Arial" w:eastAsia="Arial" w:hAnsi="Arial"/>
                <w:sz w:val="16"/>
                <w:szCs w:val="16"/>
                <w:b w:val="1"/>
                <w:bCs w:val="1"/>
                <w:color w:val="auto"/>
              </w:rPr>
              <w:t xml:space="preserve"> easy to do business with</w:t>
            </w:r>
          </w:p>
        </w:tc>
        <w:tc>
          <w:tcPr>
            <w:tcW w:w="390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Focus on</w:t>
            </w:r>
            <w:r>
              <w:rPr>
                <w:rFonts w:ascii="Arial" w:cs="Arial" w:eastAsia="Arial" w:hAnsi="Arial"/>
                <w:sz w:val="16"/>
                <w:szCs w:val="16"/>
                <w:b w:val="1"/>
                <w:bCs w:val="1"/>
                <w:color w:val="auto"/>
              </w:rPr>
              <w:t xml:space="preserve"> safety </w:t>
            </w:r>
            <w:r>
              <w:rPr>
                <w:rFonts w:ascii="Arial" w:cs="Arial" w:eastAsia="Arial" w:hAnsi="Arial"/>
                <w:sz w:val="16"/>
                <w:szCs w:val="16"/>
                <w:color w:val="auto"/>
              </w:rPr>
              <w:t>and</w:t>
            </w:r>
            <w:r>
              <w:rPr>
                <w:rFonts w:ascii="Arial" w:cs="Arial" w:eastAsia="Arial" w:hAnsi="Arial"/>
                <w:sz w:val="16"/>
                <w:szCs w:val="16"/>
                <w:b w:val="1"/>
                <w:bCs w:val="1"/>
                <w:color w:val="auto"/>
              </w:rPr>
              <w:t xml:space="preserve"> security</w:t>
            </w:r>
          </w:p>
        </w:tc>
      </w:tr>
      <w:tr>
        <w:trPr>
          <w:trHeight w:val="223"/>
        </w:trPr>
        <w:tc>
          <w:tcPr>
            <w:tcW w:w="2440" w:type="dxa"/>
            <w:vAlign w:val="bottom"/>
            <w:shd w:val="clear" w:color="auto" w:fill="F4EFE7"/>
          </w:tcPr>
          <w:p>
            <w:pPr>
              <w:ind w:left="100"/>
              <w:spacing w:after="0"/>
              <w:rPr>
                <w:sz w:val="20"/>
                <w:szCs w:val="20"/>
                <w:color w:val="auto"/>
              </w:rPr>
            </w:pPr>
            <w:r>
              <w:rPr>
                <w:rFonts w:ascii="Arial" w:cs="Arial" w:eastAsia="Arial" w:hAnsi="Arial"/>
                <w:sz w:val="16"/>
                <w:szCs w:val="16"/>
                <w:color w:val="8F5A39"/>
              </w:rPr>
              <w:t>Client Franchises</w:t>
            </w:r>
          </w:p>
        </w:tc>
        <w:tc>
          <w:tcPr>
            <w:tcW w:w="4900" w:type="dxa"/>
            <w:vAlign w:val="bottom"/>
          </w:tcPr>
          <w:p>
            <w:pPr>
              <w:ind w:left="220"/>
              <w:spacing w:after="0"/>
              <w:rPr>
                <w:sz w:val="20"/>
                <w:szCs w:val="20"/>
                <w:color w:val="auto"/>
              </w:rPr>
            </w:pPr>
            <w:r>
              <w:rPr>
                <w:rFonts w:ascii="Arial" w:cs="Arial" w:eastAsia="Arial" w:hAnsi="Arial"/>
                <w:sz w:val="16"/>
                <w:szCs w:val="16"/>
                <w:b w:val="1"/>
                <w:bCs w:val="1"/>
                <w:color w:val="auto"/>
              </w:rPr>
              <w:t xml:space="preserve">•  Comprehensive </w:t>
            </w:r>
            <w:r>
              <w:rPr>
                <w:rFonts w:ascii="Arial" w:cs="Arial" w:eastAsia="Arial" w:hAnsi="Arial"/>
                <w:sz w:val="16"/>
                <w:szCs w:val="16"/>
                <w:color w:val="auto"/>
              </w:rPr>
              <w:t>set of products and services</w:t>
            </w:r>
          </w:p>
        </w:tc>
        <w:tc>
          <w:tcPr>
            <w:tcW w:w="32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3580" w:type="dxa"/>
            <w:vAlign w:val="bottom"/>
          </w:tcPr>
          <w:p>
            <w:pPr>
              <w:ind w:left="60"/>
              <w:spacing w:after="0"/>
              <w:rPr>
                <w:sz w:val="20"/>
                <w:szCs w:val="20"/>
                <w:color w:val="auto"/>
              </w:rPr>
            </w:pPr>
            <w:r>
              <w:rPr>
                <w:rFonts w:ascii="Arial" w:cs="Arial" w:eastAsia="Arial" w:hAnsi="Arial"/>
                <w:sz w:val="16"/>
                <w:szCs w:val="16"/>
                <w:b w:val="1"/>
                <w:bCs w:val="1"/>
                <w:color w:val="auto"/>
              </w:rPr>
              <w:t>Powerful brands</w:t>
            </w:r>
          </w:p>
        </w:tc>
      </w:tr>
      <w:tr>
        <w:trPr>
          <w:trHeight w:val="62"/>
        </w:trPr>
        <w:tc>
          <w:tcPr>
            <w:tcW w:w="2440" w:type="dxa"/>
            <w:vAlign w:val="bottom"/>
            <w:tcBorders>
              <w:bottom w:val="single" w:sz="8" w:color="BCBEC0"/>
            </w:tcBorders>
            <w:shd w:val="clear" w:color="auto" w:fill="F4EFE7"/>
          </w:tcPr>
          <w:p>
            <w:pPr>
              <w:spacing w:after="0"/>
              <w:rPr>
                <w:sz w:val="5"/>
                <w:szCs w:val="5"/>
                <w:color w:val="auto"/>
              </w:rPr>
            </w:pPr>
          </w:p>
        </w:tc>
        <w:tc>
          <w:tcPr>
            <w:tcW w:w="4900" w:type="dxa"/>
            <w:vAlign w:val="bottom"/>
            <w:tcBorders>
              <w:bottom w:val="single" w:sz="8" w:color="BCBEC0"/>
            </w:tcBorders>
          </w:tcPr>
          <w:p>
            <w:pPr>
              <w:spacing w:after="0"/>
              <w:rPr>
                <w:sz w:val="5"/>
                <w:szCs w:val="5"/>
                <w:color w:val="auto"/>
              </w:rPr>
            </w:pPr>
          </w:p>
        </w:tc>
        <w:tc>
          <w:tcPr>
            <w:tcW w:w="320" w:type="dxa"/>
            <w:vAlign w:val="bottom"/>
            <w:tcBorders>
              <w:bottom w:val="single" w:sz="8" w:color="BCBEC0"/>
            </w:tcBorders>
          </w:tcPr>
          <w:p>
            <w:pPr>
              <w:spacing w:after="0"/>
              <w:rPr>
                <w:sz w:val="5"/>
                <w:szCs w:val="5"/>
                <w:color w:val="auto"/>
              </w:rPr>
            </w:pPr>
          </w:p>
        </w:tc>
        <w:tc>
          <w:tcPr>
            <w:tcW w:w="3580" w:type="dxa"/>
            <w:vAlign w:val="bottom"/>
            <w:tcBorders>
              <w:bottom w:val="single" w:sz="8" w:color="BCBEC0"/>
            </w:tcBorders>
          </w:tcPr>
          <w:p>
            <w:pPr>
              <w:spacing w:after="0"/>
              <w:rPr>
                <w:sz w:val="5"/>
                <w:szCs w:val="5"/>
                <w:color w:val="auto"/>
              </w:rPr>
            </w:pPr>
          </w:p>
        </w:tc>
      </w:tr>
      <w:tr>
        <w:trPr>
          <w:trHeight w:val="209"/>
        </w:trPr>
        <w:tc>
          <w:tcPr>
            <w:tcW w:w="2440" w:type="dxa"/>
            <w:vAlign w:val="bottom"/>
            <w:shd w:val="clear" w:color="auto" w:fill="F4EFE7"/>
          </w:tcPr>
          <w:p>
            <w:pPr>
              <w:ind w:left="100"/>
              <w:spacing w:after="0"/>
              <w:rPr>
                <w:sz w:val="20"/>
                <w:szCs w:val="20"/>
                <w:color w:val="auto"/>
              </w:rPr>
            </w:pPr>
            <w:r>
              <w:rPr>
                <w:rFonts w:ascii="Arial" w:cs="Arial" w:eastAsia="Arial" w:hAnsi="Arial"/>
                <w:sz w:val="16"/>
                <w:szCs w:val="16"/>
                <w:color w:val="8F5A39"/>
              </w:rPr>
              <w:t>Unwavering</w:t>
            </w:r>
          </w:p>
        </w:tc>
        <w:tc>
          <w:tcPr>
            <w:tcW w:w="4900" w:type="dxa"/>
            <w:vAlign w:val="bottom"/>
          </w:tcPr>
          <w:p>
            <w:pPr>
              <w:ind w:left="220"/>
              <w:spacing w:after="0"/>
              <w:rPr>
                <w:sz w:val="20"/>
                <w:szCs w:val="20"/>
                <w:color w:val="auto"/>
              </w:rPr>
            </w:pPr>
            <w:r>
              <w:rPr>
                <w:rFonts w:ascii="Arial" w:cs="Arial" w:eastAsia="Arial" w:hAnsi="Arial"/>
                <w:sz w:val="16"/>
                <w:szCs w:val="16"/>
                <w:color w:val="auto"/>
              </w:rPr>
              <w:t>•  Fortress balance sheet</w:t>
            </w:r>
          </w:p>
        </w:tc>
        <w:tc>
          <w:tcPr>
            <w:tcW w:w="32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3580" w:type="dxa"/>
            <w:vAlign w:val="bottom"/>
          </w:tcPr>
          <w:p>
            <w:pPr>
              <w:ind w:left="60"/>
              <w:spacing w:after="0"/>
              <w:rPr>
                <w:sz w:val="20"/>
                <w:szCs w:val="20"/>
                <w:color w:val="auto"/>
              </w:rPr>
            </w:pPr>
            <w:r>
              <w:rPr>
                <w:rFonts w:ascii="Arial" w:cs="Arial" w:eastAsia="Arial" w:hAnsi="Arial"/>
                <w:sz w:val="16"/>
                <w:szCs w:val="16"/>
                <w:b w:val="1"/>
                <w:bCs w:val="1"/>
                <w:color w:val="auto"/>
              </w:rPr>
              <w:t xml:space="preserve">Culture </w:t>
            </w:r>
            <w:r>
              <w:rPr>
                <w:rFonts w:ascii="Arial" w:cs="Arial" w:eastAsia="Arial" w:hAnsi="Arial"/>
                <w:sz w:val="16"/>
                <w:szCs w:val="16"/>
                <w:color w:val="auto"/>
              </w:rPr>
              <w:t>and</w:t>
            </w:r>
            <w:r>
              <w:rPr>
                <w:rFonts w:ascii="Arial" w:cs="Arial" w:eastAsia="Arial" w:hAnsi="Arial"/>
                <w:sz w:val="16"/>
                <w:szCs w:val="16"/>
                <w:b w:val="1"/>
                <w:bCs w:val="1"/>
                <w:color w:val="auto"/>
              </w:rPr>
              <w:t xml:space="preserve"> conduct</w:t>
            </w:r>
          </w:p>
        </w:tc>
      </w:tr>
      <w:tr>
        <w:trPr>
          <w:trHeight w:val="223"/>
        </w:trPr>
        <w:tc>
          <w:tcPr>
            <w:tcW w:w="2440" w:type="dxa"/>
            <w:vAlign w:val="bottom"/>
            <w:shd w:val="clear" w:color="auto" w:fill="F4EFE7"/>
          </w:tcPr>
          <w:p>
            <w:pPr>
              <w:ind w:left="100"/>
              <w:spacing w:after="0"/>
              <w:rPr>
                <w:sz w:val="20"/>
                <w:szCs w:val="20"/>
                <w:color w:val="auto"/>
              </w:rPr>
            </w:pPr>
            <w:r>
              <w:rPr>
                <w:rFonts w:ascii="Arial" w:cs="Arial" w:eastAsia="Arial" w:hAnsi="Arial"/>
                <w:sz w:val="16"/>
                <w:szCs w:val="16"/>
                <w:color w:val="8F5A39"/>
              </w:rPr>
              <w:t>Principles</w:t>
            </w:r>
          </w:p>
        </w:tc>
        <w:tc>
          <w:tcPr>
            <w:tcW w:w="4900" w:type="dxa"/>
            <w:vAlign w:val="bottom"/>
          </w:tcPr>
          <w:p>
            <w:pPr>
              <w:ind w:left="220"/>
              <w:spacing w:after="0"/>
              <w:rPr>
                <w:sz w:val="20"/>
                <w:szCs w:val="20"/>
                <w:color w:val="auto"/>
              </w:rPr>
            </w:pPr>
            <w:r>
              <w:rPr>
                <w:rFonts w:ascii="Arial" w:cs="Arial" w:eastAsia="Arial" w:hAnsi="Arial"/>
                <w:sz w:val="16"/>
                <w:szCs w:val="16"/>
                <w:b w:val="1"/>
                <w:bCs w:val="1"/>
                <w:color w:val="auto"/>
              </w:rPr>
              <w:t xml:space="preserve">•  Risk governance </w:t>
            </w:r>
            <w:r>
              <w:rPr>
                <w:rFonts w:ascii="Arial" w:cs="Arial" w:eastAsia="Arial" w:hAnsi="Arial"/>
                <w:sz w:val="16"/>
                <w:szCs w:val="16"/>
                <w:color w:val="auto"/>
              </w:rPr>
              <w:t>and</w:t>
            </w:r>
            <w:r>
              <w:rPr>
                <w:rFonts w:ascii="Arial" w:cs="Arial" w:eastAsia="Arial" w:hAnsi="Arial"/>
                <w:sz w:val="16"/>
                <w:szCs w:val="16"/>
                <w:b w:val="1"/>
                <w:bCs w:val="1"/>
                <w:color w:val="auto"/>
              </w:rPr>
              <w:t xml:space="preserve"> controls</w:t>
            </w:r>
          </w:p>
        </w:tc>
        <w:tc>
          <w:tcPr>
            <w:tcW w:w="32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3580" w:type="dxa"/>
            <w:vAlign w:val="bottom"/>
          </w:tcPr>
          <w:p>
            <w:pPr>
              <w:ind w:left="60"/>
              <w:spacing w:after="0"/>
              <w:rPr>
                <w:sz w:val="20"/>
                <w:szCs w:val="20"/>
                <w:color w:val="auto"/>
              </w:rPr>
            </w:pPr>
            <w:r>
              <w:rPr>
                <w:rFonts w:ascii="Arial" w:cs="Arial" w:eastAsia="Arial" w:hAnsi="Arial"/>
                <w:sz w:val="16"/>
                <w:szCs w:val="16"/>
                <w:b w:val="1"/>
                <w:bCs w:val="1"/>
                <w:color w:val="auto"/>
              </w:rPr>
              <w:t>Operational resilience</w:t>
            </w:r>
          </w:p>
        </w:tc>
      </w:tr>
      <w:tr>
        <w:trPr>
          <w:trHeight w:val="62"/>
        </w:trPr>
        <w:tc>
          <w:tcPr>
            <w:tcW w:w="2440" w:type="dxa"/>
            <w:vAlign w:val="bottom"/>
            <w:tcBorders>
              <w:bottom w:val="single" w:sz="8" w:color="BCBEC0"/>
            </w:tcBorders>
            <w:shd w:val="clear" w:color="auto" w:fill="F4EFE7"/>
          </w:tcPr>
          <w:p>
            <w:pPr>
              <w:spacing w:after="0"/>
              <w:rPr>
                <w:sz w:val="5"/>
                <w:szCs w:val="5"/>
                <w:color w:val="auto"/>
              </w:rPr>
            </w:pPr>
          </w:p>
        </w:tc>
        <w:tc>
          <w:tcPr>
            <w:tcW w:w="4900" w:type="dxa"/>
            <w:vAlign w:val="bottom"/>
            <w:tcBorders>
              <w:bottom w:val="single" w:sz="8" w:color="BCBEC0"/>
            </w:tcBorders>
          </w:tcPr>
          <w:p>
            <w:pPr>
              <w:spacing w:after="0"/>
              <w:rPr>
                <w:sz w:val="5"/>
                <w:szCs w:val="5"/>
                <w:color w:val="auto"/>
              </w:rPr>
            </w:pPr>
          </w:p>
        </w:tc>
        <w:tc>
          <w:tcPr>
            <w:tcW w:w="3900" w:type="dxa"/>
            <w:vAlign w:val="bottom"/>
            <w:tcBorders>
              <w:bottom w:val="single" w:sz="8" w:color="BCBEC0"/>
            </w:tcBorders>
            <w:gridSpan w:val="2"/>
          </w:tcPr>
          <w:p>
            <w:pPr>
              <w:spacing w:after="0"/>
              <w:rPr>
                <w:sz w:val="5"/>
                <w:szCs w:val="5"/>
                <w:color w:val="auto"/>
              </w:rPr>
            </w:pPr>
          </w:p>
        </w:tc>
      </w:tr>
      <w:tr>
        <w:trPr>
          <w:trHeight w:val="209"/>
        </w:trPr>
        <w:tc>
          <w:tcPr>
            <w:tcW w:w="2440" w:type="dxa"/>
            <w:vAlign w:val="bottom"/>
            <w:shd w:val="clear" w:color="auto" w:fill="F4EFE7"/>
          </w:tcPr>
          <w:p>
            <w:pPr>
              <w:ind w:left="100"/>
              <w:spacing w:after="0"/>
              <w:rPr>
                <w:sz w:val="20"/>
                <w:szCs w:val="20"/>
                <w:color w:val="auto"/>
              </w:rPr>
            </w:pPr>
            <w:r>
              <w:rPr>
                <w:rFonts w:ascii="Arial" w:cs="Arial" w:eastAsia="Arial" w:hAnsi="Arial"/>
                <w:sz w:val="16"/>
                <w:szCs w:val="16"/>
                <w:color w:val="8F5A39"/>
              </w:rPr>
              <w:t>Long-Term</w:t>
            </w:r>
          </w:p>
        </w:tc>
        <w:tc>
          <w:tcPr>
            <w:tcW w:w="490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Continuously</w:t>
            </w:r>
            <w:r>
              <w:rPr>
                <w:rFonts w:ascii="Arial" w:cs="Arial" w:eastAsia="Arial" w:hAnsi="Arial"/>
                <w:sz w:val="16"/>
                <w:szCs w:val="16"/>
                <w:b w:val="1"/>
                <w:bCs w:val="1"/>
                <w:color w:val="auto"/>
              </w:rPr>
              <w:t xml:space="preserve"> investing </w:t>
            </w:r>
            <w:r>
              <w:rPr>
                <w:rFonts w:ascii="Arial" w:cs="Arial" w:eastAsia="Arial" w:hAnsi="Arial"/>
                <w:sz w:val="16"/>
                <w:szCs w:val="16"/>
                <w:color w:val="auto"/>
              </w:rPr>
              <w:t>in the future while maintaining</w:t>
            </w:r>
          </w:p>
        </w:tc>
        <w:tc>
          <w:tcPr>
            <w:tcW w:w="3900" w:type="dxa"/>
            <w:vAlign w:val="bottom"/>
            <w:gridSpan w:val="2"/>
          </w:tcPr>
          <w:p>
            <w:pPr>
              <w:ind w:left="200"/>
              <w:spacing w:after="0"/>
              <w:rPr>
                <w:sz w:val="20"/>
                <w:szCs w:val="20"/>
                <w:color w:val="auto"/>
              </w:rPr>
            </w:pPr>
            <w:r>
              <w:rPr>
                <w:rFonts w:ascii="Arial" w:cs="Arial" w:eastAsia="Arial" w:hAnsi="Arial"/>
                <w:sz w:val="16"/>
                <w:szCs w:val="16"/>
                <w:b w:val="1"/>
                <w:bCs w:val="1"/>
                <w:color w:val="auto"/>
              </w:rPr>
              <w:t xml:space="preserve">•  Employer of choice </w:t>
            </w:r>
            <w:r>
              <w:rPr>
                <w:rFonts w:ascii="Arial" w:cs="Arial" w:eastAsia="Arial" w:hAnsi="Arial"/>
                <w:sz w:val="16"/>
                <w:szCs w:val="16"/>
                <w:color w:val="auto"/>
              </w:rPr>
              <w:t>for top talent from all</w:t>
            </w:r>
          </w:p>
        </w:tc>
      </w:tr>
      <w:tr>
        <w:trPr>
          <w:trHeight w:val="189"/>
        </w:trPr>
        <w:tc>
          <w:tcPr>
            <w:tcW w:w="2440" w:type="dxa"/>
            <w:vAlign w:val="bottom"/>
            <w:shd w:val="clear" w:color="auto" w:fill="F4EFE7"/>
          </w:tcPr>
          <w:p>
            <w:pPr>
              <w:ind w:left="100"/>
              <w:spacing w:after="0"/>
              <w:rPr>
                <w:sz w:val="20"/>
                <w:szCs w:val="20"/>
                <w:color w:val="auto"/>
              </w:rPr>
            </w:pPr>
            <w:r>
              <w:rPr>
                <w:rFonts w:ascii="Arial" w:cs="Arial" w:eastAsia="Arial" w:hAnsi="Arial"/>
                <w:sz w:val="16"/>
                <w:szCs w:val="16"/>
                <w:color w:val="8F5A39"/>
              </w:rPr>
              <w:t>Shareholder Value</w:t>
            </w:r>
          </w:p>
        </w:tc>
        <w:tc>
          <w:tcPr>
            <w:tcW w:w="4900" w:type="dxa"/>
            <w:vAlign w:val="bottom"/>
          </w:tcPr>
          <w:p>
            <w:pPr>
              <w:ind w:left="420"/>
              <w:spacing w:after="0"/>
              <w:rPr>
                <w:sz w:val="20"/>
                <w:szCs w:val="20"/>
                <w:color w:val="auto"/>
              </w:rPr>
            </w:pPr>
            <w:r>
              <w:rPr>
                <w:rFonts w:ascii="Arial" w:cs="Arial" w:eastAsia="Arial" w:hAnsi="Arial"/>
                <w:sz w:val="16"/>
                <w:szCs w:val="16"/>
                <w:b w:val="1"/>
                <w:bCs w:val="1"/>
                <w:color w:val="auto"/>
              </w:rPr>
              <w:t>expense discipline</w:t>
            </w:r>
          </w:p>
        </w:tc>
        <w:tc>
          <w:tcPr>
            <w:tcW w:w="320" w:type="dxa"/>
            <w:vAlign w:val="bottom"/>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color w:val="auto"/>
              </w:rPr>
              <w:t>backgrounds</w:t>
            </w:r>
          </w:p>
        </w:tc>
      </w:tr>
      <w:tr>
        <w:trPr>
          <w:trHeight w:val="223"/>
        </w:trPr>
        <w:tc>
          <w:tcPr>
            <w:tcW w:w="2440" w:type="dxa"/>
            <w:vAlign w:val="bottom"/>
            <w:shd w:val="clear" w:color="auto" w:fill="F4EFE7"/>
          </w:tcPr>
          <w:p>
            <w:pPr>
              <w:spacing w:after="0"/>
              <w:rPr>
                <w:sz w:val="19"/>
                <w:szCs w:val="19"/>
                <w:color w:val="auto"/>
              </w:rPr>
            </w:pPr>
          </w:p>
        </w:tc>
        <w:tc>
          <w:tcPr>
            <w:tcW w:w="490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Focus on</w:t>
            </w:r>
            <w:r>
              <w:rPr>
                <w:rFonts w:ascii="Arial" w:cs="Arial" w:eastAsia="Arial" w:hAnsi="Arial"/>
                <w:sz w:val="16"/>
                <w:szCs w:val="16"/>
                <w:b w:val="1"/>
                <w:bCs w:val="1"/>
                <w:color w:val="auto"/>
              </w:rPr>
              <w:t xml:space="preserve"> customer experience </w:t>
            </w:r>
            <w:r>
              <w:rPr>
                <w:rFonts w:ascii="Arial" w:cs="Arial" w:eastAsia="Arial" w:hAnsi="Arial"/>
                <w:sz w:val="16"/>
                <w:szCs w:val="16"/>
                <w:color w:val="auto"/>
              </w:rPr>
              <w:t>and</w:t>
            </w:r>
            <w:r>
              <w:rPr>
                <w:rFonts w:ascii="Arial" w:cs="Arial" w:eastAsia="Arial" w:hAnsi="Arial"/>
                <w:sz w:val="16"/>
                <w:szCs w:val="16"/>
                <w:b w:val="1"/>
                <w:bCs w:val="1"/>
                <w:color w:val="auto"/>
              </w:rPr>
              <w:t xml:space="preserve"> innovation</w:t>
            </w: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62"/>
        </w:trPr>
        <w:tc>
          <w:tcPr>
            <w:tcW w:w="2440" w:type="dxa"/>
            <w:vAlign w:val="bottom"/>
            <w:tcBorders>
              <w:bottom w:val="single" w:sz="8" w:color="BCBEC0"/>
            </w:tcBorders>
            <w:shd w:val="clear" w:color="auto" w:fill="F4EFE7"/>
          </w:tcPr>
          <w:p>
            <w:pPr>
              <w:spacing w:after="0"/>
              <w:rPr>
                <w:sz w:val="5"/>
                <w:szCs w:val="5"/>
                <w:color w:val="auto"/>
              </w:rPr>
            </w:pPr>
          </w:p>
        </w:tc>
        <w:tc>
          <w:tcPr>
            <w:tcW w:w="4900" w:type="dxa"/>
            <w:vAlign w:val="bottom"/>
            <w:tcBorders>
              <w:bottom w:val="single" w:sz="8" w:color="BCBEC0"/>
            </w:tcBorders>
          </w:tcPr>
          <w:p>
            <w:pPr>
              <w:spacing w:after="0"/>
              <w:rPr>
                <w:sz w:val="5"/>
                <w:szCs w:val="5"/>
                <w:color w:val="auto"/>
              </w:rPr>
            </w:pPr>
          </w:p>
        </w:tc>
        <w:tc>
          <w:tcPr>
            <w:tcW w:w="3900" w:type="dxa"/>
            <w:vAlign w:val="bottom"/>
            <w:tcBorders>
              <w:bottom w:val="single" w:sz="8" w:color="BCBEC0"/>
            </w:tcBorders>
            <w:gridSpan w:val="2"/>
          </w:tcPr>
          <w:p>
            <w:pPr>
              <w:spacing w:after="0"/>
              <w:rPr>
                <w:sz w:val="5"/>
                <w:szCs w:val="5"/>
                <w:color w:val="auto"/>
              </w:rPr>
            </w:pPr>
          </w:p>
        </w:tc>
      </w:tr>
      <w:tr>
        <w:trPr>
          <w:trHeight w:val="209"/>
        </w:trPr>
        <w:tc>
          <w:tcPr>
            <w:tcW w:w="2440" w:type="dxa"/>
            <w:vAlign w:val="bottom"/>
            <w:shd w:val="clear" w:color="auto" w:fill="F4EFE7"/>
          </w:tcPr>
          <w:p>
            <w:pPr>
              <w:ind w:left="100"/>
              <w:spacing w:after="0"/>
              <w:rPr>
                <w:sz w:val="20"/>
                <w:szCs w:val="20"/>
                <w:color w:val="auto"/>
              </w:rPr>
            </w:pPr>
            <w:r>
              <w:rPr>
                <w:rFonts w:ascii="Arial" w:cs="Arial" w:eastAsia="Arial" w:hAnsi="Arial"/>
                <w:sz w:val="16"/>
                <w:szCs w:val="16"/>
                <w:color w:val="8F5A39"/>
              </w:rPr>
              <w:t>Sustainable</w:t>
            </w:r>
          </w:p>
        </w:tc>
        <w:tc>
          <w:tcPr>
            <w:tcW w:w="490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Investing in and</w:t>
            </w:r>
            <w:r>
              <w:rPr>
                <w:rFonts w:ascii="Arial" w:cs="Arial" w:eastAsia="Arial" w:hAnsi="Arial"/>
                <w:sz w:val="16"/>
                <w:szCs w:val="16"/>
                <w:b w:val="1"/>
                <w:bCs w:val="1"/>
                <w:color w:val="auto"/>
              </w:rPr>
              <w:t xml:space="preserve"> supporting </w:t>
            </w:r>
            <w:r>
              <w:rPr>
                <w:rFonts w:ascii="Arial" w:cs="Arial" w:eastAsia="Arial" w:hAnsi="Arial"/>
                <w:sz w:val="16"/>
                <w:szCs w:val="16"/>
                <w:color w:val="auto"/>
              </w:rPr>
              <w:t>our</w:t>
            </w:r>
            <w:r>
              <w:rPr>
                <w:rFonts w:ascii="Arial" w:cs="Arial" w:eastAsia="Arial" w:hAnsi="Arial"/>
                <w:sz w:val="16"/>
                <w:szCs w:val="16"/>
                <w:b w:val="1"/>
                <w:bCs w:val="1"/>
                <w:color w:val="auto"/>
              </w:rPr>
              <w:t xml:space="preserve"> communities</w:t>
            </w:r>
          </w:p>
        </w:tc>
        <w:tc>
          <w:tcPr>
            <w:tcW w:w="3900" w:type="dxa"/>
            <w:vAlign w:val="bottom"/>
            <w:gridSpan w:val="2"/>
          </w:tcPr>
          <w:p>
            <w:pPr>
              <w:ind w:left="2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Serving a</w:t>
            </w:r>
            <w:r>
              <w:rPr>
                <w:rFonts w:ascii="Arial" w:cs="Arial" w:eastAsia="Arial" w:hAnsi="Arial"/>
                <w:sz w:val="16"/>
                <w:szCs w:val="16"/>
                <w:b w:val="1"/>
                <w:bCs w:val="1"/>
                <w:color w:val="auto"/>
              </w:rPr>
              <w:t xml:space="preserve"> diverse </w:t>
            </w:r>
            <w:r>
              <w:rPr>
                <w:rFonts w:ascii="Arial" w:cs="Arial" w:eastAsia="Arial" w:hAnsi="Arial"/>
                <w:sz w:val="16"/>
                <w:szCs w:val="16"/>
                <w:color w:val="auto"/>
              </w:rPr>
              <w:t>customer base</w:t>
            </w:r>
          </w:p>
        </w:tc>
      </w:tr>
      <w:tr>
        <w:trPr>
          <w:trHeight w:val="189"/>
        </w:trPr>
        <w:tc>
          <w:tcPr>
            <w:tcW w:w="2440" w:type="dxa"/>
            <w:vAlign w:val="bottom"/>
            <w:shd w:val="clear" w:color="auto" w:fill="F4EFE7"/>
          </w:tcPr>
          <w:p>
            <w:pPr>
              <w:ind w:left="100"/>
              <w:spacing w:after="0"/>
              <w:rPr>
                <w:sz w:val="20"/>
                <w:szCs w:val="20"/>
                <w:color w:val="auto"/>
              </w:rPr>
            </w:pPr>
            <w:r>
              <w:rPr>
                <w:rFonts w:ascii="Arial" w:cs="Arial" w:eastAsia="Arial" w:hAnsi="Arial"/>
                <w:sz w:val="16"/>
                <w:szCs w:val="16"/>
                <w:color w:val="8F5A39"/>
              </w:rPr>
              <w:t>Business Practices</w:t>
            </w:r>
          </w:p>
        </w:tc>
        <w:tc>
          <w:tcPr>
            <w:tcW w:w="4900" w:type="dxa"/>
            <w:vAlign w:val="bottom"/>
          </w:tcPr>
          <w:p>
            <w:pPr>
              <w:ind w:left="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Integrating</w:t>
            </w:r>
            <w:r>
              <w:rPr>
                <w:rFonts w:ascii="Arial" w:cs="Arial" w:eastAsia="Arial" w:hAnsi="Arial"/>
                <w:sz w:val="16"/>
                <w:szCs w:val="16"/>
                <w:b w:val="1"/>
                <w:bCs w:val="1"/>
                <w:color w:val="auto"/>
              </w:rPr>
              <w:t xml:space="preserve"> environmental sustainability </w:t>
            </w:r>
            <w:r>
              <w:rPr>
                <w:rFonts w:ascii="Arial" w:cs="Arial" w:eastAsia="Arial" w:hAnsi="Arial"/>
                <w:sz w:val="16"/>
                <w:szCs w:val="16"/>
                <w:color w:val="auto"/>
              </w:rPr>
              <w:t>into business and</w:t>
            </w:r>
          </w:p>
        </w:tc>
        <w:tc>
          <w:tcPr>
            <w:tcW w:w="32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3580" w:type="dxa"/>
            <w:vAlign w:val="bottom"/>
          </w:tcPr>
          <w:p>
            <w:pPr>
              <w:ind w:left="60"/>
              <w:spacing w:after="0"/>
              <w:rPr>
                <w:sz w:val="20"/>
                <w:szCs w:val="20"/>
                <w:color w:val="auto"/>
              </w:rPr>
            </w:pPr>
            <w:r>
              <w:rPr>
                <w:rFonts w:ascii="Arial" w:cs="Arial" w:eastAsia="Arial" w:hAnsi="Arial"/>
                <w:sz w:val="16"/>
                <w:szCs w:val="16"/>
                <w:color w:val="auto"/>
              </w:rPr>
              <w:t xml:space="preserve">Promoting </w:t>
            </w:r>
            <w:r>
              <w:rPr>
                <w:rFonts w:ascii="Arial" w:cs="Arial" w:eastAsia="Arial" w:hAnsi="Arial"/>
                <w:sz w:val="16"/>
                <w:szCs w:val="16"/>
                <w:b w:val="1"/>
                <w:bCs w:val="1"/>
                <w:color w:val="auto"/>
              </w:rPr>
              <w:t>sound governance</w:t>
            </w:r>
          </w:p>
        </w:tc>
      </w:tr>
      <w:tr>
        <w:trPr>
          <w:trHeight w:val="215"/>
        </w:trPr>
        <w:tc>
          <w:tcPr>
            <w:tcW w:w="2440" w:type="dxa"/>
            <w:vAlign w:val="bottom"/>
            <w:shd w:val="clear" w:color="auto" w:fill="F4EFE7"/>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6"/>
                <w:szCs w:val="16"/>
                <w:color w:val="auto"/>
              </w:rPr>
              <w:t>operating decisions</w:t>
            </w:r>
          </w:p>
        </w:tc>
        <w:tc>
          <w:tcPr>
            <w:tcW w:w="3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69"/>
        </w:trPr>
        <w:tc>
          <w:tcPr>
            <w:tcW w:w="2440" w:type="dxa"/>
            <w:vAlign w:val="bottom"/>
            <w:tcBorders>
              <w:bottom w:val="single" w:sz="8" w:color="auto"/>
            </w:tcBorders>
            <w:shd w:val="clear" w:color="auto" w:fill="F4EFE7"/>
          </w:tcPr>
          <w:p>
            <w:pPr>
              <w:spacing w:after="0"/>
              <w:rPr>
                <w:sz w:val="6"/>
                <w:szCs w:val="6"/>
                <w:color w:val="auto"/>
              </w:rPr>
            </w:pPr>
          </w:p>
        </w:tc>
        <w:tc>
          <w:tcPr>
            <w:tcW w:w="4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r>
    </w:tbl>
    <w:p>
      <w:pPr>
        <w:spacing w:after="0" w:line="14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Our businesses develop initiatives that map to the strategic framework and are designed to reinforce the Firm’s operating principles to be complete, global, diversified and at scale. Execution of our strategy forms the basis of </w:t>
      </w:r>
      <w:r>
        <w:rPr>
          <w:rFonts w:ascii="Arial" w:cs="Arial" w:eastAsia="Arial" w:hAnsi="Arial"/>
          <w:sz w:val="16"/>
          <w:szCs w:val="16"/>
          <w:b w:val="1"/>
          <w:bCs w:val="1"/>
          <w:color w:val="auto"/>
        </w:rPr>
        <w:t>what</w:t>
      </w:r>
      <w:r>
        <w:rPr>
          <w:rFonts w:ascii="Arial" w:cs="Arial" w:eastAsia="Arial" w:hAnsi="Arial"/>
          <w:sz w:val="16"/>
          <w:szCs w:val="16"/>
          <w:color w:val="auto"/>
        </w:rPr>
        <w:t xml:space="preserve"> we achieve through our current and multi-year business results.</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color w:val="auto"/>
        </w:rPr>
        <w:t>Compensation Philosophy</w:t>
      </w:r>
    </w:p>
    <w:p>
      <w:pPr>
        <w:spacing w:after="0" w:line="4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Also guided by our Business Principles, the Firm's compensation philosophy is fundamental to our goals of attracting, retaining and motivating our workforce in a competitive market. Our compensation philosophy provides the guiding principles that drive compensation-related decisions. The key tenets of our compensation philosophy are listed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20" w:type="dxa"/>
            <w:vAlign w:val="bottom"/>
          </w:tcPr>
          <w:p>
            <w:pPr>
              <w:spacing w:after="0"/>
              <w:rPr>
                <w:sz w:val="19"/>
                <w:szCs w:val="19"/>
                <w:color w:val="auto"/>
              </w:rPr>
            </w:pPr>
          </w:p>
        </w:tc>
        <w:tc>
          <w:tcPr>
            <w:tcW w:w="2760" w:type="dxa"/>
            <w:vAlign w:val="bottom"/>
            <w:gridSpan w:val="3"/>
            <w:shd w:val="clear" w:color="auto" w:fill="F4EFE7"/>
          </w:tcPr>
          <w:p>
            <w:pPr>
              <w:jc w:val="center"/>
              <w:spacing w:after="0"/>
              <w:rPr>
                <w:sz w:val="20"/>
                <w:szCs w:val="20"/>
                <w:color w:val="auto"/>
              </w:rPr>
            </w:pPr>
            <w:r>
              <w:rPr>
                <w:rFonts w:ascii="Arial" w:cs="Arial" w:eastAsia="Arial" w:hAnsi="Arial"/>
                <w:sz w:val="16"/>
                <w:szCs w:val="16"/>
                <w:color w:val="auto"/>
              </w:rPr>
              <w:t>Paying for performance and aligning</w:t>
            </w:r>
          </w:p>
        </w:tc>
        <w:tc>
          <w:tcPr>
            <w:tcW w:w="100" w:type="dxa"/>
            <w:vAlign w:val="bottom"/>
          </w:tcPr>
          <w:p>
            <w:pPr>
              <w:spacing w:after="0"/>
              <w:rPr>
                <w:sz w:val="19"/>
                <w:szCs w:val="19"/>
                <w:color w:val="auto"/>
              </w:rPr>
            </w:pPr>
          </w:p>
        </w:tc>
        <w:tc>
          <w:tcPr>
            <w:tcW w:w="2760" w:type="dxa"/>
            <w:vAlign w:val="bottom"/>
            <w:gridSpan w:val="4"/>
            <w:shd w:val="clear" w:color="auto" w:fill="F4EFE7"/>
          </w:tcPr>
          <w:p>
            <w:pPr>
              <w:jc w:val="center"/>
              <w:spacing w:after="0"/>
              <w:rPr>
                <w:sz w:val="20"/>
                <w:szCs w:val="20"/>
                <w:color w:val="auto"/>
              </w:rPr>
            </w:pPr>
            <w:r>
              <w:rPr>
                <w:rFonts w:ascii="Arial" w:cs="Arial" w:eastAsia="Arial" w:hAnsi="Arial"/>
                <w:sz w:val="16"/>
                <w:szCs w:val="16"/>
                <w:color w:val="auto"/>
              </w:rPr>
              <w:t>Encouraging a culture of shared</w:t>
            </w:r>
          </w:p>
        </w:tc>
        <w:tc>
          <w:tcPr>
            <w:tcW w:w="100" w:type="dxa"/>
            <w:vAlign w:val="bottom"/>
          </w:tcPr>
          <w:p>
            <w:pPr>
              <w:spacing w:after="0"/>
              <w:rPr>
                <w:sz w:val="19"/>
                <w:szCs w:val="19"/>
                <w:color w:val="auto"/>
              </w:rPr>
            </w:pPr>
          </w:p>
        </w:tc>
        <w:tc>
          <w:tcPr>
            <w:tcW w:w="460" w:type="dxa"/>
            <w:vAlign w:val="bottom"/>
            <w:shd w:val="clear" w:color="auto" w:fill="F4EFE7"/>
          </w:tcPr>
          <w:p>
            <w:pPr>
              <w:spacing w:after="0"/>
              <w:rPr>
                <w:sz w:val="19"/>
                <w:szCs w:val="19"/>
                <w:color w:val="auto"/>
              </w:rPr>
            </w:pPr>
          </w:p>
        </w:tc>
        <w:tc>
          <w:tcPr>
            <w:tcW w:w="2300" w:type="dxa"/>
            <w:vAlign w:val="bottom"/>
            <w:gridSpan w:val="3"/>
            <w:shd w:val="clear" w:color="auto" w:fill="F4EFE7"/>
          </w:tcPr>
          <w:p>
            <w:pPr>
              <w:jc w:val="center"/>
              <w:ind w:right="359"/>
              <w:spacing w:after="0"/>
              <w:rPr>
                <w:sz w:val="20"/>
                <w:szCs w:val="20"/>
                <w:color w:val="auto"/>
              </w:rPr>
            </w:pPr>
            <w:r>
              <w:rPr>
                <w:rFonts w:ascii="Arial" w:cs="Arial" w:eastAsia="Arial" w:hAnsi="Arial"/>
                <w:sz w:val="16"/>
                <w:szCs w:val="16"/>
                <w:color w:val="auto"/>
              </w:rPr>
              <w:t>Attracting and retaining</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2760" w:type="dxa"/>
            <w:vAlign w:val="bottom"/>
            <w:gridSpan w:val="3"/>
            <w:shd w:val="clear" w:color="auto" w:fill="F4EFE7"/>
          </w:tcPr>
          <w:p>
            <w:pPr>
              <w:jc w:val="center"/>
              <w:spacing w:after="0"/>
              <w:rPr>
                <w:sz w:val="20"/>
                <w:szCs w:val="20"/>
                <w:color w:val="auto"/>
              </w:rPr>
            </w:pPr>
            <w:r>
              <w:rPr>
                <w:rFonts w:ascii="Arial" w:cs="Arial" w:eastAsia="Arial" w:hAnsi="Arial"/>
                <w:sz w:val="16"/>
                <w:szCs w:val="16"/>
                <w:color w:val="auto"/>
              </w:rPr>
              <w:t>with shareholders’ interests</w:t>
            </w:r>
          </w:p>
        </w:tc>
        <w:tc>
          <w:tcPr>
            <w:tcW w:w="100" w:type="dxa"/>
            <w:vAlign w:val="bottom"/>
          </w:tcPr>
          <w:p>
            <w:pPr>
              <w:spacing w:after="0"/>
              <w:rPr>
                <w:sz w:val="18"/>
                <w:szCs w:val="18"/>
                <w:color w:val="auto"/>
              </w:rPr>
            </w:pPr>
          </w:p>
        </w:tc>
        <w:tc>
          <w:tcPr>
            <w:tcW w:w="2040" w:type="dxa"/>
            <w:vAlign w:val="bottom"/>
            <w:gridSpan w:val="3"/>
            <w:shd w:val="clear" w:color="auto" w:fill="F4EFE7"/>
          </w:tcPr>
          <w:p>
            <w:pPr>
              <w:jc w:val="center"/>
              <w:ind w:left="659"/>
              <w:spacing w:after="0"/>
              <w:rPr>
                <w:sz w:val="20"/>
                <w:szCs w:val="20"/>
                <w:color w:val="auto"/>
              </w:rPr>
            </w:pPr>
            <w:r>
              <w:rPr>
                <w:rFonts w:ascii="Arial" w:cs="Arial" w:eastAsia="Arial" w:hAnsi="Arial"/>
                <w:sz w:val="16"/>
                <w:szCs w:val="16"/>
                <w:color w:val="auto"/>
              </w:rPr>
              <w:t>success</w:t>
            </w:r>
          </w:p>
        </w:tc>
        <w:tc>
          <w:tcPr>
            <w:tcW w:w="720" w:type="dxa"/>
            <w:vAlign w:val="bottom"/>
            <w:shd w:val="clear" w:color="auto" w:fill="F4EFE7"/>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shd w:val="clear" w:color="auto" w:fill="F4EFE7"/>
          </w:tcPr>
          <w:p>
            <w:pPr>
              <w:jc w:val="center"/>
              <w:spacing w:after="0"/>
              <w:rPr>
                <w:sz w:val="20"/>
                <w:szCs w:val="20"/>
                <w:color w:val="auto"/>
              </w:rPr>
            </w:pPr>
            <w:r>
              <w:rPr>
                <w:rFonts w:ascii="Arial" w:cs="Arial" w:eastAsia="Arial" w:hAnsi="Arial"/>
                <w:sz w:val="16"/>
                <w:szCs w:val="16"/>
                <w:color w:val="auto"/>
              </w:rPr>
              <w:t>top talent from all backgrounds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320" w:type="dxa"/>
            <w:vAlign w:val="bottom"/>
          </w:tcPr>
          <w:p>
            <w:pPr>
              <w:spacing w:after="0"/>
              <w:rPr>
                <w:sz w:val="9"/>
                <w:szCs w:val="9"/>
                <w:color w:val="auto"/>
              </w:rPr>
            </w:pPr>
          </w:p>
        </w:tc>
        <w:tc>
          <w:tcPr>
            <w:tcW w:w="1340" w:type="dxa"/>
            <w:vAlign w:val="bottom"/>
            <w:shd w:val="clear" w:color="auto" w:fill="F4EFE7"/>
          </w:tcPr>
          <w:p>
            <w:pPr>
              <w:spacing w:after="0"/>
              <w:rPr>
                <w:sz w:val="9"/>
                <w:szCs w:val="9"/>
                <w:color w:val="auto"/>
              </w:rPr>
            </w:pPr>
          </w:p>
        </w:tc>
        <w:tc>
          <w:tcPr>
            <w:tcW w:w="80" w:type="dxa"/>
            <w:vAlign w:val="bottom"/>
            <w:shd w:val="clear" w:color="auto" w:fill="F4EFE7"/>
          </w:tcPr>
          <w:p>
            <w:pPr>
              <w:spacing w:after="0"/>
              <w:rPr>
                <w:sz w:val="9"/>
                <w:szCs w:val="9"/>
                <w:color w:val="auto"/>
              </w:rPr>
            </w:pPr>
          </w:p>
        </w:tc>
        <w:tc>
          <w:tcPr>
            <w:tcW w:w="1340" w:type="dxa"/>
            <w:vAlign w:val="bottom"/>
            <w:shd w:val="clear" w:color="auto" w:fill="F4EFE7"/>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shd w:val="clear" w:color="auto" w:fill="F4EFE7"/>
          </w:tcPr>
          <w:p>
            <w:pPr>
              <w:spacing w:after="0"/>
              <w:rPr>
                <w:sz w:val="9"/>
                <w:szCs w:val="9"/>
                <w:color w:val="auto"/>
              </w:rPr>
            </w:pPr>
          </w:p>
        </w:tc>
        <w:tc>
          <w:tcPr>
            <w:tcW w:w="100" w:type="dxa"/>
            <w:vAlign w:val="bottom"/>
            <w:shd w:val="clear" w:color="auto" w:fill="F4EFE7"/>
          </w:tcPr>
          <w:p>
            <w:pPr>
              <w:spacing w:after="0"/>
              <w:rPr>
                <w:sz w:val="9"/>
                <w:szCs w:val="9"/>
                <w:color w:val="auto"/>
              </w:rPr>
            </w:pPr>
          </w:p>
        </w:tc>
        <w:tc>
          <w:tcPr>
            <w:tcW w:w="600" w:type="dxa"/>
            <w:vAlign w:val="bottom"/>
            <w:shd w:val="clear" w:color="auto" w:fill="F4EFE7"/>
          </w:tcPr>
          <w:p>
            <w:pPr>
              <w:spacing w:after="0"/>
              <w:rPr>
                <w:sz w:val="9"/>
                <w:szCs w:val="9"/>
                <w:color w:val="auto"/>
              </w:rPr>
            </w:pPr>
          </w:p>
        </w:tc>
        <w:tc>
          <w:tcPr>
            <w:tcW w:w="720" w:type="dxa"/>
            <w:vAlign w:val="bottom"/>
            <w:shd w:val="clear" w:color="auto" w:fill="F4EFE7"/>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shd w:val="clear" w:color="auto" w:fill="F4EFE7"/>
          </w:tcPr>
          <w:p>
            <w:pPr>
              <w:spacing w:after="0"/>
              <w:rPr>
                <w:sz w:val="9"/>
                <w:szCs w:val="9"/>
                <w:color w:val="auto"/>
              </w:rPr>
            </w:pPr>
          </w:p>
        </w:tc>
        <w:tc>
          <w:tcPr>
            <w:tcW w:w="880" w:type="dxa"/>
            <w:vAlign w:val="bottom"/>
            <w:shd w:val="clear" w:color="auto" w:fill="F4EFE7"/>
          </w:tcPr>
          <w:p>
            <w:pPr>
              <w:spacing w:after="0"/>
              <w:rPr>
                <w:sz w:val="9"/>
                <w:szCs w:val="9"/>
                <w:color w:val="auto"/>
              </w:rPr>
            </w:pPr>
          </w:p>
        </w:tc>
        <w:tc>
          <w:tcPr>
            <w:tcW w:w="100" w:type="dxa"/>
            <w:vAlign w:val="bottom"/>
            <w:shd w:val="clear" w:color="auto" w:fill="F4EFE7"/>
          </w:tcPr>
          <w:p>
            <w:pPr>
              <w:spacing w:after="0"/>
              <w:rPr>
                <w:sz w:val="9"/>
                <w:szCs w:val="9"/>
                <w:color w:val="auto"/>
              </w:rPr>
            </w:pPr>
          </w:p>
        </w:tc>
        <w:tc>
          <w:tcPr>
            <w:tcW w:w="1320" w:type="dxa"/>
            <w:vAlign w:val="bottom"/>
            <w:shd w:val="clear" w:color="auto" w:fill="F4EFE7"/>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80" w:type="dxa"/>
            <w:vAlign w:val="bottom"/>
            <w:gridSpan w:val="3"/>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660" w:type="dxa"/>
            <w:vAlign w:val="bottom"/>
            <w:gridSpan w:val="2"/>
            <w:vMerge w:val="restart"/>
            <w:shd w:val="clear" w:color="auto" w:fill="F4EFE7"/>
          </w:tcPr>
          <w:p>
            <w:pPr>
              <w:jc w:val="center"/>
              <w:spacing w:after="0"/>
              <w:rPr>
                <w:sz w:val="20"/>
                <w:szCs w:val="20"/>
                <w:color w:val="auto"/>
              </w:rPr>
            </w:pPr>
            <w:r>
              <w:rPr>
                <w:rFonts w:ascii="Arial" w:cs="Arial" w:eastAsia="Arial" w:hAnsi="Arial"/>
                <w:sz w:val="16"/>
                <w:szCs w:val="16"/>
                <w:color w:val="auto"/>
              </w:rPr>
              <w:t>Integrating risk management and</w:t>
            </w:r>
          </w:p>
        </w:tc>
        <w:tc>
          <w:tcPr>
            <w:tcW w:w="80" w:type="dxa"/>
            <w:vAlign w:val="bottom"/>
          </w:tcPr>
          <w:p>
            <w:pPr>
              <w:spacing w:after="0"/>
              <w:rPr>
                <w:sz w:val="19"/>
                <w:szCs w:val="19"/>
                <w:color w:val="auto"/>
              </w:rPr>
            </w:pPr>
          </w:p>
        </w:tc>
        <w:tc>
          <w:tcPr>
            <w:tcW w:w="2780" w:type="dxa"/>
            <w:vAlign w:val="bottom"/>
            <w:gridSpan w:val="3"/>
            <w:shd w:val="clear" w:color="auto" w:fill="F4EFE7"/>
          </w:tcPr>
          <w:p>
            <w:pPr>
              <w:jc w:val="center"/>
              <w:spacing w:after="0"/>
              <w:rPr>
                <w:sz w:val="20"/>
                <w:szCs w:val="20"/>
                <w:color w:val="auto"/>
              </w:rPr>
            </w:pPr>
            <w:r>
              <w:rPr>
                <w:rFonts w:ascii="Arial" w:cs="Arial" w:eastAsia="Arial" w:hAnsi="Arial"/>
                <w:sz w:val="16"/>
                <w:szCs w:val="16"/>
                <w:color w:val="auto"/>
              </w:rPr>
              <w:t>No special perquisites and non-</w:t>
            </w:r>
          </w:p>
        </w:tc>
        <w:tc>
          <w:tcPr>
            <w:tcW w:w="100" w:type="dxa"/>
            <w:vAlign w:val="bottom"/>
          </w:tcPr>
          <w:p>
            <w:pPr>
              <w:spacing w:after="0"/>
              <w:rPr>
                <w:sz w:val="19"/>
                <w:szCs w:val="19"/>
                <w:color w:val="auto"/>
              </w:rPr>
            </w:pPr>
          </w:p>
        </w:tc>
        <w:tc>
          <w:tcPr>
            <w:tcW w:w="600" w:type="dxa"/>
            <w:vAlign w:val="bottom"/>
            <w:shd w:val="clear" w:color="auto" w:fill="F4EFE7"/>
          </w:tcPr>
          <w:p>
            <w:pPr>
              <w:spacing w:after="0"/>
              <w:rPr>
                <w:sz w:val="19"/>
                <w:szCs w:val="19"/>
                <w:color w:val="auto"/>
              </w:rPr>
            </w:pPr>
          </w:p>
        </w:tc>
        <w:tc>
          <w:tcPr>
            <w:tcW w:w="1280" w:type="dxa"/>
            <w:vAlign w:val="bottom"/>
            <w:gridSpan w:val="3"/>
            <w:shd w:val="clear" w:color="auto" w:fill="F4EFE7"/>
          </w:tcPr>
          <w:p>
            <w:pPr>
              <w:jc w:val="center"/>
              <w:ind w:left="179"/>
              <w:spacing w:after="0"/>
              <w:rPr>
                <w:sz w:val="20"/>
                <w:szCs w:val="20"/>
                <w:color w:val="auto"/>
              </w:rPr>
            </w:pPr>
            <w:r>
              <w:rPr>
                <w:rFonts w:ascii="Arial" w:cs="Arial" w:eastAsia="Arial" w:hAnsi="Arial"/>
                <w:sz w:val="16"/>
                <w:szCs w:val="16"/>
                <w:color w:val="auto"/>
              </w:rPr>
              <w:t>Maintaining</w:t>
            </w:r>
          </w:p>
        </w:tc>
        <w:tc>
          <w:tcPr>
            <w:tcW w:w="880" w:type="dxa"/>
            <w:vAlign w:val="bottom"/>
            <w:shd w:val="clear" w:color="auto" w:fill="F4EFE7"/>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2"/>
            <w:shd w:val="clear" w:color="auto" w:fill="F4EFE7"/>
          </w:tcPr>
          <w:p>
            <w:pPr>
              <w:jc w:val="center"/>
              <w:ind w:right="20"/>
              <w:spacing w:after="0"/>
              <w:rPr>
                <w:sz w:val="20"/>
                <w:szCs w:val="20"/>
                <w:color w:val="auto"/>
              </w:rPr>
            </w:pPr>
            <w:r>
              <w:rPr>
                <w:rFonts w:ascii="Arial" w:cs="Arial" w:eastAsia="Arial" w:hAnsi="Arial"/>
                <w:sz w:val="16"/>
                <w:szCs w:val="16"/>
                <w:color w:val="auto"/>
              </w:rPr>
              <w:t>Transparency</w:t>
            </w:r>
          </w:p>
        </w:tc>
        <w:tc>
          <w:tcPr>
            <w:tcW w:w="0" w:type="dxa"/>
            <w:vAlign w:val="bottom"/>
          </w:tcPr>
          <w:p>
            <w:pPr>
              <w:spacing w:after="0"/>
              <w:rPr>
                <w:sz w:val="1"/>
                <w:szCs w:val="1"/>
                <w:color w:val="auto"/>
              </w:rPr>
            </w:pPr>
          </w:p>
        </w:tc>
      </w:tr>
      <w:tr>
        <w:trPr>
          <w:trHeight w:val="94"/>
        </w:trPr>
        <w:tc>
          <w:tcPr>
            <w:tcW w:w="2660" w:type="dxa"/>
            <w:vAlign w:val="bottom"/>
            <w:gridSpan w:val="2"/>
            <w:vMerge w:val="continue"/>
            <w:shd w:val="clear" w:color="auto" w:fill="F4EFE7"/>
          </w:tcPr>
          <w:p>
            <w:pPr>
              <w:spacing w:after="0"/>
              <w:rPr>
                <w:sz w:val="8"/>
                <w:szCs w:val="8"/>
                <w:color w:val="auto"/>
              </w:rPr>
            </w:pPr>
          </w:p>
        </w:tc>
        <w:tc>
          <w:tcPr>
            <w:tcW w:w="80" w:type="dxa"/>
            <w:vAlign w:val="bottom"/>
          </w:tcPr>
          <w:p>
            <w:pPr>
              <w:spacing w:after="0"/>
              <w:rPr>
                <w:sz w:val="8"/>
                <w:szCs w:val="8"/>
                <w:color w:val="auto"/>
              </w:rPr>
            </w:pPr>
          </w:p>
        </w:tc>
        <w:tc>
          <w:tcPr>
            <w:tcW w:w="2780" w:type="dxa"/>
            <w:vAlign w:val="bottom"/>
            <w:gridSpan w:val="3"/>
            <w:vMerge w:val="restart"/>
            <w:shd w:val="clear" w:color="auto" w:fill="F4EFE7"/>
          </w:tcPr>
          <w:p>
            <w:pPr>
              <w:jc w:val="center"/>
              <w:spacing w:after="0"/>
              <w:rPr>
                <w:sz w:val="20"/>
                <w:szCs w:val="20"/>
                <w:color w:val="auto"/>
              </w:rPr>
            </w:pPr>
            <w:r>
              <w:rPr>
                <w:rFonts w:ascii="Arial" w:cs="Arial" w:eastAsia="Arial" w:hAnsi="Arial"/>
                <w:sz w:val="16"/>
                <w:szCs w:val="16"/>
                <w:color w:val="auto"/>
              </w:rPr>
              <w:t>performance based compensation</w:t>
            </w:r>
          </w:p>
        </w:tc>
        <w:tc>
          <w:tcPr>
            <w:tcW w:w="100" w:type="dxa"/>
            <w:vAlign w:val="bottom"/>
          </w:tcPr>
          <w:p>
            <w:pPr>
              <w:spacing w:after="0"/>
              <w:rPr>
                <w:sz w:val="8"/>
                <w:szCs w:val="8"/>
                <w:color w:val="auto"/>
              </w:rPr>
            </w:pPr>
          </w:p>
        </w:tc>
        <w:tc>
          <w:tcPr>
            <w:tcW w:w="600" w:type="dxa"/>
            <w:vAlign w:val="bottom"/>
            <w:shd w:val="clear" w:color="auto" w:fill="F4EFE7"/>
          </w:tcPr>
          <w:p>
            <w:pPr>
              <w:spacing w:after="0"/>
              <w:rPr>
                <w:sz w:val="8"/>
                <w:szCs w:val="8"/>
                <w:color w:val="auto"/>
              </w:rPr>
            </w:pPr>
          </w:p>
        </w:tc>
        <w:tc>
          <w:tcPr>
            <w:tcW w:w="1280" w:type="dxa"/>
            <w:vAlign w:val="bottom"/>
            <w:gridSpan w:val="3"/>
            <w:vMerge w:val="restart"/>
            <w:shd w:val="clear" w:color="auto" w:fill="F4EFE7"/>
          </w:tcPr>
          <w:p>
            <w:pPr>
              <w:jc w:val="center"/>
              <w:ind w:left="179"/>
              <w:spacing w:after="0"/>
              <w:rPr>
                <w:sz w:val="20"/>
                <w:szCs w:val="20"/>
                <w:color w:val="auto"/>
              </w:rPr>
            </w:pPr>
            <w:r>
              <w:rPr>
                <w:rFonts w:ascii="Arial" w:cs="Arial" w:eastAsia="Arial" w:hAnsi="Arial"/>
                <w:sz w:val="16"/>
                <w:szCs w:val="16"/>
                <w:color w:val="auto"/>
              </w:rPr>
              <w:t>strong</w:t>
            </w:r>
          </w:p>
        </w:tc>
        <w:tc>
          <w:tcPr>
            <w:tcW w:w="880" w:type="dxa"/>
            <w:vAlign w:val="bottom"/>
            <w:shd w:val="clear" w:color="auto" w:fill="F4EFE7"/>
          </w:tcPr>
          <w:p>
            <w:pPr>
              <w:spacing w:after="0"/>
              <w:rPr>
                <w:sz w:val="8"/>
                <w:szCs w:val="8"/>
                <w:color w:val="auto"/>
              </w:rPr>
            </w:pPr>
          </w:p>
        </w:tc>
        <w:tc>
          <w:tcPr>
            <w:tcW w:w="100" w:type="dxa"/>
            <w:vAlign w:val="bottom"/>
          </w:tcPr>
          <w:p>
            <w:pPr>
              <w:spacing w:after="0"/>
              <w:rPr>
                <w:sz w:val="8"/>
                <w:szCs w:val="8"/>
                <w:color w:val="auto"/>
              </w:rPr>
            </w:pPr>
          </w:p>
        </w:tc>
        <w:tc>
          <w:tcPr>
            <w:tcW w:w="2760" w:type="dxa"/>
            <w:vAlign w:val="bottom"/>
            <w:gridSpan w:val="2"/>
            <w:vMerge w:val="restart"/>
            <w:shd w:val="clear" w:color="auto" w:fill="F4EFE7"/>
          </w:tcPr>
          <w:p>
            <w:pPr>
              <w:jc w:val="center"/>
              <w:spacing w:after="0"/>
              <w:rPr>
                <w:sz w:val="20"/>
                <w:szCs w:val="20"/>
                <w:color w:val="auto"/>
              </w:rPr>
            </w:pPr>
            <w:r>
              <w:rPr>
                <w:rFonts w:ascii="Arial" w:cs="Arial" w:eastAsia="Arial" w:hAnsi="Arial"/>
                <w:sz w:val="16"/>
                <w:szCs w:val="16"/>
                <w:color w:val="auto"/>
                <w:w w:val="98"/>
              </w:rPr>
              <w:t>with</w:t>
            </w:r>
          </w:p>
        </w:tc>
        <w:tc>
          <w:tcPr>
            <w:tcW w:w="0" w:type="dxa"/>
            <w:vAlign w:val="bottom"/>
          </w:tcPr>
          <w:p>
            <w:pPr>
              <w:spacing w:after="0"/>
              <w:rPr>
                <w:sz w:val="1"/>
                <w:szCs w:val="1"/>
                <w:color w:val="auto"/>
              </w:rPr>
            </w:pPr>
          </w:p>
        </w:tc>
      </w:tr>
      <w:tr>
        <w:trPr>
          <w:trHeight w:val="95"/>
        </w:trPr>
        <w:tc>
          <w:tcPr>
            <w:tcW w:w="2660" w:type="dxa"/>
            <w:vAlign w:val="bottom"/>
            <w:gridSpan w:val="2"/>
            <w:vMerge w:val="restart"/>
            <w:shd w:val="clear" w:color="auto" w:fill="F4EFE7"/>
          </w:tcPr>
          <w:p>
            <w:pPr>
              <w:jc w:val="center"/>
              <w:spacing w:after="0"/>
              <w:rPr>
                <w:sz w:val="20"/>
                <w:szCs w:val="20"/>
                <w:color w:val="auto"/>
              </w:rPr>
            </w:pPr>
            <w:r>
              <w:rPr>
                <w:rFonts w:ascii="Arial" w:cs="Arial" w:eastAsia="Arial" w:hAnsi="Arial"/>
                <w:sz w:val="16"/>
                <w:szCs w:val="16"/>
                <w:color w:val="auto"/>
              </w:rPr>
              <w:t>compensation</w:t>
            </w:r>
          </w:p>
        </w:tc>
        <w:tc>
          <w:tcPr>
            <w:tcW w:w="80" w:type="dxa"/>
            <w:vAlign w:val="bottom"/>
          </w:tcPr>
          <w:p>
            <w:pPr>
              <w:spacing w:after="0"/>
              <w:rPr>
                <w:sz w:val="8"/>
                <w:szCs w:val="8"/>
                <w:color w:val="auto"/>
              </w:rPr>
            </w:pPr>
          </w:p>
        </w:tc>
        <w:tc>
          <w:tcPr>
            <w:tcW w:w="2780" w:type="dxa"/>
            <w:vAlign w:val="bottom"/>
            <w:gridSpan w:val="3"/>
            <w:vMerge w:val="continue"/>
            <w:shd w:val="clear" w:color="auto" w:fill="F4EFE7"/>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shd w:val="clear" w:color="auto" w:fill="F4EFE7"/>
          </w:tcPr>
          <w:p>
            <w:pPr>
              <w:spacing w:after="0"/>
              <w:rPr>
                <w:sz w:val="8"/>
                <w:szCs w:val="8"/>
                <w:color w:val="auto"/>
              </w:rPr>
            </w:pPr>
          </w:p>
        </w:tc>
        <w:tc>
          <w:tcPr>
            <w:tcW w:w="1280" w:type="dxa"/>
            <w:vAlign w:val="bottom"/>
            <w:gridSpan w:val="3"/>
            <w:vMerge w:val="continue"/>
            <w:shd w:val="clear" w:color="auto" w:fill="F4EFE7"/>
          </w:tcPr>
          <w:p>
            <w:pPr>
              <w:spacing w:after="0"/>
              <w:rPr>
                <w:sz w:val="8"/>
                <w:szCs w:val="8"/>
                <w:color w:val="auto"/>
              </w:rPr>
            </w:pPr>
          </w:p>
        </w:tc>
        <w:tc>
          <w:tcPr>
            <w:tcW w:w="880" w:type="dxa"/>
            <w:vAlign w:val="bottom"/>
            <w:shd w:val="clear" w:color="auto" w:fill="F4EFE7"/>
          </w:tcPr>
          <w:p>
            <w:pPr>
              <w:spacing w:after="0"/>
              <w:rPr>
                <w:sz w:val="8"/>
                <w:szCs w:val="8"/>
                <w:color w:val="auto"/>
              </w:rPr>
            </w:pPr>
          </w:p>
        </w:tc>
        <w:tc>
          <w:tcPr>
            <w:tcW w:w="100" w:type="dxa"/>
            <w:vAlign w:val="bottom"/>
          </w:tcPr>
          <w:p>
            <w:pPr>
              <w:spacing w:after="0"/>
              <w:rPr>
                <w:sz w:val="8"/>
                <w:szCs w:val="8"/>
                <w:color w:val="auto"/>
              </w:rPr>
            </w:pPr>
          </w:p>
        </w:tc>
        <w:tc>
          <w:tcPr>
            <w:tcW w:w="2760" w:type="dxa"/>
            <w:vAlign w:val="bottom"/>
            <w:gridSpan w:val="2"/>
            <w:vMerge w:val="continue"/>
            <w:shd w:val="clear" w:color="auto" w:fill="F4EFE7"/>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60" w:type="dxa"/>
            <w:vAlign w:val="bottom"/>
            <w:gridSpan w:val="2"/>
            <w:vMerge w:val="continue"/>
            <w:shd w:val="clear" w:color="auto" w:fill="F4EFE7"/>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shd w:val="clear" w:color="auto" w:fill="F4EFE7"/>
          </w:tcPr>
          <w:p>
            <w:pPr>
              <w:spacing w:after="0"/>
              <w:rPr>
                <w:sz w:val="10"/>
                <w:szCs w:val="10"/>
                <w:color w:val="auto"/>
              </w:rPr>
            </w:pPr>
          </w:p>
        </w:tc>
        <w:tc>
          <w:tcPr>
            <w:tcW w:w="100" w:type="dxa"/>
            <w:vAlign w:val="bottom"/>
            <w:shd w:val="clear" w:color="auto" w:fill="F4EFE7"/>
          </w:tcPr>
          <w:p>
            <w:pPr>
              <w:spacing w:after="0"/>
              <w:rPr>
                <w:sz w:val="10"/>
                <w:szCs w:val="10"/>
                <w:color w:val="auto"/>
              </w:rPr>
            </w:pPr>
          </w:p>
        </w:tc>
        <w:tc>
          <w:tcPr>
            <w:tcW w:w="1340" w:type="dxa"/>
            <w:vAlign w:val="bottom"/>
            <w:shd w:val="clear" w:color="auto" w:fill="F4EFE7"/>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shd w:val="clear" w:color="auto" w:fill="F4EFE7"/>
          </w:tcPr>
          <w:p>
            <w:pPr>
              <w:spacing w:after="0"/>
              <w:rPr>
                <w:sz w:val="10"/>
                <w:szCs w:val="10"/>
                <w:color w:val="auto"/>
              </w:rPr>
            </w:pPr>
          </w:p>
        </w:tc>
        <w:tc>
          <w:tcPr>
            <w:tcW w:w="1280" w:type="dxa"/>
            <w:vAlign w:val="bottom"/>
            <w:gridSpan w:val="3"/>
            <w:vMerge w:val="restart"/>
            <w:shd w:val="clear" w:color="auto" w:fill="F4EFE7"/>
          </w:tcPr>
          <w:p>
            <w:pPr>
              <w:jc w:val="center"/>
              <w:ind w:left="199"/>
              <w:spacing w:after="0"/>
              <w:rPr>
                <w:sz w:val="20"/>
                <w:szCs w:val="20"/>
                <w:color w:val="auto"/>
              </w:rPr>
            </w:pPr>
            <w:r>
              <w:rPr>
                <w:rFonts w:ascii="Arial" w:cs="Arial" w:eastAsia="Arial" w:hAnsi="Arial"/>
                <w:sz w:val="16"/>
                <w:szCs w:val="16"/>
                <w:color w:val="auto"/>
              </w:rPr>
              <w:t>governance</w:t>
            </w:r>
          </w:p>
        </w:tc>
        <w:tc>
          <w:tcPr>
            <w:tcW w:w="880" w:type="dxa"/>
            <w:vAlign w:val="bottom"/>
            <w:shd w:val="clear" w:color="auto" w:fill="F4EFE7"/>
          </w:tcPr>
          <w:p>
            <w:pPr>
              <w:spacing w:after="0"/>
              <w:rPr>
                <w:sz w:val="10"/>
                <w:szCs w:val="10"/>
                <w:color w:val="auto"/>
              </w:rPr>
            </w:pPr>
          </w:p>
        </w:tc>
        <w:tc>
          <w:tcPr>
            <w:tcW w:w="100" w:type="dxa"/>
            <w:vAlign w:val="bottom"/>
          </w:tcPr>
          <w:p>
            <w:pPr>
              <w:spacing w:after="0"/>
              <w:rPr>
                <w:sz w:val="10"/>
                <w:szCs w:val="10"/>
                <w:color w:val="auto"/>
              </w:rPr>
            </w:pPr>
          </w:p>
        </w:tc>
        <w:tc>
          <w:tcPr>
            <w:tcW w:w="2760" w:type="dxa"/>
            <w:vAlign w:val="bottom"/>
            <w:gridSpan w:val="2"/>
            <w:vMerge w:val="restart"/>
            <w:shd w:val="clear" w:color="auto" w:fill="F4EFE7"/>
          </w:tcPr>
          <w:p>
            <w:pPr>
              <w:jc w:val="center"/>
              <w:ind w:right="20"/>
              <w:spacing w:after="0"/>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94"/>
        </w:trPr>
        <w:tc>
          <w:tcPr>
            <w:tcW w:w="1320" w:type="dxa"/>
            <w:vAlign w:val="bottom"/>
            <w:shd w:val="clear" w:color="auto" w:fill="F4EFE7"/>
          </w:tcPr>
          <w:p>
            <w:pPr>
              <w:spacing w:after="0"/>
              <w:rPr>
                <w:sz w:val="8"/>
                <w:szCs w:val="8"/>
                <w:color w:val="auto"/>
              </w:rPr>
            </w:pPr>
          </w:p>
        </w:tc>
        <w:tc>
          <w:tcPr>
            <w:tcW w:w="1340" w:type="dxa"/>
            <w:vAlign w:val="bottom"/>
            <w:shd w:val="clear" w:color="auto" w:fill="F4EFE7"/>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shd w:val="clear" w:color="auto" w:fill="F4EFE7"/>
          </w:tcPr>
          <w:p>
            <w:pPr>
              <w:spacing w:after="0"/>
              <w:rPr>
                <w:sz w:val="8"/>
                <w:szCs w:val="8"/>
                <w:color w:val="auto"/>
              </w:rPr>
            </w:pPr>
          </w:p>
        </w:tc>
        <w:tc>
          <w:tcPr>
            <w:tcW w:w="100" w:type="dxa"/>
            <w:vAlign w:val="bottom"/>
            <w:shd w:val="clear" w:color="auto" w:fill="F4EFE7"/>
          </w:tcPr>
          <w:p>
            <w:pPr>
              <w:spacing w:after="0"/>
              <w:rPr>
                <w:sz w:val="8"/>
                <w:szCs w:val="8"/>
                <w:color w:val="auto"/>
              </w:rPr>
            </w:pPr>
          </w:p>
        </w:tc>
        <w:tc>
          <w:tcPr>
            <w:tcW w:w="1340" w:type="dxa"/>
            <w:vAlign w:val="bottom"/>
            <w:shd w:val="clear" w:color="auto" w:fill="F4EFE7"/>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shd w:val="clear" w:color="auto" w:fill="F4EFE7"/>
          </w:tcPr>
          <w:p>
            <w:pPr>
              <w:spacing w:after="0"/>
              <w:rPr>
                <w:sz w:val="8"/>
                <w:szCs w:val="8"/>
                <w:color w:val="auto"/>
              </w:rPr>
            </w:pPr>
          </w:p>
        </w:tc>
        <w:tc>
          <w:tcPr>
            <w:tcW w:w="1280" w:type="dxa"/>
            <w:vAlign w:val="bottom"/>
            <w:gridSpan w:val="3"/>
            <w:vMerge w:val="continue"/>
            <w:shd w:val="clear" w:color="auto" w:fill="F4EFE7"/>
          </w:tcPr>
          <w:p>
            <w:pPr>
              <w:spacing w:after="0"/>
              <w:rPr>
                <w:sz w:val="8"/>
                <w:szCs w:val="8"/>
                <w:color w:val="auto"/>
              </w:rPr>
            </w:pPr>
          </w:p>
        </w:tc>
        <w:tc>
          <w:tcPr>
            <w:tcW w:w="880" w:type="dxa"/>
            <w:vAlign w:val="bottom"/>
            <w:shd w:val="clear" w:color="auto" w:fill="F4EFE7"/>
          </w:tcPr>
          <w:p>
            <w:pPr>
              <w:spacing w:after="0"/>
              <w:rPr>
                <w:sz w:val="8"/>
                <w:szCs w:val="8"/>
                <w:color w:val="auto"/>
              </w:rPr>
            </w:pPr>
          </w:p>
        </w:tc>
        <w:tc>
          <w:tcPr>
            <w:tcW w:w="100" w:type="dxa"/>
            <w:vAlign w:val="bottom"/>
          </w:tcPr>
          <w:p>
            <w:pPr>
              <w:spacing w:after="0"/>
              <w:rPr>
                <w:sz w:val="8"/>
                <w:szCs w:val="8"/>
                <w:color w:val="auto"/>
              </w:rPr>
            </w:pPr>
          </w:p>
        </w:tc>
        <w:tc>
          <w:tcPr>
            <w:tcW w:w="2760" w:type="dxa"/>
            <w:vAlign w:val="bottom"/>
            <w:gridSpan w:val="2"/>
            <w:vMerge w:val="continue"/>
            <w:shd w:val="clear" w:color="auto" w:fill="F4EFE7"/>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320" w:type="dxa"/>
            <w:vAlign w:val="bottom"/>
            <w:shd w:val="clear" w:color="auto" w:fill="F4EFE7"/>
          </w:tcPr>
          <w:p>
            <w:pPr>
              <w:spacing w:after="0"/>
              <w:rPr>
                <w:sz w:val="9"/>
                <w:szCs w:val="9"/>
                <w:color w:val="auto"/>
              </w:rPr>
            </w:pPr>
          </w:p>
        </w:tc>
        <w:tc>
          <w:tcPr>
            <w:tcW w:w="1340" w:type="dxa"/>
            <w:vAlign w:val="bottom"/>
            <w:shd w:val="clear" w:color="auto" w:fill="F4EFE7"/>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shd w:val="clear" w:color="auto" w:fill="F4EFE7"/>
          </w:tcPr>
          <w:p>
            <w:pPr>
              <w:spacing w:after="0"/>
              <w:rPr>
                <w:sz w:val="9"/>
                <w:szCs w:val="9"/>
                <w:color w:val="auto"/>
              </w:rPr>
            </w:pPr>
          </w:p>
        </w:tc>
        <w:tc>
          <w:tcPr>
            <w:tcW w:w="100" w:type="dxa"/>
            <w:vAlign w:val="bottom"/>
            <w:shd w:val="clear" w:color="auto" w:fill="F4EFE7"/>
          </w:tcPr>
          <w:p>
            <w:pPr>
              <w:spacing w:after="0"/>
              <w:rPr>
                <w:sz w:val="9"/>
                <w:szCs w:val="9"/>
                <w:color w:val="auto"/>
              </w:rPr>
            </w:pPr>
          </w:p>
        </w:tc>
        <w:tc>
          <w:tcPr>
            <w:tcW w:w="1340" w:type="dxa"/>
            <w:vAlign w:val="bottom"/>
            <w:shd w:val="clear" w:color="auto" w:fill="F4EFE7"/>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shd w:val="clear" w:color="auto" w:fill="F4EFE7"/>
          </w:tcPr>
          <w:p>
            <w:pPr>
              <w:spacing w:after="0"/>
              <w:rPr>
                <w:sz w:val="9"/>
                <w:szCs w:val="9"/>
                <w:color w:val="auto"/>
              </w:rPr>
            </w:pPr>
          </w:p>
        </w:tc>
        <w:tc>
          <w:tcPr>
            <w:tcW w:w="720" w:type="dxa"/>
            <w:vAlign w:val="bottom"/>
            <w:shd w:val="clear" w:color="auto" w:fill="F4EFE7"/>
          </w:tcPr>
          <w:p>
            <w:pPr>
              <w:spacing w:after="0"/>
              <w:rPr>
                <w:sz w:val="9"/>
                <w:szCs w:val="9"/>
                <w:color w:val="auto"/>
              </w:rPr>
            </w:pPr>
          </w:p>
        </w:tc>
        <w:tc>
          <w:tcPr>
            <w:tcW w:w="100" w:type="dxa"/>
            <w:vAlign w:val="bottom"/>
            <w:shd w:val="clear" w:color="auto" w:fill="F4EFE7"/>
          </w:tcPr>
          <w:p>
            <w:pPr>
              <w:spacing w:after="0"/>
              <w:rPr>
                <w:sz w:val="9"/>
                <w:szCs w:val="9"/>
                <w:color w:val="auto"/>
              </w:rPr>
            </w:pPr>
          </w:p>
        </w:tc>
        <w:tc>
          <w:tcPr>
            <w:tcW w:w="460" w:type="dxa"/>
            <w:vAlign w:val="bottom"/>
            <w:shd w:val="clear" w:color="auto" w:fill="F4EFE7"/>
          </w:tcPr>
          <w:p>
            <w:pPr>
              <w:spacing w:after="0"/>
              <w:rPr>
                <w:sz w:val="9"/>
                <w:szCs w:val="9"/>
                <w:color w:val="auto"/>
              </w:rPr>
            </w:pPr>
          </w:p>
        </w:tc>
        <w:tc>
          <w:tcPr>
            <w:tcW w:w="880" w:type="dxa"/>
            <w:vAlign w:val="bottom"/>
            <w:shd w:val="clear" w:color="auto" w:fill="F4EFE7"/>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shd w:val="clear" w:color="auto" w:fill="F4EFE7"/>
          </w:tcPr>
          <w:p>
            <w:pPr>
              <w:spacing w:after="0"/>
              <w:rPr>
                <w:sz w:val="9"/>
                <w:szCs w:val="9"/>
                <w:color w:val="auto"/>
              </w:rPr>
            </w:pPr>
          </w:p>
        </w:tc>
        <w:tc>
          <w:tcPr>
            <w:tcW w:w="1440" w:type="dxa"/>
            <w:vAlign w:val="bottom"/>
            <w:shd w:val="clear" w:color="auto" w:fill="F4EFE7"/>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419735</wp:posOffset>
            </wp:positionV>
            <wp:extent cx="651510" cy="8572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2860" w:type="dxa"/>
            <w:vAlign w:val="bottom"/>
            <w:tcBorders>
              <w:top w:val="single" w:sz="8" w:color="A6D7F0"/>
            </w:tcBorders>
            <w:shd w:val="clear" w:color="auto" w:fill="A6D7F0"/>
          </w:tcPr>
          <w:p>
            <w:pPr>
              <w:ind w:left="280"/>
              <w:spacing w:after="0"/>
              <w:rPr>
                <w:sz w:val="20"/>
                <w:szCs w:val="20"/>
                <w:color w:val="auto"/>
              </w:rPr>
            </w:pPr>
            <w:r>
              <w:rPr>
                <w:rFonts w:ascii="Arial" w:cs="Arial" w:eastAsia="Arial" w:hAnsi="Arial"/>
                <w:sz w:val="14"/>
                <w:szCs w:val="14"/>
                <w:b w:val="1"/>
                <w:bCs w:val="1"/>
                <w:color w:val="auto"/>
              </w:rPr>
              <w:t>How we think about pay decisions</w:t>
            </w:r>
          </w:p>
        </w:tc>
        <w:tc>
          <w:tcPr>
            <w:tcW w:w="420" w:type="dxa"/>
            <w:vAlign w:val="bottom"/>
            <w:tcBorders>
              <w:right w:val="single" w:sz="8" w:color="auto"/>
            </w:tcBorders>
          </w:tcPr>
          <w:p>
            <w:pPr>
              <w:spacing w:after="0"/>
              <w:rPr>
                <w:sz w:val="24"/>
                <w:szCs w:val="24"/>
                <w:color w:val="auto"/>
              </w:rPr>
            </w:pPr>
          </w:p>
        </w:tc>
        <w:tc>
          <w:tcPr>
            <w:tcW w:w="41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4"/>
                <w:szCs w:val="14"/>
                <w:color w:val="8F5A39"/>
              </w:rPr>
              <w:t>How we performed against our business strategy</w:t>
            </w:r>
          </w:p>
        </w:tc>
        <w:tc>
          <w:tcPr>
            <w:tcW w:w="400" w:type="dxa"/>
            <w:vAlign w:val="bottom"/>
            <w:tcBorders>
              <w:right w:val="single" w:sz="8" w:color="auto"/>
            </w:tcBorders>
          </w:tcPr>
          <w:p>
            <w:pPr>
              <w:spacing w:after="0"/>
              <w:rPr>
                <w:sz w:val="24"/>
                <w:szCs w:val="24"/>
                <w:color w:val="auto"/>
              </w:rPr>
            </w:pPr>
          </w:p>
        </w:tc>
        <w:tc>
          <w:tcPr>
            <w:tcW w:w="342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4"/>
                <w:szCs w:val="14"/>
                <w:color w:val="8F5A39"/>
              </w:rPr>
              <w:t>How performance determined pay in 2025</w:t>
            </w:r>
          </w:p>
        </w:tc>
      </w:tr>
      <w:tr>
        <w:trPr>
          <w:trHeight w:val="97"/>
        </w:trPr>
        <w:tc>
          <w:tcPr>
            <w:tcW w:w="2860" w:type="dxa"/>
            <w:vAlign w:val="bottom"/>
            <w:shd w:val="clear" w:color="auto" w:fill="A6D7F0"/>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4140" w:type="dxa"/>
            <w:vAlign w:val="bottom"/>
            <w:tcBorders>
              <w:bottom w:val="single" w:sz="8" w:color="auto"/>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-196850</wp:posOffset>
            </wp:positionV>
            <wp:extent cx="120015" cy="9398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-196850</wp:posOffset>
            </wp:positionV>
            <wp:extent cx="120015" cy="9398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Our pay practices and governance process</w:t>
      </w:r>
    </w:p>
    <w:p>
      <w:pPr>
        <w:spacing w:after="0" w:line="38"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Our pay-for-performance compensation program is designed to align the long-term interests of our employees with those of our shareholders by emphasizing sustained value and reinforcing personal accountability. Highlighted below are pay practices that are integral to our compensation program, as well as certain pay practices that we choose not to implement.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WE ADOPT SOUND PAY PRACTICES</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 w:type="dxa"/>
            <w:vAlign w:val="bottom"/>
            <w:shd w:val="clear" w:color="auto" w:fill="F4EFE7"/>
          </w:tcPr>
          <w:p>
            <w:pPr>
              <w:spacing w:after="0"/>
              <w:rPr>
                <w:sz w:val="9"/>
                <w:szCs w:val="9"/>
                <w:color w:val="auto"/>
              </w:rPr>
            </w:pPr>
          </w:p>
        </w:tc>
        <w:tc>
          <w:tcPr>
            <w:tcW w:w="5320" w:type="dxa"/>
            <w:vAlign w:val="bottom"/>
            <w:vMerge w:val="restart"/>
            <w:shd w:val="clear" w:color="auto" w:fill="F4EFE7"/>
          </w:tcPr>
          <w:p>
            <w:pPr>
              <w:ind w:left="280"/>
              <w:spacing w:after="0"/>
              <w:rPr>
                <w:sz w:val="20"/>
                <w:szCs w:val="20"/>
                <w:color w:val="auto"/>
              </w:rPr>
            </w:pPr>
            <w:r>
              <w:rPr>
                <w:rFonts w:ascii="Arial" w:cs="Arial" w:eastAsia="Arial" w:hAnsi="Arial"/>
                <w:sz w:val="16"/>
                <w:szCs w:val="16"/>
                <w:b w:val="1"/>
                <w:bCs w:val="1"/>
                <w:color w:val="auto"/>
              </w:rPr>
              <w:t xml:space="preserve">Principles-based compensation philosophy </w:t>
            </w:r>
            <w:r>
              <w:rPr>
                <w:rFonts w:ascii="Arial" w:cs="Arial" w:eastAsia="Arial" w:hAnsi="Arial"/>
                <w:sz w:val="16"/>
                <w:szCs w:val="16"/>
                <w:color w:val="auto"/>
              </w:rPr>
              <w:t>– Guiding principles</w:t>
            </w:r>
          </w:p>
        </w:tc>
        <w:tc>
          <w:tcPr>
            <w:tcW w:w="240" w:type="dxa"/>
            <w:vAlign w:val="bottom"/>
            <w:shd w:val="clear" w:color="auto" w:fill="F4EFE7"/>
          </w:tcPr>
          <w:p>
            <w:pPr>
              <w:spacing w:after="0"/>
              <w:rPr>
                <w:sz w:val="9"/>
                <w:szCs w:val="9"/>
                <w:color w:val="auto"/>
              </w:rPr>
            </w:pPr>
          </w:p>
        </w:tc>
        <w:tc>
          <w:tcPr>
            <w:tcW w:w="5500" w:type="dxa"/>
            <w:vAlign w:val="bottom"/>
            <w:vMerge w:val="restart"/>
            <w:shd w:val="clear" w:color="auto" w:fill="F4EFE7"/>
          </w:tcPr>
          <w:p>
            <w:pPr>
              <w:ind w:left="280"/>
              <w:spacing w:after="0"/>
              <w:rPr>
                <w:sz w:val="20"/>
                <w:szCs w:val="20"/>
                <w:color w:val="auto"/>
              </w:rPr>
            </w:pPr>
            <w:r>
              <w:rPr>
                <w:rFonts w:ascii="Arial" w:cs="Arial" w:eastAsia="Arial" w:hAnsi="Arial"/>
                <w:sz w:val="16"/>
                <w:szCs w:val="16"/>
                <w:b w:val="1"/>
                <w:bCs w:val="1"/>
                <w:color w:val="auto"/>
              </w:rPr>
              <w:t xml:space="preserve">Competitive benchmarking </w:t>
            </w:r>
            <w:r>
              <w:rPr>
                <w:rFonts w:ascii="Arial" w:cs="Arial" w:eastAsia="Arial" w:hAnsi="Arial"/>
                <w:sz w:val="16"/>
                <w:szCs w:val="16"/>
                <w:color w:val="auto"/>
              </w:rPr>
              <w:t>– We evaluate pay levels and pay</w:t>
            </w:r>
          </w:p>
        </w:tc>
        <w:tc>
          <w:tcPr>
            <w:tcW w:w="0" w:type="dxa"/>
            <w:vAlign w:val="bottom"/>
          </w:tcPr>
          <w:p>
            <w:pPr>
              <w:spacing w:after="0"/>
              <w:rPr>
                <w:sz w:val="1"/>
                <w:szCs w:val="1"/>
                <w:color w:val="auto"/>
              </w:rPr>
            </w:pPr>
          </w:p>
        </w:tc>
      </w:tr>
      <w:tr>
        <w:trPr>
          <w:trHeight w:val="242"/>
        </w:trPr>
        <w:tc>
          <w:tcPr>
            <w:tcW w:w="160" w:type="dxa"/>
            <w:vAlign w:val="bottom"/>
          </w:tcPr>
          <w:p>
            <w:pPr>
              <w:spacing w:after="0"/>
              <w:rPr>
                <w:sz w:val="21"/>
                <w:szCs w:val="21"/>
                <w:color w:val="auto"/>
              </w:rPr>
            </w:pPr>
          </w:p>
        </w:tc>
        <w:tc>
          <w:tcPr>
            <w:tcW w:w="5320" w:type="dxa"/>
            <w:vAlign w:val="bottom"/>
            <w:vMerge w:val="continue"/>
            <w:shd w:val="clear" w:color="auto" w:fill="F4EFE7"/>
          </w:tcPr>
          <w:p>
            <w:pPr>
              <w:spacing w:after="0"/>
              <w:rPr>
                <w:sz w:val="21"/>
                <w:szCs w:val="21"/>
                <w:color w:val="auto"/>
              </w:rPr>
            </w:pPr>
          </w:p>
        </w:tc>
        <w:tc>
          <w:tcPr>
            <w:tcW w:w="240" w:type="dxa"/>
            <w:vAlign w:val="bottom"/>
            <w:shd w:val="clear" w:color="auto" w:fill="F4EFE7"/>
          </w:tcPr>
          <w:p>
            <w:pPr>
              <w:spacing w:after="0"/>
              <w:rPr>
                <w:sz w:val="21"/>
                <w:szCs w:val="21"/>
                <w:color w:val="auto"/>
              </w:rPr>
            </w:pPr>
          </w:p>
        </w:tc>
        <w:tc>
          <w:tcPr>
            <w:tcW w:w="5500" w:type="dxa"/>
            <w:vAlign w:val="bottom"/>
            <w:vMerge w:val="continue"/>
            <w:shd w:val="clear" w:color="auto" w:fill="F4EFE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5320" w:type="dxa"/>
            <w:vAlign w:val="bottom"/>
            <w:shd w:val="clear" w:color="auto" w:fill="F4EFE7"/>
          </w:tcPr>
          <w:p>
            <w:pPr>
              <w:ind w:left="280"/>
              <w:spacing w:after="0"/>
              <w:rPr>
                <w:sz w:val="20"/>
                <w:szCs w:val="20"/>
                <w:color w:val="auto"/>
              </w:rPr>
            </w:pPr>
            <w:r>
              <w:rPr>
                <w:rFonts w:ascii="Arial" w:cs="Arial" w:eastAsia="Arial" w:hAnsi="Arial"/>
                <w:sz w:val="16"/>
                <w:szCs w:val="16"/>
                <w:color w:val="auto"/>
              </w:rPr>
              <w:t>that drive compensation-related decision-making</w:t>
            </w:r>
          </w:p>
        </w:tc>
        <w:tc>
          <w:tcPr>
            <w:tcW w:w="240" w:type="dxa"/>
            <w:vAlign w:val="bottom"/>
            <w:shd w:val="clear" w:color="auto" w:fill="F4EFE7"/>
          </w:tcPr>
          <w:p>
            <w:pPr>
              <w:spacing w:after="0"/>
              <w:rPr>
                <w:sz w:val="18"/>
                <w:szCs w:val="18"/>
                <w:color w:val="auto"/>
              </w:rPr>
            </w:pPr>
          </w:p>
        </w:tc>
        <w:tc>
          <w:tcPr>
            <w:tcW w:w="5500" w:type="dxa"/>
            <w:vAlign w:val="bottom"/>
            <w:shd w:val="clear" w:color="auto" w:fill="F4EFE7"/>
          </w:tcPr>
          <w:p>
            <w:pPr>
              <w:ind w:left="280"/>
              <w:spacing w:after="0"/>
              <w:rPr>
                <w:sz w:val="20"/>
                <w:szCs w:val="20"/>
                <w:color w:val="auto"/>
              </w:rPr>
            </w:pPr>
            <w:r>
              <w:rPr>
                <w:rFonts w:ascii="Arial" w:cs="Arial" w:eastAsia="Arial" w:hAnsi="Arial"/>
                <w:sz w:val="16"/>
                <w:szCs w:val="16"/>
                <w:color w:val="auto"/>
              </w:rPr>
              <w:t>practices against relevant market data</w:t>
            </w: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5320" w:type="dxa"/>
            <w:vAlign w:val="bottom"/>
            <w:shd w:val="clear" w:color="auto" w:fill="F4EFE7"/>
          </w:tcPr>
          <w:p>
            <w:pPr>
              <w:spacing w:after="0"/>
              <w:rPr>
                <w:sz w:val="14"/>
                <w:szCs w:val="14"/>
                <w:color w:val="auto"/>
              </w:rPr>
            </w:pPr>
          </w:p>
        </w:tc>
        <w:tc>
          <w:tcPr>
            <w:tcW w:w="240" w:type="dxa"/>
            <w:vAlign w:val="bottom"/>
            <w:shd w:val="clear" w:color="auto" w:fill="F4EFE7"/>
          </w:tcPr>
          <w:p>
            <w:pPr>
              <w:spacing w:after="0"/>
              <w:rPr>
                <w:sz w:val="14"/>
                <w:szCs w:val="14"/>
                <w:color w:val="auto"/>
              </w:rPr>
            </w:pPr>
          </w:p>
        </w:tc>
        <w:tc>
          <w:tcPr>
            <w:tcW w:w="5500" w:type="dxa"/>
            <w:vAlign w:val="bottom"/>
            <w:shd w:val="clear" w:color="auto" w:fill="F4EFE7"/>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60" w:type="dxa"/>
            <w:vAlign w:val="bottom"/>
          </w:tcPr>
          <w:p>
            <w:pPr>
              <w:spacing w:after="0"/>
              <w:rPr>
                <w:sz w:val="21"/>
                <w:szCs w:val="21"/>
                <w:color w:val="auto"/>
              </w:rPr>
            </w:pPr>
          </w:p>
        </w:tc>
        <w:tc>
          <w:tcPr>
            <w:tcW w:w="5320" w:type="dxa"/>
            <w:vAlign w:val="bottom"/>
          </w:tcPr>
          <w:p>
            <w:pPr>
              <w:ind w:left="280"/>
              <w:spacing w:after="0"/>
              <w:rPr>
                <w:sz w:val="20"/>
                <w:szCs w:val="20"/>
                <w:color w:val="auto"/>
              </w:rPr>
            </w:pPr>
            <w:r>
              <w:rPr>
                <w:rFonts w:ascii="Arial" w:cs="Arial" w:eastAsia="Arial" w:hAnsi="Arial"/>
                <w:sz w:val="16"/>
                <w:szCs w:val="16"/>
                <w:b w:val="1"/>
                <w:bCs w:val="1"/>
                <w:color w:val="auto"/>
              </w:rPr>
              <w:t xml:space="preserve">Robust anti-hedging/anti-pledging provisions </w:t>
            </w:r>
            <w:r>
              <w:rPr>
                <w:rFonts w:ascii="Arial" w:cs="Arial" w:eastAsia="Arial" w:hAnsi="Arial"/>
                <w:sz w:val="16"/>
                <w:szCs w:val="16"/>
                <w:color w:val="auto"/>
              </w:rPr>
              <w:t>– Strict prohibition</w:t>
            </w:r>
          </w:p>
        </w:tc>
        <w:tc>
          <w:tcPr>
            <w:tcW w:w="240" w:type="dxa"/>
            <w:vAlign w:val="bottom"/>
            <w:shd w:val="clear" w:color="auto" w:fill="F4EFE7"/>
          </w:tcPr>
          <w:p>
            <w:pPr>
              <w:spacing w:after="0"/>
              <w:rPr>
                <w:sz w:val="21"/>
                <w:szCs w:val="21"/>
                <w:color w:val="auto"/>
              </w:rPr>
            </w:pPr>
          </w:p>
        </w:tc>
        <w:tc>
          <w:tcPr>
            <w:tcW w:w="5500" w:type="dxa"/>
            <w:vAlign w:val="bottom"/>
            <w:shd w:val="clear" w:color="auto" w:fill="F4EFE7"/>
          </w:tcPr>
          <w:p>
            <w:pPr>
              <w:ind w:left="280"/>
              <w:spacing w:after="0"/>
              <w:rPr>
                <w:sz w:val="20"/>
                <w:szCs w:val="20"/>
                <w:color w:val="auto"/>
              </w:rPr>
            </w:pPr>
            <w:r>
              <w:rPr>
                <w:rFonts w:ascii="Arial" w:cs="Arial" w:eastAsia="Arial" w:hAnsi="Arial"/>
                <w:sz w:val="16"/>
                <w:szCs w:val="16"/>
                <w:b w:val="1"/>
                <w:bCs w:val="1"/>
                <w:color w:val="auto"/>
              </w:rPr>
              <w:t xml:space="preserve">Responsible use of equity </w:t>
            </w:r>
            <w:r>
              <w:rPr>
                <w:rFonts w:ascii="Arial" w:cs="Arial" w:eastAsia="Arial" w:hAnsi="Arial"/>
                <w:sz w:val="16"/>
                <w:szCs w:val="16"/>
                <w:color w:val="auto"/>
              </w:rPr>
              <w:t>– We used less than 1% of weighted</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5320" w:type="dxa"/>
            <w:vAlign w:val="bottom"/>
          </w:tcPr>
          <w:p>
            <w:pPr>
              <w:ind w:left="280"/>
              <w:spacing w:after="0"/>
              <w:rPr>
                <w:sz w:val="20"/>
                <w:szCs w:val="20"/>
                <w:color w:val="auto"/>
              </w:rPr>
            </w:pPr>
            <w:r>
              <w:rPr>
                <w:rFonts w:ascii="Arial" w:cs="Arial" w:eastAsia="Arial" w:hAnsi="Arial"/>
                <w:sz w:val="16"/>
                <w:szCs w:val="16"/>
                <w:color w:val="auto"/>
              </w:rPr>
              <w:t>on unvested awards and shares owned outright</w:t>
            </w:r>
          </w:p>
        </w:tc>
        <w:tc>
          <w:tcPr>
            <w:tcW w:w="240" w:type="dxa"/>
            <w:vAlign w:val="bottom"/>
            <w:shd w:val="clear" w:color="auto" w:fill="F4EFE7"/>
          </w:tcPr>
          <w:p>
            <w:pPr>
              <w:spacing w:after="0"/>
              <w:rPr>
                <w:sz w:val="18"/>
                <w:szCs w:val="18"/>
                <w:color w:val="auto"/>
              </w:rPr>
            </w:pPr>
          </w:p>
        </w:tc>
        <w:tc>
          <w:tcPr>
            <w:tcW w:w="5500" w:type="dxa"/>
            <w:vAlign w:val="bottom"/>
            <w:shd w:val="clear" w:color="auto" w:fill="F4EFE7"/>
          </w:tcPr>
          <w:p>
            <w:pPr>
              <w:ind w:left="280"/>
              <w:spacing w:after="0"/>
              <w:rPr>
                <w:sz w:val="20"/>
                <w:szCs w:val="20"/>
                <w:color w:val="auto"/>
              </w:rPr>
            </w:pPr>
            <w:r>
              <w:rPr>
                <w:rFonts w:ascii="Arial" w:cs="Arial" w:eastAsia="Arial" w:hAnsi="Arial"/>
                <w:sz w:val="16"/>
                <w:szCs w:val="16"/>
                <w:color w:val="auto"/>
              </w:rPr>
              <w:t>average diluted shares in 2025 for employee compensation</w:t>
            </w: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532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 xml:space="preserve">Strong clawback provisions </w:t>
            </w:r>
            <w:r>
              <w:rPr>
                <w:rFonts w:ascii="Arial" w:cs="Arial" w:eastAsia="Arial" w:hAnsi="Arial"/>
                <w:sz w:val="16"/>
                <w:szCs w:val="16"/>
                <w:color w:val="auto"/>
              </w:rPr>
              <w:t>– Enable us to cancel, reduce or</w:t>
            </w:r>
          </w:p>
        </w:tc>
        <w:tc>
          <w:tcPr>
            <w:tcW w:w="240" w:type="dxa"/>
            <w:vAlign w:val="bottom"/>
            <w:shd w:val="clear" w:color="auto" w:fill="F4EFE7"/>
          </w:tcPr>
          <w:p>
            <w:pPr>
              <w:spacing w:after="0"/>
              <w:rPr>
                <w:sz w:val="14"/>
                <w:szCs w:val="14"/>
                <w:color w:val="auto"/>
              </w:rPr>
            </w:pPr>
          </w:p>
        </w:tc>
        <w:tc>
          <w:tcPr>
            <w:tcW w:w="5500" w:type="dxa"/>
            <w:vAlign w:val="bottom"/>
            <w:vMerge w:val="restart"/>
            <w:shd w:val="clear" w:color="auto" w:fill="F4EFE7"/>
          </w:tcPr>
          <w:p>
            <w:pPr>
              <w:ind w:left="280"/>
              <w:spacing w:after="0"/>
              <w:rPr>
                <w:sz w:val="20"/>
                <w:szCs w:val="20"/>
                <w:color w:val="auto"/>
              </w:rPr>
            </w:pPr>
            <w:r>
              <w:rPr>
                <w:rFonts w:ascii="Arial" w:cs="Arial" w:eastAsia="Arial" w:hAnsi="Arial"/>
                <w:sz w:val="16"/>
                <w:szCs w:val="16"/>
                <w:b w:val="1"/>
                <w:bCs w:val="1"/>
                <w:color w:val="auto"/>
              </w:rPr>
              <w:t xml:space="preserve">Risk, controls and conduct factors </w:t>
            </w:r>
            <w:r>
              <w:rPr>
                <w:rFonts w:ascii="Arial" w:cs="Arial" w:eastAsia="Arial" w:hAnsi="Arial"/>
                <w:sz w:val="16"/>
                <w:szCs w:val="16"/>
                <w:color w:val="auto"/>
              </w:rPr>
              <w:t>– We consider material issues</w:t>
            </w:r>
          </w:p>
        </w:tc>
        <w:tc>
          <w:tcPr>
            <w:tcW w:w="0" w:type="dxa"/>
            <w:vAlign w:val="bottom"/>
          </w:tcPr>
          <w:p>
            <w:pPr>
              <w:spacing w:after="0"/>
              <w:rPr>
                <w:sz w:val="1"/>
                <w:szCs w:val="1"/>
                <w:color w:val="auto"/>
              </w:rPr>
            </w:pPr>
          </w:p>
        </w:tc>
      </w:tr>
      <w:tr>
        <w:trPr>
          <w:trHeight w:val="242"/>
        </w:trPr>
        <w:tc>
          <w:tcPr>
            <w:tcW w:w="160" w:type="dxa"/>
            <w:vAlign w:val="bottom"/>
          </w:tcPr>
          <w:p>
            <w:pPr>
              <w:spacing w:after="0"/>
              <w:rPr>
                <w:sz w:val="21"/>
                <w:szCs w:val="21"/>
                <w:color w:val="auto"/>
              </w:rPr>
            </w:pPr>
          </w:p>
        </w:tc>
        <w:tc>
          <w:tcPr>
            <w:tcW w:w="53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5500" w:type="dxa"/>
            <w:vAlign w:val="bottom"/>
            <w:vMerge w:val="continue"/>
            <w:shd w:val="clear" w:color="auto" w:fill="F4EFE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5320" w:type="dxa"/>
            <w:vAlign w:val="bottom"/>
          </w:tcPr>
          <w:p>
            <w:pPr>
              <w:ind w:left="280"/>
              <w:spacing w:after="0"/>
              <w:rPr>
                <w:sz w:val="20"/>
                <w:szCs w:val="20"/>
                <w:color w:val="auto"/>
              </w:rPr>
            </w:pPr>
            <w:r>
              <w:rPr>
                <w:rFonts w:ascii="Arial" w:cs="Arial" w:eastAsia="Arial" w:hAnsi="Arial"/>
                <w:sz w:val="16"/>
                <w:szCs w:val="16"/>
                <w:color w:val="auto"/>
              </w:rPr>
              <w:t>require repayment, if appropriate</w:t>
            </w:r>
          </w:p>
        </w:tc>
        <w:tc>
          <w:tcPr>
            <w:tcW w:w="240" w:type="dxa"/>
            <w:vAlign w:val="bottom"/>
          </w:tcPr>
          <w:p>
            <w:pPr>
              <w:spacing w:after="0"/>
              <w:rPr>
                <w:sz w:val="18"/>
                <w:szCs w:val="18"/>
                <w:color w:val="auto"/>
              </w:rPr>
            </w:pPr>
          </w:p>
        </w:tc>
        <w:tc>
          <w:tcPr>
            <w:tcW w:w="5500" w:type="dxa"/>
            <w:vAlign w:val="bottom"/>
            <w:shd w:val="clear" w:color="auto" w:fill="F4EFE7"/>
          </w:tcPr>
          <w:p>
            <w:pPr>
              <w:ind w:left="280"/>
              <w:spacing w:after="0"/>
              <w:rPr>
                <w:sz w:val="20"/>
                <w:szCs w:val="20"/>
                <w:color w:val="auto"/>
              </w:rPr>
            </w:pPr>
            <w:r>
              <w:rPr>
                <w:rFonts w:ascii="Arial" w:cs="Arial" w:eastAsia="Arial" w:hAnsi="Arial"/>
                <w:sz w:val="16"/>
                <w:szCs w:val="16"/>
                <w:color w:val="auto"/>
              </w:rPr>
              <w:t>as part of performance and pay decisions when appropriate</w:t>
            </w: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500" w:type="dxa"/>
            <w:vAlign w:val="bottom"/>
            <w:shd w:val="clear" w:color="auto" w:fill="F4EFE7"/>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-1250950</wp:posOffset>
            </wp:positionV>
            <wp:extent cx="7115175" cy="250317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15175" cy="250317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67" w:lineRule="exact"/>
        <w:rPr>
          <w:sz w:val="20"/>
          <w:szCs w:val="20"/>
          <w:color w:val="auto"/>
        </w:rPr>
      </w:pPr>
    </w:p>
    <w:p>
      <w:pPr>
        <w:ind w:left="440" w:right="80" w:firstLine="6"/>
        <w:spacing w:after="0" w:line="268" w:lineRule="auto"/>
        <w:rPr>
          <w:sz w:val="20"/>
          <w:szCs w:val="20"/>
          <w:color w:val="auto"/>
        </w:rPr>
      </w:pPr>
      <w:r>
        <w:rPr>
          <w:rFonts w:ascii="Arial" w:cs="Arial" w:eastAsia="Arial" w:hAnsi="Arial"/>
          <w:sz w:val="16"/>
          <w:szCs w:val="16"/>
          <w:b w:val="1"/>
          <w:bCs w:val="1"/>
          <w:color w:val="auto"/>
        </w:rPr>
        <w:t xml:space="preserve">Majority of variable pay is in deferred equity </w:t>
      </w:r>
      <w:r>
        <w:rPr>
          <w:rFonts w:ascii="Arial" w:cs="Arial" w:eastAsia="Arial" w:hAnsi="Arial"/>
          <w:sz w:val="16"/>
          <w:szCs w:val="16"/>
          <w:color w:val="auto"/>
        </w:rPr>
        <w:t>– Most of OC annual</w:t>
      </w:r>
      <w:r>
        <w:rPr>
          <w:rFonts w:ascii="Arial" w:cs="Arial" w:eastAsia="Arial" w:hAnsi="Arial"/>
          <w:sz w:val="16"/>
          <w:szCs w:val="16"/>
          <w:b w:val="1"/>
          <w:bCs w:val="1"/>
          <w:color w:val="auto"/>
        </w:rPr>
        <w:t xml:space="preserve"> </w:t>
      </w:r>
      <w:r>
        <w:rPr>
          <w:rFonts w:ascii="Arial" w:cs="Arial" w:eastAsia="Arial" w:hAnsi="Arial"/>
          <w:sz w:val="16"/>
          <w:szCs w:val="16"/>
          <w:color w:val="auto"/>
        </w:rPr>
        <w:t>variable compensation is deferred in PSUs and RSUs</w:t>
      </w:r>
    </w:p>
    <w:p>
      <w:pPr>
        <w:spacing w:after="0" w:line="210" w:lineRule="exact"/>
        <w:rPr>
          <w:sz w:val="20"/>
          <w:szCs w:val="20"/>
          <w:color w:val="auto"/>
        </w:rPr>
      </w:pPr>
    </w:p>
    <w:p>
      <w:pPr>
        <w:ind w:left="440" w:firstLine="6"/>
        <w:spacing w:after="0" w:line="268" w:lineRule="auto"/>
        <w:rPr>
          <w:sz w:val="20"/>
          <w:szCs w:val="20"/>
          <w:color w:val="auto"/>
        </w:rPr>
      </w:pPr>
      <w:r>
        <w:rPr>
          <w:rFonts w:ascii="Arial" w:cs="Arial" w:eastAsia="Arial" w:hAnsi="Arial"/>
          <w:sz w:val="16"/>
          <w:szCs w:val="16"/>
          <w:b w:val="1"/>
          <w:bCs w:val="1"/>
          <w:color w:val="auto"/>
        </w:rPr>
        <w:t xml:space="preserve">Performance-based pay </w:t>
      </w:r>
      <w:r>
        <w:rPr>
          <w:rFonts w:ascii="Arial" w:cs="Arial" w:eastAsia="Arial" w:hAnsi="Arial"/>
          <w:sz w:val="16"/>
          <w:szCs w:val="16"/>
          <w:color w:val="auto"/>
        </w:rPr>
        <w:t>– OC variable pay is based on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linked to shareholder value and safety &amp; soundness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No new special awards for the current CEO and former President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560" w:firstLine="6"/>
        <w:spacing w:after="0" w:line="268" w:lineRule="auto"/>
        <w:rPr>
          <w:sz w:val="20"/>
          <w:szCs w:val="20"/>
          <w:color w:val="auto"/>
        </w:rPr>
      </w:pPr>
      <w:r>
        <w:rPr>
          <w:rFonts w:ascii="Arial" w:cs="Arial" w:eastAsia="Arial" w:hAnsi="Arial"/>
          <w:sz w:val="16"/>
          <w:szCs w:val="16"/>
          <w:b w:val="1"/>
          <w:bCs w:val="1"/>
          <w:color w:val="auto"/>
        </w:rPr>
        <w:t xml:space="preserve">Strong share holding requirements </w:t>
      </w:r>
      <w:r>
        <w:rPr>
          <w:rFonts w:ascii="Arial" w:cs="Arial" w:eastAsia="Arial" w:hAnsi="Arial"/>
          <w:sz w:val="16"/>
          <w:szCs w:val="16"/>
          <w:color w:val="auto"/>
        </w:rPr>
        <w:t>– OC members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retain significant portion of net shares to increase ownership</w:t>
      </w:r>
    </w:p>
    <w:p>
      <w:pPr>
        <w:spacing w:after="0" w:line="210" w:lineRule="exact"/>
        <w:rPr>
          <w:sz w:val="20"/>
          <w:szCs w:val="20"/>
          <w:color w:val="auto"/>
        </w:rPr>
      </w:pPr>
    </w:p>
    <w:p>
      <w:pPr>
        <w:ind w:right="380" w:firstLine="6"/>
        <w:spacing w:after="0" w:line="268" w:lineRule="auto"/>
        <w:rPr>
          <w:sz w:val="20"/>
          <w:szCs w:val="20"/>
          <w:color w:val="auto"/>
        </w:rPr>
      </w:pPr>
      <w:r>
        <w:rPr>
          <w:rFonts w:ascii="Arial" w:cs="Arial" w:eastAsia="Arial" w:hAnsi="Arial"/>
          <w:sz w:val="16"/>
          <w:szCs w:val="16"/>
          <w:b w:val="1"/>
          <w:bCs w:val="1"/>
          <w:color w:val="auto"/>
        </w:rPr>
        <w:t xml:space="preserve">Robust shareholder engagement </w:t>
      </w:r>
      <w:r>
        <w:rPr>
          <w:rFonts w:ascii="Arial" w:cs="Arial" w:eastAsia="Arial" w:hAnsi="Arial"/>
          <w:sz w:val="16"/>
          <w:szCs w:val="16"/>
          <w:color w:val="auto"/>
        </w:rPr>
        <w:t>– Each year the Board receives</w:t>
      </w:r>
      <w:r>
        <w:rPr>
          <w:rFonts w:ascii="Arial" w:cs="Arial" w:eastAsia="Arial" w:hAnsi="Arial"/>
          <w:sz w:val="16"/>
          <w:szCs w:val="16"/>
          <w:b w:val="1"/>
          <w:bCs w:val="1"/>
          <w:color w:val="auto"/>
        </w:rPr>
        <w:t xml:space="preserve"> </w:t>
      </w:r>
      <w:r>
        <w:rPr>
          <w:rFonts w:ascii="Arial" w:cs="Arial" w:eastAsia="Arial" w:hAnsi="Arial"/>
          <w:sz w:val="16"/>
          <w:szCs w:val="16"/>
          <w:color w:val="auto"/>
        </w:rPr>
        <w:t>feedback on our compensation programs and practices</w:t>
      </w:r>
    </w:p>
    <w:p>
      <w:pPr>
        <w:spacing w:after="0" w:line="170" w:lineRule="exact"/>
        <w:rPr>
          <w:sz w:val="20"/>
          <w:szCs w:val="20"/>
          <w:color w:val="auto"/>
        </w:rPr>
      </w:pPr>
    </w:p>
    <w:p>
      <w:pPr>
        <w:ind w:right="240" w:hanging="262"/>
        <w:spacing w:after="0"/>
        <w:rPr>
          <w:sz w:val="20"/>
          <w:szCs w:val="20"/>
          <w:color w:val="auto"/>
        </w:rPr>
      </w:pPr>
      <w:r>
        <w:rPr>
          <w:sz w:val="1"/>
          <w:szCs w:val="1"/>
          <w:color w:val="auto"/>
        </w:rPr>
        <w:drawing>
          <wp:inline distT="0" distB="0" distL="0" distR="0">
            <wp:extent cx="111125" cy="93980"/>
            <wp:effectExtent l="0" t="0" r="0" b="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11125" cy="93980"/>
                    </a:xfrm>
                    <a:prstGeom prst="rect">
                      <a:avLst/>
                    </a:prstGeom>
                    <a:noFill/>
                    <a:ln>
                      <a:noFill/>
                    </a:ln>
                  </pic:spPr>
                </pic:pic>
              </a:graphicData>
            </a:graphic>
          </wp:inline>
        </w:drawing>
      </w:r>
      <w:r>
        <w:rPr>
          <w:rFonts w:ascii="Arial" w:cs="Arial" w:eastAsia="Arial" w:hAnsi="Arial"/>
          <w:sz w:val="16"/>
          <w:szCs w:val="16"/>
          <w:b w:val="1"/>
          <w:bCs w:val="1"/>
          <w:color w:val="auto"/>
        </w:rPr>
        <w:t xml:space="preserve"> Direct performance conditions for any rare future special awards to NEOs</w:t>
      </w:r>
    </w:p>
    <w:p>
      <w:pPr>
        <w:spacing w:after="0" w:line="200" w:lineRule="exact"/>
        <w:rPr>
          <w:sz w:val="20"/>
          <w:szCs w:val="20"/>
          <w:color w:val="auto"/>
        </w:rPr>
      </w:pPr>
    </w:p>
    <w:p>
      <w:pPr>
        <w:sectPr>
          <w:pgSz w:w="11900" w:h="16838" w:orient="portrait"/>
          <w:cols w:equalWidth="0" w:num="2">
            <w:col w:w="5440" w:space="560"/>
            <w:col w:w="5220"/>
          </w:cols>
          <w:pgMar w:left="320" w:top="157" w:right="359" w:bottom="1440" w:gutter="0" w:footer="0" w:header="0"/>
          <w:type w:val="continuous"/>
        </w:sectPr>
      </w:pP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Pr>
          <w:p>
            <w:pPr>
              <w:spacing w:after="0"/>
              <w:rPr>
                <w:sz w:val="20"/>
                <w:szCs w:val="20"/>
                <w:color w:val="auto"/>
              </w:rPr>
            </w:pPr>
            <w:r>
              <w:rPr>
                <w:rFonts w:ascii="Arial" w:cs="Arial" w:eastAsia="Arial" w:hAnsi="Arial"/>
                <w:sz w:val="16"/>
                <w:szCs w:val="16"/>
                <w:b w:val="1"/>
                <w:bCs w:val="1"/>
                <w:color w:val="auto"/>
              </w:rPr>
              <w:t>WE AVOID POOR PAY PRACTICES</w:t>
            </w:r>
          </w:p>
        </w:tc>
        <w:tc>
          <w:tcPr>
            <w:tcW w:w="5620" w:type="dxa"/>
            <w:vAlign w:val="bottom"/>
          </w:tcPr>
          <w:p>
            <w:pPr>
              <w:spacing w:after="0"/>
              <w:rPr>
                <w:sz w:val="19"/>
                <w:szCs w:val="19"/>
                <w:color w:val="auto"/>
              </w:rPr>
            </w:pPr>
          </w:p>
        </w:tc>
      </w:tr>
      <w:tr>
        <w:trPr>
          <w:trHeight w:val="88"/>
        </w:trPr>
        <w:tc>
          <w:tcPr>
            <w:tcW w:w="5600" w:type="dxa"/>
            <w:vAlign w:val="bottom"/>
          </w:tcPr>
          <w:p>
            <w:pPr>
              <w:spacing w:after="0"/>
              <w:rPr>
                <w:sz w:val="7"/>
                <w:szCs w:val="7"/>
                <w:color w:val="auto"/>
              </w:rPr>
            </w:pPr>
          </w:p>
        </w:tc>
        <w:tc>
          <w:tcPr>
            <w:tcW w:w="5620" w:type="dxa"/>
            <w:vAlign w:val="bottom"/>
          </w:tcPr>
          <w:p>
            <w:pPr>
              <w:spacing w:after="0"/>
              <w:rPr>
                <w:sz w:val="7"/>
                <w:szCs w:val="7"/>
                <w:color w:val="auto"/>
              </w:rPr>
            </w:pPr>
          </w:p>
        </w:tc>
      </w:tr>
      <w:tr>
        <w:trPr>
          <w:trHeight w:val="364"/>
        </w:trPr>
        <w:tc>
          <w:tcPr>
            <w:tcW w:w="5600" w:type="dxa"/>
            <w:vAlign w:val="bottom"/>
            <w:shd w:val="clear" w:color="auto" w:fill="E6E7E8"/>
          </w:tcPr>
          <w:p>
            <w:pPr>
              <w:ind w:left="440"/>
              <w:spacing w:after="0"/>
              <w:rPr>
                <w:sz w:val="20"/>
                <w:szCs w:val="20"/>
                <w:color w:val="auto"/>
              </w:rPr>
            </w:pPr>
            <w:r>
              <w:rPr>
                <w:rFonts w:ascii="Arial" w:cs="Arial" w:eastAsia="Arial" w:hAnsi="Arial"/>
                <w:sz w:val="16"/>
                <w:szCs w:val="16"/>
                <w:b w:val="1"/>
                <w:bCs w:val="1"/>
                <w:color w:val="auto"/>
              </w:rPr>
              <w:t xml:space="preserve">No golden parachute agreements </w:t>
            </w:r>
            <w:r>
              <w:rPr>
                <w:rFonts w:ascii="Arial" w:cs="Arial" w:eastAsia="Arial" w:hAnsi="Arial"/>
                <w:sz w:val="16"/>
                <w:szCs w:val="16"/>
                <w:color w:val="auto"/>
              </w:rPr>
              <w:t>– We do not provide additional</w:t>
            </w:r>
          </w:p>
        </w:tc>
        <w:tc>
          <w:tcPr>
            <w:tcW w:w="5620" w:type="dxa"/>
            <w:vAlign w:val="bottom"/>
            <w:shd w:val="clear" w:color="auto" w:fill="E6E7E8"/>
          </w:tcPr>
          <w:p>
            <w:pPr>
              <w:ind w:left="400"/>
              <w:spacing w:after="0"/>
              <w:rPr>
                <w:sz w:val="20"/>
                <w:szCs w:val="20"/>
                <w:color w:val="auto"/>
              </w:rPr>
            </w:pPr>
            <w:r>
              <w:rPr>
                <w:rFonts w:ascii="Arial" w:cs="Arial" w:eastAsia="Arial" w:hAnsi="Arial"/>
                <w:sz w:val="16"/>
                <w:szCs w:val="16"/>
                <w:b w:val="1"/>
                <w:bCs w:val="1"/>
                <w:color w:val="auto"/>
              </w:rPr>
              <w:t xml:space="preserve">No guaranteed bonuses </w:t>
            </w:r>
            <w:r>
              <w:rPr>
                <w:rFonts w:ascii="Arial" w:cs="Arial" w:eastAsia="Arial" w:hAnsi="Arial"/>
                <w:sz w:val="16"/>
                <w:szCs w:val="16"/>
                <w:color w:val="auto"/>
              </w:rPr>
              <w:t>– We do not provide guaranteed bonuses,</w:t>
            </w:r>
          </w:p>
        </w:tc>
      </w:tr>
      <w:tr>
        <w:trPr>
          <w:trHeight w:val="215"/>
        </w:trPr>
        <w:tc>
          <w:tcPr>
            <w:tcW w:w="5600" w:type="dxa"/>
            <w:vAlign w:val="bottom"/>
            <w:shd w:val="clear" w:color="auto" w:fill="E6E7E8"/>
          </w:tcPr>
          <w:p>
            <w:pPr>
              <w:ind w:left="440"/>
              <w:spacing w:after="0"/>
              <w:rPr>
                <w:sz w:val="20"/>
                <w:szCs w:val="20"/>
                <w:color w:val="auto"/>
              </w:rPr>
            </w:pPr>
            <w:r>
              <w:rPr>
                <w:rFonts w:ascii="Arial" w:cs="Arial" w:eastAsia="Arial" w:hAnsi="Arial"/>
                <w:sz w:val="16"/>
                <w:szCs w:val="16"/>
                <w:color w:val="auto"/>
              </w:rPr>
              <w:t>payments or benefits as a result of a change-in-control event</w:t>
            </w:r>
          </w:p>
        </w:tc>
        <w:tc>
          <w:tcPr>
            <w:tcW w:w="5620" w:type="dxa"/>
            <w:vAlign w:val="bottom"/>
            <w:shd w:val="clear" w:color="auto" w:fill="E6E7E8"/>
          </w:tcPr>
          <w:p>
            <w:pPr>
              <w:ind w:left="400"/>
              <w:spacing w:after="0"/>
              <w:rPr>
                <w:sz w:val="20"/>
                <w:szCs w:val="20"/>
                <w:color w:val="auto"/>
              </w:rPr>
            </w:pPr>
            <w:r>
              <w:rPr>
                <w:rFonts w:ascii="Arial" w:cs="Arial" w:eastAsia="Arial" w:hAnsi="Arial"/>
                <w:sz w:val="16"/>
                <w:szCs w:val="16"/>
                <w:color w:val="auto"/>
              </w:rPr>
              <w:t>except for select individuals at hire</w:t>
            </w:r>
          </w:p>
        </w:tc>
      </w:tr>
      <w:tr>
        <w:trPr>
          <w:trHeight w:val="433"/>
        </w:trPr>
        <w:tc>
          <w:tcPr>
            <w:tcW w:w="5600" w:type="dxa"/>
            <w:vAlign w:val="bottom"/>
            <w:shd w:val="clear" w:color="auto" w:fill="E6E7E8"/>
          </w:tcPr>
          <w:p>
            <w:pPr>
              <w:ind w:left="440"/>
              <w:spacing w:after="0"/>
              <w:rPr>
                <w:sz w:val="20"/>
                <w:szCs w:val="20"/>
                <w:color w:val="auto"/>
              </w:rPr>
            </w:pPr>
            <w:r>
              <w:rPr>
                <w:rFonts w:ascii="Arial" w:cs="Arial" w:eastAsia="Arial" w:hAnsi="Arial"/>
                <w:sz w:val="16"/>
                <w:szCs w:val="16"/>
                <w:b w:val="1"/>
                <w:bCs w:val="1"/>
                <w:color w:val="auto"/>
              </w:rPr>
              <w:t xml:space="preserve">No special severance </w:t>
            </w:r>
            <w:r>
              <w:rPr>
                <w:rFonts w:ascii="Arial" w:cs="Arial" w:eastAsia="Arial" w:hAnsi="Arial"/>
                <w:sz w:val="16"/>
                <w:szCs w:val="16"/>
                <w:color w:val="auto"/>
              </w:rPr>
              <w:t>– We do not provide special severance. All</w:t>
            </w:r>
          </w:p>
        </w:tc>
        <w:tc>
          <w:tcPr>
            <w:tcW w:w="5620" w:type="dxa"/>
            <w:vAlign w:val="bottom"/>
            <w:shd w:val="clear" w:color="auto" w:fill="E6E7E8"/>
          </w:tcPr>
          <w:p>
            <w:pPr>
              <w:ind w:left="400"/>
              <w:spacing w:after="0"/>
              <w:rPr>
                <w:sz w:val="20"/>
                <w:szCs w:val="20"/>
                <w:color w:val="auto"/>
              </w:rPr>
            </w:pPr>
            <w:r>
              <w:rPr>
                <w:rFonts w:ascii="Arial" w:cs="Arial" w:eastAsia="Arial" w:hAnsi="Arial"/>
                <w:sz w:val="16"/>
                <w:szCs w:val="16"/>
                <w:b w:val="1"/>
                <w:bCs w:val="1"/>
                <w:color w:val="auto"/>
              </w:rPr>
              <w:t>No special executive benefits</w:t>
            </w:r>
          </w:p>
        </w:tc>
      </w:tr>
      <w:tr>
        <w:trPr>
          <w:trHeight w:val="189"/>
        </w:trPr>
        <w:tc>
          <w:tcPr>
            <w:tcW w:w="5600" w:type="dxa"/>
            <w:vAlign w:val="bottom"/>
            <w:shd w:val="clear" w:color="auto" w:fill="E6E7E8"/>
          </w:tcPr>
          <w:p>
            <w:pPr>
              <w:ind w:left="440"/>
              <w:spacing w:after="0"/>
              <w:rPr>
                <w:sz w:val="20"/>
                <w:szCs w:val="20"/>
                <w:color w:val="auto"/>
              </w:rPr>
            </w:pPr>
            <w:r>
              <w:rPr>
                <w:rFonts w:ascii="Arial" w:cs="Arial" w:eastAsia="Arial" w:hAnsi="Arial"/>
                <w:sz w:val="16"/>
                <w:szCs w:val="16"/>
                <w:color w:val="auto"/>
              </w:rPr>
              <w:t>employees, including OC members, participate at the same level of</w:t>
            </w:r>
          </w:p>
        </w:tc>
        <w:tc>
          <w:tcPr>
            <w:tcW w:w="5620" w:type="dxa"/>
            <w:vAlign w:val="bottom"/>
            <w:shd w:val="clear" w:color="auto" w:fill="E6E7E8"/>
          </w:tcPr>
          <w:p>
            <w:pPr>
              <w:ind w:left="3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No private club dues or excessive tax gross-ups for benefits</w:t>
            </w:r>
          </w:p>
        </w:tc>
      </w:tr>
      <w:tr>
        <w:trPr>
          <w:trHeight w:val="176"/>
        </w:trPr>
        <w:tc>
          <w:tcPr>
            <w:tcW w:w="5600" w:type="dxa"/>
            <w:vAlign w:val="bottom"/>
            <w:shd w:val="clear" w:color="auto" w:fill="E6E7E8"/>
          </w:tcPr>
          <w:p>
            <w:pPr>
              <w:ind w:left="440"/>
              <w:spacing w:after="0" w:line="175" w:lineRule="exact"/>
              <w:rPr>
                <w:sz w:val="20"/>
                <w:szCs w:val="20"/>
                <w:color w:val="auto"/>
              </w:rPr>
            </w:pPr>
            <w:r>
              <w:rPr>
                <w:rFonts w:ascii="Arial" w:cs="Arial" w:eastAsia="Arial" w:hAnsi="Arial"/>
                <w:sz w:val="16"/>
                <w:szCs w:val="16"/>
                <w:color w:val="auto"/>
              </w:rPr>
              <w:t>severance, based on years of service, capped at 52 weeks with a</w:t>
            </w:r>
          </w:p>
        </w:tc>
        <w:tc>
          <w:tcPr>
            <w:tcW w:w="5620" w:type="dxa"/>
            <w:vAlign w:val="bottom"/>
            <w:shd w:val="clear" w:color="auto" w:fill="E6E7E8"/>
          </w:tcPr>
          <w:p>
            <w:pPr>
              <w:ind w:left="340"/>
              <w:spacing w:after="0" w:line="175"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No 401(k) Savings Plan matching contribution</w:t>
            </w:r>
          </w:p>
        </w:tc>
      </w:tr>
      <w:tr>
        <w:trPr>
          <w:trHeight w:val="175"/>
        </w:trPr>
        <w:tc>
          <w:tcPr>
            <w:tcW w:w="5600" w:type="dxa"/>
            <w:vAlign w:val="bottom"/>
            <w:shd w:val="clear" w:color="auto" w:fill="E6E7E8"/>
          </w:tcPr>
          <w:p>
            <w:pPr>
              <w:ind w:left="440"/>
              <w:spacing w:after="0" w:line="175" w:lineRule="exact"/>
              <w:rPr>
                <w:sz w:val="20"/>
                <w:szCs w:val="20"/>
                <w:color w:val="auto"/>
              </w:rPr>
            </w:pPr>
            <w:r>
              <w:rPr>
                <w:rFonts w:ascii="Arial" w:cs="Arial" w:eastAsia="Arial" w:hAnsi="Arial"/>
                <w:sz w:val="16"/>
                <w:szCs w:val="16"/>
                <w:color w:val="auto"/>
              </w:rPr>
              <w:t>maximum credited salary</w:t>
            </w:r>
          </w:p>
        </w:tc>
        <w:tc>
          <w:tcPr>
            <w:tcW w:w="5620" w:type="dxa"/>
            <w:vAlign w:val="bottom"/>
            <w:shd w:val="clear" w:color="auto" w:fill="E6E7E8"/>
          </w:tcPr>
          <w:p>
            <w:pPr>
              <w:ind w:left="340"/>
              <w:spacing w:after="0" w:line="175"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No special health or medical benefits</w:t>
            </w:r>
          </w:p>
        </w:tc>
      </w:tr>
      <w:tr>
        <w:trPr>
          <w:trHeight w:val="223"/>
        </w:trPr>
        <w:tc>
          <w:tcPr>
            <w:tcW w:w="5600" w:type="dxa"/>
            <w:vAlign w:val="bottom"/>
            <w:shd w:val="clear" w:color="auto" w:fill="E6E7E8"/>
          </w:tcPr>
          <w:p>
            <w:pPr>
              <w:spacing w:after="0"/>
              <w:rPr>
                <w:sz w:val="19"/>
                <w:szCs w:val="19"/>
                <w:color w:val="auto"/>
              </w:rPr>
            </w:pPr>
          </w:p>
        </w:tc>
        <w:tc>
          <w:tcPr>
            <w:tcW w:w="5620" w:type="dxa"/>
            <w:vAlign w:val="bottom"/>
            <w:shd w:val="clear" w:color="auto" w:fill="E6E7E8"/>
          </w:tcPr>
          <w:p>
            <w:pPr>
              <w:ind w:left="3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No special pension credits</w:t>
            </w:r>
          </w:p>
        </w:tc>
      </w:tr>
      <w:tr>
        <w:trPr>
          <w:trHeight w:val="129"/>
        </w:trPr>
        <w:tc>
          <w:tcPr>
            <w:tcW w:w="5600" w:type="dxa"/>
            <w:vAlign w:val="bottom"/>
            <w:shd w:val="clear" w:color="auto" w:fill="E6E7E8"/>
          </w:tcPr>
          <w:p>
            <w:pPr>
              <w:spacing w:after="0"/>
              <w:rPr>
                <w:sz w:val="11"/>
                <w:szCs w:val="11"/>
                <w:color w:val="auto"/>
              </w:rPr>
            </w:pPr>
          </w:p>
        </w:tc>
        <w:tc>
          <w:tcPr>
            <w:tcW w:w="5620" w:type="dxa"/>
            <w:vAlign w:val="bottom"/>
            <w:shd w:val="clear" w:color="auto" w:fill="E6E7E8"/>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-1122680</wp:posOffset>
            </wp:positionV>
            <wp:extent cx="111125" cy="11112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-1122680</wp:posOffset>
            </wp:positionV>
            <wp:extent cx="111125" cy="11112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-711200</wp:posOffset>
            </wp:positionV>
            <wp:extent cx="111125" cy="11112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-711200</wp:posOffset>
            </wp:positionV>
            <wp:extent cx="111125" cy="11112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 RESPONSIBILITIES OF THE CMDC</w:t>
      </w:r>
    </w:p>
    <w:p>
      <w:pPr>
        <w:spacing w:after="0" w:line="46"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color w:val="auto"/>
        </w:rPr>
        <w:t>The CMDC oversees our compensation programs throughout the year, which enables the Committee to be proactive in its compensation planning to address both current and emerging developments or challenges. Key committee responsibilities related to compensation programs include:</w:t>
      </w:r>
    </w:p>
    <w:p>
      <w:pPr>
        <w:spacing w:after="0" w:line="48" w:lineRule="exact"/>
        <w:rPr>
          <w:sz w:val="20"/>
          <w:szCs w:val="20"/>
          <w:color w:val="auto"/>
        </w:rPr>
      </w:pPr>
    </w:p>
    <w:p>
      <w:pPr>
        <w:ind w:left="180" w:hanging="172"/>
        <w:spacing w:after="0"/>
        <w:tabs>
          <w:tab w:leader="none" w:pos="180" w:val="left"/>
        </w:tabs>
        <w:numPr>
          <w:ilvl w:val="0"/>
          <w:numId w:val="150"/>
        </w:numPr>
        <w:rPr>
          <w:rFonts w:ascii="Arial" w:cs="Arial" w:eastAsia="Arial" w:hAnsi="Arial"/>
          <w:sz w:val="16"/>
          <w:szCs w:val="16"/>
          <w:b w:val="1"/>
          <w:bCs w:val="1"/>
          <w:color w:val="auto"/>
        </w:rPr>
      </w:pPr>
      <w:r>
        <w:rPr>
          <w:rFonts w:ascii="Arial" w:cs="Arial" w:eastAsia="Arial" w:hAnsi="Arial"/>
          <w:sz w:val="16"/>
          <w:szCs w:val="16"/>
          <w:color w:val="auto"/>
        </w:rPr>
        <w:t>Periodically reviewing and approving a statement of the Firm’s compensation philosophy, principles and practices</w:t>
      </w:r>
    </w:p>
    <w:p>
      <w:pPr>
        <w:spacing w:after="0" w:line="34" w:lineRule="exact"/>
        <w:rPr>
          <w:rFonts w:ascii="Arial" w:cs="Arial" w:eastAsia="Arial" w:hAnsi="Arial"/>
          <w:sz w:val="16"/>
          <w:szCs w:val="16"/>
          <w:b w:val="1"/>
          <w:bCs w:val="1"/>
          <w:color w:val="auto"/>
        </w:rPr>
      </w:pPr>
    </w:p>
    <w:p>
      <w:pPr>
        <w:ind w:left="200" w:right="120" w:hanging="192"/>
        <w:spacing w:after="0" w:line="237" w:lineRule="auto"/>
        <w:tabs>
          <w:tab w:leader="none" w:pos="184" w:val="left"/>
        </w:tabs>
        <w:numPr>
          <w:ilvl w:val="0"/>
          <w:numId w:val="150"/>
        </w:numPr>
        <w:rPr>
          <w:rFonts w:ascii="Arial" w:cs="Arial" w:eastAsia="Arial" w:hAnsi="Arial"/>
          <w:sz w:val="16"/>
          <w:szCs w:val="16"/>
          <w:b w:val="1"/>
          <w:bCs w:val="1"/>
          <w:color w:val="auto"/>
        </w:rPr>
      </w:pPr>
      <w:r>
        <w:rPr>
          <w:rFonts w:ascii="Arial" w:cs="Arial" w:eastAsia="Arial" w:hAnsi="Arial"/>
          <w:sz w:val="16"/>
          <w:szCs w:val="16"/>
          <w:color w:val="auto"/>
        </w:rPr>
        <w:t>Reviewing the Firm’s compensation practices and the relationship among risk, risk management and compensation (including safety and soundness and avoiding practices that could encourage excessive risk-taking)</w:t>
      </w:r>
    </w:p>
    <w:p>
      <w:pPr>
        <w:spacing w:after="0" w:line="1" w:lineRule="exact"/>
        <w:rPr>
          <w:rFonts w:ascii="Arial" w:cs="Arial" w:eastAsia="Arial" w:hAnsi="Arial"/>
          <w:sz w:val="16"/>
          <w:szCs w:val="16"/>
          <w:b w:val="1"/>
          <w:bCs w:val="1"/>
          <w:color w:val="auto"/>
        </w:rPr>
      </w:pPr>
    </w:p>
    <w:p>
      <w:pPr>
        <w:ind w:left="200" w:right="280" w:hanging="192"/>
        <w:spacing w:after="0" w:line="246" w:lineRule="auto"/>
        <w:tabs>
          <w:tab w:leader="none" w:pos="184" w:val="left"/>
        </w:tabs>
        <w:numPr>
          <w:ilvl w:val="0"/>
          <w:numId w:val="150"/>
        </w:numPr>
        <w:rPr>
          <w:rFonts w:ascii="Arial" w:cs="Arial" w:eastAsia="Arial" w:hAnsi="Arial"/>
          <w:sz w:val="16"/>
          <w:szCs w:val="16"/>
          <w:b w:val="1"/>
          <w:bCs w:val="1"/>
          <w:color w:val="auto"/>
        </w:rPr>
      </w:pPr>
      <w:r>
        <w:rPr>
          <w:rFonts w:ascii="Arial" w:cs="Arial" w:eastAsia="Arial" w:hAnsi="Arial"/>
          <w:sz w:val="16"/>
          <w:szCs w:val="16"/>
          <w:color w:val="auto"/>
        </w:rPr>
        <w:t>Adopting pay practices and approving any necessary formulas, performance metrics or pool calculations in compliance with applicable U.S. and global regulatory, statutory or governance requirements</w:t>
      </w:r>
    </w:p>
    <w:p>
      <w:pPr>
        <w:ind w:left="180" w:hanging="172"/>
        <w:spacing w:after="0"/>
        <w:tabs>
          <w:tab w:leader="none" w:pos="180" w:val="left"/>
        </w:tabs>
        <w:numPr>
          <w:ilvl w:val="0"/>
          <w:numId w:val="150"/>
        </w:numPr>
        <w:rPr>
          <w:rFonts w:ascii="Arial" w:cs="Arial" w:eastAsia="Arial" w:hAnsi="Arial"/>
          <w:sz w:val="16"/>
          <w:szCs w:val="16"/>
          <w:b w:val="1"/>
          <w:bCs w:val="1"/>
          <w:color w:val="auto"/>
        </w:rPr>
      </w:pPr>
      <w:r>
        <w:rPr>
          <w:rFonts w:ascii="Arial" w:cs="Arial" w:eastAsia="Arial" w:hAnsi="Arial"/>
          <w:sz w:val="16"/>
          <w:szCs w:val="16"/>
          <w:color w:val="auto"/>
        </w:rPr>
        <w:t>Reviewing and approving overall incentive compensation pools (including equity/cash mix)</w:t>
      </w:r>
    </w:p>
    <w:p>
      <w:pPr>
        <w:spacing w:after="0" w:line="18" w:lineRule="exact"/>
        <w:rPr>
          <w:rFonts w:ascii="Arial" w:cs="Arial" w:eastAsia="Arial" w:hAnsi="Arial"/>
          <w:sz w:val="16"/>
          <w:szCs w:val="16"/>
          <w:b w:val="1"/>
          <w:bCs w:val="1"/>
          <w:color w:val="auto"/>
        </w:rPr>
      </w:pPr>
    </w:p>
    <w:p>
      <w:pPr>
        <w:ind w:left="200" w:right="220" w:hanging="192"/>
        <w:spacing w:after="0" w:line="237" w:lineRule="auto"/>
        <w:tabs>
          <w:tab w:leader="none" w:pos="184" w:val="left"/>
        </w:tabs>
        <w:numPr>
          <w:ilvl w:val="0"/>
          <w:numId w:val="150"/>
        </w:numPr>
        <w:rPr>
          <w:rFonts w:ascii="Arial" w:cs="Arial" w:eastAsia="Arial" w:hAnsi="Arial"/>
          <w:sz w:val="16"/>
          <w:szCs w:val="16"/>
          <w:b w:val="1"/>
          <w:bCs w:val="1"/>
          <w:color w:val="auto"/>
        </w:rPr>
      </w:pPr>
      <w:r>
        <w:rPr>
          <w:rFonts w:ascii="Arial" w:cs="Arial" w:eastAsia="Arial" w:hAnsi="Arial"/>
          <w:sz w:val="16"/>
          <w:szCs w:val="16"/>
          <w:color w:val="auto"/>
        </w:rPr>
        <w:t>Reviewing over multiple meetings and approving compensation for our OC and, for the CEO, making a compensation recommendation to the Board for consideration and ratification by the independent directors</w:t>
      </w:r>
    </w:p>
    <w:p>
      <w:pPr>
        <w:spacing w:after="0" w:line="1" w:lineRule="exact"/>
        <w:rPr>
          <w:rFonts w:ascii="Arial" w:cs="Arial" w:eastAsia="Arial" w:hAnsi="Arial"/>
          <w:sz w:val="16"/>
          <w:szCs w:val="16"/>
          <w:b w:val="1"/>
          <w:bCs w:val="1"/>
          <w:color w:val="auto"/>
        </w:rPr>
      </w:pPr>
    </w:p>
    <w:p>
      <w:pPr>
        <w:ind w:left="180" w:hanging="172"/>
        <w:spacing w:after="0"/>
        <w:tabs>
          <w:tab w:leader="none" w:pos="180" w:val="left"/>
        </w:tabs>
        <w:numPr>
          <w:ilvl w:val="0"/>
          <w:numId w:val="150"/>
        </w:numPr>
        <w:rPr>
          <w:rFonts w:ascii="Arial" w:cs="Arial" w:eastAsia="Arial" w:hAnsi="Arial"/>
          <w:sz w:val="16"/>
          <w:szCs w:val="16"/>
          <w:b w:val="1"/>
          <w:bCs w:val="1"/>
          <w:color w:val="auto"/>
        </w:rPr>
      </w:pPr>
      <w:r>
        <w:rPr>
          <w:rFonts w:ascii="Arial" w:cs="Arial" w:eastAsia="Arial" w:hAnsi="Arial"/>
          <w:sz w:val="16"/>
          <w:szCs w:val="16"/>
          <w:color w:val="auto"/>
        </w:rPr>
        <w:t>Reviewing and approving the design and terms of compensation awards, including recovery/clawback provisions</w:t>
      </w:r>
    </w:p>
    <w:p>
      <w:pPr>
        <w:spacing w:after="0" w:line="8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CMDC may delegate authority to the Head of Human Resources ("HR") or other appropriate officer to administer and amend the Firm’s compensation and benefits programs.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Section 162(m) of the Internal Revenue Code limits the tax deductibility of executive compensation paid to each of our "covered employees" to $1 million.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CMDC continues to retain the discretion to make awards and pay amounts that may not qualify as tax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387985</wp:posOffset>
            </wp:positionV>
            <wp:extent cx="651510" cy="8572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44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6620"/>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89"/>
        </w:trPr>
        <w:tc>
          <w:tcPr>
            <w:tcW w:w="2860" w:type="dxa"/>
            <w:vAlign w:val="bottom"/>
            <w:tcBorders>
              <w:top w:val="single" w:sz="8" w:color="A6D7F0"/>
            </w:tcBorders>
            <w:shd w:val="clear" w:color="auto" w:fill="A6D7F0"/>
          </w:tcPr>
          <w:p>
            <w:pPr>
              <w:ind w:left="280"/>
              <w:spacing w:after="0"/>
              <w:rPr>
                <w:sz w:val="20"/>
                <w:szCs w:val="20"/>
                <w:color w:val="auto"/>
              </w:rPr>
            </w:pPr>
            <w:r>
              <w:rPr>
                <w:rFonts w:ascii="Arial" w:cs="Arial" w:eastAsia="Arial" w:hAnsi="Arial"/>
                <w:sz w:val="14"/>
                <w:szCs w:val="14"/>
                <w:b w:val="1"/>
                <w:bCs w:val="1"/>
                <w:color w:val="auto"/>
              </w:rPr>
              <w:t>How we think about pay decisions</w:t>
            </w:r>
          </w:p>
        </w:tc>
        <w:tc>
          <w:tcPr>
            <w:tcW w:w="420" w:type="dxa"/>
            <w:vAlign w:val="bottom"/>
            <w:tcBorders>
              <w:right w:val="single" w:sz="8" w:color="auto"/>
            </w:tcBorders>
          </w:tcPr>
          <w:p>
            <w:pPr>
              <w:spacing w:after="0"/>
              <w:rPr>
                <w:sz w:val="24"/>
                <w:szCs w:val="24"/>
                <w:color w:val="auto"/>
              </w:rPr>
            </w:pPr>
          </w:p>
        </w:tc>
        <w:tc>
          <w:tcPr>
            <w:tcW w:w="41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4"/>
                <w:szCs w:val="14"/>
                <w:color w:val="8F5A39"/>
              </w:rPr>
              <w:t>How we performed against our business strategy</w:t>
            </w:r>
          </w:p>
        </w:tc>
        <w:tc>
          <w:tcPr>
            <w:tcW w:w="400" w:type="dxa"/>
            <w:vAlign w:val="bottom"/>
            <w:tcBorders>
              <w:right w:val="single" w:sz="8" w:color="auto"/>
            </w:tcBorders>
          </w:tcPr>
          <w:p>
            <w:pPr>
              <w:spacing w:after="0"/>
              <w:rPr>
                <w:sz w:val="24"/>
                <w:szCs w:val="24"/>
                <w:color w:val="auto"/>
              </w:rPr>
            </w:pPr>
          </w:p>
        </w:tc>
        <w:tc>
          <w:tcPr>
            <w:tcW w:w="342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4"/>
                <w:szCs w:val="14"/>
                <w:color w:val="8F5A39"/>
              </w:rPr>
              <w:t>How performance determined pay in 2025</w:t>
            </w:r>
          </w:p>
        </w:tc>
      </w:tr>
      <w:tr>
        <w:trPr>
          <w:trHeight w:val="83"/>
        </w:trPr>
        <w:tc>
          <w:tcPr>
            <w:tcW w:w="2860" w:type="dxa"/>
            <w:vAlign w:val="bottom"/>
            <w:shd w:val="clear" w:color="auto" w:fill="A6D7F0"/>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4140" w:type="dxa"/>
            <w:vAlign w:val="bottom"/>
            <w:tcBorders>
              <w:bottom w:val="single" w:sz="8" w:color="auto"/>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42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-196850</wp:posOffset>
            </wp:positionV>
            <wp:extent cx="120015" cy="9398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-196850</wp:posOffset>
            </wp:positionV>
            <wp:extent cx="120015" cy="9398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color w:val="auto"/>
        </w:rPr>
        <w:t>Our performance assessment process starts with planning and priority-setting</w:t>
      </w:r>
    </w:p>
    <w:p>
      <w:pPr>
        <w:spacing w:after="0" w:line="76"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The CMDC uses a disciplined pay-for-performance framework to make decisions about the compensation of our OC members, so that their compensation is commensurate with the overall performance of the Firm, their respective businesses and their individual performance. The performance assessment process starts with strategic plans, budgets and priorities being established at those same levels, with the Board and CMDC engaging in regular discussions with the CEO and the Head of HR about individual OC members’ performance throughout the year, as appropriate.</w:t>
      </w:r>
    </w:p>
    <w:p>
      <w:pPr>
        <w:spacing w:after="0" w:line="27"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This approach (rather than determining pay levels during a single year-end process) enables the CMDC to make balanced and informed OC member pay decisions that are aligned with long-term performance against business results and qualitative considerations, which assess progress on short-, medium-and long-term priorities that drive sustained shareholder value.</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auto"/>
        </w:rPr>
        <w:t>Balanced and holistic approach for assessing performance</w:t>
      </w:r>
    </w:p>
    <w:p>
      <w:pPr>
        <w:spacing w:after="0" w:line="45"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In determining OC compensation, the CMDC considers both what progress has been made against long-term strategic priorities and how that progress has been achieved. For example, consistently strong revenue, net income and ROTCE performance over the long-term are more important than any short-term fluctuations in business results.</w:t>
      </w:r>
    </w:p>
    <w:p>
      <w:pPr>
        <w:spacing w:after="0" w:line="2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CMDC applies an approximately 50% weighting to its consideration of absolute and relative Business Results against the Firm’s strategic priorities over multiple years, i.e., the "what," and an approximately 50% weighting to its qualitative consideration of Client/Customer/Stakeholder; Risk, Controls &amp; Conduct; and Teamwork &amp; Leadership, i.e., the "how."</w:t>
      </w:r>
    </w:p>
    <w:p>
      <w:pPr>
        <w:spacing w:after="0" w:line="23"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No single performance dimension in isolation determines total compensation; however, it is possible for a single significant shortcoming to have a downward impact on variable compensation without limitation. The CMDC has historically exercised this kind of downward discretion by making significant reductions to OC member compensation related to material risk &amp; control matters — and it will continue to do so in the future if appropriate.</w:t>
      </w:r>
    </w:p>
    <w:p>
      <w:pPr>
        <w:spacing w:after="0" w:line="23"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This balanced and holistic assessment of results against long-term strategic priorities and other qualitative considerations is illustrated in the chart below, and includes considerations of responsible leadership, thoughtful governance and sustainability where applicable.</w:t>
      </w:r>
    </w:p>
    <w:p>
      <w:pPr>
        <w:sectPr>
          <w:pgSz w:w="11900" w:h="16838" w:orient="portrait"/>
          <w:cols w:equalWidth="0" w:num="1">
            <w:col w:w="11240"/>
          </w:cols>
          <w:pgMar w:left="320" w:top="157" w:right="339" w:bottom="1440" w:gutter="0" w:footer="0" w:header="0"/>
        </w:sectPr>
      </w:pPr>
    </w:p>
    <w:p>
      <w:pPr>
        <w:spacing w:after="0" w:line="201"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 xml:space="preserve">~50% </w:t>
      </w:r>
      <w:r>
        <w:rPr>
          <w:rFonts w:ascii="Arial" w:cs="Arial" w:eastAsia="Arial" w:hAnsi="Arial"/>
          <w:sz w:val="14"/>
          <w:szCs w:val="14"/>
          <w:color w:val="auto"/>
        </w:rPr>
        <w:t>weighting on</w:t>
      </w:r>
      <w:r>
        <w:rPr>
          <w:rFonts w:ascii="Arial" w:cs="Arial" w:eastAsia="Arial" w:hAnsi="Arial"/>
          <w:sz w:val="14"/>
          <w:szCs w:val="14"/>
          <w:b w:val="1"/>
          <w:bCs w:val="1"/>
          <w:color w:val="auto"/>
        </w:rPr>
        <w:t xml:space="preser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-10160</wp:posOffset>
            </wp:positionV>
            <wp:extent cx="377190" cy="1714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7719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334010" cy="1714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34010" cy="171450"/>
                    </a:xfrm>
                    <a:prstGeom prst="rect">
                      <a:avLst/>
                    </a:prstGeom>
                    <a:noFill/>
                  </pic:spPr>
                </pic:pic>
              </a:graphicData>
            </a:graphic>
          </wp:anchor>
        </w:drawing>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"what"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748790" cy="27774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748790" cy="277749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F5A39"/>
        </w:rPr>
        <w:t>Business Results</w:t>
      </w:r>
    </w:p>
    <w:p>
      <w:pPr>
        <w:spacing w:after="0" w:line="118" w:lineRule="exact"/>
        <w:rPr>
          <w:sz w:val="20"/>
          <w:szCs w:val="20"/>
          <w:color w:val="auto"/>
        </w:rPr>
      </w:pPr>
    </w:p>
    <w:p>
      <w:pPr>
        <w:ind w:left="300" w:right="80" w:hanging="193"/>
        <w:spacing w:after="0" w:line="316" w:lineRule="auto"/>
        <w:tabs>
          <w:tab w:leader="none" w:pos="284"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Drive high performance, the right way</w:t>
      </w:r>
    </w:p>
    <w:p>
      <w:pPr>
        <w:spacing w:after="0" w:line="1" w:lineRule="exact"/>
        <w:rPr>
          <w:rFonts w:ascii="Arial" w:cs="Arial" w:eastAsia="Arial" w:hAnsi="Arial"/>
          <w:sz w:val="16"/>
          <w:szCs w:val="16"/>
          <w:b w:val="1"/>
          <w:bCs w:val="1"/>
          <w:color w:val="auto"/>
        </w:rPr>
      </w:pPr>
    </w:p>
    <w:p>
      <w:pPr>
        <w:ind w:left="280" w:hanging="173"/>
        <w:spacing w:after="0"/>
        <w:tabs>
          <w:tab w:leader="none" w:pos="280" w:val="left"/>
        </w:tabs>
        <w:numPr>
          <w:ilvl w:val="0"/>
          <w:numId w:val="151"/>
        </w:numPr>
        <w:rPr>
          <w:rFonts w:ascii="Arial" w:cs="Arial" w:eastAsia="Arial" w:hAnsi="Arial"/>
          <w:sz w:val="16"/>
          <w:szCs w:val="16"/>
          <w:b w:val="1"/>
          <w:bCs w:val="1"/>
          <w:color w:val="auto"/>
        </w:rPr>
      </w:pPr>
      <w:r>
        <w:rPr>
          <w:rFonts w:ascii="Arial" w:cs="Arial" w:eastAsia="Arial" w:hAnsi="Arial"/>
          <w:sz w:val="16"/>
          <w:szCs w:val="16"/>
          <w:color w:val="auto"/>
        </w:rPr>
        <w:t>Fortress balance sheet</w:t>
      </w:r>
    </w:p>
    <w:p>
      <w:pPr>
        <w:spacing w:after="0" w:line="86" w:lineRule="exact"/>
        <w:rPr>
          <w:rFonts w:ascii="Arial" w:cs="Arial" w:eastAsia="Arial" w:hAnsi="Arial"/>
          <w:sz w:val="16"/>
          <w:szCs w:val="16"/>
          <w:b w:val="1"/>
          <w:bCs w:val="1"/>
          <w:color w:val="auto"/>
        </w:rPr>
      </w:pPr>
    </w:p>
    <w:p>
      <w:pPr>
        <w:ind w:left="280" w:hanging="173"/>
        <w:spacing w:after="0"/>
        <w:tabs>
          <w:tab w:leader="none" w:pos="280" w:val="left"/>
        </w:tabs>
        <w:numPr>
          <w:ilvl w:val="0"/>
          <w:numId w:val="151"/>
        </w:numPr>
        <w:rPr>
          <w:rFonts w:ascii="Arial" w:cs="Arial" w:eastAsia="Arial" w:hAnsi="Arial"/>
          <w:sz w:val="16"/>
          <w:szCs w:val="16"/>
          <w:b w:val="1"/>
          <w:bCs w:val="1"/>
          <w:color w:val="auto"/>
        </w:rPr>
      </w:pPr>
      <w:r>
        <w:rPr>
          <w:rFonts w:ascii="Arial" w:cs="Arial" w:eastAsia="Arial" w:hAnsi="Arial"/>
          <w:sz w:val="16"/>
          <w:szCs w:val="16"/>
          <w:color w:val="auto"/>
        </w:rPr>
        <w:t>Operational resilience</w:t>
      </w:r>
    </w:p>
    <w:p>
      <w:pPr>
        <w:spacing w:after="0" w:line="86" w:lineRule="exact"/>
        <w:rPr>
          <w:rFonts w:ascii="Arial" w:cs="Arial" w:eastAsia="Arial" w:hAnsi="Arial"/>
          <w:sz w:val="16"/>
          <w:szCs w:val="16"/>
          <w:b w:val="1"/>
          <w:bCs w:val="1"/>
          <w:color w:val="auto"/>
        </w:rPr>
      </w:pPr>
    </w:p>
    <w:p>
      <w:pPr>
        <w:ind w:left="300" w:hanging="193"/>
        <w:spacing w:after="0" w:line="316" w:lineRule="auto"/>
        <w:tabs>
          <w:tab w:leader="none" w:pos="284" w:val="left"/>
        </w:tabs>
        <w:numPr>
          <w:ilvl w:val="0"/>
          <w:numId w:val="151"/>
        </w:numPr>
        <w:rPr>
          <w:rFonts w:ascii="Arial" w:cs="Arial" w:eastAsia="Arial" w:hAnsi="Arial"/>
          <w:sz w:val="16"/>
          <w:szCs w:val="16"/>
          <w:b w:val="1"/>
          <w:bCs w:val="1"/>
          <w:color w:val="auto"/>
        </w:rPr>
      </w:pPr>
      <w:r>
        <w:rPr>
          <w:rFonts w:ascii="Arial" w:cs="Arial" w:eastAsia="Arial" w:hAnsi="Arial"/>
          <w:sz w:val="16"/>
          <w:szCs w:val="16"/>
          <w:color w:val="auto"/>
        </w:rPr>
        <w:t>Comprehensive set of products and services</w:t>
      </w:r>
    </w:p>
    <w:p>
      <w:pPr>
        <w:spacing w:after="0" w:line="1" w:lineRule="exact"/>
        <w:rPr>
          <w:rFonts w:ascii="Arial" w:cs="Arial" w:eastAsia="Arial" w:hAnsi="Arial"/>
          <w:sz w:val="16"/>
          <w:szCs w:val="16"/>
          <w:b w:val="1"/>
          <w:bCs w:val="1"/>
          <w:color w:val="auto"/>
        </w:rPr>
      </w:pPr>
    </w:p>
    <w:p>
      <w:pPr>
        <w:ind w:left="280" w:hanging="173"/>
        <w:spacing w:after="0"/>
        <w:tabs>
          <w:tab w:leader="none" w:pos="280" w:val="left"/>
        </w:tabs>
        <w:numPr>
          <w:ilvl w:val="0"/>
          <w:numId w:val="151"/>
        </w:numPr>
        <w:rPr>
          <w:rFonts w:ascii="Arial" w:cs="Arial" w:eastAsia="Arial" w:hAnsi="Arial"/>
          <w:sz w:val="16"/>
          <w:szCs w:val="16"/>
          <w:b w:val="1"/>
          <w:bCs w:val="1"/>
          <w:color w:val="auto"/>
        </w:rPr>
      </w:pPr>
      <w:r>
        <w:rPr>
          <w:rFonts w:ascii="Arial" w:cs="Arial" w:eastAsia="Arial" w:hAnsi="Arial"/>
          <w:sz w:val="16"/>
          <w:szCs w:val="16"/>
          <w:color w:val="auto"/>
        </w:rPr>
        <w:t>Growing powerful brands</w:t>
      </w:r>
    </w:p>
    <w:p>
      <w:pPr>
        <w:spacing w:after="0" w:line="86" w:lineRule="exact"/>
        <w:rPr>
          <w:rFonts w:ascii="Arial" w:cs="Arial" w:eastAsia="Arial" w:hAnsi="Arial"/>
          <w:sz w:val="16"/>
          <w:szCs w:val="16"/>
          <w:b w:val="1"/>
          <w:bCs w:val="1"/>
          <w:color w:val="auto"/>
        </w:rPr>
      </w:pPr>
    </w:p>
    <w:p>
      <w:pPr>
        <w:ind w:left="300" w:right="460" w:hanging="193"/>
        <w:spacing w:after="0" w:line="316" w:lineRule="auto"/>
        <w:tabs>
          <w:tab w:leader="none" w:pos="284" w:val="left"/>
        </w:tabs>
        <w:numPr>
          <w:ilvl w:val="0"/>
          <w:numId w:val="151"/>
        </w:numPr>
        <w:rPr>
          <w:rFonts w:ascii="Arial" w:cs="Arial" w:eastAsia="Arial" w:hAnsi="Arial"/>
          <w:sz w:val="16"/>
          <w:szCs w:val="16"/>
          <w:b w:val="1"/>
          <w:bCs w:val="1"/>
          <w:color w:val="auto"/>
        </w:rPr>
      </w:pPr>
      <w:r>
        <w:rPr>
          <w:rFonts w:ascii="Arial" w:cs="Arial" w:eastAsia="Arial" w:hAnsi="Arial"/>
          <w:sz w:val="16"/>
          <w:szCs w:val="16"/>
          <w:color w:val="auto"/>
        </w:rPr>
        <w:t>Disciplined investment in the future</w:t>
      </w:r>
    </w:p>
    <w:p>
      <w:pPr>
        <w:spacing w:after="0" w:line="1" w:lineRule="exact"/>
        <w:rPr>
          <w:rFonts w:ascii="Arial" w:cs="Arial" w:eastAsia="Arial" w:hAnsi="Arial"/>
          <w:sz w:val="16"/>
          <w:szCs w:val="16"/>
          <w:b w:val="1"/>
          <w:bCs w:val="1"/>
          <w:color w:val="auto"/>
        </w:rPr>
      </w:pPr>
    </w:p>
    <w:p>
      <w:pPr>
        <w:ind w:left="300" w:right="40" w:hanging="193"/>
        <w:spacing w:after="0" w:line="292" w:lineRule="auto"/>
        <w:tabs>
          <w:tab w:leader="none" w:pos="284" w:val="left"/>
        </w:tabs>
        <w:numPr>
          <w:ilvl w:val="0"/>
          <w:numId w:val="151"/>
        </w:numPr>
        <w:rPr>
          <w:rFonts w:ascii="Arial" w:cs="Arial" w:eastAsia="Arial" w:hAnsi="Arial"/>
          <w:sz w:val="16"/>
          <w:szCs w:val="16"/>
          <w:b w:val="1"/>
          <w:bCs w:val="1"/>
          <w:color w:val="auto"/>
        </w:rPr>
      </w:pPr>
      <w:r>
        <w:rPr>
          <w:rFonts w:ascii="Arial" w:cs="Arial" w:eastAsia="Arial" w:hAnsi="Arial"/>
          <w:sz w:val="16"/>
          <w:szCs w:val="16"/>
          <w:color w:val="auto"/>
        </w:rPr>
        <w:t>Current &amp; multi-year financial performance, including but not limited to:</w:t>
      </w:r>
    </w:p>
    <w:p>
      <w:pPr>
        <w:spacing w:after="0" w:line="18" w:lineRule="exact"/>
        <w:rPr>
          <w:rFonts w:ascii="Arial" w:cs="Arial" w:eastAsia="Arial" w:hAnsi="Arial"/>
          <w:sz w:val="16"/>
          <w:szCs w:val="16"/>
          <w:b w:val="1"/>
          <w:bCs w:val="1"/>
          <w:color w:val="auto"/>
        </w:rPr>
      </w:pPr>
    </w:p>
    <w:p>
      <w:pPr>
        <w:ind w:left="300"/>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 Managed Revenue</w:t>
      </w:r>
    </w:p>
    <w:p>
      <w:pPr>
        <w:spacing w:after="0" w:line="86" w:lineRule="exact"/>
        <w:rPr>
          <w:rFonts w:ascii="Arial" w:cs="Arial" w:eastAsia="Arial" w:hAnsi="Arial"/>
          <w:sz w:val="16"/>
          <w:szCs w:val="16"/>
          <w:b w:val="1"/>
          <w:bCs w:val="1"/>
          <w:color w:val="auto"/>
        </w:rPr>
      </w:pPr>
    </w:p>
    <w:p>
      <w:pPr>
        <w:ind w:left="300"/>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 Pre-tax income ex. LLR</w:t>
      </w:r>
    </w:p>
    <w:p>
      <w:pPr>
        <w:spacing w:after="0" w:line="86" w:lineRule="exact"/>
        <w:rPr>
          <w:rFonts w:ascii="Arial" w:cs="Arial" w:eastAsia="Arial" w:hAnsi="Arial"/>
          <w:sz w:val="16"/>
          <w:szCs w:val="16"/>
          <w:b w:val="1"/>
          <w:bCs w:val="1"/>
          <w:color w:val="auto"/>
        </w:rPr>
      </w:pPr>
    </w:p>
    <w:p>
      <w:pPr>
        <w:ind w:left="300"/>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 Net Income</w:t>
      </w:r>
    </w:p>
    <w:p>
      <w:pPr>
        <w:spacing w:after="0" w:line="86" w:lineRule="exact"/>
        <w:rPr>
          <w:rFonts w:ascii="Arial" w:cs="Arial" w:eastAsia="Arial" w:hAnsi="Arial"/>
          <w:sz w:val="16"/>
          <w:szCs w:val="16"/>
          <w:b w:val="1"/>
          <w:bCs w:val="1"/>
          <w:color w:val="auto"/>
        </w:rPr>
      </w:pPr>
    </w:p>
    <w:p>
      <w:pPr>
        <w:ind w:left="300"/>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 ROTCE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8F5A39"/>
        </w:rPr>
        <w:t>Client/Customer/Stakeholder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-318770</wp:posOffset>
            </wp:positionV>
            <wp:extent cx="1791335" cy="298323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791335" cy="2983230"/>
                    </a:xfrm>
                    <a:prstGeom prst="rect">
                      <a:avLst/>
                    </a:prstGeom>
                    <a:noFill/>
                  </pic:spPr>
                </pic:pic>
              </a:graphicData>
            </a:graphic>
          </wp:anchor>
        </w:drawing>
      </w:r>
    </w:p>
    <w:p>
      <w:pPr>
        <w:spacing w:after="0" w:line="98" w:lineRule="exact"/>
        <w:rPr>
          <w:sz w:val="20"/>
          <w:szCs w:val="20"/>
          <w:color w:val="auto"/>
        </w:rPr>
      </w:pPr>
    </w:p>
    <w:p>
      <w:pPr>
        <w:ind w:left="180" w:hanging="177"/>
        <w:spacing w:after="0"/>
        <w:tabs>
          <w:tab w:leader="none" w:pos="180"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Focus on customer experience</w:t>
      </w:r>
    </w:p>
    <w:p>
      <w:pPr>
        <w:spacing w:after="0" w:line="86" w:lineRule="exact"/>
        <w:rPr>
          <w:rFonts w:ascii="Arial" w:cs="Arial" w:eastAsia="Arial" w:hAnsi="Arial"/>
          <w:sz w:val="16"/>
          <w:szCs w:val="16"/>
          <w:b w:val="1"/>
          <w:bCs w:val="1"/>
          <w:color w:val="auto"/>
        </w:rPr>
      </w:pPr>
    </w:p>
    <w:p>
      <w:pPr>
        <w:ind w:left="180" w:hanging="177"/>
        <w:spacing w:after="0"/>
        <w:tabs>
          <w:tab w:leader="none" w:pos="180"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Serving a diverse customer base</w:t>
      </w:r>
    </w:p>
    <w:p>
      <w:pPr>
        <w:spacing w:after="0" w:line="86" w:lineRule="exact"/>
        <w:rPr>
          <w:rFonts w:ascii="Arial" w:cs="Arial" w:eastAsia="Arial" w:hAnsi="Arial"/>
          <w:sz w:val="16"/>
          <w:szCs w:val="16"/>
          <w:b w:val="1"/>
          <w:bCs w:val="1"/>
          <w:color w:val="auto"/>
        </w:rPr>
      </w:pPr>
    </w:p>
    <w:p>
      <w:pPr>
        <w:ind w:left="200" w:right="20" w:hanging="197"/>
        <w:spacing w:after="0" w:line="316" w:lineRule="auto"/>
        <w:tabs>
          <w:tab w:leader="none" w:pos="184"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Customer centric and easy to do business with</w:t>
      </w:r>
    </w:p>
    <w:p>
      <w:pPr>
        <w:spacing w:after="0" w:line="1" w:lineRule="exact"/>
        <w:rPr>
          <w:rFonts w:ascii="Arial" w:cs="Arial" w:eastAsia="Arial" w:hAnsi="Arial"/>
          <w:sz w:val="16"/>
          <w:szCs w:val="16"/>
          <w:b w:val="1"/>
          <w:bCs w:val="1"/>
          <w:color w:val="auto"/>
        </w:rPr>
      </w:pPr>
    </w:p>
    <w:p>
      <w:pPr>
        <w:ind w:left="180" w:hanging="177"/>
        <w:spacing w:after="0"/>
        <w:tabs>
          <w:tab w:leader="none" w:pos="180"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Open and transparent dialogue</w:t>
      </w:r>
    </w:p>
    <w:p>
      <w:pPr>
        <w:spacing w:after="0" w:line="86" w:lineRule="exact"/>
        <w:rPr>
          <w:rFonts w:ascii="Arial" w:cs="Arial" w:eastAsia="Arial" w:hAnsi="Arial"/>
          <w:sz w:val="16"/>
          <w:szCs w:val="16"/>
          <w:b w:val="1"/>
          <w:bCs w:val="1"/>
          <w:color w:val="auto"/>
        </w:rPr>
      </w:pPr>
    </w:p>
    <w:p>
      <w:pPr>
        <w:ind w:left="200" w:right="140" w:hanging="197"/>
        <w:spacing w:after="0" w:line="316" w:lineRule="auto"/>
        <w:tabs>
          <w:tab w:leader="none" w:pos="184"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Investing in and supporting our communities</w:t>
      </w:r>
    </w:p>
    <w:p>
      <w:pPr>
        <w:spacing w:after="0" w:line="1" w:lineRule="exact"/>
        <w:rPr>
          <w:rFonts w:ascii="Arial" w:cs="Arial" w:eastAsia="Arial" w:hAnsi="Arial"/>
          <w:sz w:val="16"/>
          <w:szCs w:val="16"/>
          <w:b w:val="1"/>
          <w:bCs w:val="1"/>
          <w:color w:val="auto"/>
        </w:rPr>
      </w:pPr>
    </w:p>
    <w:p>
      <w:pPr>
        <w:ind w:left="200" w:right="540" w:hanging="197"/>
        <w:spacing w:after="0" w:line="301" w:lineRule="auto"/>
        <w:tabs>
          <w:tab w:leader="none" w:pos="184"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Integrating environmental sustainability into business decisions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~50% weighting on the</w:t>
      </w:r>
    </w:p>
    <w:p>
      <w:pPr>
        <w:spacing w:after="0" w:line="29"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1525905" cy="27774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525905" cy="2777490"/>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8F5A39"/>
        </w:rPr>
        <w:t>Risk, Controls &amp; Conduct</w:t>
      </w:r>
    </w:p>
    <w:p>
      <w:pPr>
        <w:spacing w:after="0" w:line="118" w:lineRule="exact"/>
        <w:rPr>
          <w:sz w:val="20"/>
          <w:szCs w:val="20"/>
          <w:color w:val="auto"/>
        </w:rPr>
      </w:pPr>
    </w:p>
    <w:p>
      <w:pPr>
        <w:ind w:left="320" w:right="260" w:hanging="201"/>
        <w:spacing w:after="0" w:line="316" w:lineRule="auto"/>
        <w:tabs>
          <w:tab w:leader="none" w:pos="304"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Sound governance and controls</w:t>
      </w:r>
    </w:p>
    <w:p>
      <w:pPr>
        <w:spacing w:after="0" w:line="1" w:lineRule="exact"/>
        <w:rPr>
          <w:rFonts w:ascii="Arial" w:cs="Arial" w:eastAsia="Arial" w:hAnsi="Arial"/>
          <w:sz w:val="16"/>
          <w:szCs w:val="16"/>
          <w:b w:val="1"/>
          <w:bCs w:val="1"/>
          <w:color w:val="auto"/>
        </w:rPr>
      </w:pPr>
    </w:p>
    <w:p>
      <w:pPr>
        <w:ind w:left="300" w:hanging="181"/>
        <w:spacing w:after="0"/>
        <w:tabs>
          <w:tab w:leader="none" w:pos="300"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Culture &amp; conduct</w:t>
      </w:r>
    </w:p>
    <w:p>
      <w:pPr>
        <w:spacing w:after="0" w:line="86" w:lineRule="exact"/>
        <w:rPr>
          <w:rFonts w:ascii="Arial" w:cs="Arial" w:eastAsia="Arial" w:hAnsi="Arial"/>
          <w:sz w:val="16"/>
          <w:szCs w:val="16"/>
          <w:b w:val="1"/>
          <w:bCs w:val="1"/>
          <w:color w:val="auto"/>
        </w:rPr>
      </w:pPr>
    </w:p>
    <w:p>
      <w:pPr>
        <w:ind w:left="320" w:hanging="201"/>
        <w:spacing w:after="0" w:line="316" w:lineRule="auto"/>
        <w:tabs>
          <w:tab w:leader="none" w:pos="304"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Focus on safety &amp; security, including cyber</w:t>
      </w:r>
    </w:p>
    <w:p>
      <w:pPr>
        <w:spacing w:after="0" w:line="1" w:lineRule="exact"/>
        <w:rPr>
          <w:rFonts w:ascii="Arial" w:cs="Arial" w:eastAsia="Arial" w:hAnsi="Arial"/>
          <w:sz w:val="16"/>
          <w:szCs w:val="16"/>
          <w:b w:val="1"/>
          <w:bCs w:val="1"/>
          <w:color w:val="auto"/>
        </w:rPr>
      </w:pPr>
    </w:p>
    <w:p>
      <w:pPr>
        <w:ind w:left="320" w:right="340" w:hanging="201"/>
        <w:spacing w:after="0" w:line="316" w:lineRule="auto"/>
        <w:tabs>
          <w:tab w:leader="none" w:pos="304"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Active management of control environment</w:t>
      </w:r>
    </w:p>
    <w:p>
      <w:pPr>
        <w:spacing w:after="0" w:line="1" w:lineRule="exact"/>
        <w:rPr>
          <w:rFonts w:ascii="Arial" w:cs="Arial" w:eastAsia="Arial" w:hAnsi="Arial"/>
          <w:sz w:val="16"/>
          <w:szCs w:val="16"/>
          <w:b w:val="1"/>
          <w:bCs w:val="1"/>
          <w:color w:val="auto"/>
        </w:rPr>
      </w:pPr>
    </w:p>
    <w:p>
      <w:pPr>
        <w:ind w:left="320" w:right="260" w:hanging="201"/>
        <w:spacing w:after="0" w:line="321" w:lineRule="auto"/>
        <w:tabs>
          <w:tab w:leader="none" w:pos="304"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Embedding sustainable business 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8F5A39"/>
        </w:rPr>
        <w:t>Teamwork &amp;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-318770</wp:posOffset>
            </wp:positionV>
            <wp:extent cx="2186305" cy="298323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86305" cy="2983230"/>
                    </a:xfrm>
                    <a:prstGeom prst="rect">
                      <a:avLst/>
                    </a:prstGeom>
                    <a:noFill/>
                  </pic:spPr>
                </pic:pic>
              </a:graphicData>
            </a:graphic>
          </wp:anchor>
        </w:drawing>
      </w:r>
    </w:p>
    <w:p>
      <w:pPr>
        <w:spacing w:after="0" w:line="98" w:lineRule="exact"/>
        <w:rPr>
          <w:sz w:val="20"/>
          <w:szCs w:val="20"/>
          <w:color w:val="auto"/>
        </w:rPr>
      </w:pPr>
    </w:p>
    <w:p>
      <w:pPr>
        <w:ind w:left="189" w:right="420" w:hanging="189"/>
        <w:spacing w:after="0" w:line="316" w:lineRule="auto"/>
        <w:tabs>
          <w:tab w:leader="none" w:pos="172" w:val="left"/>
        </w:tabs>
        <w:numPr>
          <w:ilvl w:val="0"/>
          <w:numId w:val="154"/>
        </w:numPr>
        <w:rPr>
          <w:rFonts w:ascii="Arial" w:cs="Arial" w:eastAsia="Arial" w:hAnsi="Arial"/>
          <w:sz w:val="16"/>
          <w:szCs w:val="16"/>
          <w:b w:val="1"/>
          <w:bCs w:val="1"/>
          <w:color w:val="auto"/>
        </w:rPr>
      </w:pPr>
      <w:r>
        <w:rPr>
          <w:rFonts w:ascii="Arial" w:cs="Arial" w:eastAsia="Arial" w:hAnsi="Arial"/>
          <w:sz w:val="16"/>
          <w:szCs w:val="16"/>
          <w:color w:val="auto"/>
        </w:rPr>
        <w:t>Creating an open, respectful, inclusive culture</w:t>
      </w:r>
    </w:p>
    <w:p>
      <w:pPr>
        <w:spacing w:after="0" w:line="1" w:lineRule="exact"/>
        <w:rPr>
          <w:rFonts w:ascii="Arial" w:cs="Arial" w:eastAsia="Arial" w:hAnsi="Arial"/>
          <w:sz w:val="16"/>
          <w:szCs w:val="16"/>
          <w:b w:val="1"/>
          <w:bCs w:val="1"/>
          <w:color w:val="auto"/>
        </w:rPr>
      </w:pPr>
    </w:p>
    <w:p>
      <w:pPr>
        <w:ind w:left="189" w:right="580" w:hanging="189"/>
        <w:spacing w:after="0" w:line="301" w:lineRule="auto"/>
        <w:tabs>
          <w:tab w:leader="none" w:pos="172" w:val="left"/>
        </w:tabs>
        <w:numPr>
          <w:ilvl w:val="0"/>
          <w:numId w:val="154"/>
        </w:numPr>
        <w:rPr>
          <w:rFonts w:ascii="Arial" w:cs="Arial" w:eastAsia="Arial" w:hAnsi="Arial"/>
          <w:sz w:val="16"/>
          <w:szCs w:val="16"/>
          <w:b w:val="1"/>
          <w:bCs w:val="1"/>
          <w:color w:val="auto"/>
        </w:rPr>
      </w:pPr>
      <w:r>
        <w:rPr>
          <w:rFonts w:ascii="Arial" w:cs="Arial" w:eastAsia="Arial" w:hAnsi="Arial"/>
          <w:sz w:val="16"/>
          <w:szCs w:val="16"/>
          <w:color w:val="auto"/>
        </w:rPr>
        <w:t>Active attraction, retention, promotion and upskilling of talent</w:t>
      </w:r>
    </w:p>
    <w:p>
      <w:pPr>
        <w:spacing w:after="0" w:line="9" w:lineRule="exact"/>
        <w:rPr>
          <w:rFonts w:ascii="Arial" w:cs="Arial" w:eastAsia="Arial" w:hAnsi="Arial"/>
          <w:sz w:val="16"/>
          <w:szCs w:val="16"/>
          <w:b w:val="1"/>
          <w:bCs w:val="1"/>
          <w:color w:val="auto"/>
        </w:rPr>
      </w:pPr>
    </w:p>
    <w:p>
      <w:pPr>
        <w:ind w:left="189" w:right="520" w:hanging="189"/>
        <w:spacing w:after="0" w:line="316" w:lineRule="auto"/>
        <w:tabs>
          <w:tab w:leader="none" w:pos="172" w:val="left"/>
        </w:tabs>
        <w:numPr>
          <w:ilvl w:val="0"/>
          <w:numId w:val="154"/>
        </w:numPr>
        <w:rPr>
          <w:rFonts w:ascii="Arial" w:cs="Arial" w:eastAsia="Arial" w:hAnsi="Arial"/>
          <w:sz w:val="16"/>
          <w:szCs w:val="16"/>
          <w:b w:val="1"/>
          <w:bCs w:val="1"/>
          <w:color w:val="auto"/>
        </w:rPr>
      </w:pPr>
      <w:r>
        <w:rPr>
          <w:rFonts w:ascii="Arial" w:cs="Arial" w:eastAsia="Arial" w:hAnsi="Arial"/>
          <w:sz w:val="16"/>
          <w:szCs w:val="16"/>
          <w:color w:val="auto"/>
        </w:rPr>
        <w:t>Employer of choice for top talent from all backgrounds</w:t>
      </w:r>
    </w:p>
    <w:p>
      <w:pPr>
        <w:spacing w:after="0" w:line="1" w:lineRule="exact"/>
        <w:rPr>
          <w:rFonts w:ascii="Arial" w:cs="Arial" w:eastAsia="Arial" w:hAnsi="Arial"/>
          <w:sz w:val="16"/>
          <w:szCs w:val="16"/>
          <w:b w:val="1"/>
          <w:bCs w:val="1"/>
          <w:color w:val="auto"/>
        </w:rPr>
      </w:pPr>
    </w:p>
    <w:p>
      <w:pPr>
        <w:ind w:left="189" w:right="980" w:hanging="189"/>
        <w:spacing w:after="0" w:line="321" w:lineRule="auto"/>
        <w:tabs>
          <w:tab w:leader="none" w:pos="172" w:val="left"/>
        </w:tabs>
        <w:numPr>
          <w:ilvl w:val="0"/>
          <w:numId w:val="154"/>
        </w:numPr>
        <w:rPr>
          <w:rFonts w:ascii="Arial" w:cs="Arial" w:eastAsia="Arial" w:hAnsi="Arial"/>
          <w:sz w:val="16"/>
          <w:szCs w:val="16"/>
          <w:b w:val="1"/>
          <w:bCs w:val="1"/>
          <w:color w:val="auto"/>
        </w:rPr>
      </w:pPr>
      <w:r>
        <w:rPr>
          <w:rFonts w:ascii="Arial" w:cs="Arial" w:eastAsia="Arial" w:hAnsi="Arial"/>
          <w:sz w:val="16"/>
          <w:szCs w:val="16"/>
          <w:color w:val="auto"/>
        </w:rPr>
        <w:t>Partnerships with internal stakeholders</w:t>
      </w:r>
    </w:p>
    <w:p>
      <w:pPr>
        <w:spacing w:after="0" w:line="1986" w:lineRule="exact"/>
        <w:rPr>
          <w:sz w:val="20"/>
          <w:szCs w:val="20"/>
          <w:color w:val="auto"/>
        </w:rPr>
      </w:pPr>
    </w:p>
    <w:p>
      <w:pPr>
        <w:sectPr>
          <w:pgSz w:w="11900" w:h="16838" w:orient="portrait"/>
          <w:cols w:equalWidth="0" w:num="4">
            <w:col w:w="2520" w:space="540"/>
            <w:col w:w="2540" w:space="260"/>
            <w:col w:w="2240" w:space="471"/>
            <w:col w:w="2669"/>
          </w:cols>
          <w:pgMar w:left="320" w:top="157" w:right="3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CMDC also considers other relevant factors such as market practices in its overall assessment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398145</wp:posOffset>
            </wp:positionV>
            <wp:extent cx="651510" cy="8572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389"/>
        </w:trPr>
        <w:tc>
          <w:tcPr>
            <w:tcW w:w="2840" w:type="dxa"/>
            <w:vAlign w:val="bottom"/>
            <w:tcBorders>
              <w:top w:val="single" w:sz="8" w:color="A6D7F0"/>
            </w:tcBorders>
            <w:shd w:val="clear" w:color="auto" w:fill="A6D7F0"/>
          </w:tcPr>
          <w:p>
            <w:pPr>
              <w:ind w:left="280"/>
              <w:spacing w:after="0"/>
              <w:rPr>
                <w:sz w:val="20"/>
                <w:szCs w:val="20"/>
                <w:color w:val="auto"/>
              </w:rPr>
            </w:pPr>
            <w:r>
              <w:rPr>
                <w:rFonts w:ascii="Arial" w:cs="Arial" w:eastAsia="Arial" w:hAnsi="Arial"/>
                <w:sz w:val="14"/>
                <w:szCs w:val="14"/>
                <w:b w:val="1"/>
                <w:bCs w:val="1"/>
                <w:color w:val="auto"/>
              </w:rPr>
              <w:t>How we think about pay decisions</w:t>
            </w:r>
          </w:p>
        </w:tc>
        <w:tc>
          <w:tcPr>
            <w:tcW w:w="440" w:type="dxa"/>
            <w:vAlign w:val="bottom"/>
            <w:tcBorders>
              <w:right w:val="single" w:sz="8" w:color="auto"/>
            </w:tcBorders>
          </w:tcPr>
          <w:p>
            <w:pPr>
              <w:spacing w:after="0"/>
              <w:rPr>
                <w:sz w:val="24"/>
                <w:szCs w:val="24"/>
                <w:color w:val="auto"/>
              </w:rPr>
            </w:pPr>
          </w:p>
        </w:tc>
        <w:tc>
          <w:tcPr>
            <w:tcW w:w="41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42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color w:val="8F5A39"/>
              </w:rPr>
              <w:t>How performance determined pay in 2025</w:t>
            </w:r>
          </w:p>
        </w:tc>
      </w:tr>
      <w:tr>
        <w:trPr>
          <w:trHeight w:val="83"/>
        </w:trPr>
        <w:tc>
          <w:tcPr>
            <w:tcW w:w="2840" w:type="dxa"/>
            <w:vAlign w:val="bottom"/>
            <w:shd w:val="clear" w:color="auto" w:fill="A6D7F0"/>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120" w:type="dxa"/>
            <w:vAlign w:val="bottom"/>
            <w:tcBorders>
              <w:bottom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340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-196850</wp:posOffset>
            </wp:positionV>
            <wp:extent cx="120015" cy="9398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-196850</wp:posOffset>
            </wp:positionV>
            <wp:extent cx="120015" cy="9398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Pay determination and pay mix</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color w:val="auto"/>
        </w:rPr>
        <w:t>Evaluating market practices</w:t>
      </w:r>
    </w:p>
    <w:p>
      <w:pPr>
        <w:spacing w:after="0" w:line="5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order to effectively attract, properly motivate and retain our senior executives, the CMDC periodically reviews market data relating to pay levels, pay mix and pay practices.</w:t>
      </w:r>
    </w:p>
    <w:p>
      <w:pPr>
        <w:spacing w:after="0" w:line="8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In evaluating market data for OC members, the CMDC benchmarks against our primary financial services peer group, which consists of large financial services companies with which the Firm directly competes for both talent and business. The following companies comprise our primary financial services peer group, which remains unchanged from last year:</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2860" w:type="dxa"/>
            <w:vAlign w:val="bottom"/>
          </w:tcPr>
          <w:p>
            <w:pPr>
              <w:ind w:left="60"/>
              <w:spacing w:after="0"/>
              <w:rPr>
                <w:sz w:val="20"/>
                <w:szCs w:val="20"/>
                <w:color w:val="auto"/>
              </w:rPr>
            </w:pPr>
            <w:r>
              <w:rPr>
                <w:rFonts w:ascii="Arial" w:cs="Arial" w:eastAsia="Arial" w:hAnsi="Arial"/>
                <w:sz w:val="16"/>
                <w:szCs w:val="16"/>
                <w:color w:val="auto"/>
              </w:rPr>
              <w:t>American Express</w:t>
            </w:r>
          </w:p>
        </w:tc>
        <w:tc>
          <w:tcPr>
            <w:tcW w:w="1620" w:type="dxa"/>
            <w:vAlign w:val="bottom"/>
          </w:tcPr>
          <w:p>
            <w:pPr>
              <w:ind w:left="1500"/>
              <w:spacing w:after="0"/>
              <w:rPr>
                <w:sz w:val="20"/>
                <w:szCs w:val="20"/>
                <w:color w:val="auto"/>
              </w:rPr>
            </w:pPr>
            <w:r>
              <w:rPr>
                <w:rFonts w:ascii="Arial" w:cs="Arial" w:eastAsia="Arial" w:hAnsi="Arial"/>
                <w:sz w:val="16"/>
                <w:szCs w:val="16"/>
                <w:b w:val="1"/>
                <w:bCs w:val="1"/>
                <w:color w:val="auto"/>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Citigroup</w:t>
            </w:r>
          </w:p>
        </w:tc>
        <w:tc>
          <w:tcPr>
            <w:tcW w:w="1700" w:type="dxa"/>
            <w:vAlign w:val="bottom"/>
          </w:tcPr>
          <w:p>
            <w:pPr>
              <w:ind w:left="158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ind w:left="60"/>
              <w:spacing w:after="0"/>
              <w:rPr>
                <w:sz w:val="20"/>
                <w:szCs w:val="20"/>
                <w:color w:val="auto"/>
              </w:rPr>
            </w:pPr>
            <w:r>
              <w:rPr>
                <w:rFonts w:ascii="Arial" w:cs="Arial" w:eastAsia="Arial" w:hAnsi="Arial"/>
                <w:sz w:val="16"/>
                <w:szCs w:val="16"/>
                <w:color w:val="auto"/>
                <w:w w:val="98"/>
              </w:rPr>
              <w:t>Morgan Stanley</w:t>
            </w:r>
          </w:p>
        </w:tc>
      </w:tr>
      <w:tr>
        <w:trPr>
          <w:trHeight w:val="277"/>
        </w:trPr>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2860" w:type="dxa"/>
            <w:vAlign w:val="bottom"/>
          </w:tcPr>
          <w:p>
            <w:pPr>
              <w:ind w:left="60"/>
              <w:spacing w:after="0"/>
              <w:rPr>
                <w:sz w:val="20"/>
                <w:szCs w:val="20"/>
                <w:color w:val="auto"/>
              </w:rPr>
            </w:pPr>
            <w:r>
              <w:rPr>
                <w:rFonts w:ascii="Arial" w:cs="Arial" w:eastAsia="Arial" w:hAnsi="Arial"/>
                <w:sz w:val="16"/>
                <w:szCs w:val="16"/>
                <w:color w:val="auto"/>
              </w:rPr>
              <w:t>Bank of America</w:t>
            </w:r>
          </w:p>
        </w:tc>
        <w:tc>
          <w:tcPr>
            <w:tcW w:w="1620" w:type="dxa"/>
            <w:vAlign w:val="bottom"/>
          </w:tcPr>
          <w:p>
            <w:pPr>
              <w:ind w:left="1500"/>
              <w:spacing w:after="0"/>
              <w:rPr>
                <w:sz w:val="20"/>
                <w:szCs w:val="20"/>
                <w:color w:val="auto"/>
              </w:rPr>
            </w:pPr>
            <w:r>
              <w:rPr>
                <w:rFonts w:ascii="Arial" w:cs="Arial" w:eastAsia="Arial" w:hAnsi="Arial"/>
                <w:sz w:val="16"/>
                <w:szCs w:val="16"/>
                <w:b w:val="1"/>
                <w:bCs w:val="1"/>
                <w:color w:val="auto"/>
              </w:rPr>
              <w:t>•</w:t>
            </w:r>
          </w:p>
        </w:tc>
        <w:tc>
          <w:tcPr>
            <w:tcW w:w="2780" w:type="dxa"/>
            <w:vAlign w:val="bottom"/>
          </w:tcPr>
          <w:p>
            <w:pPr>
              <w:ind w:left="60"/>
              <w:spacing w:after="0"/>
              <w:rPr>
                <w:sz w:val="20"/>
                <w:szCs w:val="20"/>
                <w:color w:val="auto"/>
              </w:rPr>
            </w:pPr>
            <w:r>
              <w:rPr>
                <w:rFonts w:ascii="Arial" w:cs="Arial" w:eastAsia="Arial" w:hAnsi="Arial"/>
                <w:sz w:val="16"/>
                <w:szCs w:val="16"/>
                <w:color w:val="auto"/>
              </w:rPr>
              <w:t>Goldman Sachs</w:t>
            </w:r>
          </w:p>
        </w:tc>
        <w:tc>
          <w:tcPr>
            <w:tcW w:w="1700" w:type="dxa"/>
            <w:vAlign w:val="bottom"/>
          </w:tcPr>
          <w:p>
            <w:pPr>
              <w:ind w:left="158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ind w:left="60"/>
              <w:spacing w:after="0"/>
              <w:rPr>
                <w:sz w:val="20"/>
                <w:szCs w:val="20"/>
                <w:color w:val="auto"/>
              </w:rPr>
            </w:pPr>
            <w:r>
              <w:rPr>
                <w:rFonts w:ascii="Arial" w:cs="Arial" w:eastAsia="Arial" w:hAnsi="Arial"/>
                <w:sz w:val="16"/>
                <w:szCs w:val="16"/>
                <w:color w:val="auto"/>
              </w:rPr>
              <w:t>Wells Fargo</w:t>
            </w:r>
          </w:p>
        </w:tc>
      </w:tr>
    </w:tbl>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Given the diversity of the Firm’s businesses, the CMDC may also periodically reference the pay plans and practices of other financial services companies as well as leading large, global firms across multiple industries. The CMDC considers the size, presence, brand and reputation of the companies, and the nature and mix of their businesses in using this data. These companies may include: 3M, Alphabet, Amazon, Apple, AT&amp;T, Barclays, BlackRock, BNY Mellon, Boeing, Capital One Financial, Chevron, Coca-Cola, Comcast, CVS Health, Deutsche Bank, ExxonMobil, GE Aerospace, HSBC, IBM, Johnson &amp; Johnson, Merck, Meta, Microsoft, Oracle, PayPal, PepsiCo, Pfizer, Procter &amp; Gamble, RTX, UBS, Verizon, Walmart and Walt Disney. Although these reference companies are not part of our primary financial services peer group, we believe that their practices can provide a relevant point of reference for maintaining a competitive talent and compensation program.</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color w:val="auto"/>
        </w:rPr>
        <w:t>Disciplined process to determine total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Pay level</w:t>
      </w:r>
    </w:p>
    <w:p>
      <w:pPr>
        <w:spacing w:after="0" w:line="31"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In determining total compensation levels for individual OC members, the CMDC evaluates various pay scenarios in light of the following considerations to inform its judgment:</w:t>
      </w:r>
    </w:p>
    <w:p>
      <w:pPr>
        <w:spacing w:after="0" w:line="88" w:lineRule="exact"/>
        <w:rPr>
          <w:sz w:val="20"/>
          <w:szCs w:val="20"/>
          <w:color w:val="auto"/>
        </w:rPr>
      </w:pPr>
    </w:p>
    <w:p>
      <w:pPr>
        <w:ind w:left="180" w:hanging="172"/>
        <w:spacing w:after="0"/>
        <w:tabs>
          <w:tab w:leader="none" w:pos="180"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Performance, based on the four broad assessment dimensions and discussed on pages 53-55</w:t>
      </w:r>
    </w:p>
    <w:p>
      <w:pPr>
        <w:spacing w:after="0" w:line="72" w:lineRule="exact"/>
        <w:rPr>
          <w:rFonts w:ascii="Arial" w:cs="Arial" w:eastAsia="Arial" w:hAnsi="Arial"/>
          <w:sz w:val="16"/>
          <w:szCs w:val="16"/>
          <w:b w:val="1"/>
          <w:bCs w:val="1"/>
          <w:color w:val="auto"/>
        </w:rPr>
      </w:pPr>
    </w:p>
    <w:p>
      <w:pPr>
        <w:ind w:left="180" w:hanging="172"/>
        <w:spacing w:after="0"/>
        <w:tabs>
          <w:tab w:leader="none" w:pos="180"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Value of the position to the organization and shareholders over time (i.e., “value of seat”)</w:t>
      </w:r>
    </w:p>
    <w:p>
      <w:pPr>
        <w:spacing w:after="0" w:line="59" w:lineRule="exact"/>
        <w:rPr>
          <w:rFonts w:ascii="Arial" w:cs="Arial" w:eastAsia="Arial" w:hAnsi="Arial"/>
          <w:sz w:val="16"/>
          <w:szCs w:val="16"/>
          <w:b w:val="1"/>
          <w:bCs w:val="1"/>
          <w:color w:val="auto"/>
        </w:rPr>
      </w:pPr>
    </w:p>
    <w:p>
      <w:pPr>
        <w:ind w:left="180" w:hanging="172"/>
        <w:spacing w:after="0"/>
        <w:tabs>
          <w:tab w:leader="none" w:pos="180"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The example they set for others by acting with integrity and strengthening the Firm’s culture, Purpose and Values</w:t>
      </w:r>
    </w:p>
    <w:p>
      <w:pPr>
        <w:spacing w:after="0" w:line="59" w:lineRule="exact"/>
        <w:rPr>
          <w:rFonts w:ascii="Arial" w:cs="Arial" w:eastAsia="Arial" w:hAnsi="Arial"/>
          <w:sz w:val="16"/>
          <w:szCs w:val="16"/>
          <w:b w:val="1"/>
          <w:bCs w:val="1"/>
          <w:color w:val="auto"/>
        </w:rPr>
      </w:pPr>
    </w:p>
    <w:p>
      <w:pPr>
        <w:ind w:left="180" w:hanging="172"/>
        <w:spacing w:after="0"/>
        <w:tabs>
          <w:tab w:leader="none" w:pos="180"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External talent market (i.e., market data)</w:t>
      </w:r>
    </w:p>
    <w:p>
      <w:pPr>
        <w:spacing w:after="0" w:line="154" w:lineRule="exact"/>
        <w:rPr>
          <w:sz w:val="20"/>
          <w:szCs w:val="20"/>
          <w:color w:val="auto"/>
        </w:rPr>
      </w:pPr>
    </w:p>
    <w:p>
      <w:pPr>
        <w:ind w:right="200"/>
        <w:spacing w:after="0" w:line="245" w:lineRule="auto"/>
        <w:rPr>
          <w:sz w:val="20"/>
          <w:szCs w:val="20"/>
          <w:color w:val="auto"/>
        </w:rPr>
      </w:pPr>
      <w:r>
        <w:rPr>
          <w:rFonts w:ascii="Arial" w:cs="Arial" w:eastAsia="Arial" w:hAnsi="Arial"/>
          <w:sz w:val="16"/>
          <w:szCs w:val="16"/>
          <w:color w:val="auto"/>
        </w:rPr>
        <w:t>While market data provides the CMDC with useful information regarding our competitors, the CMDC does not target specific positioning (e.g., 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nor does it use a formulaic approach in determining competitive pay levels. Instead, the CMDC uses a range of data as a reference, which is considered in the context of each executive’s performance over a multi-year period, and the CMDC’s assessment of the value the individual delivers to the Firm.</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Pay mix</w:t>
      </w:r>
    </w:p>
    <w:p>
      <w:pPr>
        <w:spacing w:after="0" w:line="31"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Once the CMDC determines OC members’ total incentive compensation, it then establishes the appropriate pay mix between an annual cash award and long-term equity, including PSUs and RSUs.</w:t>
      </w:r>
    </w:p>
    <w:p>
      <w:pPr>
        <w:spacing w:after="0" w:line="8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For OC members other than the current CEO and former President, the CMDC continued to apply the Firm’s standard cash/equity incentive mix to each of their 2025 incentive compensation awards. Per the Firm’s mix, the OC members were awarded 60% of their incentive compensation in long-term equity (with 30% in PSUs and 30% in RSUs), and the remaining 40% paid in cash. The CMDC determined that a 50%/50% mix of at-risk PSUs and time-based RSUs continues to provide an appropriate balance to their equity exposure.</w:t>
      </w:r>
    </w:p>
    <w:p>
      <w:pPr>
        <w:spacing w:after="0" w:line="11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CMDC believes that this significant weighting of pay mix to equity is aligned with the interests of shareholders by encouraging OC members to focus on the long-term success of the Firm while mitigating excessive risk-taking, and provides a competitive annual cash incentive opportunity.</w:t>
      </w:r>
    </w:p>
    <w:p>
      <w:pPr>
        <w:spacing w:after="0" w:line="88"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Messrs. Dimon and Pinto’s annual cash incentive awards are subject to a cap of 25% of their respective total compensation. The CMDC determined to not award the maximum amount allowed by their respective caps in 2025, but to maintain a lower cash award of $5 million each for Messrs. Dimon and Pinto. PSUs comprise 100% of the equity portion of Mr. Dimon's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379095</wp:posOffset>
            </wp:positionV>
            <wp:extent cx="651510" cy="8572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46</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6620"/>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389"/>
        </w:trPr>
        <w:tc>
          <w:tcPr>
            <w:tcW w:w="2840" w:type="dxa"/>
            <w:vAlign w:val="bottom"/>
            <w:tcBorders>
              <w:top w:val="single" w:sz="8" w:color="A6D7F0"/>
            </w:tcBorders>
            <w:shd w:val="clear" w:color="auto" w:fill="A6D7F0"/>
          </w:tcPr>
          <w:p>
            <w:pPr>
              <w:ind w:left="280"/>
              <w:spacing w:after="0"/>
              <w:rPr>
                <w:sz w:val="20"/>
                <w:szCs w:val="20"/>
                <w:color w:val="auto"/>
              </w:rPr>
            </w:pPr>
            <w:r>
              <w:rPr>
                <w:rFonts w:ascii="Arial" w:cs="Arial" w:eastAsia="Arial" w:hAnsi="Arial"/>
                <w:sz w:val="14"/>
                <w:szCs w:val="14"/>
                <w:b w:val="1"/>
                <w:bCs w:val="1"/>
                <w:color w:val="auto"/>
              </w:rPr>
              <w:t>How we think about pay decisions</w:t>
            </w:r>
          </w:p>
        </w:tc>
        <w:tc>
          <w:tcPr>
            <w:tcW w:w="440" w:type="dxa"/>
            <w:vAlign w:val="bottom"/>
            <w:tcBorders>
              <w:right w:val="single" w:sz="8" w:color="auto"/>
            </w:tcBorders>
          </w:tcPr>
          <w:p>
            <w:pPr>
              <w:spacing w:after="0"/>
              <w:rPr>
                <w:sz w:val="24"/>
                <w:szCs w:val="24"/>
                <w:color w:val="auto"/>
              </w:rPr>
            </w:pPr>
          </w:p>
        </w:tc>
        <w:tc>
          <w:tcPr>
            <w:tcW w:w="41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42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color w:val="8F5A39"/>
              </w:rPr>
              <w:t>How performance determined pay in 2025</w:t>
            </w:r>
          </w:p>
        </w:tc>
      </w:tr>
      <w:tr>
        <w:trPr>
          <w:trHeight w:val="83"/>
        </w:trPr>
        <w:tc>
          <w:tcPr>
            <w:tcW w:w="2840" w:type="dxa"/>
            <w:vAlign w:val="bottom"/>
            <w:shd w:val="clear" w:color="auto" w:fill="A6D7F0"/>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120" w:type="dxa"/>
            <w:vAlign w:val="bottom"/>
            <w:tcBorders>
              <w:bottom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340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-196850</wp:posOffset>
            </wp:positionV>
            <wp:extent cx="120015" cy="9398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-196850</wp:posOffset>
            </wp:positionV>
            <wp:extent cx="120015" cy="9398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Summary of pay elements</w:t>
      </w:r>
    </w:p>
    <w:p>
      <w:pPr>
        <w:spacing w:after="0" w:line="43" w:lineRule="exact"/>
        <w:rPr>
          <w:sz w:val="20"/>
          <w:szCs w:val="20"/>
          <w:color w:val="auto"/>
        </w:rPr>
      </w:pPr>
    </w:p>
    <w:p>
      <w:pPr>
        <w:ind w:right="880"/>
        <w:spacing w:after="0" w:line="304" w:lineRule="auto"/>
        <w:rPr>
          <w:sz w:val="20"/>
          <w:szCs w:val="20"/>
          <w:color w:val="auto"/>
        </w:rPr>
      </w:pPr>
      <w:r>
        <w:rPr>
          <w:rFonts w:ascii="Arial" w:cs="Arial" w:eastAsia="Arial" w:hAnsi="Arial"/>
          <w:sz w:val="16"/>
          <w:szCs w:val="16"/>
          <w:color w:val="auto"/>
        </w:rPr>
        <w:t>Our compensation program provides for an appropriate mix between base salary, cash and equity incentives that vest over time. The table below summarizes the elements of compensation for the 2025 performance year.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Borders>
              <w:bottom w:val="single" w:sz="8" w:color="F4EFE7"/>
              <w:right w:val="single" w:sz="8" w:color="F4EFE7"/>
            </w:tcBorders>
            <w:shd w:val="clear" w:color="auto" w:fill="F4EFE7"/>
          </w:tcPr>
          <w:p>
            <w:pPr>
              <w:spacing w:after="0"/>
              <w:rPr>
                <w:sz w:val="19"/>
                <w:szCs w:val="19"/>
                <w:color w:val="auto"/>
              </w:rPr>
            </w:pPr>
          </w:p>
        </w:tc>
        <w:tc>
          <w:tcPr>
            <w:tcW w:w="1580" w:type="dxa"/>
            <w:vAlign w:val="bottom"/>
            <w:tcBorders>
              <w:bottom w:val="single" w:sz="8" w:color="auto"/>
              <w:right w:val="single" w:sz="8" w:color="F4EFE7"/>
            </w:tcBorders>
            <w:gridSpan w:val="2"/>
            <w:shd w:val="clear" w:color="auto" w:fill="F4EFE7"/>
          </w:tcPr>
          <w:p>
            <w:pPr>
              <w:ind w:left="320"/>
              <w:spacing w:after="0"/>
              <w:rPr>
                <w:sz w:val="20"/>
                <w:szCs w:val="20"/>
                <w:color w:val="auto"/>
              </w:rPr>
            </w:pPr>
            <w:r>
              <w:rPr>
                <w:rFonts w:ascii="Arial" w:cs="Arial" w:eastAsia="Arial" w:hAnsi="Arial"/>
                <w:sz w:val="14"/>
                <w:szCs w:val="14"/>
                <w:b w:val="1"/>
                <w:bCs w:val="1"/>
                <w:color w:val="8F5A39"/>
              </w:rPr>
              <w:t>% of Variable</w:t>
            </w:r>
          </w:p>
        </w:tc>
        <w:tc>
          <w:tcPr>
            <w:tcW w:w="4980" w:type="dxa"/>
            <w:vAlign w:val="bottom"/>
            <w:tcBorders>
              <w:bottom w:val="single" w:sz="8" w:color="F4EFE7"/>
              <w:right w:val="single" w:sz="8" w:color="F4EFE7"/>
            </w:tcBorders>
            <w:shd w:val="clear" w:color="auto" w:fill="F4EFE7"/>
          </w:tcPr>
          <w:p>
            <w:pPr>
              <w:spacing w:after="0"/>
              <w:rPr>
                <w:sz w:val="19"/>
                <w:szCs w:val="19"/>
                <w:color w:val="auto"/>
              </w:rPr>
            </w:pPr>
          </w:p>
        </w:tc>
        <w:tc>
          <w:tcPr>
            <w:tcW w:w="220" w:type="dxa"/>
            <w:vAlign w:val="bottom"/>
            <w:tcBorders>
              <w:bottom w:val="single" w:sz="8" w:color="F4EFE7"/>
            </w:tcBorders>
            <w:shd w:val="clear" w:color="auto" w:fill="F4EFE7"/>
          </w:tcPr>
          <w:p>
            <w:pPr>
              <w:spacing w:after="0"/>
              <w:rPr>
                <w:sz w:val="19"/>
                <w:szCs w:val="19"/>
                <w:color w:val="auto"/>
              </w:rPr>
            </w:pPr>
          </w:p>
        </w:tc>
        <w:tc>
          <w:tcPr>
            <w:tcW w:w="2440" w:type="dxa"/>
            <w:vAlign w:val="bottom"/>
            <w:tcBorders>
              <w:bottom w:val="single" w:sz="8" w:color="F4EFE7"/>
              <w:right w:val="single" w:sz="8" w:color="F4EFE7"/>
            </w:tcBorders>
            <w:shd w:val="clear" w:color="auto" w:fill="F4EFE7"/>
          </w:tcPr>
          <w:p>
            <w:pPr>
              <w:spacing w:after="0"/>
              <w:rPr>
                <w:sz w:val="19"/>
                <w:szCs w:val="19"/>
                <w:color w:val="auto"/>
              </w:rPr>
            </w:pPr>
          </w:p>
        </w:tc>
        <w:tc>
          <w:tcPr>
            <w:tcW w:w="1040" w:type="dxa"/>
            <w:vAlign w:val="bottom"/>
            <w:tcBorders>
              <w:bottom w:val="single" w:sz="8" w:color="F4EFE7"/>
            </w:tcBorders>
            <w:shd w:val="clear" w:color="auto" w:fill="F4EFE7"/>
          </w:tcPr>
          <w:p>
            <w:pPr>
              <w:spacing w:after="0"/>
              <w:rPr>
                <w:sz w:val="19"/>
                <w:szCs w:val="19"/>
                <w:color w:val="auto"/>
              </w:rPr>
            </w:pPr>
          </w:p>
        </w:tc>
      </w:tr>
      <w:tr>
        <w:trPr>
          <w:trHeight w:val="191"/>
        </w:trPr>
        <w:tc>
          <w:tcPr>
            <w:tcW w:w="980" w:type="dxa"/>
            <w:vAlign w:val="bottom"/>
            <w:tcBorders>
              <w:right w:val="single" w:sz="8" w:color="F4EFE7"/>
            </w:tcBorders>
            <w:shd w:val="clear" w:color="auto" w:fill="F4EFE7"/>
          </w:tcPr>
          <w:p>
            <w:pPr>
              <w:spacing w:after="0"/>
              <w:rPr>
                <w:sz w:val="16"/>
                <w:szCs w:val="16"/>
                <w:color w:val="auto"/>
              </w:rPr>
            </w:pPr>
          </w:p>
        </w:tc>
        <w:tc>
          <w:tcPr>
            <w:tcW w:w="800" w:type="dxa"/>
            <w:vAlign w:val="bottom"/>
            <w:tcBorders>
              <w:right w:val="single" w:sz="8" w:color="F4EFE7"/>
            </w:tcBorders>
            <w:shd w:val="clear" w:color="auto" w:fill="F4EFE7"/>
          </w:tcPr>
          <w:p>
            <w:pPr>
              <w:spacing w:after="0"/>
              <w:rPr>
                <w:sz w:val="16"/>
                <w:szCs w:val="16"/>
                <w:color w:val="auto"/>
              </w:rPr>
            </w:pPr>
          </w:p>
        </w:tc>
        <w:tc>
          <w:tcPr>
            <w:tcW w:w="780" w:type="dxa"/>
            <w:vAlign w:val="bottom"/>
            <w:tcBorders>
              <w:right w:val="single" w:sz="8" w:color="F4EFE7"/>
            </w:tcBorders>
            <w:shd w:val="clear" w:color="auto" w:fill="F4EFE7"/>
          </w:tcPr>
          <w:p>
            <w:pPr>
              <w:jc w:val="center"/>
              <w:spacing w:after="0"/>
              <w:rPr>
                <w:sz w:val="20"/>
                <w:szCs w:val="20"/>
                <w:color w:val="auto"/>
              </w:rPr>
            </w:pPr>
            <w:r>
              <w:rPr>
                <w:rFonts w:ascii="Arial" w:cs="Arial" w:eastAsia="Arial" w:hAnsi="Arial"/>
                <w:sz w:val="14"/>
                <w:szCs w:val="14"/>
                <w:b w:val="1"/>
                <w:bCs w:val="1"/>
                <w:color w:val="8F5A39"/>
              </w:rPr>
              <w:t>Other</w:t>
            </w:r>
          </w:p>
        </w:tc>
        <w:tc>
          <w:tcPr>
            <w:tcW w:w="4980" w:type="dxa"/>
            <w:vAlign w:val="bottom"/>
            <w:tcBorders>
              <w:right w:val="single" w:sz="8" w:color="F4EFE7"/>
            </w:tcBorders>
            <w:shd w:val="clear" w:color="auto" w:fill="F4EFE7"/>
          </w:tcPr>
          <w:p>
            <w:pPr>
              <w:spacing w:after="0"/>
              <w:rPr>
                <w:sz w:val="16"/>
                <w:szCs w:val="16"/>
                <w:color w:val="auto"/>
              </w:rPr>
            </w:pPr>
          </w:p>
        </w:tc>
        <w:tc>
          <w:tcPr>
            <w:tcW w:w="220" w:type="dxa"/>
            <w:vAlign w:val="bottom"/>
            <w:shd w:val="clear" w:color="auto" w:fill="F4EFE7"/>
          </w:tcPr>
          <w:p>
            <w:pPr>
              <w:spacing w:after="0"/>
              <w:rPr>
                <w:sz w:val="16"/>
                <w:szCs w:val="16"/>
                <w:color w:val="auto"/>
              </w:rPr>
            </w:pPr>
          </w:p>
        </w:tc>
        <w:tc>
          <w:tcPr>
            <w:tcW w:w="2440" w:type="dxa"/>
            <w:vAlign w:val="bottom"/>
            <w:tcBorders>
              <w:right w:val="single" w:sz="8" w:color="F4EFE7"/>
            </w:tcBorders>
            <w:shd w:val="clear" w:color="auto" w:fill="F4EFE7"/>
          </w:tcPr>
          <w:p>
            <w:pPr>
              <w:spacing w:after="0"/>
              <w:rPr>
                <w:sz w:val="16"/>
                <w:szCs w:val="16"/>
                <w:color w:val="auto"/>
              </w:rPr>
            </w:pPr>
          </w:p>
        </w:tc>
        <w:tc>
          <w:tcPr>
            <w:tcW w:w="1040" w:type="dxa"/>
            <w:vAlign w:val="bottom"/>
            <w:shd w:val="clear" w:color="auto" w:fill="F4EFE7"/>
          </w:tcPr>
          <w:p>
            <w:pPr>
              <w:ind w:left="160"/>
              <w:spacing w:after="0"/>
              <w:rPr>
                <w:sz w:val="20"/>
                <w:szCs w:val="20"/>
                <w:color w:val="auto"/>
              </w:rPr>
            </w:pPr>
            <w:r>
              <w:rPr>
                <w:rFonts w:ascii="Arial" w:cs="Arial" w:eastAsia="Arial" w:hAnsi="Arial"/>
                <w:sz w:val="14"/>
                <w:szCs w:val="14"/>
                <w:b w:val="1"/>
                <w:bCs w:val="1"/>
                <w:color w:val="8F5A39"/>
              </w:rPr>
              <w:t>Subject to</w:t>
            </w:r>
          </w:p>
        </w:tc>
      </w:tr>
      <w:tr>
        <w:trPr>
          <w:trHeight w:val="214"/>
        </w:trPr>
        <w:tc>
          <w:tcPr>
            <w:tcW w:w="980" w:type="dxa"/>
            <w:vAlign w:val="bottom"/>
            <w:tcBorders>
              <w:right w:val="single" w:sz="8" w:color="F4EFE7"/>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Elements</w:t>
            </w:r>
          </w:p>
        </w:tc>
        <w:tc>
          <w:tcPr>
            <w:tcW w:w="800" w:type="dxa"/>
            <w:vAlign w:val="bottom"/>
            <w:tcBorders>
              <w:right w:val="single" w:sz="8" w:color="F4EFE7"/>
            </w:tcBorders>
            <w:shd w:val="clear" w:color="auto" w:fill="F4EFE7"/>
          </w:tcPr>
          <w:p>
            <w:pPr>
              <w:jc w:val="center"/>
              <w:spacing w:after="0"/>
              <w:rPr>
                <w:sz w:val="20"/>
                <w:szCs w:val="20"/>
                <w:color w:val="auto"/>
              </w:rPr>
            </w:pPr>
            <w:r>
              <w:rPr>
                <w:rFonts w:ascii="Arial" w:cs="Arial" w:eastAsia="Arial" w:hAnsi="Arial"/>
                <w:sz w:val="14"/>
                <w:szCs w:val="14"/>
                <w:b w:val="1"/>
                <w:bCs w:val="1"/>
                <w:color w:val="8F5A39"/>
                <w:w w:val="98"/>
              </w:rPr>
              <w:t>CEO</w:t>
            </w:r>
          </w:p>
        </w:tc>
        <w:tc>
          <w:tcPr>
            <w:tcW w:w="780" w:type="dxa"/>
            <w:vAlign w:val="bottom"/>
            <w:tcBorders>
              <w:right w:val="single" w:sz="8" w:color="F4EFE7"/>
            </w:tcBorders>
            <w:shd w:val="clear" w:color="auto" w:fill="F4EFE7"/>
          </w:tcPr>
          <w:p>
            <w:pPr>
              <w:jc w:val="center"/>
              <w:spacing w:after="0"/>
              <w:rPr>
                <w:sz w:val="20"/>
                <w:szCs w:val="20"/>
                <w:color w:val="auto"/>
              </w:rPr>
            </w:pPr>
            <w:r>
              <w:rPr>
                <w:rFonts w:ascii="Arial" w:cs="Arial" w:eastAsia="Arial" w:hAnsi="Arial"/>
                <w:sz w:val="14"/>
                <w:szCs w:val="14"/>
                <w:b w:val="1"/>
                <w:bCs w:val="1"/>
                <w:color w:val="8F5A39"/>
                <w:w w:val="98"/>
              </w:rPr>
              <w:t>NEOs</w:t>
            </w:r>
            <w:r>
              <w:rPr>
                <w:rFonts w:ascii="Arial" w:cs="Arial" w:eastAsia="Arial" w:hAnsi="Arial"/>
                <w:sz w:val="18"/>
                <w:szCs w:val="18"/>
                <w:b w:val="1"/>
                <w:bCs w:val="1"/>
                <w:color w:val="8F5A39"/>
                <w:w w:val="98"/>
                <w:vertAlign w:val="superscript"/>
              </w:rPr>
              <w:t>1</w:t>
            </w:r>
          </w:p>
        </w:tc>
        <w:tc>
          <w:tcPr>
            <w:tcW w:w="4980" w:type="dxa"/>
            <w:vAlign w:val="bottom"/>
            <w:tcBorders>
              <w:right w:val="single" w:sz="8" w:color="F4EFE7"/>
            </w:tcBorders>
            <w:shd w:val="clear" w:color="auto" w:fill="F4EFE7"/>
          </w:tcPr>
          <w:p>
            <w:pPr>
              <w:ind w:left="2080"/>
              <w:spacing w:after="0"/>
              <w:rPr>
                <w:sz w:val="20"/>
                <w:szCs w:val="20"/>
                <w:color w:val="auto"/>
              </w:rPr>
            </w:pPr>
            <w:r>
              <w:rPr>
                <w:rFonts w:ascii="Arial" w:cs="Arial" w:eastAsia="Arial" w:hAnsi="Arial"/>
                <w:sz w:val="14"/>
                <w:szCs w:val="14"/>
                <w:b w:val="1"/>
                <w:bCs w:val="1"/>
                <w:color w:val="8F5A39"/>
              </w:rPr>
              <w:t>Description</w:t>
            </w:r>
          </w:p>
        </w:tc>
        <w:tc>
          <w:tcPr>
            <w:tcW w:w="220" w:type="dxa"/>
            <w:vAlign w:val="bottom"/>
            <w:shd w:val="clear" w:color="auto" w:fill="F4EFE7"/>
          </w:tcPr>
          <w:p>
            <w:pPr>
              <w:spacing w:after="0"/>
              <w:rPr>
                <w:sz w:val="18"/>
                <w:szCs w:val="18"/>
                <w:color w:val="auto"/>
              </w:rPr>
            </w:pPr>
          </w:p>
        </w:tc>
        <w:tc>
          <w:tcPr>
            <w:tcW w:w="2440" w:type="dxa"/>
            <w:vAlign w:val="bottom"/>
            <w:tcBorders>
              <w:right w:val="single" w:sz="8" w:color="F4EFE7"/>
            </w:tcBorders>
            <w:shd w:val="clear" w:color="auto" w:fill="F4EFE7"/>
          </w:tcPr>
          <w:p>
            <w:pPr>
              <w:ind w:left="600"/>
              <w:spacing w:after="0"/>
              <w:rPr>
                <w:sz w:val="20"/>
                <w:szCs w:val="20"/>
                <w:color w:val="auto"/>
              </w:rPr>
            </w:pPr>
            <w:r>
              <w:rPr>
                <w:rFonts w:ascii="Arial" w:cs="Arial" w:eastAsia="Arial" w:hAnsi="Arial"/>
                <w:sz w:val="14"/>
                <w:szCs w:val="14"/>
                <w:b w:val="1"/>
                <w:bCs w:val="1"/>
                <w:color w:val="8F5A39"/>
              </w:rPr>
              <w:t>Vesting period</w:t>
            </w:r>
          </w:p>
        </w:tc>
        <w:tc>
          <w:tcPr>
            <w:tcW w:w="1040" w:type="dxa"/>
            <w:vAlign w:val="bottom"/>
            <w:shd w:val="clear" w:color="auto" w:fill="F4EFE7"/>
          </w:tcPr>
          <w:p>
            <w:pPr>
              <w:ind w:left="160"/>
              <w:spacing w:after="0"/>
              <w:rPr>
                <w:sz w:val="20"/>
                <w:szCs w:val="20"/>
                <w:color w:val="auto"/>
              </w:rPr>
            </w:pPr>
            <w:r>
              <w:rPr>
                <w:rFonts w:ascii="Arial" w:cs="Arial" w:eastAsia="Arial" w:hAnsi="Arial"/>
                <w:sz w:val="14"/>
                <w:szCs w:val="14"/>
                <w:b w:val="1"/>
                <w:bCs w:val="1"/>
                <w:color w:val="8F5A39"/>
              </w:rPr>
              <w:t>clawback</w:t>
            </w:r>
            <w:r>
              <w:rPr>
                <w:rFonts w:ascii="Arial" w:cs="Arial" w:eastAsia="Arial" w:hAnsi="Arial"/>
                <w:sz w:val="18"/>
                <w:szCs w:val="18"/>
                <w:b w:val="1"/>
                <w:bCs w:val="1"/>
                <w:color w:val="8F5A39"/>
                <w:vertAlign w:val="superscript"/>
              </w:rPr>
              <w:t>2</w:t>
            </w:r>
          </w:p>
        </w:tc>
      </w:tr>
      <w:tr>
        <w:trPr>
          <w:trHeight w:val="243"/>
        </w:trPr>
        <w:tc>
          <w:tcPr>
            <w:tcW w:w="980" w:type="dxa"/>
            <w:vAlign w:val="bottom"/>
            <w:tcBorders>
              <w:right w:val="single" w:sz="8" w:color="8F5A39"/>
            </w:tcBorders>
            <w:shd w:val="clear" w:color="auto" w:fill="8F5A39"/>
          </w:tcPr>
          <w:p>
            <w:pPr>
              <w:ind w:left="20"/>
              <w:spacing w:after="0"/>
              <w:rPr>
                <w:sz w:val="20"/>
                <w:szCs w:val="20"/>
                <w:color w:val="auto"/>
              </w:rPr>
            </w:pPr>
            <w:r>
              <w:rPr>
                <w:rFonts w:ascii="Arial" w:cs="Arial" w:eastAsia="Arial" w:hAnsi="Arial"/>
                <w:sz w:val="16"/>
                <w:szCs w:val="16"/>
                <w:b w:val="1"/>
                <w:bCs w:val="1"/>
                <w:color w:val="FFFFFF"/>
              </w:rPr>
              <w:t>Fixed</w:t>
            </w:r>
          </w:p>
        </w:tc>
        <w:tc>
          <w:tcPr>
            <w:tcW w:w="800" w:type="dxa"/>
            <w:vAlign w:val="bottom"/>
            <w:tcBorders>
              <w:right w:val="single" w:sz="8" w:color="8F5A39"/>
            </w:tcBorders>
            <w:shd w:val="clear" w:color="auto" w:fill="8F5A39"/>
          </w:tcPr>
          <w:p>
            <w:pPr>
              <w:spacing w:after="0"/>
              <w:rPr>
                <w:sz w:val="21"/>
                <w:szCs w:val="21"/>
                <w:color w:val="auto"/>
              </w:rPr>
            </w:pPr>
          </w:p>
        </w:tc>
        <w:tc>
          <w:tcPr>
            <w:tcW w:w="780" w:type="dxa"/>
            <w:vAlign w:val="bottom"/>
            <w:tcBorders>
              <w:right w:val="single" w:sz="8" w:color="8F5A39"/>
            </w:tcBorders>
            <w:shd w:val="clear" w:color="auto" w:fill="8F5A39"/>
          </w:tcPr>
          <w:p>
            <w:pPr>
              <w:spacing w:after="0"/>
              <w:rPr>
                <w:sz w:val="21"/>
                <w:szCs w:val="21"/>
                <w:color w:val="auto"/>
              </w:rPr>
            </w:pPr>
          </w:p>
        </w:tc>
        <w:tc>
          <w:tcPr>
            <w:tcW w:w="4980" w:type="dxa"/>
            <w:vAlign w:val="bottom"/>
            <w:tcBorders>
              <w:right w:val="single" w:sz="8" w:color="8F5A39"/>
            </w:tcBorders>
            <w:shd w:val="clear" w:color="auto" w:fill="8F5A39"/>
          </w:tcPr>
          <w:p>
            <w:pPr>
              <w:spacing w:after="0"/>
              <w:rPr>
                <w:sz w:val="21"/>
                <w:szCs w:val="21"/>
                <w:color w:val="auto"/>
              </w:rPr>
            </w:pPr>
          </w:p>
        </w:tc>
        <w:tc>
          <w:tcPr>
            <w:tcW w:w="220" w:type="dxa"/>
            <w:vAlign w:val="bottom"/>
            <w:shd w:val="clear" w:color="auto" w:fill="8F5A39"/>
          </w:tcPr>
          <w:p>
            <w:pPr>
              <w:spacing w:after="0"/>
              <w:rPr>
                <w:sz w:val="21"/>
                <w:szCs w:val="21"/>
                <w:color w:val="auto"/>
              </w:rPr>
            </w:pPr>
          </w:p>
        </w:tc>
        <w:tc>
          <w:tcPr>
            <w:tcW w:w="2440" w:type="dxa"/>
            <w:vAlign w:val="bottom"/>
            <w:tcBorders>
              <w:right w:val="single" w:sz="8" w:color="8F5A39"/>
            </w:tcBorders>
            <w:shd w:val="clear" w:color="auto" w:fill="8F5A39"/>
          </w:tcPr>
          <w:p>
            <w:pPr>
              <w:spacing w:after="0"/>
              <w:rPr>
                <w:sz w:val="21"/>
                <w:szCs w:val="21"/>
                <w:color w:val="auto"/>
              </w:rPr>
            </w:pPr>
          </w:p>
        </w:tc>
        <w:tc>
          <w:tcPr>
            <w:tcW w:w="1040" w:type="dxa"/>
            <w:vAlign w:val="bottom"/>
            <w:shd w:val="clear" w:color="auto" w:fill="8F5A39"/>
          </w:tcPr>
          <w:p>
            <w:pPr>
              <w:spacing w:after="0"/>
              <w:rPr>
                <w:sz w:val="21"/>
                <w:szCs w:val="21"/>
                <w:color w:val="auto"/>
              </w:rPr>
            </w:pPr>
          </w:p>
        </w:tc>
      </w:tr>
      <w:tr>
        <w:trPr>
          <w:trHeight w:val="202"/>
        </w:trPr>
        <w:tc>
          <w:tcPr>
            <w:tcW w:w="980" w:type="dxa"/>
            <w:vAlign w:val="bottom"/>
            <w:tcBorders>
              <w:right w:val="single" w:sz="8" w:color="B2B2B2"/>
            </w:tcBorders>
          </w:tcPr>
          <w:p>
            <w:pPr>
              <w:ind w:left="20"/>
              <w:spacing w:after="0"/>
              <w:rPr>
                <w:sz w:val="20"/>
                <w:szCs w:val="20"/>
                <w:color w:val="auto"/>
              </w:rPr>
            </w:pPr>
            <w:r>
              <w:rPr>
                <w:rFonts w:ascii="Arial" w:cs="Arial" w:eastAsia="Arial" w:hAnsi="Arial"/>
                <w:sz w:val="16"/>
                <w:szCs w:val="16"/>
                <w:b w:val="1"/>
                <w:bCs w:val="1"/>
                <w:color w:val="auto"/>
              </w:rPr>
              <w:t>Salary</w:t>
            </w:r>
          </w:p>
        </w:tc>
        <w:tc>
          <w:tcPr>
            <w:tcW w:w="80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N/A</w:t>
            </w:r>
          </w:p>
        </w:tc>
        <w:tc>
          <w:tcPr>
            <w:tcW w:w="78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7"/>
              </w:rPr>
              <w:t>N/A</w:t>
            </w: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Fixed portion of total pay that enables us to attract and retain</w:t>
            </w:r>
          </w:p>
        </w:tc>
        <w:tc>
          <w:tcPr>
            <w:tcW w:w="22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244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N/A</w:t>
            </w:r>
          </w:p>
        </w:tc>
        <w:tc>
          <w:tcPr>
            <w:tcW w:w="1040" w:type="dxa"/>
            <w:vAlign w:val="bottom"/>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N/A</w:t>
            </w:r>
          </w:p>
        </w:tc>
      </w:tr>
      <w:tr>
        <w:trPr>
          <w:trHeight w:val="203"/>
        </w:trPr>
        <w:tc>
          <w:tcPr>
            <w:tcW w:w="980" w:type="dxa"/>
            <w:vAlign w:val="bottom"/>
            <w:tcBorders>
              <w:right w:val="single" w:sz="8" w:color="B2B2B2"/>
            </w:tcBorders>
          </w:tcPr>
          <w:p>
            <w:pPr>
              <w:spacing w:after="0"/>
              <w:rPr>
                <w:sz w:val="17"/>
                <w:szCs w:val="17"/>
                <w:color w:val="auto"/>
              </w:rPr>
            </w:pPr>
          </w:p>
        </w:tc>
        <w:tc>
          <w:tcPr>
            <w:tcW w:w="800" w:type="dxa"/>
            <w:vAlign w:val="bottom"/>
            <w:tcBorders>
              <w:right w:val="single" w:sz="8" w:color="B2B2B2"/>
            </w:tcBorders>
          </w:tcPr>
          <w:p>
            <w:pPr>
              <w:spacing w:after="0"/>
              <w:rPr>
                <w:sz w:val="17"/>
                <w:szCs w:val="17"/>
                <w:color w:val="auto"/>
              </w:rPr>
            </w:pPr>
          </w:p>
        </w:tc>
        <w:tc>
          <w:tcPr>
            <w:tcW w:w="780" w:type="dxa"/>
            <w:vAlign w:val="bottom"/>
            <w:tcBorders>
              <w:right w:val="single" w:sz="8" w:color="B2B2B2"/>
            </w:tcBorders>
          </w:tcPr>
          <w:p>
            <w:pPr>
              <w:spacing w:after="0"/>
              <w:rPr>
                <w:sz w:val="17"/>
                <w:szCs w:val="17"/>
                <w:color w:val="auto"/>
              </w:rPr>
            </w:pPr>
          </w:p>
        </w:tc>
        <w:tc>
          <w:tcPr>
            <w:tcW w:w="4980" w:type="dxa"/>
            <w:vAlign w:val="bottom"/>
            <w:tcBorders>
              <w:right w:val="single" w:sz="8" w:color="B2B2B2"/>
            </w:tcBorders>
          </w:tcPr>
          <w:p>
            <w:pPr>
              <w:ind w:left="300"/>
              <w:spacing w:after="0"/>
              <w:rPr>
                <w:sz w:val="20"/>
                <w:szCs w:val="20"/>
                <w:color w:val="auto"/>
              </w:rPr>
            </w:pPr>
            <w:r>
              <w:rPr>
                <w:rFonts w:ascii="Arial" w:cs="Arial" w:eastAsia="Arial" w:hAnsi="Arial"/>
                <w:sz w:val="16"/>
                <w:szCs w:val="16"/>
                <w:color w:val="auto"/>
              </w:rPr>
              <w:t>talent</w:t>
            </w:r>
          </w:p>
        </w:tc>
        <w:tc>
          <w:tcPr>
            <w:tcW w:w="220" w:type="dxa"/>
            <w:vAlign w:val="bottom"/>
          </w:tcPr>
          <w:p>
            <w:pPr>
              <w:spacing w:after="0"/>
              <w:rPr>
                <w:sz w:val="17"/>
                <w:szCs w:val="17"/>
                <w:color w:val="auto"/>
              </w:rPr>
            </w:pPr>
          </w:p>
        </w:tc>
        <w:tc>
          <w:tcPr>
            <w:tcW w:w="2440" w:type="dxa"/>
            <w:vAlign w:val="bottom"/>
            <w:tcBorders>
              <w:right w:val="single" w:sz="8" w:color="B2B2B2"/>
            </w:tcBorders>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980" w:type="dxa"/>
            <w:vAlign w:val="bottom"/>
            <w:tcBorders>
              <w:right w:val="single" w:sz="8" w:color="B2B2B2"/>
            </w:tcBorders>
          </w:tcPr>
          <w:p>
            <w:pPr>
              <w:spacing w:after="0"/>
              <w:rPr>
                <w:sz w:val="19"/>
                <w:szCs w:val="19"/>
                <w:color w:val="auto"/>
              </w:rPr>
            </w:pPr>
          </w:p>
        </w:tc>
        <w:tc>
          <w:tcPr>
            <w:tcW w:w="800" w:type="dxa"/>
            <w:vAlign w:val="bottom"/>
            <w:tcBorders>
              <w:right w:val="single" w:sz="8" w:color="B2B2B2"/>
            </w:tcBorders>
          </w:tcPr>
          <w:p>
            <w:pPr>
              <w:spacing w:after="0"/>
              <w:rPr>
                <w:sz w:val="19"/>
                <w:szCs w:val="19"/>
                <w:color w:val="auto"/>
              </w:rPr>
            </w:pPr>
          </w:p>
        </w:tc>
        <w:tc>
          <w:tcPr>
            <w:tcW w:w="780" w:type="dxa"/>
            <w:vAlign w:val="bottom"/>
            <w:tcBorders>
              <w:right w:val="single" w:sz="8" w:color="B2B2B2"/>
            </w:tcBorders>
          </w:tcPr>
          <w:p>
            <w:pPr>
              <w:spacing w:after="0"/>
              <w:rPr>
                <w:sz w:val="19"/>
                <w:szCs w:val="19"/>
                <w:color w:val="auto"/>
              </w:rPr>
            </w:pP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Only fixed source of cash compensation</w:t>
            </w:r>
          </w:p>
        </w:tc>
        <w:tc>
          <w:tcPr>
            <w:tcW w:w="220" w:type="dxa"/>
            <w:vAlign w:val="bottom"/>
          </w:tcPr>
          <w:p>
            <w:pPr>
              <w:spacing w:after="0"/>
              <w:rPr>
                <w:sz w:val="19"/>
                <w:szCs w:val="19"/>
                <w:color w:val="auto"/>
              </w:rPr>
            </w:pPr>
          </w:p>
        </w:tc>
        <w:tc>
          <w:tcPr>
            <w:tcW w:w="2440" w:type="dxa"/>
            <w:vAlign w:val="bottom"/>
            <w:tcBorders>
              <w:right w:val="single" w:sz="8" w:color="B2B2B2"/>
            </w:tcBorders>
          </w:tcPr>
          <w:p>
            <w:pPr>
              <w:spacing w:after="0"/>
              <w:rPr>
                <w:sz w:val="19"/>
                <w:szCs w:val="19"/>
                <w:color w:val="auto"/>
              </w:rPr>
            </w:pPr>
          </w:p>
        </w:tc>
        <w:tc>
          <w:tcPr>
            <w:tcW w:w="1040" w:type="dxa"/>
            <w:vAlign w:val="bottom"/>
          </w:tcPr>
          <w:p>
            <w:pPr>
              <w:spacing w:after="0"/>
              <w:rPr>
                <w:sz w:val="19"/>
                <w:szCs w:val="19"/>
                <w:color w:val="auto"/>
              </w:rPr>
            </w:pPr>
          </w:p>
        </w:tc>
      </w:tr>
      <w:tr>
        <w:trPr>
          <w:trHeight w:val="247"/>
        </w:trPr>
        <w:tc>
          <w:tcPr>
            <w:tcW w:w="980" w:type="dxa"/>
            <w:vAlign w:val="bottom"/>
            <w:tcBorders>
              <w:right w:val="single" w:sz="8" w:color="8F5A39"/>
            </w:tcBorders>
            <w:shd w:val="clear" w:color="auto" w:fill="8F5A39"/>
          </w:tcPr>
          <w:p>
            <w:pPr>
              <w:ind w:left="20"/>
              <w:spacing w:after="0"/>
              <w:rPr>
                <w:sz w:val="20"/>
                <w:szCs w:val="20"/>
                <w:color w:val="auto"/>
              </w:rPr>
            </w:pPr>
            <w:r>
              <w:rPr>
                <w:rFonts w:ascii="Arial" w:cs="Arial" w:eastAsia="Arial" w:hAnsi="Arial"/>
                <w:sz w:val="16"/>
                <w:szCs w:val="16"/>
                <w:b w:val="1"/>
                <w:bCs w:val="1"/>
                <w:color w:val="FFFFFF"/>
              </w:rPr>
              <w:t>Variable</w:t>
            </w:r>
          </w:p>
        </w:tc>
        <w:tc>
          <w:tcPr>
            <w:tcW w:w="800" w:type="dxa"/>
            <w:vAlign w:val="bottom"/>
            <w:tcBorders>
              <w:right w:val="single" w:sz="8" w:color="8F5A39"/>
            </w:tcBorders>
            <w:shd w:val="clear" w:color="auto" w:fill="8F5A39"/>
          </w:tcPr>
          <w:p>
            <w:pPr>
              <w:spacing w:after="0"/>
              <w:rPr>
                <w:sz w:val="21"/>
                <w:szCs w:val="21"/>
                <w:color w:val="auto"/>
              </w:rPr>
            </w:pPr>
          </w:p>
        </w:tc>
        <w:tc>
          <w:tcPr>
            <w:tcW w:w="780" w:type="dxa"/>
            <w:vAlign w:val="bottom"/>
            <w:tcBorders>
              <w:right w:val="single" w:sz="8" w:color="8F5A39"/>
            </w:tcBorders>
            <w:shd w:val="clear" w:color="auto" w:fill="8F5A39"/>
          </w:tcPr>
          <w:p>
            <w:pPr>
              <w:spacing w:after="0"/>
              <w:rPr>
                <w:sz w:val="21"/>
                <w:szCs w:val="21"/>
                <w:color w:val="auto"/>
              </w:rPr>
            </w:pPr>
          </w:p>
        </w:tc>
        <w:tc>
          <w:tcPr>
            <w:tcW w:w="4980" w:type="dxa"/>
            <w:vAlign w:val="bottom"/>
            <w:tcBorders>
              <w:right w:val="single" w:sz="8" w:color="8F5A39"/>
            </w:tcBorders>
            <w:shd w:val="clear" w:color="auto" w:fill="8F5A39"/>
          </w:tcPr>
          <w:p>
            <w:pPr>
              <w:spacing w:after="0"/>
              <w:rPr>
                <w:sz w:val="21"/>
                <w:szCs w:val="21"/>
                <w:color w:val="auto"/>
              </w:rPr>
            </w:pPr>
          </w:p>
        </w:tc>
        <w:tc>
          <w:tcPr>
            <w:tcW w:w="220" w:type="dxa"/>
            <w:vAlign w:val="bottom"/>
            <w:shd w:val="clear" w:color="auto" w:fill="8F5A39"/>
          </w:tcPr>
          <w:p>
            <w:pPr>
              <w:spacing w:after="0"/>
              <w:rPr>
                <w:sz w:val="21"/>
                <w:szCs w:val="21"/>
                <w:color w:val="auto"/>
              </w:rPr>
            </w:pPr>
          </w:p>
        </w:tc>
        <w:tc>
          <w:tcPr>
            <w:tcW w:w="2440" w:type="dxa"/>
            <w:vAlign w:val="bottom"/>
            <w:tcBorders>
              <w:right w:val="single" w:sz="8" w:color="8F5A39"/>
            </w:tcBorders>
            <w:shd w:val="clear" w:color="auto" w:fill="8F5A39"/>
          </w:tcPr>
          <w:p>
            <w:pPr>
              <w:spacing w:after="0"/>
              <w:rPr>
                <w:sz w:val="21"/>
                <w:szCs w:val="21"/>
                <w:color w:val="auto"/>
              </w:rPr>
            </w:pPr>
          </w:p>
        </w:tc>
        <w:tc>
          <w:tcPr>
            <w:tcW w:w="1040" w:type="dxa"/>
            <w:vAlign w:val="bottom"/>
            <w:shd w:val="clear" w:color="auto" w:fill="8F5A39"/>
          </w:tcPr>
          <w:p>
            <w:pPr>
              <w:spacing w:after="0"/>
              <w:rPr>
                <w:sz w:val="21"/>
                <w:szCs w:val="21"/>
                <w:color w:val="auto"/>
              </w:rPr>
            </w:pPr>
          </w:p>
        </w:tc>
      </w:tr>
      <w:tr>
        <w:trPr>
          <w:trHeight w:val="202"/>
        </w:trPr>
        <w:tc>
          <w:tcPr>
            <w:tcW w:w="980" w:type="dxa"/>
            <w:vAlign w:val="bottom"/>
            <w:tcBorders>
              <w:right w:val="single" w:sz="8" w:color="B2B2B2"/>
            </w:tcBorders>
          </w:tcPr>
          <w:p>
            <w:pPr>
              <w:ind w:left="20"/>
              <w:spacing w:after="0"/>
              <w:rPr>
                <w:sz w:val="20"/>
                <w:szCs w:val="20"/>
                <w:color w:val="auto"/>
              </w:rPr>
            </w:pPr>
            <w:r>
              <w:rPr>
                <w:rFonts w:ascii="Arial" w:cs="Arial" w:eastAsia="Arial" w:hAnsi="Arial"/>
                <w:sz w:val="16"/>
                <w:szCs w:val="16"/>
                <w:b w:val="1"/>
                <w:bCs w:val="1"/>
                <w:color w:val="auto"/>
              </w:rPr>
              <w:t>Cash</w:t>
            </w:r>
          </w:p>
        </w:tc>
        <w:tc>
          <w:tcPr>
            <w:tcW w:w="80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~12%</w:t>
            </w:r>
          </w:p>
        </w:tc>
        <w:tc>
          <w:tcPr>
            <w:tcW w:w="78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9"/>
              </w:rPr>
              <w:t>40%</w:t>
            </w: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Provides a competitive annual cash award opportunity</w:t>
            </w:r>
          </w:p>
        </w:tc>
        <w:tc>
          <w:tcPr>
            <w:tcW w:w="22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244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Immediately vested</w:t>
            </w:r>
          </w:p>
        </w:tc>
        <w:tc>
          <w:tcPr>
            <w:tcW w:w="1040" w:type="dxa"/>
            <w:vAlign w:val="bottom"/>
          </w:tcPr>
          <w:p>
            <w:pPr>
              <w:spacing w:after="0"/>
              <w:rPr>
                <w:sz w:val="17"/>
                <w:szCs w:val="17"/>
                <w:color w:val="auto"/>
              </w:rPr>
            </w:pPr>
          </w:p>
        </w:tc>
      </w:tr>
      <w:tr>
        <w:trPr>
          <w:trHeight w:val="202"/>
        </w:trPr>
        <w:tc>
          <w:tcPr>
            <w:tcW w:w="980" w:type="dxa"/>
            <w:vAlign w:val="bottom"/>
            <w:tcBorders>
              <w:right w:val="single" w:sz="8" w:color="B2B2B2"/>
            </w:tcBorders>
          </w:tcPr>
          <w:p>
            <w:pPr>
              <w:ind w:left="20"/>
              <w:spacing w:after="0"/>
              <w:rPr>
                <w:sz w:val="20"/>
                <w:szCs w:val="20"/>
                <w:color w:val="auto"/>
              </w:rPr>
            </w:pPr>
            <w:r>
              <w:rPr>
                <w:rFonts w:ascii="Arial" w:cs="Arial" w:eastAsia="Arial" w:hAnsi="Arial"/>
                <w:sz w:val="16"/>
                <w:szCs w:val="16"/>
                <w:b w:val="1"/>
                <w:bCs w:val="1"/>
                <w:color w:val="auto"/>
              </w:rPr>
              <w:t>Award</w:t>
            </w:r>
          </w:p>
        </w:tc>
        <w:tc>
          <w:tcPr>
            <w:tcW w:w="800" w:type="dxa"/>
            <w:vAlign w:val="bottom"/>
            <w:tcBorders>
              <w:right w:val="single" w:sz="8" w:color="B2B2B2"/>
            </w:tcBorders>
          </w:tcPr>
          <w:p>
            <w:pPr>
              <w:spacing w:after="0"/>
              <w:rPr>
                <w:sz w:val="17"/>
                <w:szCs w:val="17"/>
                <w:color w:val="auto"/>
              </w:rPr>
            </w:pPr>
          </w:p>
        </w:tc>
        <w:tc>
          <w:tcPr>
            <w:tcW w:w="780" w:type="dxa"/>
            <w:vAlign w:val="bottom"/>
            <w:tcBorders>
              <w:right w:val="single" w:sz="8" w:color="B2B2B2"/>
            </w:tcBorders>
          </w:tcPr>
          <w:p>
            <w:pPr>
              <w:spacing w:after="0"/>
              <w:rPr>
                <w:sz w:val="17"/>
                <w:szCs w:val="17"/>
                <w:color w:val="auto"/>
              </w:rPr>
            </w:pP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Payout determined and awarded in the year following the</w:t>
            </w:r>
          </w:p>
        </w:tc>
        <w:tc>
          <w:tcPr>
            <w:tcW w:w="220" w:type="dxa"/>
            <w:vAlign w:val="bottom"/>
          </w:tcPr>
          <w:p>
            <w:pPr>
              <w:spacing w:after="0"/>
              <w:rPr>
                <w:sz w:val="17"/>
                <w:szCs w:val="17"/>
                <w:color w:val="auto"/>
              </w:rPr>
            </w:pPr>
          </w:p>
        </w:tc>
        <w:tc>
          <w:tcPr>
            <w:tcW w:w="2440" w:type="dxa"/>
            <w:vAlign w:val="bottom"/>
            <w:tcBorders>
              <w:right w:val="single" w:sz="8" w:color="B2B2B2"/>
            </w:tcBorders>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980" w:type="dxa"/>
            <w:vAlign w:val="bottom"/>
            <w:tcBorders>
              <w:right w:val="single" w:sz="8" w:color="B2B2B2"/>
            </w:tcBorders>
          </w:tcPr>
          <w:p>
            <w:pPr>
              <w:spacing w:after="0"/>
              <w:rPr>
                <w:sz w:val="16"/>
                <w:szCs w:val="16"/>
                <w:color w:val="auto"/>
              </w:rPr>
            </w:pPr>
          </w:p>
        </w:tc>
        <w:tc>
          <w:tcPr>
            <w:tcW w:w="8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4980" w:type="dxa"/>
            <w:vAlign w:val="bottom"/>
            <w:tcBorders>
              <w:right w:val="single" w:sz="8" w:color="B2B2B2"/>
            </w:tcBorders>
          </w:tcPr>
          <w:p>
            <w:pPr>
              <w:ind w:left="300"/>
              <w:spacing w:after="0"/>
              <w:rPr>
                <w:sz w:val="20"/>
                <w:szCs w:val="20"/>
                <w:color w:val="auto"/>
              </w:rPr>
            </w:pPr>
            <w:r>
              <w:rPr>
                <w:rFonts w:ascii="Arial" w:cs="Arial" w:eastAsia="Arial" w:hAnsi="Arial"/>
                <w:sz w:val="16"/>
                <w:szCs w:val="16"/>
                <w:color w:val="auto"/>
              </w:rPr>
              <w:t>performance year</w:t>
            </w:r>
          </w:p>
        </w:tc>
        <w:tc>
          <w:tcPr>
            <w:tcW w:w="220" w:type="dxa"/>
            <w:vAlign w:val="bottom"/>
          </w:tcPr>
          <w:p>
            <w:pPr>
              <w:spacing w:after="0"/>
              <w:rPr>
                <w:sz w:val="16"/>
                <w:szCs w:val="16"/>
                <w:color w:val="auto"/>
              </w:rPr>
            </w:pPr>
          </w:p>
        </w:tc>
        <w:tc>
          <w:tcPr>
            <w:tcW w:w="2440" w:type="dxa"/>
            <w:vAlign w:val="bottom"/>
            <w:tcBorders>
              <w:right w:val="single" w:sz="8" w:color="B2B2B2"/>
            </w:tcBorders>
          </w:tcPr>
          <w:p>
            <w:pPr>
              <w:spacing w:after="0"/>
              <w:rPr>
                <w:sz w:val="16"/>
                <w:szCs w:val="16"/>
                <w:color w:val="auto"/>
              </w:rPr>
            </w:pPr>
          </w:p>
        </w:tc>
        <w:tc>
          <w:tcPr>
            <w:tcW w:w="1040" w:type="dxa"/>
            <w:vAlign w:val="bottom"/>
          </w:tcPr>
          <w:p>
            <w:pPr>
              <w:spacing w:after="0"/>
              <w:rPr>
                <w:sz w:val="16"/>
                <w:szCs w:val="16"/>
                <w:color w:val="auto"/>
              </w:rPr>
            </w:pPr>
          </w:p>
        </w:tc>
      </w:tr>
      <w:tr>
        <w:trPr>
          <w:trHeight w:val="223"/>
        </w:trPr>
        <w:tc>
          <w:tcPr>
            <w:tcW w:w="980" w:type="dxa"/>
            <w:vAlign w:val="bottom"/>
            <w:tcBorders>
              <w:right w:val="single" w:sz="8" w:color="B2B2B2"/>
            </w:tcBorders>
          </w:tcPr>
          <w:p>
            <w:pPr>
              <w:spacing w:after="0"/>
              <w:rPr>
                <w:sz w:val="19"/>
                <w:szCs w:val="19"/>
                <w:color w:val="auto"/>
              </w:rPr>
            </w:pPr>
          </w:p>
        </w:tc>
        <w:tc>
          <w:tcPr>
            <w:tcW w:w="800" w:type="dxa"/>
            <w:vAlign w:val="bottom"/>
            <w:tcBorders>
              <w:right w:val="single" w:sz="8" w:color="B2B2B2"/>
            </w:tcBorders>
          </w:tcPr>
          <w:p>
            <w:pPr>
              <w:spacing w:after="0"/>
              <w:rPr>
                <w:sz w:val="19"/>
                <w:szCs w:val="19"/>
                <w:color w:val="auto"/>
              </w:rPr>
            </w:pPr>
          </w:p>
        </w:tc>
        <w:tc>
          <w:tcPr>
            <w:tcW w:w="780" w:type="dxa"/>
            <w:vAlign w:val="bottom"/>
            <w:tcBorders>
              <w:right w:val="single" w:sz="8" w:color="B2B2B2"/>
            </w:tcBorders>
          </w:tcPr>
          <w:p>
            <w:pPr>
              <w:spacing w:after="0"/>
              <w:rPr>
                <w:sz w:val="19"/>
                <w:szCs w:val="19"/>
                <w:color w:val="auto"/>
              </w:rPr>
            </w:pP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Represents less than half of variable compensation</w:t>
            </w:r>
          </w:p>
        </w:tc>
        <w:tc>
          <w:tcPr>
            <w:tcW w:w="220" w:type="dxa"/>
            <w:vAlign w:val="bottom"/>
          </w:tcPr>
          <w:p>
            <w:pPr>
              <w:spacing w:after="0"/>
              <w:rPr>
                <w:sz w:val="19"/>
                <w:szCs w:val="19"/>
                <w:color w:val="auto"/>
              </w:rPr>
            </w:pPr>
          </w:p>
        </w:tc>
        <w:tc>
          <w:tcPr>
            <w:tcW w:w="2440" w:type="dxa"/>
            <w:vAlign w:val="bottom"/>
            <w:tcBorders>
              <w:right w:val="single" w:sz="8" w:color="B2B2B2"/>
            </w:tcBorders>
          </w:tcPr>
          <w:p>
            <w:pPr>
              <w:spacing w:after="0"/>
              <w:rPr>
                <w:sz w:val="19"/>
                <w:szCs w:val="19"/>
                <w:color w:val="auto"/>
              </w:rPr>
            </w:pPr>
          </w:p>
        </w:tc>
        <w:tc>
          <w:tcPr>
            <w:tcW w:w="1040" w:type="dxa"/>
            <w:vAlign w:val="bottom"/>
          </w:tcPr>
          <w:p>
            <w:pPr>
              <w:spacing w:after="0"/>
              <w:rPr>
                <w:sz w:val="19"/>
                <w:szCs w:val="19"/>
                <w:color w:val="auto"/>
              </w:rPr>
            </w:pPr>
          </w:p>
        </w:tc>
      </w:tr>
      <w:tr>
        <w:trPr>
          <w:trHeight w:val="21"/>
        </w:trPr>
        <w:tc>
          <w:tcPr>
            <w:tcW w:w="980" w:type="dxa"/>
            <w:vAlign w:val="bottom"/>
            <w:tcBorders>
              <w:bottom w:val="single" w:sz="8" w:color="B2B2B2"/>
              <w:right w:val="single" w:sz="8" w:color="B2B2B2"/>
            </w:tcBorders>
          </w:tcPr>
          <w:p>
            <w:pPr>
              <w:spacing w:after="0" w:line="20" w:lineRule="exact"/>
              <w:rPr>
                <w:sz w:val="1"/>
                <w:szCs w:val="1"/>
                <w:color w:val="auto"/>
              </w:rPr>
            </w:pPr>
          </w:p>
        </w:tc>
        <w:tc>
          <w:tcPr>
            <w:tcW w:w="800" w:type="dxa"/>
            <w:vAlign w:val="bottom"/>
            <w:tcBorders>
              <w:bottom w:val="single" w:sz="8" w:color="B2B2B2"/>
              <w:right w:val="single" w:sz="8" w:color="B2B2B2"/>
            </w:tcBorders>
          </w:tcPr>
          <w:p>
            <w:pPr>
              <w:spacing w:after="0" w:line="20" w:lineRule="exact"/>
              <w:rPr>
                <w:sz w:val="1"/>
                <w:szCs w:val="1"/>
                <w:color w:val="auto"/>
              </w:rPr>
            </w:pPr>
          </w:p>
        </w:tc>
        <w:tc>
          <w:tcPr>
            <w:tcW w:w="780" w:type="dxa"/>
            <w:vAlign w:val="bottom"/>
            <w:tcBorders>
              <w:bottom w:val="single" w:sz="8" w:color="B2B2B2"/>
              <w:right w:val="single" w:sz="8" w:color="B2B2B2"/>
            </w:tcBorders>
          </w:tcPr>
          <w:p>
            <w:pPr>
              <w:spacing w:after="0" w:line="20" w:lineRule="exact"/>
              <w:rPr>
                <w:sz w:val="1"/>
                <w:szCs w:val="1"/>
                <w:color w:val="auto"/>
              </w:rPr>
            </w:pPr>
          </w:p>
        </w:tc>
        <w:tc>
          <w:tcPr>
            <w:tcW w:w="4980" w:type="dxa"/>
            <w:vAlign w:val="bottom"/>
            <w:tcBorders>
              <w:bottom w:val="single" w:sz="8" w:color="B2B2B2"/>
              <w:right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2440" w:type="dxa"/>
            <w:vAlign w:val="bottom"/>
            <w:tcBorders>
              <w:bottom w:val="single" w:sz="8" w:color="B2B2B2"/>
              <w:right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r>
      <w:tr>
        <w:trPr>
          <w:trHeight w:val="222"/>
        </w:trPr>
        <w:tc>
          <w:tcPr>
            <w:tcW w:w="980" w:type="dxa"/>
            <w:vAlign w:val="bottom"/>
            <w:tcBorders>
              <w:right w:val="single" w:sz="8" w:color="B2B2B2"/>
            </w:tcBorders>
          </w:tcPr>
          <w:p>
            <w:pPr>
              <w:ind w:left="20"/>
              <w:spacing w:after="0"/>
              <w:rPr>
                <w:sz w:val="20"/>
                <w:szCs w:val="20"/>
                <w:color w:val="auto"/>
              </w:rPr>
            </w:pPr>
            <w:r>
              <w:rPr>
                <w:rFonts w:ascii="Arial" w:cs="Arial" w:eastAsia="Arial" w:hAnsi="Arial"/>
                <w:sz w:val="16"/>
                <w:szCs w:val="16"/>
                <w:b w:val="1"/>
                <w:bCs w:val="1"/>
                <w:color w:val="auto"/>
              </w:rPr>
              <w:t>RSUs</w:t>
            </w:r>
          </w:p>
        </w:tc>
        <w:tc>
          <w:tcPr>
            <w:tcW w:w="80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0%</w:t>
            </w:r>
          </w:p>
        </w:tc>
        <w:tc>
          <w:tcPr>
            <w:tcW w:w="78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9"/>
              </w:rPr>
              <w:t>30%</w:t>
            </w: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RSUs serve as a strong retention tool</w:t>
            </w:r>
          </w:p>
        </w:tc>
        <w:tc>
          <w:tcPr>
            <w:tcW w:w="22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244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Over three years:</w:t>
            </w:r>
          </w:p>
        </w:tc>
        <w:tc>
          <w:tcPr>
            <w:tcW w:w="1040" w:type="dxa"/>
            <w:vAlign w:val="bottom"/>
          </w:tcPr>
          <w:p>
            <w:pPr>
              <w:spacing w:after="0"/>
              <w:rPr>
                <w:sz w:val="19"/>
                <w:szCs w:val="19"/>
                <w:color w:val="auto"/>
              </w:rPr>
            </w:pPr>
          </w:p>
        </w:tc>
      </w:tr>
      <w:tr>
        <w:trPr>
          <w:trHeight w:val="216"/>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equivalents are paid on RSUs at the time actual</w:t>
            </w:r>
          </w:p>
        </w:tc>
        <w:tc>
          <w:tcPr>
            <w:tcW w:w="220" w:type="dxa"/>
            <w:vAlign w:val="bottom"/>
          </w:tcPr>
          <w:p>
            <w:pPr>
              <w:spacing w:after="0"/>
              <w:rPr>
                <w:sz w:val="18"/>
                <w:szCs w:val="18"/>
                <w:color w:val="auto"/>
              </w:rPr>
            </w:pPr>
          </w:p>
        </w:tc>
        <w:tc>
          <w:tcPr>
            <w:tcW w:w="244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 50% after two years, with the</w:t>
            </w:r>
          </w:p>
        </w:tc>
        <w:tc>
          <w:tcPr>
            <w:tcW w:w="1040" w:type="dxa"/>
            <w:vAlign w:val="bottom"/>
          </w:tcPr>
          <w:p>
            <w:pPr>
              <w:spacing w:after="0"/>
              <w:rPr>
                <w:sz w:val="18"/>
                <w:szCs w:val="18"/>
                <w:color w:val="auto"/>
              </w:rPr>
            </w:pPr>
          </w:p>
        </w:tc>
      </w:tr>
      <w:tr>
        <w:trPr>
          <w:trHeight w:val="215"/>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ind w:left="300"/>
              <w:spacing w:after="0"/>
              <w:rPr>
                <w:sz w:val="20"/>
                <w:szCs w:val="20"/>
                <w:color w:val="auto"/>
              </w:rPr>
            </w:pPr>
            <w:r>
              <w:rPr>
                <w:rFonts w:ascii="Arial" w:cs="Arial" w:eastAsia="Arial" w:hAnsi="Arial"/>
                <w:sz w:val="16"/>
                <w:szCs w:val="16"/>
                <w:color w:val="auto"/>
              </w:rPr>
              <w:t>dividends are paid</w:t>
            </w:r>
          </w:p>
        </w:tc>
        <w:tc>
          <w:tcPr>
            <w:tcW w:w="220" w:type="dxa"/>
            <w:vAlign w:val="bottom"/>
          </w:tcPr>
          <w:p>
            <w:pPr>
              <w:spacing w:after="0"/>
              <w:rPr>
                <w:sz w:val="18"/>
                <w:szCs w:val="18"/>
                <w:color w:val="auto"/>
              </w:rPr>
            </w:pPr>
          </w:p>
        </w:tc>
        <w:tc>
          <w:tcPr>
            <w:tcW w:w="244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remaining 50% after three</w:t>
            </w:r>
          </w:p>
        </w:tc>
        <w:tc>
          <w:tcPr>
            <w:tcW w:w="1040" w:type="dxa"/>
            <w:vAlign w:val="bottom"/>
          </w:tcPr>
          <w:p>
            <w:pPr>
              <w:spacing w:after="0"/>
              <w:rPr>
                <w:sz w:val="18"/>
                <w:szCs w:val="18"/>
                <w:color w:val="auto"/>
              </w:rPr>
            </w:pPr>
          </w:p>
        </w:tc>
      </w:tr>
      <w:tr>
        <w:trPr>
          <w:trHeight w:val="217"/>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RSUs and PSUs do not carry voting rights, and are subject to</w:t>
            </w:r>
          </w:p>
        </w:tc>
        <w:tc>
          <w:tcPr>
            <w:tcW w:w="220" w:type="dxa"/>
            <w:vAlign w:val="bottom"/>
          </w:tcPr>
          <w:p>
            <w:pPr>
              <w:spacing w:after="0"/>
              <w:rPr>
                <w:sz w:val="18"/>
                <w:szCs w:val="18"/>
                <w:color w:val="auto"/>
              </w:rPr>
            </w:pPr>
          </w:p>
        </w:tc>
        <w:tc>
          <w:tcPr>
            <w:tcW w:w="244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years</w:t>
            </w:r>
          </w:p>
        </w:tc>
        <w:tc>
          <w:tcPr>
            <w:tcW w:w="1040" w:type="dxa"/>
            <w:vAlign w:val="bottom"/>
          </w:tcPr>
          <w:p>
            <w:pPr>
              <w:spacing w:after="0"/>
              <w:rPr>
                <w:sz w:val="18"/>
                <w:szCs w:val="18"/>
                <w:color w:val="auto"/>
              </w:rPr>
            </w:pPr>
          </w:p>
        </w:tc>
      </w:tr>
      <w:tr>
        <w:trPr>
          <w:trHeight w:val="215"/>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ind w:left="300"/>
              <w:spacing w:after="0"/>
              <w:rPr>
                <w:sz w:val="20"/>
                <w:szCs w:val="20"/>
                <w:color w:val="auto"/>
              </w:rPr>
            </w:pPr>
            <w:r>
              <w:rPr>
                <w:rFonts w:ascii="Arial" w:cs="Arial" w:eastAsia="Arial" w:hAnsi="Arial"/>
                <w:sz w:val="16"/>
                <w:szCs w:val="16"/>
                <w:color w:val="auto"/>
              </w:rPr>
              <w:t>protection-based vesting and the OC stock ownership/retention</w:t>
            </w:r>
          </w:p>
        </w:tc>
        <w:tc>
          <w:tcPr>
            <w:tcW w:w="220" w:type="dxa"/>
            <w:vAlign w:val="bottom"/>
          </w:tcPr>
          <w:p>
            <w:pPr>
              <w:spacing w:after="0"/>
              <w:rPr>
                <w:sz w:val="18"/>
                <w:szCs w:val="18"/>
                <w:color w:val="auto"/>
              </w:rPr>
            </w:pPr>
          </w:p>
        </w:tc>
        <w:tc>
          <w:tcPr>
            <w:tcW w:w="2440" w:type="dxa"/>
            <w:vAlign w:val="bottom"/>
            <w:tcBorders>
              <w:right w:val="single" w:sz="8" w:color="B2B2B2"/>
            </w:tcBorders>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ind w:left="300"/>
              <w:spacing w:after="0"/>
              <w:rPr>
                <w:sz w:val="20"/>
                <w:szCs w:val="20"/>
                <w:color w:val="auto"/>
              </w:rPr>
            </w:pPr>
            <w:r>
              <w:rPr>
                <w:rFonts w:ascii="Arial" w:cs="Arial" w:eastAsia="Arial" w:hAnsi="Arial"/>
                <w:sz w:val="16"/>
                <w:szCs w:val="16"/>
                <w:color w:val="auto"/>
              </w:rPr>
              <w:t>policy</w:t>
            </w:r>
          </w:p>
        </w:tc>
        <w:tc>
          <w:tcPr>
            <w:tcW w:w="220" w:type="dxa"/>
            <w:vAlign w:val="bottom"/>
          </w:tcPr>
          <w:p>
            <w:pPr>
              <w:spacing w:after="0"/>
              <w:rPr>
                <w:sz w:val="18"/>
                <w:szCs w:val="18"/>
                <w:color w:val="auto"/>
              </w:rPr>
            </w:pPr>
          </w:p>
        </w:tc>
        <w:tc>
          <w:tcPr>
            <w:tcW w:w="2440" w:type="dxa"/>
            <w:vAlign w:val="bottom"/>
            <w:tcBorders>
              <w:right w:val="single" w:sz="8" w:color="B2B2B2"/>
            </w:tcBorders>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RSUs and PSUs provide a competitive mix of time-based and</w:t>
            </w:r>
          </w:p>
        </w:tc>
        <w:tc>
          <w:tcPr>
            <w:tcW w:w="220" w:type="dxa"/>
            <w:vAlign w:val="bottom"/>
          </w:tcPr>
          <w:p>
            <w:pPr>
              <w:spacing w:after="0"/>
              <w:rPr>
                <w:sz w:val="18"/>
                <w:szCs w:val="18"/>
                <w:color w:val="auto"/>
              </w:rPr>
            </w:pPr>
          </w:p>
        </w:tc>
        <w:tc>
          <w:tcPr>
            <w:tcW w:w="2440" w:type="dxa"/>
            <w:vAlign w:val="bottom"/>
            <w:tcBorders>
              <w:right w:val="single" w:sz="8" w:color="B2B2B2"/>
            </w:tcBorders>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ind w:left="300"/>
              <w:spacing w:after="0"/>
              <w:rPr>
                <w:sz w:val="20"/>
                <w:szCs w:val="20"/>
                <w:color w:val="auto"/>
              </w:rPr>
            </w:pPr>
            <w:r>
              <w:rPr>
                <w:rFonts w:ascii="Arial" w:cs="Arial" w:eastAsia="Arial" w:hAnsi="Arial"/>
                <w:sz w:val="16"/>
                <w:szCs w:val="16"/>
                <w:color w:val="auto"/>
              </w:rPr>
              <w:t>performance-conditioned equity awards that are aligned with</w:t>
            </w:r>
          </w:p>
        </w:tc>
        <w:tc>
          <w:tcPr>
            <w:tcW w:w="220" w:type="dxa"/>
            <w:vAlign w:val="bottom"/>
          </w:tcPr>
          <w:p>
            <w:pPr>
              <w:spacing w:after="0"/>
              <w:rPr>
                <w:sz w:val="18"/>
                <w:szCs w:val="18"/>
                <w:color w:val="auto"/>
              </w:rPr>
            </w:pPr>
          </w:p>
        </w:tc>
        <w:tc>
          <w:tcPr>
            <w:tcW w:w="2440" w:type="dxa"/>
            <w:vAlign w:val="bottom"/>
            <w:tcBorders>
              <w:right w:val="single" w:sz="8" w:color="B2B2B2"/>
            </w:tcBorders>
          </w:tcPr>
          <w:p>
            <w:pPr>
              <w:spacing w:after="0"/>
              <w:rPr>
                <w:sz w:val="18"/>
                <w:szCs w:val="18"/>
                <w:color w:val="auto"/>
              </w:rPr>
            </w:pPr>
          </w:p>
        </w:tc>
        <w:tc>
          <w:tcPr>
            <w:tcW w:w="1040" w:type="dxa"/>
            <w:vAlign w:val="bottom"/>
          </w:tcPr>
          <w:p>
            <w:pPr>
              <w:spacing w:after="0"/>
              <w:rPr>
                <w:sz w:val="18"/>
                <w:szCs w:val="18"/>
                <w:color w:val="auto"/>
              </w:rPr>
            </w:pPr>
          </w:p>
        </w:tc>
      </w:tr>
      <w:tr>
        <w:trPr>
          <w:trHeight w:val="191"/>
        </w:trPr>
        <w:tc>
          <w:tcPr>
            <w:tcW w:w="980" w:type="dxa"/>
            <w:vAlign w:val="bottom"/>
            <w:tcBorders>
              <w:bottom w:val="single" w:sz="8" w:color="B2B2B2"/>
              <w:right w:val="single" w:sz="8" w:color="B2B2B2"/>
            </w:tcBorders>
          </w:tcPr>
          <w:p>
            <w:pPr>
              <w:spacing w:after="0"/>
              <w:rPr>
                <w:sz w:val="16"/>
                <w:szCs w:val="16"/>
                <w:color w:val="auto"/>
              </w:rPr>
            </w:pPr>
          </w:p>
        </w:tc>
        <w:tc>
          <w:tcPr>
            <w:tcW w:w="800" w:type="dxa"/>
            <w:vAlign w:val="bottom"/>
            <w:tcBorders>
              <w:bottom w:val="single" w:sz="8" w:color="B2B2B2"/>
              <w:right w:val="single" w:sz="8" w:color="B2B2B2"/>
            </w:tcBorders>
          </w:tcPr>
          <w:p>
            <w:pPr>
              <w:spacing w:after="0"/>
              <w:rPr>
                <w:sz w:val="16"/>
                <w:szCs w:val="16"/>
                <w:color w:val="auto"/>
              </w:rPr>
            </w:pPr>
          </w:p>
        </w:tc>
        <w:tc>
          <w:tcPr>
            <w:tcW w:w="780" w:type="dxa"/>
            <w:vAlign w:val="bottom"/>
            <w:tcBorders>
              <w:bottom w:val="single" w:sz="8" w:color="B2B2B2"/>
              <w:right w:val="single" w:sz="8" w:color="B2B2B2"/>
            </w:tcBorders>
          </w:tcPr>
          <w:p>
            <w:pPr>
              <w:spacing w:after="0"/>
              <w:rPr>
                <w:sz w:val="16"/>
                <w:szCs w:val="16"/>
                <w:color w:val="auto"/>
              </w:rPr>
            </w:pPr>
          </w:p>
        </w:tc>
        <w:tc>
          <w:tcPr>
            <w:tcW w:w="4980" w:type="dxa"/>
            <w:vAlign w:val="bottom"/>
            <w:tcBorders>
              <w:right w:val="single" w:sz="8" w:color="B2B2B2"/>
            </w:tcBorders>
          </w:tcPr>
          <w:p>
            <w:pPr>
              <w:ind w:left="300"/>
              <w:spacing w:after="0"/>
              <w:rPr>
                <w:sz w:val="20"/>
                <w:szCs w:val="20"/>
                <w:color w:val="auto"/>
              </w:rPr>
            </w:pPr>
            <w:r>
              <w:rPr>
                <w:rFonts w:ascii="Arial" w:cs="Arial" w:eastAsia="Arial" w:hAnsi="Arial"/>
                <w:sz w:val="16"/>
                <w:szCs w:val="16"/>
                <w:color w:val="auto"/>
              </w:rPr>
              <w:t>long-term shareholder interests as the value of payout</w:t>
            </w:r>
          </w:p>
        </w:tc>
        <w:tc>
          <w:tcPr>
            <w:tcW w:w="220" w:type="dxa"/>
            <w:vAlign w:val="bottom"/>
            <w:tcBorders>
              <w:bottom w:val="single" w:sz="8" w:color="B2B2B2"/>
            </w:tcBorders>
          </w:tcPr>
          <w:p>
            <w:pPr>
              <w:spacing w:after="0"/>
              <w:rPr>
                <w:sz w:val="16"/>
                <w:szCs w:val="16"/>
                <w:color w:val="auto"/>
              </w:rPr>
            </w:pPr>
          </w:p>
        </w:tc>
        <w:tc>
          <w:tcPr>
            <w:tcW w:w="2440" w:type="dxa"/>
            <w:vAlign w:val="bottom"/>
            <w:tcBorders>
              <w:bottom w:val="single" w:sz="8" w:color="B2B2B2"/>
              <w:right w:val="single" w:sz="8" w:color="B2B2B2"/>
            </w:tcBorders>
          </w:tcPr>
          <w:p>
            <w:pPr>
              <w:spacing w:after="0"/>
              <w:rPr>
                <w:sz w:val="16"/>
                <w:szCs w:val="16"/>
                <w:color w:val="auto"/>
              </w:rPr>
            </w:pPr>
          </w:p>
        </w:tc>
        <w:tc>
          <w:tcPr>
            <w:tcW w:w="1040" w:type="dxa"/>
            <w:vAlign w:val="bottom"/>
            <w:tcBorders>
              <w:bottom w:val="single" w:sz="8" w:color="B2B2B2"/>
            </w:tcBorders>
          </w:tcPr>
          <w:p>
            <w:pPr>
              <w:spacing w:after="0"/>
              <w:rPr>
                <w:sz w:val="16"/>
                <w:szCs w:val="16"/>
                <w:color w:val="auto"/>
              </w:rPr>
            </w:pPr>
          </w:p>
        </w:tc>
      </w:tr>
      <w:tr>
        <w:trPr>
          <w:trHeight w:val="222"/>
        </w:trPr>
        <w:tc>
          <w:tcPr>
            <w:tcW w:w="980" w:type="dxa"/>
            <w:vAlign w:val="bottom"/>
            <w:tcBorders>
              <w:right w:val="single" w:sz="8" w:color="B2B2B2"/>
            </w:tcBorders>
          </w:tcPr>
          <w:p>
            <w:pPr>
              <w:ind w:left="20"/>
              <w:spacing w:after="0"/>
              <w:rPr>
                <w:sz w:val="20"/>
                <w:szCs w:val="20"/>
                <w:color w:val="auto"/>
              </w:rPr>
            </w:pPr>
            <w:r>
              <w:rPr>
                <w:rFonts w:ascii="Arial" w:cs="Arial" w:eastAsia="Arial" w:hAnsi="Arial"/>
                <w:sz w:val="16"/>
                <w:szCs w:val="16"/>
                <w:b w:val="1"/>
                <w:bCs w:val="1"/>
                <w:color w:val="auto"/>
              </w:rPr>
              <w:t>PSUs</w:t>
            </w:r>
          </w:p>
        </w:tc>
        <w:tc>
          <w:tcPr>
            <w:tcW w:w="80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~88%</w:t>
            </w:r>
          </w:p>
        </w:tc>
        <w:tc>
          <w:tcPr>
            <w:tcW w:w="78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9"/>
              </w:rPr>
              <w:t>30%</w:t>
            </w:r>
          </w:p>
        </w:tc>
        <w:tc>
          <w:tcPr>
            <w:tcW w:w="4980" w:type="dxa"/>
            <w:vAlign w:val="bottom"/>
            <w:tcBorders>
              <w:right w:val="single" w:sz="8" w:color="B2B2B2"/>
            </w:tcBorders>
          </w:tcPr>
          <w:p>
            <w:pPr>
              <w:ind w:left="300"/>
              <w:spacing w:after="0"/>
              <w:rPr>
                <w:sz w:val="20"/>
                <w:szCs w:val="20"/>
                <w:color w:val="auto"/>
              </w:rPr>
            </w:pPr>
            <w:r>
              <w:rPr>
                <w:rFonts w:ascii="Arial" w:cs="Arial" w:eastAsia="Arial" w:hAnsi="Arial"/>
                <w:sz w:val="16"/>
                <w:szCs w:val="16"/>
                <w:color w:val="auto"/>
              </w:rPr>
              <w:t>fluctuates with stock price performance</w:t>
            </w:r>
          </w:p>
        </w:tc>
        <w:tc>
          <w:tcPr>
            <w:tcW w:w="22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244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Combined period of</w:t>
            </w:r>
          </w:p>
        </w:tc>
        <w:tc>
          <w:tcPr>
            <w:tcW w:w="1040" w:type="dxa"/>
            <w:vAlign w:val="bottom"/>
          </w:tcPr>
          <w:p>
            <w:pPr>
              <w:spacing w:after="0"/>
              <w:rPr>
                <w:sz w:val="19"/>
                <w:szCs w:val="19"/>
                <w:color w:val="auto"/>
              </w:rPr>
            </w:pPr>
          </w:p>
        </w:tc>
      </w:tr>
      <w:tr>
        <w:trPr>
          <w:trHeight w:val="216"/>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PSUs reinforce accountability through objective performance</w:t>
            </w:r>
          </w:p>
        </w:tc>
        <w:tc>
          <w:tcPr>
            <w:tcW w:w="220" w:type="dxa"/>
            <w:vAlign w:val="bottom"/>
          </w:tcPr>
          <w:p>
            <w:pPr>
              <w:spacing w:after="0"/>
              <w:rPr>
                <w:sz w:val="18"/>
                <w:szCs w:val="18"/>
                <w:color w:val="auto"/>
              </w:rPr>
            </w:pPr>
          </w:p>
        </w:tc>
        <w:tc>
          <w:tcPr>
            <w:tcW w:w="244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approximately five years prior to</w:t>
            </w:r>
          </w:p>
        </w:tc>
        <w:tc>
          <w:tcPr>
            <w:tcW w:w="1040" w:type="dxa"/>
            <w:vAlign w:val="bottom"/>
          </w:tcPr>
          <w:p>
            <w:pPr>
              <w:spacing w:after="0"/>
              <w:rPr>
                <w:sz w:val="18"/>
                <w:szCs w:val="18"/>
                <w:color w:val="auto"/>
              </w:rPr>
            </w:pPr>
          </w:p>
        </w:tc>
      </w:tr>
      <w:tr>
        <w:trPr>
          <w:trHeight w:val="215"/>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ind w:left="300"/>
              <w:spacing w:after="0"/>
              <w:rPr>
                <w:sz w:val="20"/>
                <w:szCs w:val="20"/>
                <w:color w:val="auto"/>
              </w:rPr>
            </w:pPr>
            <w:r>
              <w:rPr>
                <w:rFonts w:ascii="Arial" w:cs="Arial" w:eastAsia="Arial" w:hAnsi="Arial"/>
                <w:sz w:val="16"/>
                <w:szCs w:val="16"/>
                <w:color w:val="auto"/>
              </w:rPr>
              <w:t>conditions based on absolute and relative ROTCE</w:t>
            </w:r>
          </w:p>
        </w:tc>
        <w:tc>
          <w:tcPr>
            <w:tcW w:w="220" w:type="dxa"/>
            <w:vAlign w:val="bottom"/>
          </w:tcPr>
          <w:p>
            <w:pPr>
              <w:spacing w:after="0"/>
              <w:rPr>
                <w:sz w:val="18"/>
                <w:szCs w:val="18"/>
                <w:color w:val="auto"/>
              </w:rPr>
            </w:pPr>
          </w:p>
        </w:tc>
        <w:tc>
          <w:tcPr>
            <w:tcW w:w="244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transferability/sale:</w:t>
            </w:r>
          </w:p>
        </w:tc>
        <w:tc>
          <w:tcPr>
            <w:tcW w:w="1040" w:type="dxa"/>
            <w:vAlign w:val="bottom"/>
          </w:tcPr>
          <w:p>
            <w:pPr>
              <w:spacing w:after="0"/>
              <w:rPr>
                <w:sz w:val="18"/>
                <w:szCs w:val="18"/>
                <w:color w:val="auto"/>
              </w:rPr>
            </w:pPr>
          </w:p>
        </w:tc>
      </w:tr>
      <w:tr>
        <w:trPr>
          <w:trHeight w:val="204"/>
        </w:trPr>
        <w:tc>
          <w:tcPr>
            <w:tcW w:w="980" w:type="dxa"/>
            <w:vAlign w:val="bottom"/>
            <w:tcBorders>
              <w:right w:val="single" w:sz="8" w:color="B2B2B2"/>
            </w:tcBorders>
          </w:tcPr>
          <w:p>
            <w:pPr>
              <w:spacing w:after="0"/>
              <w:rPr>
                <w:sz w:val="17"/>
                <w:szCs w:val="17"/>
                <w:color w:val="auto"/>
              </w:rPr>
            </w:pPr>
          </w:p>
        </w:tc>
        <w:tc>
          <w:tcPr>
            <w:tcW w:w="800" w:type="dxa"/>
            <w:vAlign w:val="bottom"/>
            <w:tcBorders>
              <w:right w:val="single" w:sz="8" w:color="B2B2B2"/>
            </w:tcBorders>
          </w:tcPr>
          <w:p>
            <w:pPr>
              <w:spacing w:after="0"/>
              <w:rPr>
                <w:sz w:val="17"/>
                <w:szCs w:val="17"/>
                <w:color w:val="auto"/>
              </w:rPr>
            </w:pPr>
          </w:p>
        </w:tc>
        <w:tc>
          <w:tcPr>
            <w:tcW w:w="780" w:type="dxa"/>
            <w:vAlign w:val="bottom"/>
            <w:tcBorders>
              <w:right w:val="single" w:sz="8" w:color="B2B2B2"/>
            </w:tcBorders>
          </w:tcPr>
          <w:p>
            <w:pPr>
              <w:spacing w:after="0"/>
              <w:rPr>
                <w:sz w:val="17"/>
                <w:szCs w:val="17"/>
                <w:color w:val="auto"/>
              </w:rPr>
            </w:pP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PSU payout of 0–150% is settled in shares</w:t>
            </w:r>
          </w:p>
        </w:tc>
        <w:tc>
          <w:tcPr>
            <w:tcW w:w="220" w:type="dxa"/>
            <w:vAlign w:val="bottom"/>
          </w:tcPr>
          <w:p>
            <w:pPr>
              <w:spacing w:after="0"/>
              <w:rPr>
                <w:sz w:val="17"/>
                <w:szCs w:val="17"/>
                <w:color w:val="auto"/>
              </w:rPr>
            </w:pPr>
          </w:p>
        </w:tc>
        <w:tc>
          <w:tcPr>
            <w:tcW w:w="244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 Award cliff-vests at the end of</w:t>
            </w:r>
          </w:p>
        </w:tc>
        <w:tc>
          <w:tcPr>
            <w:tcW w:w="1040" w:type="dxa"/>
            <w:vAlign w:val="bottom"/>
          </w:tcPr>
          <w:p>
            <w:pPr>
              <w:spacing w:after="0"/>
              <w:rPr>
                <w:sz w:val="17"/>
                <w:szCs w:val="17"/>
                <w:color w:val="auto"/>
              </w:rPr>
            </w:pPr>
          </w:p>
        </w:tc>
      </w:tr>
      <w:tr>
        <w:trPr>
          <w:trHeight w:val="216"/>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equivalents accrue on PSUs and are subject to the</w:t>
            </w:r>
          </w:p>
        </w:tc>
        <w:tc>
          <w:tcPr>
            <w:tcW w:w="220" w:type="dxa"/>
            <w:vAlign w:val="bottom"/>
          </w:tcPr>
          <w:p>
            <w:pPr>
              <w:spacing w:after="0"/>
              <w:rPr>
                <w:sz w:val="18"/>
                <w:szCs w:val="18"/>
                <w:color w:val="auto"/>
              </w:rPr>
            </w:pPr>
          </w:p>
        </w:tc>
        <w:tc>
          <w:tcPr>
            <w:tcW w:w="244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the three-year performance</w:t>
            </w:r>
          </w:p>
        </w:tc>
        <w:tc>
          <w:tcPr>
            <w:tcW w:w="1040" w:type="dxa"/>
            <w:vAlign w:val="bottom"/>
          </w:tcPr>
          <w:p>
            <w:pPr>
              <w:spacing w:after="0"/>
              <w:rPr>
                <w:sz w:val="18"/>
                <w:szCs w:val="18"/>
                <w:color w:val="auto"/>
              </w:rPr>
            </w:pPr>
          </w:p>
        </w:tc>
      </w:tr>
      <w:tr>
        <w:trPr>
          <w:trHeight w:val="216"/>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ind w:left="300"/>
              <w:spacing w:after="0"/>
              <w:rPr>
                <w:sz w:val="20"/>
                <w:szCs w:val="20"/>
                <w:color w:val="auto"/>
              </w:rPr>
            </w:pPr>
            <w:r>
              <w:rPr>
                <w:rFonts w:ascii="Arial" w:cs="Arial" w:eastAsia="Arial" w:hAnsi="Arial"/>
                <w:sz w:val="16"/>
                <w:szCs w:val="16"/>
                <w:color w:val="auto"/>
              </w:rPr>
              <w:t>same vesting, performance and clawback provisions as the</w:t>
            </w:r>
          </w:p>
        </w:tc>
        <w:tc>
          <w:tcPr>
            <w:tcW w:w="220" w:type="dxa"/>
            <w:vAlign w:val="bottom"/>
          </w:tcPr>
          <w:p>
            <w:pPr>
              <w:spacing w:after="0"/>
              <w:rPr>
                <w:sz w:val="18"/>
                <w:szCs w:val="18"/>
                <w:color w:val="auto"/>
              </w:rPr>
            </w:pPr>
          </w:p>
        </w:tc>
        <w:tc>
          <w:tcPr>
            <w:tcW w:w="244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period</w:t>
            </w:r>
          </w:p>
        </w:tc>
        <w:tc>
          <w:tcPr>
            <w:tcW w:w="1040" w:type="dxa"/>
            <w:vAlign w:val="bottom"/>
          </w:tcPr>
          <w:p>
            <w:pPr>
              <w:spacing w:after="0"/>
              <w:rPr>
                <w:sz w:val="18"/>
                <w:szCs w:val="18"/>
                <w:color w:val="auto"/>
              </w:rPr>
            </w:pPr>
          </w:p>
        </w:tc>
      </w:tr>
      <w:tr>
        <w:trPr>
          <w:trHeight w:val="228"/>
        </w:trPr>
        <w:tc>
          <w:tcPr>
            <w:tcW w:w="980" w:type="dxa"/>
            <w:vAlign w:val="bottom"/>
            <w:tcBorders>
              <w:right w:val="single" w:sz="8" w:color="B2B2B2"/>
            </w:tcBorders>
          </w:tcPr>
          <w:p>
            <w:pPr>
              <w:spacing w:after="0"/>
              <w:rPr>
                <w:sz w:val="19"/>
                <w:szCs w:val="19"/>
                <w:color w:val="auto"/>
              </w:rPr>
            </w:pPr>
          </w:p>
        </w:tc>
        <w:tc>
          <w:tcPr>
            <w:tcW w:w="800" w:type="dxa"/>
            <w:vAlign w:val="bottom"/>
            <w:tcBorders>
              <w:right w:val="single" w:sz="8" w:color="B2B2B2"/>
            </w:tcBorders>
          </w:tcPr>
          <w:p>
            <w:pPr>
              <w:spacing w:after="0"/>
              <w:rPr>
                <w:sz w:val="19"/>
                <w:szCs w:val="19"/>
                <w:color w:val="auto"/>
              </w:rPr>
            </w:pPr>
          </w:p>
        </w:tc>
        <w:tc>
          <w:tcPr>
            <w:tcW w:w="780" w:type="dxa"/>
            <w:vAlign w:val="bottom"/>
            <w:tcBorders>
              <w:right w:val="single" w:sz="8" w:color="B2B2B2"/>
            </w:tcBorders>
          </w:tcPr>
          <w:p>
            <w:pPr>
              <w:spacing w:after="0"/>
              <w:rPr>
                <w:sz w:val="19"/>
                <w:szCs w:val="19"/>
                <w:color w:val="auto"/>
              </w:rPr>
            </w:pPr>
          </w:p>
        </w:tc>
        <w:tc>
          <w:tcPr>
            <w:tcW w:w="4980" w:type="dxa"/>
            <w:vAlign w:val="bottom"/>
            <w:tcBorders>
              <w:right w:val="single" w:sz="8" w:color="B2B2B2"/>
            </w:tcBorders>
          </w:tcPr>
          <w:p>
            <w:pPr>
              <w:ind w:left="300"/>
              <w:spacing w:after="0"/>
              <w:rPr>
                <w:sz w:val="20"/>
                <w:szCs w:val="20"/>
                <w:color w:val="auto"/>
              </w:rPr>
            </w:pPr>
            <w:r>
              <w:rPr>
                <w:rFonts w:ascii="Arial" w:cs="Arial" w:eastAsia="Arial" w:hAnsi="Arial"/>
                <w:sz w:val="16"/>
                <w:szCs w:val="16"/>
                <w:color w:val="auto"/>
              </w:rPr>
              <w:t>underlying PSUs</w:t>
            </w:r>
          </w:p>
        </w:tc>
        <w:tc>
          <w:tcPr>
            <w:tcW w:w="220" w:type="dxa"/>
            <w:vAlign w:val="bottom"/>
          </w:tcPr>
          <w:p>
            <w:pPr>
              <w:spacing w:after="0"/>
              <w:rPr>
                <w:sz w:val="19"/>
                <w:szCs w:val="19"/>
                <w:color w:val="auto"/>
              </w:rPr>
            </w:pPr>
          </w:p>
        </w:tc>
        <w:tc>
          <w:tcPr>
            <w:tcW w:w="244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 Subject to a two-year hold</w:t>
            </w:r>
          </w:p>
        </w:tc>
        <w:tc>
          <w:tcPr>
            <w:tcW w:w="1040" w:type="dxa"/>
            <w:vAlign w:val="bottom"/>
          </w:tcPr>
          <w:p>
            <w:pPr>
              <w:spacing w:after="0"/>
              <w:rPr>
                <w:sz w:val="19"/>
                <w:szCs w:val="19"/>
                <w:color w:val="auto"/>
              </w:rPr>
            </w:pPr>
          </w:p>
        </w:tc>
      </w:tr>
      <w:tr>
        <w:trPr>
          <w:trHeight w:val="216"/>
        </w:trPr>
        <w:tc>
          <w:tcPr>
            <w:tcW w:w="980" w:type="dxa"/>
            <w:vAlign w:val="bottom"/>
            <w:tcBorders>
              <w:right w:val="single" w:sz="8" w:color="B2B2B2"/>
            </w:tcBorders>
          </w:tcPr>
          <w:p>
            <w:pPr>
              <w:spacing w:after="0"/>
              <w:rPr>
                <w:sz w:val="18"/>
                <w:szCs w:val="18"/>
                <w:color w:val="auto"/>
              </w:rPr>
            </w:pPr>
          </w:p>
        </w:tc>
        <w:tc>
          <w:tcPr>
            <w:tcW w:w="8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4980" w:type="dxa"/>
            <w:vAlign w:val="bottom"/>
            <w:tcBorders>
              <w:right w:val="single" w:sz="8" w:color="B2B2B2"/>
            </w:tcBorders>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after vesting</w:t>
            </w:r>
          </w:p>
        </w:tc>
        <w:tc>
          <w:tcPr>
            <w:tcW w:w="1040" w:type="dxa"/>
            <w:vAlign w:val="bottom"/>
          </w:tcPr>
          <w:p>
            <w:pPr>
              <w:spacing w:after="0"/>
              <w:rPr>
                <w:sz w:val="18"/>
                <w:szCs w:val="18"/>
                <w:color w:val="auto"/>
              </w:rPr>
            </w:pPr>
          </w:p>
        </w:tc>
      </w:tr>
      <w:tr>
        <w:trPr>
          <w:trHeight w:val="515"/>
        </w:trPr>
        <w:tc>
          <w:tcPr>
            <w:tcW w:w="980" w:type="dxa"/>
            <w:vAlign w:val="bottom"/>
            <w:tcBorders>
              <w:right w:val="single" w:sz="8" w:color="B2B2B2"/>
            </w:tcBorders>
          </w:tcPr>
          <w:p>
            <w:pPr>
              <w:spacing w:after="0"/>
              <w:rPr>
                <w:sz w:val="24"/>
                <w:szCs w:val="24"/>
                <w:color w:val="auto"/>
              </w:rPr>
            </w:pPr>
          </w:p>
        </w:tc>
        <w:tc>
          <w:tcPr>
            <w:tcW w:w="800" w:type="dxa"/>
            <w:vAlign w:val="bottom"/>
            <w:tcBorders>
              <w:right w:val="single" w:sz="8" w:color="B2B2B2"/>
            </w:tcBorders>
          </w:tcPr>
          <w:p>
            <w:pPr>
              <w:spacing w:after="0"/>
              <w:rPr>
                <w:sz w:val="24"/>
                <w:szCs w:val="24"/>
                <w:color w:val="auto"/>
              </w:rPr>
            </w:pPr>
          </w:p>
        </w:tc>
        <w:tc>
          <w:tcPr>
            <w:tcW w:w="780" w:type="dxa"/>
            <w:vAlign w:val="bottom"/>
            <w:tcBorders>
              <w:right w:val="single" w:sz="8" w:color="B2B2B2"/>
            </w:tcBorders>
          </w:tcPr>
          <w:p>
            <w:pPr>
              <w:spacing w:after="0"/>
              <w:rPr>
                <w:sz w:val="24"/>
                <w:szCs w:val="24"/>
                <w:color w:val="auto"/>
              </w:rPr>
            </w:pPr>
          </w:p>
        </w:tc>
        <w:tc>
          <w:tcPr>
            <w:tcW w:w="4980" w:type="dxa"/>
            <w:vAlign w:val="bottom"/>
            <w:tcBorders>
              <w:right w:val="single" w:sz="8" w:color="B2B2B2"/>
            </w:tcBorders>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Borders>
              <w:right w:val="single" w:sz="8" w:color="B2B2B2"/>
            </w:tcBorders>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9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4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-3197225</wp:posOffset>
            </wp:positionV>
            <wp:extent cx="120015" cy="9398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-2673985</wp:posOffset>
            </wp:positionV>
            <wp:extent cx="120015" cy="9398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-1422400</wp:posOffset>
            </wp:positionV>
            <wp:extent cx="120015" cy="9398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55" w:lineRule="exact"/>
        <w:rPr>
          <w:sz w:val="20"/>
          <w:szCs w:val="20"/>
          <w:color w:val="auto"/>
        </w:rPr>
      </w:pPr>
    </w:p>
    <w:p>
      <w:pPr>
        <w:ind w:left="200" w:hanging="192"/>
        <w:spacing w:after="0"/>
        <w:tabs>
          <w:tab w:leader="none" w:pos="200" w:val="left"/>
        </w:tabs>
        <w:numPr>
          <w:ilvl w:val="0"/>
          <w:numId w:val="156"/>
        </w:numPr>
        <w:rPr>
          <w:rFonts w:ascii="Arial" w:cs="Arial" w:eastAsia="Arial" w:hAnsi="Arial"/>
          <w:sz w:val="19"/>
          <w:szCs w:val="19"/>
          <w:color w:val="auto"/>
          <w:vertAlign w:val="superscript"/>
        </w:rPr>
      </w:pPr>
      <w:r>
        <w:rPr>
          <w:rFonts w:ascii="Arial" w:cs="Arial" w:eastAsia="Arial" w:hAnsi="Arial"/>
          <w:sz w:val="13"/>
          <w:szCs w:val="13"/>
          <w:color w:val="auto"/>
        </w:rPr>
        <w:t>For Mr. Pinto's 2025 variable compensation mix, refer to Note 1 on page 40.</w:t>
      </w:r>
    </w:p>
    <w:p>
      <w:pPr>
        <w:ind w:left="200" w:hanging="192"/>
        <w:spacing w:after="0" w:line="181" w:lineRule="auto"/>
        <w:tabs>
          <w:tab w:leader="none" w:pos="200" w:val="left"/>
        </w:tabs>
        <w:numPr>
          <w:ilvl w:val="0"/>
          <w:numId w:val="157"/>
        </w:numPr>
        <w:rPr>
          <w:rFonts w:ascii="Arial" w:cs="Arial" w:eastAsia="Arial" w:hAnsi="Arial"/>
          <w:sz w:val="19"/>
          <w:szCs w:val="19"/>
          <w:color w:val="auto"/>
          <w:vertAlign w:val="superscript"/>
        </w:rPr>
      </w:pPr>
      <w:r>
        <w:rPr>
          <w:rFonts w:ascii="Arial" w:cs="Arial" w:eastAsia="Arial" w:hAnsi="Arial"/>
          <w:sz w:val="13"/>
          <w:szCs w:val="13"/>
          <w:color w:val="auto"/>
        </w:rPr>
        <w:t>Additional information on recovery and clawback provisions is provided on page 52.</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Option grants and material non-public information</w:t>
      </w:r>
    </w:p>
    <w:p>
      <w:pPr>
        <w:spacing w:after="0" w:line="31" w:lineRule="exact"/>
        <w:rPr>
          <w:sz w:val="20"/>
          <w:szCs w:val="20"/>
          <w:color w:val="auto"/>
        </w:rPr>
      </w:pPr>
    </w:p>
    <w:p>
      <w:pPr>
        <w:ind w:right="260"/>
        <w:spacing w:after="0" w:line="320" w:lineRule="auto"/>
        <w:rPr>
          <w:sz w:val="20"/>
          <w:szCs w:val="20"/>
          <w:color w:val="auto"/>
        </w:rPr>
      </w:pPr>
      <w:r>
        <w:rPr>
          <w:rFonts w:ascii="Arial" w:cs="Arial" w:eastAsia="Arial" w:hAnsi="Arial"/>
          <w:sz w:val="16"/>
          <w:szCs w:val="16"/>
          <w:color w:val="auto"/>
        </w:rPr>
        <w:t>In 2025, the CMDC did not grant any stock options or stock appreciation rights ("SARs") to any OC member. Additionally, we do not time the disclosure of material non-public information for the purpose of affecting the value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313690</wp:posOffset>
            </wp:positionV>
            <wp:extent cx="651510" cy="8572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2860" w:type="dxa"/>
            <w:vAlign w:val="bottom"/>
            <w:tcBorders>
              <w:top w:val="single" w:sz="8" w:color="A6D7F0"/>
            </w:tcBorders>
            <w:shd w:val="clear" w:color="auto" w:fill="A6D7F0"/>
          </w:tcPr>
          <w:p>
            <w:pPr>
              <w:ind w:left="280"/>
              <w:spacing w:after="0"/>
              <w:rPr>
                <w:sz w:val="20"/>
                <w:szCs w:val="20"/>
                <w:color w:val="auto"/>
              </w:rPr>
            </w:pPr>
            <w:r>
              <w:rPr>
                <w:rFonts w:ascii="Arial" w:cs="Arial" w:eastAsia="Arial" w:hAnsi="Arial"/>
                <w:sz w:val="14"/>
                <w:szCs w:val="14"/>
                <w:b w:val="1"/>
                <w:bCs w:val="1"/>
                <w:color w:val="auto"/>
              </w:rPr>
              <w:t>How we think about pay decisions</w:t>
            </w:r>
          </w:p>
        </w:tc>
        <w:tc>
          <w:tcPr>
            <w:tcW w:w="420" w:type="dxa"/>
            <w:vAlign w:val="bottom"/>
            <w:tcBorders>
              <w:right w:val="single" w:sz="8" w:color="auto"/>
            </w:tcBorders>
          </w:tcPr>
          <w:p>
            <w:pPr>
              <w:spacing w:after="0"/>
              <w:rPr>
                <w:sz w:val="24"/>
                <w:szCs w:val="24"/>
                <w:color w:val="auto"/>
              </w:rPr>
            </w:pPr>
          </w:p>
        </w:tc>
        <w:tc>
          <w:tcPr>
            <w:tcW w:w="41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4"/>
                <w:szCs w:val="14"/>
                <w:color w:val="8F5A39"/>
              </w:rPr>
              <w:t>How we performed against our business strategy</w:t>
            </w:r>
          </w:p>
        </w:tc>
        <w:tc>
          <w:tcPr>
            <w:tcW w:w="400" w:type="dxa"/>
            <w:vAlign w:val="bottom"/>
            <w:tcBorders>
              <w:right w:val="single" w:sz="8" w:color="auto"/>
            </w:tcBorders>
          </w:tcPr>
          <w:p>
            <w:pPr>
              <w:spacing w:after="0"/>
              <w:rPr>
                <w:sz w:val="24"/>
                <w:szCs w:val="24"/>
                <w:color w:val="auto"/>
              </w:rPr>
            </w:pPr>
          </w:p>
        </w:tc>
        <w:tc>
          <w:tcPr>
            <w:tcW w:w="342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4"/>
                <w:szCs w:val="14"/>
                <w:color w:val="8F5A39"/>
              </w:rPr>
              <w:t>How performance determined pay in 2025</w:t>
            </w:r>
          </w:p>
        </w:tc>
      </w:tr>
      <w:tr>
        <w:trPr>
          <w:trHeight w:val="97"/>
        </w:trPr>
        <w:tc>
          <w:tcPr>
            <w:tcW w:w="2860" w:type="dxa"/>
            <w:vAlign w:val="bottom"/>
            <w:shd w:val="clear" w:color="auto" w:fill="A6D7F0"/>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4140" w:type="dxa"/>
            <w:vAlign w:val="bottom"/>
            <w:tcBorders>
              <w:bottom w:val="single" w:sz="8" w:color="auto"/>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-196850</wp:posOffset>
            </wp:positionV>
            <wp:extent cx="120015" cy="9398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-196850</wp:posOffset>
            </wp:positionV>
            <wp:extent cx="120015" cy="9398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Performance Share Unit program</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key features of our 2025 PSU program are substantially unchanged and are summarized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8F5A39"/>
              </w:rPr>
              <w:t>Plan Feature</w:t>
            </w:r>
          </w:p>
        </w:tc>
        <w:tc>
          <w:tcPr>
            <w:tcW w:w="9280" w:type="dxa"/>
            <w:vAlign w:val="bottom"/>
            <w:tcBorders>
              <w:bottom w:val="single" w:sz="8" w:color="auto"/>
            </w:tcBorders>
          </w:tcPr>
          <w:p>
            <w:pPr>
              <w:ind w:left="3080"/>
              <w:spacing w:after="0"/>
              <w:rPr>
                <w:sz w:val="20"/>
                <w:szCs w:val="20"/>
                <w:color w:val="auto"/>
              </w:rPr>
            </w:pPr>
            <w:r>
              <w:rPr>
                <w:rFonts w:ascii="Arial" w:cs="Arial" w:eastAsia="Arial" w:hAnsi="Arial"/>
                <w:sz w:val="14"/>
                <w:szCs w:val="14"/>
                <w:b w:val="1"/>
                <w:bCs w:val="1"/>
                <w:color w:val="8F5A39"/>
              </w:rPr>
              <w:t>Performance Year 2025 PSU Award Description</w:t>
            </w:r>
          </w:p>
        </w:tc>
      </w:tr>
      <w:tr>
        <w:trPr>
          <w:trHeight w:val="214"/>
        </w:trPr>
        <w:tc>
          <w:tcPr>
            <w:tcW w:w="1960" w:type="dxa"/>
            <w:vAlign w:val="bottom"/>
            <w:tcBorders>
              <w:top w:val="single" w:sz="8" w:color="F4EFE7"/>
            </w:tcBorders>
          </w:tcPr>
          <w:p>
            <w:pPr>
              <w:ind w:left="100"/>
              <w:spacing w:after="0"/>
              <w:rPr>
                <w:sz w:val="20"/>
                <w:szCs w:val="20"/>
                <w:color w:val="auto"/>
              </w:rPr>
            </w:pPr>
            <w:r>
              <w:rPr>
                <w:rFonts w:ascii="Arial" w:cs="Arial" w:eastAsia="Arial" w:hAnsi="Arial"/>
                <w:sz w:val="14"/>
                <w:szCs w:val="14"/>
                <w:b w:val="1"/>
                <w:bCs w:val="1"/>
                <w:color w:val="8F5A39"/>
              </w:rPr>
              <w:t>Vehicle</w:t>
            </w:r>
          </w:p>
        </w:tc>
        <w:tc>
          <w:tcPr>
            <w:tcW w:w="9280" w:type="dxa"/>
            <w:vAlign w:val="bottom"/>
          </w:tcPr>
          <w:p>
            <w:pPr>
              <w:ind w:left="1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Value of units moves with stock price during performance period; units are settled in shares at vesting.</w:t>
            </w:r>
          </w:p>
        </w:tc>
      </w:tr>
      <w:tr>
        <w:trPr>
          <w:trHeight w:val="204"/>
        </w:trPr>
        <w:tc>
          <w:tcPr>
            <w:tcW w:w="1960" w:type="dxa"/>
            <w:vAlign w:val="bottom"/>
            <w:tcBorders>
              <w:bottom w:val="single" w:sz="8" w:color="BCBEC0"/>
            </w:tcBorders>
          </w:tcPr>
          <w:p>
            <w:pPr>
              <w:spacing w:after="0"/>
              <w:rPr>
                <w:sz w:val="17"/>
                <w:szCs w:val="17"/>
                <w:color w:val="auto"/>
              </w:rPr>
            </w:pPr>
          </w:p>
        </w:tc>
        <w:tc>
          <w:tcPr>
            <w:tcW w:w="9280" w:type="dxa"/>
            <w:vAlign w:val="bottom"/>
            <w:tcBorders>
              <w:bottom w:val="single" w:sz="8" w:color="BCBEC0"/>
            </w:tcBorders>
          </w:tcPr>
          <w:p>
            <w:pPr>
              <w:spacing w:after="0"/>
              <w:rPr>
                <w:sz w:val="17"/>
                <w:szCs w:val="17"/>
                <w:color w:val="auto"/>
              </w:rPr>
            </w:pPr>
          </w:p>
        </w:tc>
      </w:tr>
      <w:tr>
        <w:trPr>
          <w:trHeight w:val="248"/>
        </w:trPr>
        <w:tc>
          <w:tcPr>
            <w:tcW w:w="1960" w:type="dxa"/>
            <w:vAlign w:val="bottom"/>
          </w:tcPr>
          <w:p>
            <w:pPr>
              <w:ind w:left="100"/>
              <w:spacing w:after="0"/>
              <w:rPr>
                <w:sz w:val="20"/>
                <w:szCs w:val="20"/>
                <w:color w:val="auto"/>
              </w:rPr>
            </w:pPr>
            <w:r>
              <w:rPr>
                <w:rFonts w:ascii="Arial" w:cs="Arial" w:eastAsia="Arial" w:hAnsi="Arial"/>
                <w:sz w:val="14"/>
                <w:szCs w:val="14"/>
                <w:b w:val="1"/>
                <w:bCs w:val="1"/>
                <w:color w:val="8F5A39"/>
              </w:rPr>
              <w:t>Time Horizon</w:t>
            </w:r>
          </w:p>
        </w:tc>
        <w:tc>
          <w:tcPr>
            <w:tcW w:w="9280" w:type="dxa"/>
            <w:vAlign w:val="bottom"/>
          </w:tcPr>
          <w:p>
            <w:pPr>
              <w:ind w:left="1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Three-year cliff-vesting, plus an additional two-year holding period (for a combined five-year holding period).</w:t>
            </w:r>
          </w:p>
        </w:tc>
      </w:tr>
      <w:tr>
        <w:trPr>
          <w:trHeight w:val="204"/>
        </w:trPr>
        <w:tc>
          <w:tcPr>
            <w:tcW w:w="1960" w:type="dxa"/>
            <w:vAlign w:val="bottom"/>
            <w:tcBorders>
              <w:bottom w:val="single" w:sz="8" w:color="BCBEC0"/>
            </w:tcBorders>
          </w:tcPr>
          <w:p>
            <w:pPr>
              <w:spacing w:after="0"/>
              <w:rPr>
                <w:sz w:val="17"/>
                <w:szCs w:val="17"/>
                <w:color w:val="auto"/>
              </w:rPr>
            </w:pPr>
          </w:p>
        </w:tc>
        <w:tc>
          <w:tcPr>
            <w:tcW w:w="9280" w:type="dxa"/>
            <w:vAlign w:val="bottom"/>
            <w:tcBorders>
              <w:bottom w:val="single" w:sz="8" w:color="BCBEC0"/>
            </w:tcBorders>
          </w:tcPr>
          <w:p>
            <w:pPr>
              <w:spacing w:after="0"/>
              <w:rPr>
                <w:sz w:val="17"/>
                <w:szCs w:val="17"/>
                <w:color w:val="auto"/>
              </w:rPr>
            </w:pPr>
          </w:p>
        </w:tc>
      </w:tr>
      <w:tr>
        <w:trPr>
          <w:trHeight w:val="214"/>
        </w:trPr>
        <w:tc>
          <w:tcPr>
            <w:tcW w:w="1960" w:type="dxa"/>
            <w:vAlign w:val="bottom"/>
          </w:tcPr>
          <w:p>
            <w:pPr>
              <w:ind w:left="100"/>
              <w:spacing w:after="0"/>
              <w:rPr>
                <w:sz w:val="20"/>
                <w:szCs w:val="20"/>
                <w:color w:val="auto"/>
              </w:rPr>
            </w:pPr>
            <w:r>
              <w:rPr>
                <w:rFonts w:ascii="Arial" w:cs="Arial" w:eastAsia="Arial" w:hAnsi="Arial"/>
                <w:sz w:val="14"/>
                <w:szCs w:val="14"/>
                <w:b w:val="1"/>
                <w:bCs w:val="1"/>
                <w:color w:val="8F5A39"/>
              </w:rPr>
              <w:t>Performance</w:t>
            </w:r>
          </w:p>
        </w:tc>
        <w:tc>
          <w:tcPr>
            <w:tcW w:w="9280" w:type="dxa"/>
            <w:vAlign w:val="bottom"/>
          </w:tcPr>
          <w:p>
            <w:pPr>
              <w:ind w:left="1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The CMDC selected ROTCE, a comprehensive performance metric that measures the Firm’s net income applicable to common equity as a</w:t>
            </w:r>
          </w:p>
        </w:tc>
      </w:tr>
      <w:tr>
        <w:trPr>
          <w:trHeight w:val="176"/>
        </w:trPr>
        <w:tc>
          <w:tcPr>
            <w:tcW w:w="1960" w:type="dxa"/>
            <w:vAlign w:val="bottom"/>
          </w:tcPr>
          <w:p>
            <w:pPr>
              <w:ind w:left="100"/>
              <w:spacing w:after="0"/>
              <w:rPr>
                <w:sz w:val="20"/>
                <w:szCs w:val="20"/>
                <w:color w:val="auto"/>
              </w:rPr>
            </w:pPr>
            <w:r>
              <w:rPr>
                <w:rFonts w:ascii="Arial" w:cs="Arial" w:eastAsia="Arial" w:hAnsi="Arial"/>
                <w:sz w:val="14"/>
                <w:szCs w:val="14"/>
                <w:b w:val="1"/>
                <w:bCs w:val="1"/>
                <w:color w:val="8F5A39"/>
              </w:rPr>
              <w:t>Measure</w:t>
            </w:r>
          </w:p>
        </w:tc>
        <w:tc>
          <w:tcPr>
            <w:tcW w:w="9280" w:type="dxa"/>
            <w:vAlign w:val="bottom"/>
          </w:tcPr>
          <w:p>
            <w:pPr>
              <w:ind w:left="340"/>
              <w:spacing w:after="0"/>
              <w:rPr>
                <w:sz w:val="20"/>
                <w:szCs w:val="20"/>
                <w:color w:val="auto"/>
              </w:rPr>
            </w:pPr>
            <w:r>
              <w:rPr>
                <w:rFonts w:ascii="Arial" w:cs="Arial" w:eastAsia="Arial" w:hAnsi="Arial"/>
                <w:sz w:val="14"/>
                <w:szCs w:val="14"/>
                <w:color w:val="auto"/>
              </w:rPr>
              <w:t>percentage of average tangible common equity. ROTCE is used by the Firm, as well as investors and analysts, in assessing the earnings</w:t>
            </w:r>
          </w:p>
        </w:tc>
      </w:tr>
      <w:tr>
        <w:trPr>
          <w:trHeight w:val="190"/>
        </w:trPr>
        <w:tc>
          <w:tcPr>
            <w:tcW w:w="1960" w:type="dxa"/>
            <w:vAlign w:val="bottom"/>
          </w:tcPr>
          <w:p>
            <w:pPr>
              <w:spacing w:after="0"/>
              <w:rPr>
                <w:sz w:val="16"/>
                <w:szCs w:val="16"/>
                <w:color w:val="auto"/>
              </w:rPr>
            </w:pPr>
          </w:p>
        </w:tc>
        <w:tc>
          <w:tcPr>
            <w:tcW w:w="9280" w:type="dxa"/>
            <w:vAlign w:val="bottom"/>
          </w:tcPr>
          <w:p>
            <w:pPr>
              <w:ind w:left="340"/>
              <w:spacing w:after="0"/>
              <w:rPr>
                <w:sz w:val="20"/>
                <w:szCs w:val="20"/>
                <w:color w:val="auto"/>
              </w:rPr>
            </w:pPr>
            <w:r>
              <w:rPr>
                <w:rFonts w:ascii="Arial" w:cs="Arial" w:eastAsia="Arial" w:hAnsi="Arial"/>
                <w:sz w:val="14"/>
                <w:szCs w:val="14"/>
                <w:color w:val="auto"/>
              </w:rPr>
              <w:t>power of common shareholders’ equity capital and is a useful metric for comparing the profitability of the Firm with that of competitors.</w:t>
            </w:r>
          </w:p>
        </w:tc>
      </w:tr>
      <w:tr>
        <w:trPr>
          <w:trHeight w:val="197"/>
        </w:trPr>
        <w:tc>
          <w:tcPr>
            <w:tcW w:w="1960" w:type="dxa"/>
            <w:vAlign w:val="bottom"/>
            <w:tcBorders>
              <w:bottom w:val="single" w:sz="8" w:color="BCBEC0"/>
            </w:tcBorders>
          </w:tcPr>
          <w:p>
            <w:pPr>
              <w:spacing w:after="0"/>
              <w:rPr>
                <w:sz w:val="17"/>
                <w:szCs w:val="17"/>
                <w:color w:val="auto"/>
              </w:rPr>
            </w:pPr>
          </w:p>
        </w:tc>
        <w:tc>
          <w:tcPr>
            <w:tcW w:w="9280" w:type="dxa"/>
            <w:vAlign w:val="bottom"/>
            <w:tcBorders>
              <w:bottom w:val="single" w:sz="8" w:color="BCBEC0"/>
            </w:tcBorders>
          </w:tcPr>
          <w:p>
            <w:pPr>
              <w:spacing w:after="0"/>
              <w:rPr>
                <w:sz w:val="17"/>
                <w:szCs w:val="17"/>
                <w:color w:val="auto"/>
              </w:rPr>
            </w:pPr>
          </w:p>
        </w:tc>
      </w:tr>
      <w:tr>
        <w:trPr>
          <w:trHeight w:val="214"/>
        </w:trPr>
        <w:tc>
          <w:tcPr>
            <w:tcW w:w="1960" w:type="dxa"/>
            <w:vAlign w:val="bottom"/>
          </w:tcPr>
          <w:p>
            <w:pPr>
              <w:ind w:left="100"/>
              <w:spacing w:after="0"/>
              <w:rPr>
                <w:sz w:val="20"/>
                <w:szCs w:val="20"/>
                <w:color w:val="auto"/>
              </w:rPr>
            </w:pPr>
            <w:r>
              <w:rPr>
                <w:rFonts w:ascii="Arial" w:cs="Arial" w:eastAsia="Arial" w:hAnsi="Arial"/>
                <w:sz w:val="14"/>
                <w:szCs w:val="14"/>
                <w:b w:val="1"/>
                <w:bCs w:val="1"/>
                <w:color w:val="8F5A39"/>
              </w:rPr>
              <w:t>Payout Scale</w:t>
            </w:r>
          </w:p>
        </w:tc>
        <w:tc>
          <w:tcPr>
            <w:tcW w:w="9280" w:type="dxa"/>
            <w:vAlign w:val="bottom"/>
          </w:tcPr>
          <w:p>
            <w:pPr>
              <w:ind w:left="1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Payout under the PSU program is calculated at the end of the three-year performance period based on absolute and relative average</w:t>
            </w:r>
          </w:p>
        </w:tc>
      </w:tr>
      <w:tr>
        <w:trPr>
          <w:trHeight w:val="176"/>
        </w:trPr>
        <w:tc>
          <w:tcPr>
            <w:tcW w:w="1960" w:type="dxa"/>
            <w:vAlign w:val="bottom"/>
          </w:tcPr>
          <w:p>
            <w:pPr>
              <w:spacing w:after="0"/>
              <w:rPr>
                <w:sz w:val="15"/>
                <w:szCs w:val="15"/>
                <w:color w:val="auto"/>
              </w:rPr>
            </w:pPr>
          </w:p>
        </w:tc>
        <w:tc>
          <w:tcPr>
            <w:tcW w:w="9280" w:type="dxa"/>
            <w:vAlign w:val="bottom"/>
          </w:tcPr>
          <w:p>
            <w:pPr>
              <w:ind w:left="340"/>
              <w:spacing w:after="0"/>
              <w:rPr>
                <w:sz w:val="20"/>
                <w:szCs w:val="20"/>
                <w:color w:val="auto"/>
              </w:rPr>
            </w:pPr>
            <w:r>
              <w:rPr>
                <w:rFonts w:ascii="Arial" w:cs="Arial" w:eastAsia="Arial" w:hAnsi="Arial"/>
                <w:sz w:val="14"/>
                <w:szCs w:val="14"/>
                <w:color w:val="auto"/>
              </w:rPr>
              <w:t>ROTCE</w:t>
            </w:r>
            <w:r>
              <w:rPr>
                <w:rFonts w:ascii="Arial" w:cs="Arial" w:eastAsia="Arial" w:hAnsi="Arial"/>
                <w:sz w:val="9"/>
                <w:szCs w:val="9"/>
                <w:color w:val="auto"/>
              </w:rPr>
              <w:t>1</w:t>
            </w:r>
            <w:r>
              <w:rPr>
                <w:rFonts w:ascii="Arial" w:cs="Arial" w:eastAsia="Arial" w:hAnsi="Arial"/>
                <w:sz w:val="14"/>
                <w:szCs w:val="14"/>
                <w:color w:val="auto"/>
              </w:rPr>
              <w:t xml:space="preserve"> , per the payout scale below. The use of both absolute and relative ROTCE helps promote a reasonable outcome for both</w:t>
            </w:r>
          </w:p>
        </w:tc>
      </w:tr>
      <w:tr>
        <w:trPr>
          <w:trHeight w:val="162"/>
        </w:trPr>
        <w:tc>
          <w:tcPr>
            <w:tcW w:w="1960" w:type="dxa"/>
            <w:vAlign w:val="bottom"/>
          </w:tcPr>
          <w:p>
            <w:pPr>
              <w:spacing w:after="0"/>
              <w:rPr>
                <w:sz w:val="14"/>
                <w:szCs w:val="14"/>
                <w:color w:val="auto"/>
              </w:rPr>
            </w:pPr>
          </w:p>
        </w:tc>
        <w:tc>
          <w:tcPr>
            <w:tcW w:w="9280" w:type="dxa"/>
            <w:vAlign w:val="bottom"/>
          </w:tcPr>
          <w:p>
            <w:pPr>
              <w:ind w:left="340"/>
              <w:spacing w:after="0"/>
              <w:rPr>
                <w:sz w:val="20"/>
                <w:szCs w:val="20"/>
                <w:color w:val="auto"/>
              </w:rPr>
            </w:pPr>
            <w:r>
              <w:rPr>
                <w:rFonts w:ascii="Arial" w:cs="Arial" w:eastAsia="Arial" w:hAnsi="Arial"/>
                <w:sz w:val="14"/>
                <w:szCs w:val="14"/>
                <w:color w:val="auto"/>
              </w:rPr>
              <w:t>shareholders and participants. For the 2025 PSU award, the CMDC set the absolute ROTCE thresholds as follows: (1) maximum payout at</w:t>
            </w:r>
          </w:p>
        </w:tc>
      </w:tr>
      <w:tr>
        <w:trPr>
          <w:trHeight w:val="190"/>
        </w:trPr>
        <w:tc>
          <w:tcPr>
            <w:tcW w:w="1960" w:type="dxa"/>
            <w:vAlign w:val="bottom"/>
          </w:tcPr>
          <w:p>
            <w:pPr>
              <w:spacing w:after="0"/>
              <w:rPr>
                <w:sz w:val="16"/>
                <w:szCs w:val="16"/>
                <w:color w:val="auto"/>
              </w:rPr>
            </w:pPr>
          </w:p>
        </w:tc>
        <w:tc>
          <w:tcPr>
            <w:tcW w:w="9280" w:type="dxa"/>
            <w:vAlign w:val="bottom"/>
          </w:tcPr>
          <w:p>
            <w:pPr>
              <w:ind w:left="340"/>
              <w:spacing w:after="0"/>
              <w:rPr>
                <w:sz w:val="20"/>
                <w:szCs w:val="20"/>
                <w:color w:val="auto"/>
              </w:rPr>
            </w:pPr>
            <w:r>
              <w:rPr>
                <w:rFonts w:ascii="Arial" w:cs="Arial" w:eastAsia="Arial" w:hAnsi="Arial"/>
                <w:sz w:val="14"/>
                <w:szCs w:val="14"/>
                <w:color w:val="auto"/>
              </w:rPr>
              <w:t>18% or greater; and (2) zero payout at less than 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-1588770</wp:posOffset>
            </wp:positionV>
            <wp:extent cx="7132320" cy="4483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32320" cy="448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tcPr>
          <w:p>
            <w:pPr>
              <w:ind w:left="100"/>
              <w:spacing w:after="0"/>
              <w:rPr>
                <w:sz w:val="20"/>
                <w:szCs w:val="20"/>
                <w:color w:val="auto"/>
              </w:rPr>
            </w:pPr>
            <w:r>
              <w:rPr>
                <w:rFonts w:ascii="Arial" w:cs="Arial" w:eastAsia="Arial" w:hAnsi="Arial"/>
                <w:sz w:val="14"/>
                <w:szCs w:val="14"/>
                <w:b w:val="1"/>
                <w:bCs w:val="1"/>
                <w:color w:val="8F5A39"/>
              </w:rPr>
              <w:t>PSU Peers</w:t>
            </w:r>
          </w:p>
        </w:tc>
        <w:tc>
          <w:tcPr>
            <w:tcW w:w="9480" w:type="dxa"/>
            <w:vAlign w:val="bottom"/>
          </w:tcPr>
          <w:p>
            <w:pPr>
              <w:ind w:left="3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In determining companies to include in the relative ROTCE scale, the CMDC selected competitors with business activities that overlap with</w:t>
            </w:r>
          </w:p>
        </w:tc>
      </w:tr>
      <w:tr>
        <w:trPr>
          <w:trHeight w:val="175"/>
        </w:trPr>
        <w:tc>
          <w:tcPr>
            <w:tcW w:w="1760" w:type="dxa"/>
            <w:vAlign w:val="bottom"/>
          </w:tcPr>
          <w:p>
            <w:pPr>
              <w:spacing w:after="0"/>
              <w:rPr>
                <w:sz w:val="15"/>
                <w:szCs w:val="15"/>
                <w:color w:val="auto"/>
              </w:rPr>
            </w:pPr>
          </w:p>
        </w:tc>
        <w:tc>
          <w:tcPr>
            <w:tcW w:w="9480" w:type="dxa"/>
            <w:vAlign w:val="bottom"/>
          </w:tcPr>
          <w:p>
            <w:pPr>
              <w:ind w:left="540"/>
              <w:spacing w:after="0"/>
              <w:rPr>
                <w:sz w:val="20"/>
                <w:szCs w:val="20"/>
                <w:color w:val="auto"/>
              </w:rPr>
            </w:pPr>
            <w:r>
              <w:rPr>
                <w:rFonts w:ascii="Arial" w:cs="Arial" w:eastAsia="Arial" w:hAnsi="Arial"/>
                <w:sz w:val="14"/>
                <w:szCs w:val="14"/>
                <w:color w:val="auto"/>
              </w:rPr>
              <w:t>at least 30% of the Firm’s revenue mix. These include Bank of America, Barclays, Capital One Financial, Citigroup, Deutsche Bank,</w:t>
            </w:r>
          </w:p>
        </w:tc>
      </w:tr>
      <w:tr>
        <w:trPr>
          <w:trHeight w:val="190"/>
        </w:trPr>
        <w:tc>
          <w:tcPr>
            <w:tcW w:w="1760" w:type="dxa"/>
            <w:vAlign w:val="bottom"/>
          </w:tcPr>
          <w:p>
            <w:pPr>
              <w:spacing w:after="0"/>
              <w:rPr>
                <w:sz w:val="16"/>
                <w:szCs w:val="16"/>
                <w:color w:val="auto"/>
              </w:rPr>
            </w:pPr>
          </w:p>
        </w:tc>
        <w:tc>
          <w:tcPr>
            <w:tcW w:w="9480" w:type="dxa"/>
            <w:vAlign w:val="bottom"/>
          </w:tcPr>
          <w:p>
            <w:pPr>
              <w:ind w:left="540"/>
              <w:spacing w:after="0"/>
              <w:rPr>
                <w:sz w:val="20"/>
                <w:szCs w:val="20"/>
                <w:color w:val="auto"/>
              </w:rPr>
            </w:pPr>
            <w:r>
              <w:rPr>
                <w:rFonts w:ascii="Arial" w:cs="Arial" w:eastAsia="Arial" w:hAnsi="Arial"/>
                <w:sz w:val="14"/>
                <w:szCs w:val="14"/>
                <w:color w:val="auto"/>
              </w:rPr>
              <w:t>Goldman Sachs, HSBC, Morgan Stanley, UBS and Wells Fargo.</w:t>
            </w:r>
          </w:p>
        </w:tc>
      </w:tr>
      <w:tr>
        <w:trPr>
          <w:trHeight w:val="197"/>
        </w:trPr>
        <w:tc>
          <w:tcPr>
            <w:tcW w:w="1760" w:type="dxa"/>
            <w:vAlign w:val="bottom"/>
            <w:tcBorders>
              <w:bottom w:val="single" w:sz="8" w:color="BCBEC0"/>
            </w:tcBorders>
          </w:tcPr>
          <w:p>
            <w:pPr>
              <w:spacing w:after="0"/>
              <w:rPr>
                <w:sz w:val="17"/>
                <w:szCs w:val="17"/>
                <w:color w:val="auto"/>
              </w:rPr>
            </w:pPr>
          </w:p>
        </w:tc>
        <w:tc>
          <w:tcPr>
            <w:tcW w:w="9480" w:type="dxa"/>
            <w:vAlign w:val="bottom"/>
            <w:tcBorders>
              <w:bottom w:val="single" w:sz="8" w:color="BCBEC0"/>
            </w:tcBorders>
          </w:tcPr>
          <w:p>
            <w:pPr>
              <w:spacing w:after="0"/>
              <w:rPr>
                <w:sz w:val="17"/>
                <w:szCs w:val="17"/>
                <w:color w:val="auto"/>
              </w:rPr>
            </w:pPr>
          </w:p>
        </w:tc>
      </w:tr>
      <w:tr>
        <w:trPr>
          <w:trHeight w:val="214"/>
        </w:trPr>
        <w:tc>
          <w:tcPr>
            <w:tcW w:w="1760" w:type="dxa"/>
            <w:vAlign w:val="bottom"/>
          </w:tcPr>
          <w:p>
            <w:pPr>
              <w:ind w:left="100"/>
              <w:spacing w:after="0"/>
              <w:rPr>
                <w:sz w:val="20"/>
                <w:szCs w:val="20"/>
                <w:color w:val="auto"/>
              </w:rPr>
            </w:pPr>
            <w:r>
              <w:rPr>
                <w:rFonts w:ascii="Arial" w:cs="Arial" w:eastAsia="Arial" w:hAnsi="Arial"/>
                <w:sz w:val="14"/>
                <w:szCs w:val="14"/>
                <w:b w:val="1"/>
                <w:bCs w:val="1"/>
                <w:color w:val="8F5A39"/>
              </w:rPr>
              <w:t>Minimum</w:t>
            </w:r>
          </w:p>
        </w:tc>
        <w:tc>
          <w:tcPr>
            <w:tcW w:w="9480" w:type="dxa"/>
            <w:vAlign w:val="bottom"/>
          </w:tcPr>
          <w:p>
            <w:pPr>
              <w:ind w:left="3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If the Firm’s CET1 capital ratio</w:t>
            </w:r>
            <w:r>
              <w:rPr>
                <w:rFonts w:ascii="Arial" w:cs="Arial" w:eastAsia="Arial" w:hAnsi="Arial"/>
                <w:sz w:val="18"/>
                <w:szCs w:val="18"/>
                <w:color w:val="auto"/>
                <w:vertAlign w:val="superscript"/>
              </w:rPr>
              <w:t>2</w:t>
            </w:r>
            <w:r>
              <w:rPr>
                <w:rFonts w:ascii="Arial" w:cs="Arial" w:eastAsia="Arial" w:hAnsi="Arial"/>
                <w:sz w:val="14"/>
                <w:szCs w:val="14"/>
                <w:b w:val="1"/>
                <w:bCs w:val="1"/>
                <w:color w:val="auto"/>
              </w:rPr>
              <w:t xml:space="preserve"> </w:t>
            </w:r>
            <w:r>
              <w:rPr>
                <w:rFonts w:ascii="Arial" w:cs="Arial" w:eastAsia="Arial" w:hAnsi="Arial"/>
                <w:sz w:val="14"/>
                <w:szCs w:val="14"/>
                <w:color w:val="auto"/>
              </w:rPr>
              <w:t>is less than 8% at any year-end, then up to one-third of unvested PSUs will be subject to downward</w:t>
            </w:r>
          </w:p>
        </w:tc>
      </w:tr>
      <w:tr>
        <w:trPr>
          <w:trHeight w:val="196"/>
        </w:trPr>
        <w:tc>
          <w:tcPr>
            <w:tcW w:w="1760" w:type="dxa"/>
            <w:vAlign w:val="bottom"/>
          </w:tcPr>
          <w:p>
            <w:pPr>
              <w:ind w:left="100"/>
              <w:spacing w:after="0"/>
              <w:rPr>
                <w:sz w:val="20"/>
                <w:szCs w:val="20"/>
                <w:color w:val="auto"/>
              </w:rPr>
            </w:pPr>
            <w:r>
              <w:rPr>
                <w:rFonts w:ascii="Arial" w:cs="Arial" w:eastAsia="Arial" w:hAnsi="Arial"/>
                <w:sz w:val="14"/>
                <w:szCs w:val="14"/>
                <w:b w:val="1"/>
                <w:bCs w:val="1"/>
                <w:color w:val="8F5A39"/>
              </w:rPr>
              <w:t>Risk-based Hurdle</w:t>
            </w:r>
          </w:p>
        </w:tc>
        <w:tc>
          <w:tcPr>
            <w:tcW w:w="9480" w:type="dxa"/>
            <w:vAlign w:val="bottom"/>
          </w:tcPr>
          <w:p>
            <w:pPr>
              <w:ind w:left="540"/>
              <w:spacing w:after="0"/>
              <w:rPr>
                <w:sz w:val="20"/>
                <w:szCs w:val="20"/>
                <w:color w:val="auto"/>
              </w:rPr>
            </w:pPr>
            <w:r>
              <w:rPr>
                <w:rFonts w:ascii="Arial" w:cs="Arial" w:eastAsia="Arial" w:hAnsi="Arial"/>
                <w:sz w:val="14"/>
                <w:szCs w:val="14"/>
                <w:color w:val="auto"/>
              </w:rPr>
              <w:t>adjustment by the CMDC for each such year.</w:t>
            </w:r>
          </w:p>
        </w:tc>
      </w:tr>
      <w:tr>
        <w:trPr>
          <w:trHeight w:val="205"/>
        </w:trPr>
        <w:tc>
          <w:tcPr>
            <w:tcW w:w="1760" w:type="dxa"/>
            <w:vAlign w:val="bottom"/>
            <w:tcBorders>
              <w:bottom w:val="single" w:sz="8" w:color="BCBEC0"/>
            </w:tcBorders>
          </w:tcPr>
          <w:p>
            <w:pPr>
              <w:spacing w:after="0"/>
              <w:rPr>
                <w:sz w:val="17"/>
                <w:szCs w:val="17"/>
                <w:color w:val="auto"/>
              </w:rPr>
            </w:pPr>
          </w:p>
        </w:tc>
        <w:tc>
          <w:tcPr>
            <w:tcW w:w="9480" w:type="dxa"/>
            <w:vAlign w:val="bottom"/>
            <w:tcBorders>
              <w:bottom w:val="single" w:sz="8" w:color="BCBEC0"/>
            </w:tcBorders>
          </w:tcPr>
          <w:p>
            <w:pPr>
              <w:spacing w:after="0"/>
              <w:rPr>
                <w:sz w:val="17"/>
                <w:szCs w:val="17"/>
                <w:color w:val="auto"/>
              </w:rPr>
            </w:pPr>
          </w:p>
        </w:tc>
      </w:tr>
      <w:tr>
        <w:trPr>
          <w:trHeight w:val="214"/>
        </w:trPr>
        <w:tc>
          <w:tcPr>
            <w:tcW w:w="1760" w:type="dxa"/>
            <w:vAlign w:val="bottom"/>
          </w:tcPr>
          <w:p>
            <w:pPr>
              <w:ind w:left="100"/>
              <w:spacing w:after="0"/>
              <w:rPr>
                <w:sz w:val="20"/>
                <w:szCs w:val="20"/>
                <w:color w:val="auto"/>
              </w:rPr>
            </w:pPr>
            <w:r>
              <w:rPr>
                <w:rFonts w:ascii="Arial" w:cs="Arial" w:eastAsia="Arial" w:hAnsi="Arial"/>
                <w:sz w:val="14"/>
                <w:szCs w:val="14"/>
                <w:b w:val="1"/>
                <w:bCs w:val="1"/>
                <w:color w:val="8F5A39"/>
              </w:rPr>
              <w:t>Narrow Adjustment</w:t>
            </w:r>
          </w:p>
        </w:tc>
        <w:tc>
          <w:tcPr>
            <w:tcW w:w="9480" w:type="dxa"/>
            <w:vAlign w:val="bottom"/>
          </w:tcPr>
          <w:p>
            <w:pPr>
              <w:ind w:left="3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The CMDC may make adjustments (up or down) to maintain the intended economics of the award in light of changed circumstances (e.g.,</w:t>
            </w:r>
          </w:p>
        </w:tc>
      </w:tr>
      <w:tr>
        <w:trPr>
          <w:trHeight w:val="196"/>
        </w:trPr>
        <w:tc>
          <w:tcPr>
            <w:tcW w:w="1760" w:type="dxa"/>
            <w:vAlign w:val="bottom"/>
          </w:tcPr>
          <w:p>
            <w:pPr>
              <w:ind w:left="100"/>
              <w:spacing w:after="0"/>
              <w:rPr>
                <w:sz w:val="20"/>
                <w:szCs w:val="20"/>
                <w:color w:val="auto"/>
              </w:rPr>
            </w:pPr>
            <w:r>
              <w:rPr>
                <w:rFonts w:ascii="Arial" w:cs="Arial" w:eastAsia="Arial" w:hAnsi="Arial"/>
                <w:sz w:val="14"/>
                <w:szCs w:val="14"/>
                <w:b w:val="1"/>
                <w:bCs w:val="1"/>
                <w:color w:val="8F5A39"/>
              </w:rPr>
              <w:t>Provision</w:t>
            </w:r>
          </w:p>
        </w:tc>
        <w:tc>
          <w:tcPr>
            <w:tcW w:w="9480" w:type="dxa"/>
            <w:vAlign w:val="bottom"/>
          </w:tcPr>
          <w:p>
            <w:pPr>
              <w:ind w:left="540"/>
              <w:spacing w:after="0"/>
              <w:rPr>
                <w:sz w:val="20"/>
                <w:szCs w:val="20"/>
                <w:color w:val="auto"/>
              </w:rPr>
            </w:pPr>
            <w:r>
              <w:rPr>
                <w:rFonts w:ascii="Arial" w:cs="Arial" w:eastAsia="Arial" w:hAnsi="Arial"/>
                <w:sz w:val="14"/>
                <w:szCs w:val="14"/>
                <w:color w:val="auto"/>
              </w:rPr>
              <w:t>change in accounting rules/policies or changes in capital structure).</w:t>
            </w:r>
          </w:p>
        </w:tc>
      </w:tr>
      <w:tr>
        <w:trPr>
          <w:trHeight w:val="70"/>
        </w:trPr>
        <w:tc>
          <w:tcPr>
            <w:tcW w:w="1760" w:type="dxa"/>
            <w:vAlign w:val="bottom"/>
            <w:tcBorders>
              <w:bottom w:val="single" w:sz="8" w:color="auto"/>
            </w:tcBorders>
          </w:tcPr>
          <w:p>
            <w:pPr>
              <w:spacing w:after="0"/>
              <w:rPr>
                <w:sz w:val="6"/>
                <w:szCs w:val="6"/>
                <w:color w:val="auto"/>
              </w:rPr>
            </w:pPr>
          </w:p>
        </w:tc>
        <w:tc>
          <w:tcPr>
            <w:tcW w:w="9480" w:type="dxa"/>
            <w:vAlign w:val="bottom"/>
            <w:tcBorders>
              <w:bottom w:val="single" w:sz="8" w:color="auto"/>
            </w:tcBorders>
          </w:tcPr>
          <w:p>
            <w:pPr>
              <w:spacing w:after="0"/>
              <w:rPr>
                <w:sz w:val="6"/>
                <w:szCs w:val="6"/>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Our PSU program spans a 5-year time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63500</wp:posOffset>
            </wp:positionV>
            <wp:extent cx="2777490" cy="2482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777490" cy="248285"/>
                    </a:xfrm>
                    <a:prstGeom prst="rect">
                      <a:avLst/>
                    </a:prstGeom>
                    <a:noFill/>
                  </pic:spPr>
                </pic:pic>
              </a:graphicData>
            </a:graphic>
          </wp:anchor>
        </w:drawing>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PSU goal is set at beginning of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4088765" cy="33401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088765" cy="33401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-61595</wp:posOffset>
            </wp:positionV>
            <wp:extent cx="162560" cy="1200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62560" cy="12001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-61595</wp:posOffset>
            </wp:positionV>
            <wp:extent cx="154305" cy="1200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shd w:val="clear" w:color="auto" w:fill="F4EFE7"/>
          </w:tcPr>
          <w:p>
            <w:pPr>
              <w:jc w:val="center"/>
              <w:spacing w:after="0"/>
              <w:rPr>
                <w:sz w:val="20"/>
                <w:szCs w:val="20"/>
                <w:color w:val="auto"/>
              </w:rPr>
            </w:pPr>
            <w:r>
              <w:rPr>
                <w:rFonts w:ascii="Arial" w:cs="Arial" w:eastAsia="Arial" w:hAnsi="Arial"/>
                <w:sz w:val="13"/>
                <w:szCs w:val="13"/>
                <w:b w:val="1"/>
                <w:bCs w:val="1"/>
                <w:color w:val="8F5A39"/>
                <w:w w:val="95"/>
              </w:rPr>
              <w:t>Performance Year</w:t>
            </w:r>
          </w:p>
        </w:tc>
        <w:tc>
          <w:tcPr>
            <w:tcW w:w="960" w:type="dxa"/>
            <w:vAlign w:val="bottom"/>
            <w:shd w:val="clear" w:color="auto" w:fill="F4EFE7"/>
          </w:tcPr>
          <w:p>
            <w:pPr>
              <w:spacing w:after="0"/>
              <w:rPr>
                <w:sz w:val="16"/>
                <w:szCs w:val="16"/>
                <w:color w:val="auto"/>
              </w:rPr>
            </w:pPr>
          </w:p>
        </w:tc>
        <w:tc>
          <w:tcPr>
            <w:tcW w:w="2960" w:type="dxa"/>
            <w:vAlign w:val="bottom"/>
            <w:shd w:val="clear" w:color="auto" w:fill="F4EFE7"/>
          </w:tcPr>
          <w:p>
            <w:pPr>
              <w:jc w:val="center"/>
              <w:spacing w:after="0"/>
              <w:rPr>
                <w:sz w:val="20"/>
                <w:szCs w:val="20"/>
                <w:color w:val="auto"/>
              </w:rPr>
            </w:pPr>
            <w:r>
              <w:rPr>
                <w:rFonts w:ascii="Arial" w:cs="Arial" w:eastAsia="Arial" w:hAnsi="Arial"/>
                <w:sz w:val="13"/>
                <w:szCs w:val="13"/>
                <w:b w:val="1"/>
                <w:bCs w:val="1"/>
                <w:color w:val="8F5A39"/>
                <w:w w:val="96"/>
              </w:rPr>
              <w:t>3-Year Post-Grant Performance Period (cliff-vest)</w:t>
            </w:r>
          </w:p>
        </w:tc>
        <w:tc>
          <w:tcPr>
            <w:tcW w:w="940" w:type="dxa"/>
            <w:vAlign w:val="bottom"/>
            <w:shd w:val="clear" w:color="auto" w:fill="F4EFE7"/>
          </w:tcPr>
          <w:p>
            <w:pPr>
              <w:spacing w:after="0"/>
              <w:rPr>
                <w:sz w:val="16"/>
                <w:szCs w:val="16"/>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8F5A39"/>
              </w:rPr>
              <w:t>+</w:t>
            </w:r>
          </w:p>
        </w:tc>
        <w:tc>
          <w:tcPr>
            <w:tcW w:w="4180" w:type="dxa"/>
            <w:vAlign w:val="bottom"/>
            <w:gridSpan w:val="2"/>
            <w:shd w:val="clear" w:color="auto" w:fill="F4EFE7"/>
          </w:tcPr>
          <w:p>
            <w:pPr>
              <w:jc w:val="center"/>
              <w:spacing w:after="0"/>
              <w:rPr>
                <w:sz w:val="20"/>
                <w:szCs w:val="20"/>
                <w:color w:val="auto"/>
              </w:rPr>
            </w:pPr>
            <w:r>
              <w:rPr>
                <w:rFonts w:ascii="Arial" w:cs="Arial" w:eastAsia="Arial" w:hAnsi="Arial"/>
                <w:sz w:val="13"/>
                <w:szCs w:val="13"/>
                <w:b w:val="1"/>
                <w:bCs w:val="1"/>
                <w:color w:val="8F5A39"/>
                <w:w w:val="95"/>
              </w:rPr>
              <w:t>2-Year Additional Hold on Fully Vested Awards</w:t>
            </w:r>
          </w:p>
        </w:tc>
        <w:tc>
          <w:tcPr>
            <w:tcW w:w="0" w:type="dxa"/>
            <w:vAlign w:val="bottom"/>
          </w:tcPr>
          <w:p>
            <w:pPr>
              <w:spacing w:after="0"/>
              <w:rPr>
                <w:sz w:val="1"/>
                <w:szCs w:val="1"/>
                <w:color w:val="auto"/>
              </w:rPr>
            </w:pPr>
          </w:p>
        </w:tc>
      </w:tr>
      <w:tr>
        <w:trPr>
          <w:trHeight w:val="138"/>
        </w:trPr>
        <w:tc>
          <w:tcPr>
            <w:tcW w:w="1580" w:type="dxa"/>
            <w:vAlign w:val="bottom"/>
            <w:vMerge w:val="restart"/>
            <w:shd w:val="clear" w:color="auto" w:fill="F4EFE7"/>
          </w:tcPr>
          <w:p>
            <w:pPr>
              <w:jc w:val="center"/>
              <w:spacing w:after="0"/>
              <w:rPr>
                <w:sz w:val="20"/>
                <w:szCs w:val="20"/>
                <w:color w:val="auto"/>
              </w:rPr>
            </w:pPr>
            <w:r>
              <w:rPr>
                <w:rFonts w:ascii="Arial" w:cs="Arial" w:eastAsia="Arial" w:hAnsi="Arial"/>
                <w:sz w:val="13"/>
                <w:szCs w:val="13"/>
                <w:b w:val="1"/>
                <w:bCs w:val="1"/>
                <w:color w:val="8F5A39"/>
                <w:w w:val="96"/>
              </w:rPr>
              <w:t>2025</w:t>
            </w:r>
          </w:p>
        </w:tc>
        <w:tc>
          <w:tcPr>
            <w:tcW w:w="960" w:type="dxa"/>
            <w:vAlign w:val="bottom"/>
            <w:vMerge w:val="restart"/>
            <w:shd w:val="clear" w:color="auto" w:fill="F4EFE7"/>
          </w:tcPr>
          <w:p>
            <w:pPr>
              <w:jc w:val="right"/>
              <w:spacing w:after="0"/>
              <w:rPr>
                <w:sz w:val="20"/>
                <w:szCs w:val="20"/>
                <w:color w:val="auto"/>
              </w:rPr>
            </w:pPr>
            <w:r>
              <w:rPr>
                <w:rFonts w:ascii="Arial" w:cs="Arial" w:eastAsia="Arial" w:hAnsi="Arial"/>
                <w:sz w:val="13"/>
                <w:szCs w:val="13"/>
                <w:b w:val="1"/>
                <w:bCs w:val="1"/>
                <w:color w:val="8F5A39"/>
              </w:rPr>
              <w:t>2026</w:t>
            </w:r>
          </w:p>
        </w:tc>
        <w:tc>
          <w:tcPr>
            <w:tcW w:w="2960" w:type="dxa"/>
            <w:vAlign w:val="bottom"/>
            <w:vMerge w:val="restart"/>
            <w:shd w:val="clear" w:color="auto" w:fill="F4EFE7"/>
          </w:tcPr>
          <w:p>
            <w:pPr>
              <w:jc w:val="center"/>
              <w:spacing w:after="0"/>
              <w:rPr>
                <w:sz w:val="20"/>
                <w:szCs w:val="20"/>
                <w:color w:val="auto"/>
              </w:rPr>
            </w:pPr>
            <w:r>
              <w:rPr>
                <w:rFonts w:ascii="Arial" w:cs="Arial" w:eastAsia="Arial" w:hAnsi="Arial"/>
                <w:sz w:val="13"/>
                <w:szCs w:val="13"/>
                <w:b w:val="1"/>
                <w:bCs w:val="1"/>
                <w:color w:val="8F5A39"/>
                <w:w w:val="96"/>
              </w:rPr>
              <w:t>2027</w:t>
            </w:r>
          </w:p>
        </w:tc>
        <w:tc>
          <w:tcPr>
            <w:tcW w:w="940" w:type="dxa"/>
            <w:vAlign w:val="bottom"/>
            <w:vMerge w:val="restart"/>
            <w:shd w:val="clear" w:color="auto" w:fill="F4EFE7"/>
          </w:tcPr>
          <w:p>
            <w:pPr>
              <w:jc w:val="right"/>
              <w:ind w:right="597"/>
              <w:spacing w:after="0"/>
              <w:rPr>
                <w:sz w:val="20"/>
                <w:szCs w:val="20"/>
                <w:color w:val="auto"/>
              </w:rPr>
            </w:pPr>
            <w:r>
              <w:rPr>
                <w:rFonts w:ascii="Arial" w:cs="Arial" w:eastAsia="Arial" w:hAnsi="Arial"/>
                <w:sz w:val="13"/>
                <w:szCs w:val="13"/>
                <w:b w:val="1"/>
                <w:bCs w:val="1"/>
                <w:color w:val="8F5A39"/>
                <w:w w:val="89"/>
              </w:rPr>
              <w:t>2028</w:t>
            </w:r>
          </w:p>
        </w:tc>
        <w:tc>
          <w:tcPr>
            <w:tcW w:w="620" w:type="dxa"/>
            <w:vAlign w:val="bottom"/>
            <w:vMerge w:val="continue"/>
          </w:tcPr>
          <w:p>
            <w:pPr>
              <w:spacing w:after="0"/>
              <w:rPr>
                <w:sz w:val="11"/>
                <w:szCs w:val="11"/>
                <w:color w:val="auto"/>
              </w:rPr>
            </w:pPr>
          </w:p>
        </w:tc>
        <w:tc>
          <w:tcPr>
            <w:tcW w:w="2100" w:type="dxa"/>
            <w:vAlign w:val="bottom"/>
            <w:vMerge w:val="restart"/>
            <w:shd w:val="clear" w:color="auto" w:fill="F4EFE7"/>
          </w:tcPr>
          <w:p>
            <w:pPr>
              <w:jc w:val="right"/>
              <w:ind w:right="854"/>
              <w:spacing w:after="0"/>
              <w:rPr>
                <w:sz w:val="20"/>
                <w:szCs w:val="20"/>
                <w:color w:val="auto"/>
              </w:rPr>
            </w:pPr>
            <w:r>
              <w:rPr>
                <w:rFonts w:ascii="Arial" w:cs="Arial" w:eastAsia="Arial" w:hAnsi="Arial"/>
                <w:sz w:val="13"/>
                <w:szCs w:val="13"/>
                <w:b w:val="1"/>
                <w:bCs w:val="1"/>
                <w:color w:val="8F5A39"/>
              </w:rPr>
              <w:t>2029</w:t>
            </w:r>
          </w:p>
        </w:tc>
        <w:tc>
          <w:tcPr>
            <w:tcW w:w="2080" w:type="dxa"/>
            <w:vAlign w:val="bottom"/>
            <w:vMerge w:val="restart"/>
            <w:shd w:val="clear" w:color="auto" w:fill="F4EFE7"/>
          </w:tcPr>
          <w:p>
            <w:pPr>
              <w:jc w:val="right"/>
              <w:ind w:right="837"/>
              <w:spacing w:after="0"/>
              <w:rPr>
                <w:sz w:val="20"/>
                <w:szCs w:val="20"/>
                <w:color w:val="auto"/>
              </w:rPr>
            </w:pPr>
            <w:r>
              <w:rPr>
                <w:rFonts w:ascii="Arial" w:cs="Arial" w:eastAsia="Arial" w:hAnsi="Arial"/>
                <w:sz w:val="13"/>
                <w:szCs w:val="13"/>
                <w:b w:val="1"/>
                <w:bCs w:val="1"/>
                <w:color w:val="8F5A39"/>
              </w:rPr>
              <w:t>2030</w:t>
            </w:r>
          </w:p>
        </w:tc>
        <w:tc>
          <w:tcPr>
            <w:tcW w:w="0" w:type="dxa"/>
            <w:vAlign w:val="bottom"/>
          </w:tcPr>
          <w:p>
            <w:pPr>
              <w:spacing w:after="0"/>
              <w:rPr>
                <w:sz w:val="1"/>
                <w:szCs w:val="1"/>
                <w:color w:val="auto"/>
              </w:rPr>
            </w:pPr>
          </w:p>
        </w:tc>
      </w:tr>
      <w:tr>
        <w:trPr>
          <w:trHeight w:val="184"/>
        </w:trPr>
        <w:tc>
          <w:tcPr>
            <w:tcW w:w="1580" w:type="dxa"/>
            <w:vAlign w:val="bottom"/>
            <w:tcBorders>
              <w:bottom w:val="single" w:sz="8" w:color="F4EFE7"/>
            </w:tcBorders>
            <w:vMerge w:val="continue"/>
            <w:shd w:val="clear" w:color="auto" w:fill="F4EFE7"/>
          </w:tcPr>
          <w:p>
            <w:pPr>
              <w:spacing w:after="0"/>
              <w:rPr>
                <w:sz w:val="15"/>
                <w:szCs w:val="15"/>
                <w:color w:val="auto"/>
              </w:rPr>
            </w:pPr>
          </w:p>
        </w:tc>
        <w:tc>
          <w:tcPr>
            <w:tcW w:w="960" w:type="dxa"/>
            <w:vAlign w:val="bottom"/>
            <w:tcBorders>
              <w:bottom w:val="single" w:sz="8" w:color="F4EFE7"/>
            </w:tcBorders>
            <w:vMerge w:val="continue"/>
            <w:shd w:val="clear" w:color="auto" w:fill="F4EFE7"/>
          </w:tcPr>
          <w:p>
            <w:pPr>
              <w:spacing w:after="0"/>
              <w:rPr>
                <w:sz w:val="15"/>
                <w:szCs w:val="15"/>
                <w:color w:val="auto"/>
              </w:rPr>
            </w:pPr>
          </w:p>
        </w:tc>
        <w:tc>
          <w:tcPr>
            <w:tcW w:w="2960" w:type="dxa"/>
            <w:vAlign w:val="bottom"/>
            <w:tcBorders>
              <w:bottom w:val="single" w:sz="8" w:color="F4EFE7"/>
            </w:tcBorders>
            <w:vMerge w:val="continue"/>
            <w:shd w:val="clear" w:color="auto" w:fill="F4EFE7"/>
          </w:tcPr>
          <w:p>
            <w:pPr>
              <w:spacing w:after="0"/>
              <w:rPr>
                <w:sz w:val="15"/>
                <w:szCs w:val="15"/>
                <w:color w:val="auto"/>
              </w:rPr>
            </w:pPr>
          </w:p>
        </w:tc>
        <w:tc>
          <w:tcPr>
            <w:tcW w:w="940" w:type="dxa"/>
            <w:vAlign w:val="bottom"/>
            <w:tcBorders>
              <w:bottom w:val="single" w:sz="8" w:color="F4EFE7"/>
            </w:tcBorders>
            <w:vMerge w:val="continue"/>
            <w:shd w:val="clear" w:color="auto" w:fill="F4EFE7"/>
          </w:tcPr>
          <w:p>
            <w:pPr>
              <w:spacing w:after="0"/>
              <w:rPr>
                <w:sz w:val="15"/>
                <w:szCs w:val="15"/>
                <w:color w:val="auto"/>
              </w:rPr>
            </w:pPr>
          </w:p>
        </w:tc>
        <w:tc>
          <w:tcPr>
            <w:tcW w:w="620" w:type="dxa"/>
            <w:vAlign w:val="bottom"/>
          </w:tcPr>
          <w:p>
            <w:pPr>
              <w:spacing w:after="0"/>
              <w:rPr>
                <w:sz w:val="15"/>
                <w:szCs w:val="15"/>
                <w:color w:val="auto"/>
              </w:rPr>
            </w:pPr>
          </w:p>
        </w:tc>
        <w:tc>
          <w:tcPr>
            <w:tcW w:w="2100" w:type="dxa"/>
            <w:vAlign w:val="bottom"/>
            <w:tcBorders>
              <w:bottom w:val="single" w:sz="8" w:color="F4EFE7"/>
            </w:tcBorders>
            <w:vMerge w:val="continue"/>
            <w:shd w:val="clear" w:color="auto" w:fill="F4EFE7"/>
          </w:tcPr>
          <w:p>
            <w:pPr>
              <w:spacing w:after="0"/>
              <w:rPr>
                <w:sz w:val="15"/>
                <w:szCs w:val="15"/>
                <w:color w:val="auto"/>
              </w:rPr>
            </w:pPr>
          </w:p>
        </w:tc>
        <w:tc>
          <w:tcPr>
            <w:tcW w:w="2080" w:type="dxa"/>
            <w:vAlign w:val="bottom"/>
            <w:tcBorders>
              <w:bottom w:val="single" w:sz="8" w:color="F4EFE7"/>
            </w:tcBorders>
            <w:vMerge w:val="continue"/>
            <w:shd w:val="clear" w:color="auto" w:fill="F4EFE7"/>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Award is determined</w:t>
            </w:r>
          </w:p>
        </w:tc>
        <w:tc>
          <w:tcPr>
            <w:tcW w:w="486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color w:val="auto"/>
              </w:rPr>
              <w:t>Payout is calculated based on average ROTCE over the</w:t>
            </w:r>
          </w:p>
        </w:tc>
        <w:tc>
          <w:tcPr>
            <w:tcW w:w="62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41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Ultimate number of units earned</w:t>
            </w: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960" w:type="dxa"/>
            <w:vAlign w:val="bottom"/>
            <w:vMerge w:val="restart"/>
          </w:tcPr>
          <w:p>
            <w:pPr>
              <w:jc w:val="center"/>
              <w:spacing w:after="0"/>
              <w:rPr>
                <w:sz w:val="20"/>
                <w:szCs w:val="20"/>
                <w:color w:val="auto"/>
              </w:rPr>
            </w:pPr>
            <w:r>
              <w:rPr>
                <w:rFonts w:ascii="Arial" w:cs="Arial" w:eastAsia="Arial" w:hAnsi="Arial"/>
                <w:sz w:val="14"/>
                <w:szCs w:val="14"/>
                <w:color w:val="auto"/>
              </w:rPr>
              <w:t>3-year performance period</w:t>
            </w:r>
          </w:p>
        </w:tc>
        <w:tc>
          <w:tcPr>
            <w:tcW w:w="9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960" w:type="dxa"/>
            <w:vAlign w:val="bottom"/>
            <w:tcBorders>
              <w:bottom w:val="single" w:sz="8" w:color="auto"/>
            </w:tcBorders>
            <w:vMerge w:val="continue"/>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-230505</wp:posOffset>
            </wp:positionV>
            <wp:extent cx="8255" cy="2311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-410845</wp:posOffset>
            </wp:positionV>
            <wp:extent cx="2648585" cy="1803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64858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3716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Awards subject to reduction/cancellation/clawback based on risk, control &amp; conduct features (including protection-based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hanging="192"/>
        <w:spacing w:after="0"/>
        <w:tabs>
          <w:tab w:leader="none" w:pos="200" w:val="left"/>
        </w:tabs>
        <w:numPr>
          <w:ilvl w:val="0"/>
          <w:numId w:val="158"/>
        </w:numPr>
        <w:rPr>
          <w:rFonts w:ascii="Arial" w:cs="Arial" w:eastAsia="Arial" w:hAnsi="Arial"/>
          <w:sz w:val="19"/>
          <w:szCs w:val="19"/>
          <w:color w:val="auto"/>
          <w:vertAlign w:val="superscript"/>
        </w:rPr>
      </w:pPr>
      <w:r>
        <w:rPr>
          <w:rFonts w:ascii="Arial" w:cs="Arial" w:eastAsia="Arial" w:hAnsi="Arial"/>
          <w:sz w:val="13"/>
          <w:szCs w:val="13"/>
          <w:color w:val="auto"/>
        </w:rPr>
        <w:t>Average ROTCE is calculated over the three-year post-grant performance period using unadjusted reported data as set forth in public financial disclosures.</w:t>
      </w:r>
    </w:p>
    <w:p>
      <w:pPr>
        <w:ind w:left="200" w:hanging="192"/>
        <w:spacing w:after="0" w:line="196" w:lineRule="auto"/>
        <w:tabs>
          <w:tab w:leader="none" w:pos="200" w:val="left"/>
        </w:tabs>
        <w:numPr>
          <w:ilvl w:val="0"/>
          <w:numId w:val="159"/>
        </w:numPr>
        <w:rPr>
          <w:rFonts w:ascii="Arial" w:cs="Arial" w:eastAsia="Arial" w:hAnsi="Arial"/>
          <w:sz w:val="19"/>
          <w:szCs w:val="19"/>
          <w:color w:val="auto"/>
          <w:vertAlign w:val="superscript"/>
        </w:rPr>
      </w:pPr>
      <w:r>
        <w:rPr>
          <w:rFonts w:ascii="Arial" w:cs="Arial" w:eastAsia="Arial" w:hAnsi="Arial"/>
          <w:sz w:val="13"/>
          <w:szCs w:val="13"/>
          <w:color w:val="auto"/>
        </w:rPr>
        <w:t>The CET1 capital ratio is a key regulatory capital measure; refer to Additional notes, Note 1, on page 104, for additional information on this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309245</wp:posOffset>
            </wp:positionV>
            <wp:extent cx="651510" cy="8572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361"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48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389"/>
        </w:trPr>
        <w:tc>
          <w:tcPr>
            <w:tcW w:w="2840" w:type="dxa"/>
            <w:vAlign w:val="bottom"/>
            <w:tcBorders>
              <w:top w:val="single" w:sz="8" w:color="A6D7F0"/>
            </w:tcBorders>
            <w:shd w:val="clear" w:color="auto" w:fill="A6D7F0"/>
          </w:tcPr>
          <w:p>
            <w:pPr>
              <w:ind w:left="280"/>
              <w:spacing w:after="0"/>
              <w:rPr>
                <w:sz w:val="20"/>
                <w:szCs w:val="20"/>
                <w:color w:val="auto"/>
              </w:rPr>
            </w:pPr>
            <w:r>
              <w:rPr>
                <w:rFonts w:ascii="Arial" w:cs="Arial" w:eastAsia="Arial" w:hAnsi="Arial"/>
                <w:sz w:val="14"/>
                <w:szCs w:val="14"/>
                <w:b w:val="1"/>
                <w:bCs w:val="1"/>
                <w:color w:val="auto"/>
              </w:rPr>
              <w:t>How we think about pay decisions</w:t>
            </w:r>
          </w:p>
        </w:tc>
        <w:tc>
          <w:tcPr>
            <w:tcW w:w="440" w:type="dxa"/>
            <w:vAlign w:val="bottom"/>
            <w:tcBorders>
              <w:right w:val="single" w:sz="8" w:color="auto"/>
            </w:tcBorders>
          </w:tcPr>
          <w:p>
            <w:pPr>
              <w:spacing w:after="0"/>
              <w:rPr>
                <w:sz w:val="24"/>
                <w:szCs w:val="24"/>
                <w:color w:val="auto"/>
              </w:rPr>
            </w:pPr>
          </w:p>
        </w:tc>
        <w:tc>
          <w:tcPr>
            <w:tcW w:w="41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42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color w:val="8F5A39"/>
              </w:rPr>
              <w:t>How performance determined pay in 2025</w:t>
            </w:r>
          </w:p>
        </w:tc>
      </w:tr>
      <w:tr>
        <w:trPr>
          <w:trHeight w:val="83"/>
        </w:trPr>
        <w:tc>
          <w:tcPr>
            <w:tcW w:w="2840" w:type="dxa"/>
            <w:vAlign w:val="bottom"/>
            <w:shd w:val="clear" w:color="auto" w:fill="A6D7F0"/>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120" w:type="dxa"/>
            <w:vAlign w:val="bottom"/>
            <w:tcBorders>
              <w:bottom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340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-196850</wp:posOffset>
            </wp:positionV>
            <wp:extent cx="120015" cy="9398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-196850</wp:posOffset>
            </wp:positionV>
            <wp:extent cx="120015" cy="9398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Process to determine payout</w:t>
      </w:r>
    </w:p>
    <w:p>
      <w:pPr>
        <w:spacing w:after="0" w:line="58"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As part of the design of the PSU program, the ultimate number of PSUs paid out at vesting is determined by a pre-established formula set at the time of the award based on the Firm’s absolute and relative ROTCE performance over the subsequent three years, with the value of the payout ranging from 0% to 150% and subject to risk and control features. The value upon vesting of PSUs is also directly tied to the Firm’s performance through its stock price, similar to RSUs. The CMDC believes that the PSU design continues to appropriately incentivize strong performance by our OC members, does not encourage excessive risk-taking and is aligned with long-term shareholder interests. Since PSUs were first introduced in 2015, we have received positive shareholder support for this aspect of our executive compensation program.</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auto"/>
        </w:rPr>
        <w:t>Determining absolute and relative PSU performance goals</w:t>
      </w:r>
    </w:p>
    <w:p>
      <w:pPr>
        <w:spacing w:after="0" w:line="45" w:lineRule="exact"/>
        <w:rPr>
          <w:sz w:val="20"/>
          <w:szCs w:val="20"/>
          <w:color w:val="auto"/>
        </w:rPr>
      </w:pPr>
    </w:p>
    <w:p>
      <w:pPr>
        <w:ind w:left="200" w:right="140" w:hanging="192"/>
        <w:spacing w:after="0" w:line="289" w:lineRule="auto"/>
        <w:tabs>
          <w:tab w:leader="none" w:pos="184" w:val="left"/>
        </w:tabs>
        <w:numPr>
          <w:ilvl w:val="0"/>
          <w:numId w:val="160"/>
        </w:numPr>
        <w:rPr>
          <w:rFonts w:ascii="Arial" w:cs="Arial" w:eastAsia="Arial" w:hAnsi="Arial"/>
          <w:sz w:val="16"/>
          <w:szCs w:val="16"/>
          <w:b w:val="1"/>
          <w:bCs w:val="1"/>
          <w:color w:val="auto"/>
        </w:rPr>
      </w:pPr>
      <w:r>
        <w:rPr>
          <w:rFonts w:ascii="Arial" w:cs="Arial" w:eastAsia="Arial" w:hAnsi="Arial"/>
          <w:sz w:val="16"/>
          <w:szCs w:val="16"/>
          <w:color w:val="auto"/>
        </w:rPr>
        <w:t>Each year, in determining the absolute ROTCE goal and minimum ROTCE threshold for that year’s PSU awards, the CMDC reviews the Firm’s historical performance and a summary of a reasonable range of possible net income and capital scenarios over the next three years. For the 2025 PSU awards granted in January 2026, these factors were considered, evaluated and analyzed in the context of the macroeconomic and geopolitical environment, interest rates, regulatory capital requirements and key business drivers, all of which affect the range of ROTCE outcomes in the medium-term.</w:t>
      </w:r>
    </w:p>
    <w:p>
      <w:pPr>
        <w:spacing w:after="0" w:line="18" w:lineRule="exact"/>
        <w:rPr>
          <w:rFonts w:ascii="Arial" w:cs="Arial" w:eastAsia="Arial" w:hAnsi="Arial"/>
          <w:sz w:val="16"/>
          <w:szCs w:val="16"/>
          <w:b w:val="1"/>
          <w:bCs w:val="1"/>
          <w:color w:val="auto"/>
        </w:rPr>
      </w:pPr>
    </w:p>
    <w:p>
      <w:pPr>
        <w:ind w:left="200" w:right="140" w:hanging="192"/>
        <w:spacing w:after="0" w:line="304" w:lineRule="auto"/>
        <w:tabs>
          <w:tab w:leader="none" w:pos="184" w:val="left"/>
        </w:tabs>
        <w:numPr>
          <w:ilvl w:val="0"/>
          <w:numId w:val="160"/>
        </w:numPr>
        <w:rPr>
          <w:rFonts w:ascii="Arial" w:cs="Arial" w:eastAsia="Arial" w:hAnsi="Arial"/>
          <w:sz w:val="16"/>
          <w:szCs w:val="16"/>
          <w:b w:val="1"/>
          <w:bCs w:val="1"/>
          <w:color w:val="auto"/>
        </w:rPr>
      </w:pPr>
      <w:r>
        <w:rPr>
          <w:rFonts w:ascii="Arial" w:cs="Arial" w:eastAsia="Arial" w:hAnsi="Arial"/>
          <w:sz w:val="16"/>
          <w:szCs w:val="16"/>
          <w:color w:val="auto"/>
        </w:rPr>
        <w:t>The CMDC calibrated the upper ROTCE goal of the 2025 PSUs, representing exceptional financial performance over the three-year performance period, at 18% or more; and the lower ROTCE threshold, representing weak financial performance over the same period, at below 6%.</w:t>
      </w:r>
    </w:p>
    <w:p>
      <w:pPr>
        <w:spacing w:after="0" w:line="6" w:lineRule="exact"/>
        <w:rPr>
          <w:rFonts w:ascii="Arial" w:cs="Arial" w:eastAsia="Arial" w:hAnsi="Arial"/>
          <w:sz w:val="16"/>
          <w:szCs w:val="16"/>
          <w:b w:val="1"/>
          <w:bCs w:val="1"/>
          <w:color w:val="auto"/>
        </w:rPr>
      </w:pPr>
    </w:p>
    <w:p>
      <w:pPr>
        <w:ind w:left="400" w:right="420" w:hanging="194"/>
        <w:spacing w:after="0" w:line="304" w:lineRule="auto"/>
        <w:rPr>
          <w:rFonts w:ascii="Arial" w:cs="Arial" w:eastAsia="Arial" w:hAnsi="Arial"/>
          <w:sz w:val="16"/>
          <w:szCs w:val="16"/>
          <w:b w:val="1"/>
          <w:bCs w:val="1"/>
          <w:color w:val="auto"/>
        </w:rPr>
      </w:pPr>
      <w:r>
        <w:rPr>
          <w:rFonts w:ascii="Arial" w:cs="Arial" w:eastAsia="Arial" w:hAnsi="Arial"/>
          <w:sz w:val="16"/>
          <w:szCs w:val="16"/>
          <w:color w:val="auto"/>
        </w:rPr>
        <w:t>— Of the three-year performance periods for the Firm and our PSU peers in the last 10 years, our PSU peers have achieved ROTCE of &gt;18% only 5 times, demonstrating the rigor of our upper ROTCE goal.</w:t>
      </w:r>
    </w:p>
    <w:p>
      <w:pPr>
        <w:spacing w:after="0" w:line="6" w:lineRule="exact"/>
        <w:rPr>
          <w:rFonts w:ascii="Arial" w:cs="Arial" w:eastAsia="Arial" w:hAnsi="Arial"/>
          <w:sz w:val="16"/>
          <w:szCs w:val="16"/>
          <w:b w:val="1"/>
          <w:bCs w:val="1"/>
          <w:color w:val="auto"/>
        </w:rPr>
      </w:pPr>
    </w:p>
    <w:p>
      <w:pPr>
        <w:ind w:left="400" w:right="40" w:hanging="194"/>
        <w:spacing w:after="0" w:line="308" w:lineRule="auto"/>
        <w:rPr>
          <w:rFonts w:ascii="Arial" w:cs="Arial" w:eastAsia="Arial" w:hAnsi="Arial"/>
          <w:sz w:val="16"/>
          <w:szCs w:val="16"/>
          <w:b w:val="1"/>
          <w:bCs w:val="1"/>
          <w:color w:val="auto"/>
        </w:rPr>
      </w:pPr>
      <w:r>
        <w:rPr>
          <w:rFonts w:ascii="Arial" w:cs="Arial" w:eastAsia="Arial" w:hAnsi="Arial"/>
          <w:sz w:val="16"/>
          <w:szCs w:val="16"/>
          <w:color w:val="auto"/>
        </w:rPr>
        <w:t>— Our PSU peers have collectively reported three-year average ROTCE of &lt;6% 14 times during that period, demonstrating the rigor of our lower absolute ROTCE threshold.</w:t>
      </w:r>
    </w:p>
    <w:p>
      <w:pPr>
        <w:ind w:left="200" w:right="360" w:hanging="192"/>
        <w:spacing w:after="0" w:line="289" w:lineRule="auto"/>
        <w:tabs>
          <w:tab w:leader="none" w:pos="184" w:val="left"/>
        </w:tabs>
        <w:numPr>
          <w:ilvl w:val="0"/>
          <w:numId w:val="160"/>
        </w:numPr>
        <w:rPr>
          <w:rFonts w:ascii="Arial" w:cs="Arial" w:eastAsia="Arial" w:hAnsi="Arial"/>
          <w:sz w:val="16"/>
          <w:szCs w:val="16"/>
          <w:b w:val="1"/>
          <w:bCs w:val="1"/>
          <w:color w:val="auto"/>
        </w:rPr>
      </w:pPr>
      <w:r>
        <w:rPr>
          <w:rFonts w:ascii="Arial" w:cs="Arial" w:eastAsia="Arial" w:hAnsi="Arial"/>
          <w:sz w:val="16"/>
          <w:szCs w:val="16"/>
          <w:color w:val="auto"/>
        </w:rPr>
        <w:t>Furthermore, the Firm recognizes that there are substantial uncertainties in the current macroeconomic and geopolitical environment that may have significant implications on financial institutions over the next three years. To this end, the CMDC believes that it has set upper and lower absolute performance thresholds that are sufficiently rigorous in this environment, including consideration of a current range of possible net income and capital scenarios over the next three years.</w:t>
      </w:r>
    </w:p>
    <w:p>
      <w:pPr>
        <w:sectPr>
          <w:pgSz w:w="11900" w:h="16838" w:orient="portrait"/>
          <w:cols w:equalWidth="0" w:num="1">
            <w:col w:w="11240"/>
          </w:cols>
          <w:pgMar w:left="320" w:top="157" w:right="339" w:bottom="1440" w:gutter="0" w:footer="0" w:header="0"/>
        </w:sectPr>
      </w:pPr>
    </w:p>
    <w:p>
      <w:pPr>
        <w:spacing w:after="0" w:line="18" w:lineRule="exact"/>
        <w:rPr>
          <w:sz w:val="20"/>
          <w:szCs w:val="20"/>
          <w:color w:val="auto"/>
        </w:rPr>
      </w:pPr>
    </w:p>
    <w:p>
      <w:pPr>
        <w:ind w:left="200" w:hanging="192"/>
        <w:spacing w:after="0" w:line="279" w:lineRule="auto"/>
        <w:tabs>
          <w:tab w:leader="none" w:pos="184" w:val="left"/>
        </w:tabs>
        <w:numPr>
          <w:ilvl w:val="0"/>
          <w:numId w:val="161"/>
        </w:numPr>
        <w:rPr>
          <w:rFonts w:ascii="Arial" w:cs="Arial" w:eastAsia="Arial" w:hAnsi="Arial"/>
          <w:sz w:val="16"/>
          <w:szCs w:val="16"/>
          <w:b w:val="1"/>
          <w:bCs w:val="1"/>
          <w:color w:val="auto"/>
        </w:rPr>
      </w:pPr>
      <w:r>
        <w:rPr>
          <w:rFonts w:ascii="Arial" w:cs="Arial" w:eastAsia="Arial" w:hAnsi="Arial"/>
          <w:sz w:val="16"/>
          <w:szCs w:val="16"/>
          <w:color w:val="auto"/>
        </w:rPr>
        <w:t>In setting the relative ROTCE performance goals for the 2025 PSU awards, the CMDC limited above-target payout to instances in which the Firm outperforms the majority of its competitors on a relative basis, with below-target payout occurring in instances of underperformance. Median relative performance results in below-target payout, outstanding relative performance results in a payout of 150% and requires a top ranking, and bottom relative performance pays out at 0%.</w:t>
      </w:r>
    </w:p>
    <w:p>
      <w:pPr>
        <w:spacing w:after="0" w:line="28" w:lineRule="exact"/>
        <w:rPr>
          <w:rFonts w:ascii="Arial" w:cs="Arial" w:eastAsia="Arial" w:hAnsi="Arial"/>
          <w:sz w:val="16"/>
          <w:szCs w:val="16"/>
          <w:b w:val="1"/>
          <w:bCs w:val="1"/>
          <w:color w:val="auto"/>
        </w:rPr>
      </w:pPr>
    </w:p>
    <w:p>
      <w:pPr>
        <w:ind w:left="200" w:right="40" w:hanging="192"/>
        <w:spacing w:after="0" w:line="289" w:lineRule="auto"/>
        <w:tabs>
          <w:tab w:leader="none" w:pos="184" w:val="left"/>
        </w:tabs>
        <w:numPr>
          <w:ilvl w:val="0"/>
          <w:numId w:val="161"/>
        </w:numPr>
        <w:rPr>
          <w:rFonts w:ascii="Arial" w:cs="Arial" w:eastAsia="Arial" w:hAnsi="Arial"/>
          <w:sz w:val="16"/>
          <w:szCs w:val="16"/>
          <w:b w:val="1"/>
          <w:bCs w:val="1"/>
          <w:color w:val="auto"/>
        </w:rPr>
      </w:pPr>
      <w:r>
        <w:rPr>
          <w:rFonts w:ascii="Arial" w:cs="Arial" w:eastAsia="Arial" w:hAnsi="Arial"/>
          <w:sz w:val="16"/>
          <w:szCs w:val="16"/>
          <w:color w:val="auto"/>
        </w:rPr>
        <w:t>As reflected by the chart to the right, the Firm’s consistent relative outperformance of our ten PSU peers is demonstrated in particular by the strength of our three-year average ROTCE outperformance over the last 10 years.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b w:val="1"/>
          <w:bCs w:val="1"/>
          <w:color w:val="auto"/>
        </w:rPr>
        <w:t>3-YEAR AVERAGE ROTCE OF THE FIRM RELATIVE TO PSU PEERS OVER THE PAST 10 YEARS</w:t>
      </w:r>
      <w:r>
        <w:rPr>
          <w:rFonts w:ascii="Arial" w:cs="Arial" w:eastAsia="Arial" w:hAnsi="Arial"/>
          <w:sz w:val="21"/>
          <w:szCs w:val="21"/>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-443865</wp:posOffset>
            </wp:positionV>
            <wp:extent cx="342011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16" w:lineRule="exact"/>
        <w:rPr>
          <w:sz w:val="20"/>
          <w:szCs w:val="20"/>
          <w:color w:val="auto"/>
        </w:rPr>
      </w:pPr>
    </w:p>
    <w:p>
      <w:pPr>
        <w:ind w:left="660"/>
        <w:spacing w:after="0"/>
        <w:rPr>
          <w:sz w:val="20"/>
          <w:szCs w:val="20"/>
          <w:color w:val="auto"/>
        </w:rPr>
      </w:pPr>
      <w:r>
        <w:rPr>
          <w:sz w:val="1"/>
          <w:szCs w:val="1"/>
          <w:color w:val="auto"/>
        </w:rPr>
        <w:drawing>
          <wp:inline distT="0" distB="0" distL="0" distR="0">
            <wp:extent cx="76835" cy="120015"/>
            <wp:effectExtent l="0" t="0" r="0" b="0"/>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6835" cy="120015"/>
                    </a:xfrm>
                    <a:prstGeom prst="rect">
                      <a:avLst/>
                    </a:prstGeom>
                    <a:noFill/>
                    <a:ln>
                      <a:noFill/>
                    </a:ln>
                  </pic:spPr>
                </pic:pic>
              </a:graphicData>
            </a:graphic>
          </wp:inline>
        </w:drawing>
      </w:r>
      <w:r>
        <w:rPr>
          <w:rFonts w:ascii="Arial" w:cs="Arial" w:eastAsia="Arial" w:hAnsi="Arial"/>
          <w:sz w:val="14"/>
          <w:szCs w:val="14"/>
          <w:color w:val="auto"/>
        </w:rPr>
        <w:t xml:space="preserve"> JPM       </w:t>
      </w:r>
      <w:r>
        <w:rPr>
          <w:sz w:val="1"/>
          <w:szCs w:val="1"/>
          <w:color w:val="auto"/>
        </w:rPr>
        <w:drawing>
          <wp:inline distT="0" distB="0" distL="0" distR="0">
            <wp:extent cx="85725" cy="120015"/>
            <wp:effectExtent l="0" t="0" r="0" b="0"/>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5725" cy="120015"/>
                    </a:xfrm>
                    <a:prstGeom prst="rect">
                      <a:avLst/>
                    </a:prstGeom>
                    <a:noFill/>
                    <a:ln>
                      <a:noFill/>
                    </a:ln>
                  </pic:spPr>
                </pic:pic>
              </a:graphicData>
            </a:graphic>
          </wp:inline>
        </w:drawing>
      </w:r>
      <w:r>
        <w:rPr>
          <w:rFonts w:ascii="Arial" w:cs="Arial" w:eastAsia="Arial" w:hAnsi="Arial"/>
          <w:sz w:val="14"/>
          <w:szCs w:val="14"/>
          <w:color w:val="auto"/>
        </w:rPr>
        <w:t xml:space="preserve"> PSU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149860</wp:posOffset>
            </wp:positionV>
            <wp:extent cx="2794635" cy="11487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794635" cy="1148715"/>
                    </a:xfrm>
                    <a:prstGeom prst="rect">
                      <a:avLst/>
                    </a:prstGeom>
                    <a:noFill/>
                  </pic:spPr>
                </pic:pic>
              </a:graphicData>
            </a:graphic>
          </wp:anchor>
        </w:drawing>
      </w:r>
    </w:p>
    <w:p>
      <w:pPr>
        <w:spacing w:after="0" w:line="1281" w:lineRule="exact"/>
        <w:rPr>
          <w:sz w:val="20"/>
          <w:szCs w:val="20"/>
          <w:color w:val="auto"/>
        </w:rPr>
      </w:pPr>
    </w:p>
    <w:p>
      <w:pPr>
        <w:sectPr>
          <w:pgSz w:w="11900" w:h="16838" w:orient="portrait"/>
          <w:cols w:equalWidth="0" w:num="2">
            <w:col w:w="5400" w:space="340"/>
            <w:col w:w="5500"/>
          </w:cols>
          <w:pgMar w:left="320" w:top="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5"/>
          <w:szCs w:val="25"/>
          <w:color w:val="auto"/>
        </w:rPr>
        <w:t>PSUs awarded for performance years 2022, 2023 and 2024</w:t>
      </w:r>
    </w:p>
    <w:p>
      <w:pPr>
        <w:spacing w:after="0" w:line="48" w:lineRule="exact"/>
        <w:rPr>
          <w:sz w:val="20"/>
          <w:szCs w:val="20"/>
          <w:color w:val="auto"/>
        </w:rPr>
      </w:pPr>
    </w:p>
    <w:p>
      <w:pPr>
        <w:jc w:val="both"/>
        <w:ind w:left="200" w:right="120" w:hanging="192"/>
        <w:spacing w:after="0" w:line="260" w:lineRule="auto"/>
        <w:tabs>
          <w:tab w:leader="none" w:pos="184" w:val="left"/>
        </w:tabs>
        <w:numPr>
          <w:ilvl w:val="0"/>
          <w:numId w:val="162"/>
        </w:numPr>
        <w:rPr>
          <w:rFonts w:ascii="Arial" w:cs="Arial" w:eastAsia="Arial" w:hAnsi="Arial"/>
          <w:sz w:val="16"/>
          <w:szCs w:val="16"/>
          <w:b w:val="1"/>
          <w:bCs w:val="1"/>
          <w:color w:val="auto"/>
        </w:rPr>
      </w:pPr>
      <w:r>
        <w:rPr>
          <w:rFonts w:ascii="Arial" w:cs="Arial" w:eastAsia="Arial" w:hAnsi="Arial"/>
          <w:sz w:val="16"/>
          <w:szCs w:val="16"/>
          <w:color w:val="auto"/>
        </w:rPr>
        <w:t>The Firm reported ROTCE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21%, 22% and 20% in 2023, 2024 and 2025 respectively, resulting in a three-year average ROTCE of 21%, outperforming the absolute threshold for the 2022 PSU awards granted in January 2023. On March 25, 2026, the 2022 PSU awards vested at 150%. For the 2023 and 2024 PSU awards, the payouts will be calculated once the performance period ends on December 31, 2026 and December 31, 2027 respectively, based on the Firm’s absolute and relative three-year average ROTCE performance.</w:t>
      </w:r>
    </w:p>
    <w:p>
      <w:pPr>
        <w:spacing w:after="0" w:line="90" w:lineRule="exact"/>
        <w:rPr>
          <w:sz w:val="20"/>
          <w:szCs w:val="20"/>
          <w:color w:val="auto"/>
        </w:rPr>
      </w:pPr>
    </w:p>
    <w:p>
      <w:pPr>
        <w:ind w:left="200" w:hanging="192"/>
        <w:spacing w:after="0"/>
        <w:tabs>
          <w:tab w:leader="none" w:pos="200" w:val="left"/>
        </w:tabs>
        <w:numPr>
          <w:ilvl w:val="0"/>
          <w:numId w:val="163"/>
        </w:numPr>
        <w:rPr>
          <w:rFonts w:ascii="Arial" w:cs="Arial" w:eastAsia="Arial" w:hAnsi="Arial"/>
          <w:sz w:val="19"/>
          <w:szCs w:val="19"/>
          <w:color w:val="auto"/>
          <w:vertAlign w:val="superscript"/>
        </w:rPr>
      </w:pPr>
      <w:r>
        <w:rPr>
          <w:rFonts w:ascii="Arial" w:cs="Arial" w:eastAsia="Arial" w:hAnsi="Arial"/>
          <w:sz w:val="13"/>
          <w:szCs w:val="13"/>
          <w:color w:val="auto"/>
        </w:rPr>
        <w:t>ROTCE is a non-GAAP financial measure; refer to Note 1 on page 103 for a further discussion of this measure.</w:t>
      </w:r>
    </w:p>
    <w:p>
      <w:pPr>
        <w:ind w:left="200" w:hanging="192"/>
        <w:spacing w:after="0" w:line="196" w:lineRule="auto"/>
        <w:tabs>
          <w:tab w:leader="none" w:pos="200" w:val="left"/>
        </w:tabs>
        <w:numPr>
          <w:ilvl w:val="0"/>
          <w:numId w:val="164"/>
        </w:numPr>
        <w:rPr>
          <w:rFonts w:ascii="Arial" w:cs="Arial" w:eastAsia="Arial" w:hAnsi="Arial"/>
          <w:sz w:val="19"/>
          <w:szCs w:val="19"/>
          <w:color w:val="auto"/>
          <w:vertAlign w:val="superscript"/>
        </w:rPr>
      </w:pPr>
      <w:r>
        <w:rPr>
          <w:rFonts w:ascii="Arial" w:cs="Arial" w:eastAsia="Arial" w:hAnsi="Arial"/>
          <w:sz w:val="13"/>
          <w:szCs w:val="13"/>
          <w:color w:val="auto"/>
        </w:rPr>
        <w:t>Peer ROTCE based on public disclosures (Form 10-K,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292100</wp:posOffset>
            </wp:positionV>
            <wp:extent cx="651510" cy="8572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389"/>
        </w:trPr>
        <w:tc>
          <w:tcPr>
            <w:tcW w:w="2840" w:type="dxa"/>
            <w:vAlign w:val="bottom"/>
            <w:tcBorders>
              <w:top w:val="single" w:sz="8" w:color="A6D7F0"/>
            </w:tcBorders>
            <w:shd w:val="clear" w:color="auto" w:fill="A6D7F0"/>
          </w:tcPr>
          <w:p>
            <w:pPr>
              <w:ind w:left="280"/>
              <w:spacing w:after="0"/>
              <w:rPr>
                <w:sz w:val="20"/>
                <w:szCs w:val="20"/>
                <w:color w:val="auto"/>
              </w:rPr>
            </w:pPr>
            <w:r>
              <w:rPr>
                <w:rFonts w:ascii="Arial" w:cs="Arial" w:eastAsia="Arial" w:hAnsi="Arial"/>
                <w:sz w:val="14"/>
                <w:szCs w:val="14"/>
                <w:b w:val="1"/>
                <w:bCs w:val="1"/>
                <w:color w:val="auto"/>
              </w:rPr>
              <w:t>How we think about pay decisions</w:t>
            </w:r>
          </w:p>
        </w:tc>
        <w:tc>
          <w:tcPr>
            <w:tcW w:w="440" w:type="dxa"/>
            <w:vAlign w:val="bottom"/>
            <w:tcBorders>
              <w:right w:val="single" w:sz="8" w:color="auto"/>
            </w:tcBorders>
          </w:tcPr>
          <w:p>
            <w:pPr>
              <w:spacing w:after="0"/>
              <w:rPr>
                <w:sz w:val="24"/>
                <w:szCs w:val="24"/>
                <w:color w:val="auto"/>
              </w:rPr>
            </w:pPr>
          </w:p>
        </w:tc>
        <w:tc>
          <w:tcPr>
            <w:tcW w:w="41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42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color w:val="8F5A39"/>
              </w:rPr>
              <w:t>How performance determined pay in 2025</w:t>
            </w:r>
          </w:p>
        </w:tc>
      </w:tr>
      <w:tr>
        <w:trPr>
          <w:trHeight w:val="83"/>
        </w:trPr>
        <w:tc>
          <w:tcPr>
            <w:tcW w:w="2840" w:type="dxa"/>
            <w:vAlign w:val="bottom"/>
            <w:shd w:val="clear" w:color="auto" w:fill="A6D7F0"/>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120" w:type="dxa"/>
            <w:vAlign w:val="bottom"/>
            <w:tcBorders>
              <w:bottom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340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-196850</wp:posOffset>
            </wp:positionV>
            <wp:extent cx="120015" cy="9398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-196850</wp:posOffset>
            </wp:positionV>
            <wp:extent cx="120015" cy="9398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Strong ownership &amp; accountability provisions</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color w:val="auto"/>
        </w:rPr>
        <w:t>Stock ownership guideline and retention requirements</w:t>
      </w:r>
    </w:p>
    <w:p>
      <w:pPr>
        <w:spacing w:after="0" w:line="58"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CMDC believes it is important to align the interests of our OC members with those of our shareholders. To meet this objective, OC members are subject to a stock ownership guideline and retention policy.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While on the Operating Committee, each member is required to accumulate either:</w:t>
      </w:r>
    </w:p>
    <w:p>
      <w:pPr>
        <w:spacing w:after="0" w:line="86" w:lineRule="exact"/>
        <w:rPr>
          <w:sz w:val="20"/>
          <w:szCs w:val="20"/>
          <w:color w:val="auto"/>
        </w:rPr>
      </w:pPr>
    </w:p>
    <w:p>
      <w:pPr>
        <w:ind w:left="180" w:hanging="172"/>
        <w:spacing w:after="0"/>
        <w:tabs>
          <w:tab w:leader="none" w:pos="180"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t>A minimum of between 200,000 and 400,000 shares (1 million shares for the CEO); or</w:t>
      </w:r>
    </w:p>
    <w:p>
      <w:pPr>
        <w:spacing w:after="0" w:line="59" w:lineRule="exact"/>
        <w:rPr>
          <w:rFonts w:ascii="Arial" w:cs="Arial" w:eastAsia="Arial" w:hAnsi="Arial"/>
          <w:sz w:val="16"/>
          <w:szCs w:val="16"/>
          <w:b w:val="1"/>
          <w:bCs w:val="1"/>
          <w:color w:val="auto"/>
        </w:rPr>
      </w:pPr>
    </w:p>
    <w:p>
      <w:pPr>
        <w:ind w:left="180" w:hanging="172"/>
        <w:spacing w:after="0"/>
        <w:tabs>
          <w:tab w:leader="none" w:pos="180"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t>A minimum fixed dollar value of shares of between $10 million and $30 million ($75 million for the CEO).</w:t>
      </w:r>
    </w:p>
    <w:p>
      <w:pPr>
        <w:spacing w:after="0" w:line="72"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6"/>
          <w:szCs w:val="16"/>
          <w:color w:val="auto"/>
        </w:rPr>
        <w:t>— In 2025, this represented 10x to 30x of OC member base salary, or 50x for the CEO.</w:t>
      </w:r>
    </w:p>
    <w:p>
      <w:pPr>
        <w:spacing w:after="0" w:line="181" w:lineRule="exact"/>
        <w:rPr>
          <w:sz w:val="20"/>
          <w:szCs w:val="20"/>
          <w:color w:val="auto"/>
        </w:rPr>
      </w:pPr>
    </w:p>
    <w:p>
      <w:pPr>
        <w:jc w:val="both"/>
        <w:ind w:right="220"/>
        <w:spacing w:after="0" w:line="321" w:lineRule="auto"/>
        <w:rPr>
          <w:sz w:val="20"/>
          <w:szCs w:val="20"/>
          <w:color w:val="auto"/>
        </w:rPr>
      </w:pPr>
      <w:r>
        <w:rPr>
          <w:rFonts w:ascii="Arial" w:cs="Arial" w:eastAsia="Arial" w:hAnsi="Arial"/>
          <w:sz w:val="16"/>
          <w:szCs w:val="16"/>
          <w:color w:val="auto"/>
        </w:rPr>
        <w:t>Shares credited for purposes of satisfying the above ownership levels include shares owned outright, as well as 50% of unvested RSUs and PSUs, but do not include SARs or stock options (whether exercisable or unexercisable).</w:t>
      </w:r>
    </w:p>
    <w:p>
      <w:pPr>
        <w:spacing w:after="0" w:line="7"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The stock ownership guideline must be met within 6 years of the later of the effective date of the policy or appointment to the Operating Committee. If the stock ownership guidelines are subsequently increased, the higher ownership guideline must be satisfied within 6 years of such revision, unless otherwise determined by the CEO and CMDC.</w:t>
      </w:r>
    </w:p>
    <w:p>
      <w:pPr>
        <w:spacing w:after="0" w:line="2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Prior to reaching their designated share ownership guideline, OC members are required to retain 75% of all net shares received from equity awards granted after they join the Operating Committee. Once they have met their ownership guideline, the policy requires OC members to retain 50% of all net shares received from awards (75% for the CEO) as summarized below:</w:t>
      </w:r>
    </w:p>
    <w:p>
      <w:pPr>
        <w:spacing w:after="0" w:line="145" w:lineRule="exact"/>
        <w:rPr>
          <w:sz w:val="20"/>
          <w:szCs w:val="20"/>
          <w:color w:val="auto"/>
        </w:rPr>
      </w:pPr>
    </w:p>
    <w:tbl>
      <w:tblPr>
        <w:tblLayout w:type="fixed"/>
        <w:tblInd w:w="1160" w:type="dxa"/>
        <w:tblCellMar>
          <w:top w:w="0" w:type="dxa"/>
          <w:left w:w="0" w:type="dxa"/>
          <w:bottom w:w="0" w:type="dxa"/>
          <w:right w:w="0" w:type="dxa"/>
        </w:tblCellMar>
      </w:tblPr>
      <w:tr>
        <w:trPr>
          <w:trHeight w:val="243"/>
        </w:trPr>
        <w:tc>
          <w:tcPr>
            <w:tcW w:w="3460" w:type="dxa"/>
            <w:vAlign w:val="bottom"/>
            <w:shd w:val="clear" w:color="auto" w:fill="8F5A39"/>
          </w:tcPr>
          <w:p>
            <w:pPr>
              <w:spacing w:after="0"/>
              <w:rPr>
                <w:sz w:val="21"/>
                <w:szCs w:val="21"/>
                <w:color w:val="auto"/>
              </w:rPr>
            </w:pPr>
          </w:p>
        </w:tc>
        <w:tc>
          <w:tcPr>
            <w:tcW w:w="5480" w:type="dxa"/>
            <w:vAlign w:val="bottom"/>
            <w:shd w:val="clear" w:color="auto" w:fill="8F5A39"/>
          </w:tcPr>
          <w:p>
            <w:pPr>
              <w:ind w:left="120"/>
              <w:spacing w:after="0"/>
              <w:rPr>
                <w:sz w:val="20"/>
                <w:szCs w:val="20"/>
                <w:color w:val="auto"/>
              </w:rPr>
            </w:pPr>
            <w:r>
              <w:rPr>
                <w:rFonts w:ascii="Arial" w:cs="Arial" w:eastAsia="Arial" w:hAnsi="Arial"/>
                <w:sz w:val="16"/>
                <w:szCs w:val="16"/>
                <w:b w:val="1"/>
                <w:bCs w:val="1"/>
                <w:color w:val="FFFFFF"/>
              </w:rPr>
              <w:t>Retention Requirement</w:t>
            </w:r>
          </w:p>
        </w:tc>
        <w:tc>
          <w:tcPr>
            <w:tcW w:w="0" w:type="dxa"/>
            <w:vAlign w:val="bottom"/>
          </w:tcPr>
          <w:p>
            <w:pPr>
              <w:spacing w:after="0"/>
              <w:rPr>
                <w:sz w:val="1"/>
                <w:szCs w:val="1"/>
                <w:color w:val="auto"/>
              </w:rPr>
            </w:pPr>
          </w:p>
        </w:tc>
      </w:tr>
      <w:tr>
        <w:trPr>
          <w:trHeight w:val="239"/>
        </w:trPr>
        <w:tc>
          <w:tcPr>
            <w:tcW w:w="3460" w:type="dxa"/>
            <w:vAlign w:val="bottom"/>
            <w:tcBorders>
              <w:bottom w:val="single" w:sz="8" w:color="auto"/>
            </w:tcBorders>
            <w:shd w:val="clear" w:color="auto" w:fill="F4EFE7"/>
          </w:tcPr>
          <w:p>
            <w:pPr>
              <w:jc w:val="center"/>
              <w:ind w:left="922"/>
              <w:spacing w:after="0"/>
              <w:rPr>
                <w:sz w:val="20"/>
                <w:szCs w:val="20"/>
                <w:color w:val="auto"/>
              </w:rPr>
            </w:pPr>
            <w:r>
              <w:rPr>
                <w:rFonts w:ascii="Arial" w:cs="Arial" w:eastAsia="Arial" w:hAnsi="Arial"/>
                <w:sz w:val="16"/>
                <w:szCs w:val="16"/>
                <w:b w:val="1"/>
                <w:bCs w:val="1"/>
                <w:color w:val="8F5A39"/>
              </w:rPr>
              <w:t>Before Guideline Met</w:t>
            </w:r>
          </w:p>
        </w:tc>
        <w:tc>
          <w:tcPr>
            <w:tcW w:w="5480" w:type="dxa"/>
            <w:vAlign w:val="bottom"/>
            <w:tcBorders>
              <w:bottom w:val="single" w:sz="8" w:color="auto"/>
            </w:tcBorders>
            <w:shd w:val="clear" w:color="auto" w:fill="F4EFE7"/>
          </w:tcPr>
          <w:p>
            <w:pPr>
              <w:jc w:val="center"/>
              <w:ind w:left="902"/>
              <w:spacing w:after="0"/>
              <w:rPr>
                <w:sz w:val="20"/>
                <w:szCs w:val="20"/>
                <w:color w:val="auto"/>
              </w:rPr>
            </w:pPr>
            <w:r>
              <w:rPr>
                <w:rFonts w:ascii="Arial" w:cs="Arial" w:eastAsia="Arial" w:hAnsi="Arial"/>
                <w:sz w:val="16"/>
                <w:szCs w:val="16"/>
                <w:b w:val="1"/>
                <w:bCs w:val="1"/>
                <w:color w:val="8F5A39"/>
              </w:rPr>
              <w:t>After Guideline Met</w:t>
            </w:r>
          </w:p>
        </w:tc>
        <w:tc>
          <w:tcPr>
            <w:tcW w:w="0" w:type="dxa"/>
            <w:vAlign w:val="bottom"/>
          </w:tcPr>
          <w:p>
            <w:pPr>
              <w:spacing w:after="0"/>
              <w:rPr>
                <w:sz w:val="1"/>
                <w:szCs w:val="1"/>
                <w:color w:val="auto"/>
              </w:rPr>
            </w:pPr>
          </w:p>
        </w:tc>
      </w:tr>
      <w:tr>
        <w:trPr>
          <w:trHeight w:val="182"/>
        </w:trPr>
        <w:tc>
          <w:tcPr>
            <w:tcW w:w="3460" w:type="dxa"/>
            <w:vAlign w:val="bottom"/>
            <w:vMerge w:val="restart"/>
          </w:tcPr>
          <w:p>
            <w:pPr>
              <w:jc w:val="center"/>
              <w:ind w:left="922"/>
              <w:spacing w:after="0"/>
              <w:rPr>
                <w:sz w:val="20"/>
                <w:szCs w:val="20"/>
                <w:color w:val="auto"/>
              </w:rPr>
            </w:pPr>
            <w:r>
              <w:rPr>
                <w:rFonts w:ascii="Arial" w:cs="Arial" w:eastAsia="Arial" w:hAnsi="Arial"/>
                <w:sz w:val="15"/>
                <w:szCs w:val="15"/>
                <w:color w:val="auto"/>
              </w:rPr>
              <w:t>75% of net shares until</w:t>
            </w:r>
          </w:p>
        </w:tc>
        <w:tc>
          <w:tcPr>
            <w:tcW w:w="5480" w:type="dxa"/>
            <w:vAlign w:val="bottom"/>
          </w:tcPr>
          <w:p>
            <w:pPr>
              <w:jc w:val="center"/>
              <w:ind w:left="902"/>
              <w:spacing w:after="0"/>
              <w:rPr>
                <w:sz w:val="20"/>
                <w:szCs w:val="20"/>
                <w:color w:val="auto"/>
              </w:rPr>
            </w:pPr>
            <w:r>
              <w:rPr>
                <w:rFonts w:ascii="Arial" w:cs="Arial" w:eastAsia="Arial" w:hAnsi="Arial"/>
                <w:sz w:val="15"/>
                <w:szCs w:val="15"/>
                <w:color w:val="auto"/>
              </w:rPr>
              <w:t>50% of net shares for the duration</w:t>
            </w:r>
          </w:p>
        </w:tc>
        <w:tc>
          <w:tcPr>
            <w:tcW w:w="0" w:type="dxa"/>
            <w:vAlign w:val="bottom"/>
          </w:tcPr>
          <w:p>
            <w:pPr>
              <w:spacing w:after="0"/>
              <w:rPr>
                <w:sz w:val="1"/>
                <w:szCs w:val="1"/>
                <w:color w:val="auto"/>
              </w:rPr>
            </w:pPr>
          </w:p>
        </w:tc>
      </w:tr>
      <w:tr>
        <w:trPr>
          <w:trHeight w:val="95"/>
        </w:trPr>
        <w:tc>
          <w:tcPr>
            <w:tcW w:w="3460" w:type="dxa"/>
            <w:vAlign w:val="bottom"/>
            <w:vMerge w:val="continue"/>
          </w:tcPr>
          <w:p>
            <w:pPr>
              <w:spacing w:after="0"/>
              <w:rPr>
                <w:sz w:val="8"/>
                <w:szCs w:val="8"/>
                <w:color w:val="auto"/>
              </w:rPr>
            </w:pPr>
          </w:p>
        </w:tc>
        <w:tc>
          <w:tcPr>
            <w:tcW w:w="5480" w:type="dxa"/>
            <w:vAlign w:val="bottom"/>
            <w:vMerge w:val="restart"/>
          </w:tcPr>
          <w:p>
            <w:pPr>
              <w:jc w:val="center"/>
              <w:ind w:left="902"/>
              <w:spacing w:after="0"/>
              <w:rPr>
                <w:sz w:val="20"/>
                <w:szCs w:val="20"/>
                <w:color w:val="auto"/>
              </w:rPr>
            </w:pPr>
            <w:r>
              <w:rPr>
                <w:rFonts w:ascii="Arial" w:cs="Arial" w:eastAsia="Arial" w:hAnsi="Arial"/>
                <w:sz w:val="15"/>
                <w:szCs w:val="15"/>
                <w:color w:val="auto"/>
              </w:rPr>
              <w:t>of their service on the OC</w:t>
            </w:r>
          </w:p>
        </w:tc>
        <w:tc>
          <w:tcPr>
            <w:tcW w:w="0" w:type="dxa"/>
            <w:vAlign w:val="bottom"/>
          </w:tcPr>
          <w:p>
            <w:pPr>
              <w:spacing w:after="0"/>
              <w:rPr>
                <w:sz w:val="1"/>
                <w:szCs w:val="1"/>
                <w:color w:val="auto"/>
              </w:rPr>
            </w:pPr>
          </w:p>
        </w:tc>
      </w:tr>
      <w:tr>
        <w:trPr>
          <w:trHeight w:val="95"/>
        </w:trPr>
        <w:tc>
          <w:tcPr>
            <w:tcW w:w="3460" w:type="dxa"/>
            <w:vAlign w:val="bottom"/>
            <w:vMerge w:val="restart"/>
          </w:tcPr>
          <w:p>
            <w:pPr>
              <w:jc w:val="center"/>
              <w:ind w:left="922"/>
              <w:spacing w:after="0"/>
              <w:rPr>
                <w:sz w:val="20"/>
                <w:szCs w:val="20"/>
                <w:color w:val="auto"/>
              </w:rPr>
            </w:pPr>
            <w:r>
              <w:rPr>
                <w:rFonts w:ascii="Arial" w:cs="Arial" w:eastAsia="Arial" w:hAnsi="Arial"/>
                <w:sz w:val="15"/>
                <w:szCs w:val="15"/>
                <w:color w:val="auto"/>
              </w:rPr>
              <w:t>stock ownership guideline is met</w:t>
            </w:r>
          </w:p>
        </w:tc>
        <w:tc>
          <w:tcPr>
            <w:tcW w:w="5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460" w:type="dxa"/>
            <w:vAlign w:val="bottom"/>
            <w:vMerge w:val="continue"/>
          </w:tcPr>
          <w:p>
            <w:pPr>
              <w:spacing w:after="0"/>
              <w:rPr>
                <w:sz w:val="9"/>
                <w:szCs w:val="9"/>
                <w:color w:val="auto"/>
              </w:rPr>
            </w:pPr>
          </w:p>
        </w:tc>
        <w:tc>
          <w:tcPr>
            <w:tcW w:w="5480" w:type="dxa"/>
            <w:vAlign w:val="bottom"/>
            <w:vMerge w:val="restart"/>
          </w:tcPr>
          <w:p>
            <w:pPr>
              <w:jc w:val="center"/>
              <w:ind w:left="922"/>
              <w:spacing w:after="0"/>
              <w:rPr>
                <w:sz w:val="20"/>
                <w:szCs w:val="20"/>
                <w:color w:val="auto"/>
              </w:rPr>
            </w:pPr>
            <w:r>
              <w:rPr>
                <w:rFonts w:ascii="Arial" w:cs="Arial" w:eastAsia="Arial" w:hAnsi="Arial"/>
                <w:sz w:val="15"/>
                <w:szCs w:val="15"/>
                <w:color w:val="auto"/>
              </w:rPr>
              <w:t>(75% for CEO)</w:t>
            </w:r>
          </w:p>
        </w:tc>
        <w:tc>
          <w:tcPr>
            <w:tcW w:w="0" w:type="dxa"/>
            <w:vAlign w:val="bottom"/>
          </w:tcPr>
          <w:p>
            <w:pPr>
              <w:spacing w:after="0"/>
              <w:rPr>
                <w:sz w:val="1"/>
                <w:szCs w:val="1"/>
                <w:color w:val="auto"/>
              </w:rPr>
            </w:pPr>
          </w:p>
        </w:tc>
      </w:tr>
      <w:tr>
        <w:trPr>
          <w:trHeight w:val="94"/>
        </w:trPr>
        <w:tc>
          <w:tcPr>
            <w:tcW w:w="3460" w:type="dxa"/>
            <w:vAlign w:val="bottom"/>
          </w:tcPr>
          <w:p>
            <w:pPr>
              <w:spacing w:after="0"/>
              <w:rPr>
                <w:sz w:val="8"/>
                <w:szCs w:val="8"/>
                <w:color w:val="auto"/>
              </w:rPr>
            </w:pPr>
          </w:p>
        </w:tc>
        <w:tc>
          <w:tcPr>
            <w:tcW w:w="5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46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Because OC members are required to continue accumulating shares even after having met their share ownership guideline, the resulting increase of share ownership over time further strengthens the alignment of their interests with those of our shareholders. Notably, since he became CEO, Mr. Dimon has acquired a substantial amount of stock through compensation and purchases on the open market.</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Anti-hedging/anti-pledging provisions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All employees are prohibited from hedging or pledging unvested RSUs and PSUs, and unexercised SARs or stock options. In addition:</w:t>
      </w:r>
    </w:p>
    <w:p>
      <w:pPr>
        <w:spacing w:after="0" w:line="86" w:lineRule="exact"/>
        <w:rPr>
          <w:sz w:val="20"/>
          <w:szCs w:val="20"/>
          <w:color w:val="auto"/>
        </w:rPr>
      </w:pPr>
    </w:p>
    <w:p>
      <w:pPr>
        <w:ind w:left="180" w:hanging="172"/>
        <w:spacing w:after="0"/>
        <w:tabs>
          <w:tab w:leader="none" w:pos="180"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Shares owned outright or through deferred compensation by an OC member may not be hedged.</w:t>
      </w:r>
    </w:p>
    <w:p>
      <w:pPr>
        <w:spacing w:after="0" w:line="38" w:lineRule="exact"/>
        <w:rPr>
          <w:rFonts w:ascii="Arial" w:cs="Arial" w:eastAsia="Arial" w:hAnsi="Arial"/>
          <w:sz w:val="16"/>
          <w:szCs w:val="16"/>
          <w:b w:val="1"/>
          <w:bCs w:val="1"/>
          <w:color w:val="auto"/>
        </w:rPr>
      </w:pPr>
    </w:p>
    <w:p>
      <w:pPr>
        <w:ind w:left="180" w:hanging="172"/>
        <w:spacing w:after="0"/>
        <w:tabs>
          <w:tab w:leader="none" w:pos="180"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Shares held directly by an OC or Board member</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may not be held in margin accounts or otherwise pledged.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hanging="192"/>
        <w:spacing w:after="0"/>
        <w:tabs>
          <w:tab w:leader="none" w:pos="200" w:val="left"/>
        </w:tabs>
        <w:numPr>
          <w:ilvl w:val="0"/>
          <w:numId w:val="167"/>
        </w:numPr>
        <w:rPr>
          <w:rFonts w:ascii="Arial" w:cs="Arial" w:eastAsia="Arial" w:hAnsi="Arial"/>
          <w:sz w:val="19"/>
          <w:szCs w:val="19"/>
          <w:color w:val="auto"/>
          <w:vertAlign w:val="superscript"/>
        </w:rPr>
      </w:pPr>
      <w:r>
        <w:rPr>
          <w:rFonts w:ascii="Arial" w:cs="Arial" w:eastAsia="Arial" w:hAnsi="Arial"/>
          <w:sz w:val="13"/>
          <w:szCs w:val="13"/>
          <w:color w:val="auto"/>
        </w:rPr>
        <w:t>For information on the hedging/pledging restrictions applicable to our directors, please see “Director compensation” on pages 32 and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317500</wp:posOffset>
            </wp:positionV>
            <wp:extent cx="651510" cy="8572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50</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6620"/>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389"/>
        </w:trPr>
        <w:tc>
          <w:tcPr>
            <w:tcW w:w="2840" w:type="dxa"/>
            <w:vAlign w:val="bottom"/>
            <w:tcBorders>
              <w:top w:val="single" w:sz="8" w:color="A6D7F0"/>
            </w:tcBorders>
            <w:shd w:val="clear" w:color="auto" w:fill="A6D7F0"/>
          </w:tcPr>
          <w:p>
            <w:pPr>
              <w:ind w:left="280"/>
              <w:spacing w:after="0"/>
              <w:rPr>
                <w:sz w:val="20"/>
                <w:szCs w:val="20"/>
                <w:color w:val="auto"/>
              </w:rPr>
            </w:pPr>
            <w:r>
              <w:rPr>
                <w:rFonts w:ascii="Arial" w:cs="Arial" w:eastAsia="Arial" w:hAnsi="Arial"/>
                <w:sz w:val="14"/>
                <w:szCs w:val="14"/>
                <w:b w:val="1"/>
                <w:bCs w:val="1"/>
                <w:color w:val="auto"/>
              </w:rPr>
              <w:t>How we think about pay decisions</w:t>
            </w:r>
          </w:p>
        </w:tc>
        <w:tc>
          <w:tcPr>
            <w:tcW w:w="440" w:type="dxa"/>
            <w:vAlign w:val="bottom"/>
            <w:tcBorders>
              <w:right w:val="single" w:sz="8" w:color="auto"/>
            </w:tcBorders>
          </w:tcPr>
          <w:p>
            <w:pPr>
              <w:spacing w:after="0"/>
              <w:rPr>
                <w:sz w:val="24"/>
                <w:szCs w:val="24"/>
                <w:color w:val="auto"/>
              </w:rPr>
            </w:pPr>
          </w:p>
        </w:tc>
        <w:tc>
          <w:tcPr>
            <w:tcW w:w="41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42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color w:val="8F5A39"/>
              </w:rPr>
              <w:t>How performance determined pay in 2025</w:t>
            </w:r>
          </w:p>
        </w:tc>
      </w:tr>
      <w:tr>
        <w:trPr>
          <w:trHeight w:val="83"/>
        </w:trPr>
        <w:tc>
          <w:tcPr>
            <w:tcW w:w="2840" w:type="dxa"/>
            <w:vAlign w:val="bottom"/>
            <w:shd w:val="clear" w:color="auto" w:fill="A6D7F0"/>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120" w:type="dxa"/>
            <w:vAlign w:val="bottom"/>
            <w:tcBorders>
              <w:bottom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340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-196850</wp:posOffset>
            </wp:positionV>
            <wp:extent cx="120015" cy="9398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-196850</wp:posOffset>
            </wp:positionV>
            <wp:extent cx="120015" cy="9398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color w:val="auto"/>
        </w:rPr>
        <w:t>Integrating risk with compensation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CMDC holds an annual joint session with the Risk Committee to review our HR and compensation practices, including:</w:t>
      </w:r>
    </w:p>
    <w:p>
      <w:pPr>
        <w:spacing w:after="0" w:line="86" w:lineRule="exact"/>
        <w:rPr>
          <w:sz w:val="20"/>
          <w:szCs w:val="20"/>
          <w:color w:val="auto"/>
        </w:rPr>
      </w:pPr>
    </w:p>
    <w:p>
      <w:pPr>
        <w:ind w:left="180" w:hanging="172"/>
        <w:spacing w:after="0"/>
        <w:tabs>
          <w:tab w:leader="none" w:pos="18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How we integrate risk, controls and conduct considerations into key HR practices including performance development, compensation and promotion.</w:t>
      </w:r>
    </w:p>
    <w:p>
      <w:pPr>
        <w:spacing w:after="0" w:line="59" w:lineRule="exact"/>
        <w:rPr>
          <w:rFonts w:ascii="Arial" w:cs="Arial" w:eastAsia="Arial" w:hAnsi="Arial"/>
          <w:sz w:val="16"/>
          <w:szCs w:val="16"/>
          <w:b w:val="1"/>
          <w:bCs w:val="1"/>
          <w:color w:val="auto"/>
        </w:rPr>
      </w:pPr>
    </w:p>
    <w:p>
      <w:pPr>
        <w:ind w:left="180" w:hanging="172"/>
        <w:spacing w:after="0"/>
        <w:tabs>
          <w:tab w:leader="none" w:pos="18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Compensation features and elements designed to discourage imprudent risk-taking (e.g., multi-year vesting, clawbacks, prohibition on hedging, etc.).</w:t>
      </w:r>
    </w:p>
    <w:p>
      <w:pPr>
        <w:spacing w:after="0" w:line="72" w:lineRule="exact"/>
        <w:rPr>
          <w:rFonts w:ascii="Arial" w:cs="Arial" w:eastAsia="Arial" w:hAnsi="Arial"/>
          <w:sz w:val="16"/>
          <w:szCs w:val="16"/>
          <w:b w:val="1"/>
          <w:bCs w:val="1"/>
          <w:color w:val="auto"/>
        </w:rPr>
      </w:pPr>
    </w:p>
    <w:p>
      <w:pPr>
        <w:ind w:left="180" w:hanging="172"/>
        <w:spacing w:after="0"/>
        <w:tabs>
          <w:tab w:leader="none" w:pos="180"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Annual incentive pool processes for LOBs and Corporate functions.</w:t>
      </w:r>
    </w:p>
    <w:p>
      <w:pPr>
        <w:spacing w:after="0" w:line="59"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The committees are also provided with a summary of the risk, controls and conduct framework, impacts and updates regarding HR Control Forum issues, and regulatory updates which have impacted or may impact HR practices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auto"/>
        </w:rPr>
        <w:t>Risk, controls and conduct review process</w:t>
      </w:r>
    </w:p>
    <w:p>
      <w:pPr>
        <w:spacing w:after="0" w:line="45" w:lineRule="exact"/>
        <w:rPr>
          <w:sz w:val="20"/>
          <w:szCs w:val="20"/>
          <w:color w:val="auto"/>
        </w:rPr>
      </w:pPr>
    </w:p>
    <w:p>
      <w:pPr>
        <w:ind w:right="540"/>
        <w:spacing w:after="0" w:line="316" w:lineRule="auto"/>
        <w:rPr>
          <w:sz w:val="20"/>
          <w:szCs w:val="20"/>
          <w:color w:val="auto"/>
        </w:rPr>
      </w:pPr>
      <w:r>
        <w:rPr>
          <w:rFonts w:ascii="Arial" w:cs="Arial" w:eastAsia="Arial" w:hAnsi="Arial"/>
          <w:sz w:val="16"/>
          <w:szCs w:val="16"/>
          <w:color w:val="auto"/>
        </w:rPr>
        <w:t>The review processes we maintain to evaluate and provide feedback on risk, controls and conduct matters and to identify accountable employees are summarized below:</w:t>
      </w:r>
    </w:p>
    <w:p>
      <w:pPr>
        <w:spacing w:after="0" w:line="2" w:lineRule="exact"/>
        <w:rPr>
          <w:sz w:val="20"/>
          <w:szCs w:val="20"/>
          <w:color w:val="auto"/>
        </w:rPr>
      </w:pPr>
    </w:p>
    <w:p>
      <w:pPr>
        <w:ind w:left="200" w:right="160" w:hanging="192"/>
        <w:spacing w:after="0" w:line="301" w:lineRule="auto"/>
        <w:tabs>
          <w:tab w:leader="none" w:pos="184"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Performance review process: All employees are evaluated for both what they achieve and how they achieve it. Employees in roles that could expose the Firm to greater risks, including OC and other Designated Employees, are subject to a more disciplined evaluation process including solicited behavioral feedback from control functions.</w:t>
      </w:r>
    </w:p>
    <w:p>
      <w:pPr>
        <w:spacing w:after="0" w:line="9" w:lineRule="exact"/>
        <w:rPr>
          <w:rFonts w:ascii="Arial" w:cs="Arial" w:eastAsia="Arial" w:hAnsi="Arial"/>
          <w:sz w:val="16"/>
          <w:szCs w:val="16"/>
          <w:b w:val="1"/>
          <w:bCs w:val="1"/>
          <w:color w:val="auto"/>
        </w:rPr>
      </w:pPr>
    </w:p>
    <w:p>
      <w:pPr>
        <w:ind w:left="200" w:right="120" w:hanging="192"/>
        <w:spacing w:after="0" w:line="295" w:lineRule="auto"/>
        <w:tabs>
          <w:tab w:leader="none" w:pos="184"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Employee conduct framework: We have a firmwide framework to assess employee conduct-related matters, and we review trends that may expose the Firm to material financial, reputation, compliance and other operational risks. Matters that have actual or potential misconduct that create material concerns are escalated to the HR Control Forum process through a variety of escalation channels. The Firmwide HR Control Forum reviews outputs and gives feedback to the LOB, Functional and/or Regional HR Control Forums and provides constructive challenge.</w:t>
      </w:r>
    </w:p>
    <w:p>
      <w:pPr>
        <w:spacing w:after="0" w:line="13" w:lineRule="exact"/>
        <w:rPr>
          <w:rFonts w:ascii="Arial" w:cs="Arial" w:eastAsia="Arial" w:hAnsi="Arial"/>
          <w:sz w:val="16"/>
          <w:szCs w:val="16"/>
          <w:b w:val="1"/>
          <w:bCs w:val="1"/>
          <w:color w:val="auto"/>
        </w:rPr>
      </w:pPr>
    </w:p>
    <w:p>
      <w:pPr>
        <w:ind w:left="200" w:right="120" w:hanging="192"/>
        <w:spacing w:after="0" w:line="301" w:lineRule="auto"/>
        <w:tabs>
          <w:tab w:leader="none" w:pos="184"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Board oversight: The Board receives OC performance reviews, including an independent assessment of their risk, controls and conduct behavior. The CMDC also reviews a summary of outcomes of HR Control Forums, and certain issues reviewed at HR Control Forums that meet established criteria are escalated to the CMDC.</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auto"/>
        </w:rPr>
        <w:t>Strong accountability and recovery provisions</w:t>
      </w:r>
    </w:p>
    <w:p>
      <w:pPr>
        <w:spacing w:after="0" w:line="4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compensation program is designed to hold employees accountable, including executives, when appropriate, for meaningful actions or issues that may negatively impact business performance or the Firm’s reputation in current or future years. Issues that may warrant recovery determinations can be raised at any time, including in HR Control Forums and annual assessments of employee performance. Under the Firm’s process to govern these determinations:</w:t>
      </w:r>
    </w:p>
    <w:p>
      <w:pPr>
        <w:spacing w:after="0" w:line="10" w:lineRule="exact"/>
        <w:rPr>
          <w:sz w:val="20"/>
          <w:szCs w:val="20"/>
          <w:color w:val="auto"/>
        </w:rPr>
      </w:pPr>
    </w:p>
    <w:p>
      <w:pPr>
        <w:ind w:left="200" w:right="340" w:hanging="192"/>
        <w:spacing w:after="0" w:line="316" w:lineRule="auto"/>
        <w:tabs>
          <w:tab w:leader="none" w:pos="184" w:val="left"/>
        </w:tabs>
        <w:numPr>
          <w:ilvl w:val="0"/>
          <w:numId w:val="170"/>
        </w:numPr>
        <w:rPr>
          <w:rFonts w:ascii="Arial" w:cs="Arial" w:eastAsia="Arial" w:hAnsi="Arial"/>
          <w:sz w:val="16"/>
          <w:szCs w:val="16"/>
          <w:b w:val="1"/>
          <w:bCs w:val="1"/>
          <w:color w:val="auto"/>
        </w:rPr>
      </w:pPr>
      <w:r>
        <w:rPr>
          <w:rFonts w:ascii="Arial" w:cs="Arial" w:eastAsia="Arial" w:hAnsi="Arial"/>
          <w:sz w:val="16"/>
          <w:szCs w:val="16"/>
          <w:color w:val="auto"/>
        </w:rPr>
        <w:t>We review compensation or other employee actions following a determination that the cause and materiality of a risk-related loss, issue or other set of facts and circumstances warrants such a review of accountability for actual or potential misconduct.</w:t>
      </w:r>
    </w:p>
    <w:p>
      <w:pPr>
        <w:spacing w:after="0" w:line="1" w:lineRule="exact"/>
        <w:rPr>
          <w:rFonts w:ascii="Arial" w:cs="Arial" w:eastAsia="Arial" w:hAnsi="Arial"/>
          <w:sz w:val="16"/>
          <w:szCs w:val="16"/>
          <w:b w:val="1"/>
          <w:bCs w:val="1"/>
          <w:color w:val="auto"/>
        </w:rPr>
      </w:pPr>
    </w:p>
    <w:p>
      <w:pPr>
        <w:ind w:left="200" w:hanging="192"/>
        <w:spacing w:after="0" w:line="321" w:lineRule="auto"/>
        <w:tabs>
          <w:tab w:leader="none" w:pos="184" w:val="left"/>
        </w:tabs>
        <w:numPr>
          <w:ilvl w:val="0"/>
          <w:numId w:val="170"/>
        </w:numPr>
        <w:rPr>
          <w:rFonts w:ascii="Arial" w:cs="Arial" w:eastAsia="Arial" w:hAnsi="Arial"/>
          <w:sz w:val="16"/>
          <w:szCs w:val="16"/>
          <w:b w:val="1"/>
          <w:bCs w:val="1"/>
          <w:color w:val="auto"/>
        </w:rPr>
      </w:pPr>
      <w:r>
        <w:rPr>
          <w:rFonts w:ascii="Arial" w:cs="Arial" w:eastAsia="Arial" w:hAnsi="Arial"/>
          <w:sz w:val="16"/>
          <w:szCs w:val="16"/>
          <w:color w:val="auto"/>
        </w:rPr>
        <w:t>The CMDC is responsible for determinations involving OC members (determinations involving the CEO are subject to ratification by independent members of the Board).</w:t>
      </w:r>
    </w:p>
    <w:p>
      <w:pPr>
        <w:spacing w:after="0" w:line="48" w:lineRule="exact"/>
        <w:rPr>
          <w:sz w:val="20"/>
          <w:szCs w:val="20"/>
          <w:color w:val="auto"/>
        </w:rPr>
      </w:pPr>
    </w:p>
    <w:p>
      <w:pPr>
        <w:ind w:right="240"/>
        <w:spacing w:after="0" w:line="316" w:lineRule="auto"/>
        <w:rPr>
          <w:sz w:val="20"/>
          <w:szCs w:val="20"/>
          <w:color w:val="auto"/>
        </w:rPr>
      </w:pPr>
      <w:r>
        <w:rPr>
          <w:rFonts w:ascii="Arial" w:cs="Arial" w:eastAsia="Arial" w:hAnsi="Arial"/>
          <w:sz w:val="16"/>
          <w:szCs w:val="16"/>
          <w:color w:val="auto"/>
        </w:rPr>
        <w:t>To hold individuals responsible for taking risks inconsistent with the Firm’s risk appetite and to discourage future imprudent behavior, the Firm has policies and procedures that enable it to take timely and proportionate actions, including:</w:t>
      </w:r>
    </w:p>
    <w:p>
      <w:pPr>
        <w:spacing w:after="0" w:line="2" w:lineRule="exact"/>
        <w:rPr>
          <w:sz w:val="20"/>
          <w:szCs w:val="20"/>
          <w:color w:val="auto"/>
        </w:rPr>
      </w:pPr>
    </w:p>
    <w:p>
      <w:pPr>
        <w:ind w:right="6440" w:firstLine="8"/>
        <w:spacing w:after="0" w:line="277" w:lineRule="auto"/>
        <w:tabs>
          <w:tab w:leader="none" w:pos="265" w:val="left"/>
        </w:tabs>
        <w:numPr>
          <w:ilvl w:val="0"/>
          <w:numId w:val="171"/>
        </w:numPr>
        <w:rPr>
          <w:rFonts w:ascii="Arial" w:cs="Arial" w:eastAsia="Arial" w:hAnsi="Arial"/>
          <w:sz w:val="16"/>
          <w:szCs w:val="16"/>
          <w:b w:val="1"/>
          <w:bCs w:val="1"/>
          <w:color w:val="8F5A39"/>
        </w:rPr>
      </w:pPr>
      <w:r>
        <w:rPr>
          <w:rFonts w:ascii="Arial" w:cs="Arial" w:eastAsia="Arial" w:hAnsi="Arial"/>
          <w:sz w:val="16"/>
          <w:szCs w:val="16"/>
          <w:color w:val="auto"/>
        </w:rPr>
        <w:t xml:space="preserve">Reduce or altogether eliminate annual incentive compensation; </w:t>
      </w:r>
      <w:r>
        <w:rPr>
          <w:rFonts w:ascii="Arial" w:cs="Arial" w:eastAsia="Arial" w:hAnsi="Arial"/>
          <w:sz w:val="16"/>
          <w:szCs w:val="16"/>
          <w:b w:val="1"/>
          <w:bCs w:val="1"/>
          <w:color w:val="8F5A39"/>
        </w:rPr>
        <w:t xml:space="preserve">II. </w:t>
      </w:r>
      <w:r>
        <w:rPr>
          <w:rFonts w:ascii="Arial" w:cs="Arial" w:eastAsia="Arial" w:hAnsi="Arial"/>
          <w:sz w:val="16"/>
          <w:szCs w:val="16"/>
          <w:color w:val="000000"/>
        </w:rPr>
        <w:t>Cancel unvested awards (in full or in part);</w:t>
      </w:r>
    </w:p>
    <w:p>
      <w:pPr>
        <w:ind w:right="2540"/>
        <w:spacing w:after="0" w:line="281" w:lineRule="auto"/>
        <w:rPr>
          <w:rFonts w:ascii="Arial" w:cs="Arial" w:eastAsia="Arial" w:hAnsi="Arial"/>
          <w:sz w:val="16"/>
          <w:szCs w:val="16"/>
          <w:b w:val="1"/>
          <w:bCs w:val="1"/>
          <w:color w:val="8F5A39"/>
        </w:rPr>
      </w:pPr>
      <w:r>
        <w:rPr>
          <w:rFonts w:ascii="Arial" w:cs="Arial" w:eastAsia="Arial" w:hAnsi="Arial"/>
          <w:sz w:val="16"/>
          <w:szCs w:val="16"/>
          <w:b w:val="1"/>
          <w:bCs w:val="1"/>
          <w:color w:val="8F5A39"/>
        </w:rPr>
        <w:t xml:space="preserve">III. </w:t>
      </w:r>
      <w:r>
        <w:rPr>
          <w:rFonts w:ascii="Arial" w:cs="Arial" w:eastAsia="Arial" w:hAnsi="Arial"/>
          <w:sz w:val="16"/>
          <w:szCs w:val="16"/>
          <w:color w:val="000000"/>
        </w:rPr>
        <w:t>Clawback/Recover previously paid incentive compensation, which includes cash and/or equity (i.e., RSUs and PSUs);</w:t>
      </w:r>
      <w:r>
        <w:rPr>
          <w:rFonts w:ascii="Arial" w:cs="Arial" w:eastAsia="Arial" w:hAnsi="Arial"/>
          <w:sz w:val="16"/>
          <w:szCs w:val="16"/>
          <w:b w:val="1"/>
          <w:bCs w:val="1"/>
          <w:color w:val="8F5A39"/>
        </w:rPr>
        <w:t xml:space="preserve"> IV. </w:t>
      </w:r>
      <w:r>
        <w:rPr>
          <w:rFonts w:ascii="Arial" w:cs="Arial" w:eastAsia="Arial" w:hAnsi="Arial"/>
          <w:sz w:val="16"/>
          <w:szCs w:val="16"/>
          <w:color w:val="000000"/>
        </w:rPr>
        <w:t>Demotion, negative performance rating or other appropriate employment actions; and</w:t>
      </w:r>
    </w:p>
    <w:p>
      <w:pPr>
        <w:spacing w:after="0" w:line="1" w:lineRule="exact"/>
        <w:rPr>
          <w:rFonts w:ascii="Arial" w:cs="Arial" w:eastAsia="Arial" w:hAnsi="Arial"/>
          <w:sz w:val="16"/>
          <w:szCs w:val="16"/>
          <w:b w:val="1"/>
          <w:bCs w:val="1"/>
          <w:color w:val="8F5A39"/>
        </w:rPr>
      </w:pPr>
    </w:p>
    <w:p>
      <w:pPr>
        <w:spacing w:after="0"/>
        <w:rPr>
          <w:rFonts w:ascii="Arial" w:cs="Arial" w:eastAsia="Arial" w:hAnsi="Arial"/>
          <w:sz w:val="16"/>
          <w:szCs w:val="16"/>
          <w:b w:val="1"/>
          <w:bCs w:val="1"/>
          <w:color w:val="8F5A39"/>
        </w:rPr>
      </w:pPr>
      <w:r>
        <w:rPr>
          <w:rFonts w:ascii="Arial" w:cs="Arial" w:eastAsia="Arial" w:hAnsi="Arial"/>
          <w:sz w:val="16"/>
          <w:szCs w:val="16"/>
          <w:b w:val="1"/>
          <w:bCs w:val="1"/>
          <w:color w:val="8F5A39"/>
        </w:rPr>
        <w:t xml:space="preserve">V. </w:t>
      </w:r>
      <w:r>
        <w:rPr>
          <w:rFonts w:ascii="Arial" w:cs="Arial" w:eastAsia="Arial" w:hAnsi="Arial"/>
          <w:sz w:val="16"/>
          <w:szCs w:val="16"/>
          <w:color w:val="000000"/>
        </w:rPr>
        <w:t>Termination of employment.</w:t>
      </w:r>
    </w:p>
    <w:p>
      <w:pPr>
        <w:spacing w:after="0" w:line="7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Firm has a framework in place that provides for recommended impacts to drive consistency. However, the precise actions we take with respect to accountable individuals, which may also include coaching and training, are based on the relevant circumstances, including the nature of their involvement, the magnitude of the event and the impact on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272415</wp:posOffset>
            </wp:positionV>
            <wp:extent cx="651510" cy="8572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389"/>
        </w:trPr>
        <w:tc>
          <w:tcPr>
            <w:tcW w:w="2840" w:type="dxa"/>
            <w:vAlign w:val="bottom"/>
            <w:tcBorders>
              <w:top w:val="single" w:sz="8" w:color="A6D7F0"/>
            </w:tcBorders>
            <w:shd w:val="clear" w:color="auto" w:fill="A6D7F0"/>
          </w:tcPr>
          <w:p>
            <w:pPr>
              <w:ind w:left="280"/>
              <w:spacing w:after="0"/>
              <w:rPr>
                <w:sz w:val="20"/>
                <w:szCs w:val="20"/>
                <w:color w:val="auto"/>
              </w:rPr>
            </w:pPr>
            <w:r>
              <w:rPr>
                <w:rFonts w:ascii="Arial" w:cs="Arial" w:eastAsia="Arial" w:hAnsi="Arial"/>
                <w:sz w:val="14"/>
                <w:szCs w:val="14"/>
                <w:b w:val="1"/>
                <w:bCs w:val="1"/>
                <w:color w:val="auto"/>
              </w:rPr>
              <w:t>How we think about pay decisions</w:t>
            </w:r>
          </w:p>
        </w:tc>
        <w:tc>
          <w:tcPr>
            <w:tcW w:w="440" w:type="dxa"/>
            <w:vAlign w:val="bottom"/>
            <w:tcBorders>
              <w:right w:val="single" w:sz="8" w:color="auto"/>
            </w:tcBorders>
          </w:tcPr>
          <w:p>
            <w:pPr>
              <w:spacing w:after="0"/>
              <w:rPr>
                <w:sz w:val="24"/>
                <w:szCs w:val="24"/>
                <w:color w:val="auto"/>
              </w:rPr>
            </w:pPr>
          </w:p>
        </w:tc>
        <w:tc>
          <w:tcPr>
            <w:tcW w:w="41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42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color w:val="8F5A39"/>
              </w:rPr>
              <w:t>How performance determined pay in 2025</w:t>
            </w:r>
          </w:p>
        </w:tc>
      </w:tr>
      <w:tr>
        <w:trPr>
          <w:trHeight w:val="83"/>
        </w:trPr>
        <w:tc>
          <w:tcPr>
            <w:tcW w:w="2840" w:type="dxa"/>
            <w:vAlign w:val="bottom"/>
            <w:shd w:val="clear" w:color="auto" w:fill="A6D7F0"/>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4120" w:type="dxa"/>
            <w:vAlign w:val="bottom"/>
            <w:tcBorders>
              <w:bottom w:val="single" w:sz="8" w:color="auto"/>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340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-196850</wp:posOffset>
            </wp:positionV>
            <wp:extent cx="120015" cy="9398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-196850</wp:posOffset>
            </wp:positionV>
            <wp:extent cx="120015" cy="9398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rPr>
        <w:t>Clawback/recovery provisions</w:t>
      </w:r>
    </w:p>
    <w:p>
      <w:pPr>
        <w:spacing w:after="0" w:line="58" w:lineRule="exact"/>
        <w:rPr>
          <w:sz w:val="20"/>
          <w:szCs w:val="20"/>
          <w:color w:val="auto"/>
        </w:rPr>
      </w:pPr>
    </w:p>
    <w:p>
      <w:pPr>
        <w:jc w:val="both"/>
        <w:ind w:right="400"/>
        <w:spacing w:after="0" w:line="301" w:lineRule="auto"/>
        <w:rPr>
          <w:sz w:val="20"/>
          <w:szCs w:val="20"/>
          <w:color w:val="auto"/>
        </w:rPr>
      </w:pPr>
      <w:r>
        <w:rPr>
          <w:rFonts w:ascii="Arial" w:cs="Arial" w:eastAsia="Arial" w:hAnsi="Arial"/>
          <w:sz w:val="16"/>
          <w:szCs w:val="16"/>
          <w:color w:val="auto"/>
        </w:rPr>
        <w:t>We maintain clawback/recovery provisions on both cash incentives and equity awards that enable us to reduce or cancel unvested awards and recover previously paid compensation in certain situations. While incentive awards are intended and expected to vest according to their terms, the Firm’s strong recovery provisions permit recovery of incentive compensation awards in appropriate circumstances.</w:t>
      </w:r>
    </w:p>
    <w:p>
      <w:pPr>
        <w:spacing w:after="0" w:line="9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As previously disclosed, the Firm adopted the Recovery of Erroneously Awarded Incentive-Based Compensation Policy in 2023 to comply with the applicable rules of The New York Stock Exchange Listed Company Manual and Rule 10D-1 of the Securities Exchange Act, which includes provisions that apply to the Firm’s Executive Officers and operates in addition to the recovery provisions in the summary table below. The Recovery of Erroneously Awarded Incentive-Based Compensation Policy is filed as Exhibit 97 of the Firm’s 2025 Form 10-K.</w:t>
      </w:r>
    </w:p>
    <w:p>
      <w:pPr>
        <w:spacing w:after="0" w:line="154" w:lineRule="exact"/>
        <w:rPr>
          <w:sz w:val="20"/>
          <w:szCs w:val="20"/>
          <w:color w:val="auto"/>
        </w:rPr>
      </w:pPr>
    </w:p>
    <w:p>
      <w:pPr>
        <w:spacing w:after="0"/>
        <w:rPr>
          <w:sz w:val="20"/>
          <w:szCs w:val="20"/>
          <w:color w:val="auto"/>
        </w:rPr>
      </w:pPr>
      <w:r>
        <w:rPr>
          <w:rFonts w:ascii="Arial" w:cs="Arial" w:eastAsia="Arial" w:hAnsi="Arial"/>
          <w:sz w:val="25"/>
          <w:szCs w:val="25"/>
          <w:color w:val="auto"/>
        </w:rPr>
        <w:t>Clawback disclosure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In 2025, we did not take any action to recover or clawback any incentive compensation from our OC members or the Firmwide Controller.</w:t>
      </w:r>
    </w:p>
    <w:p>
      <w:pPr>
        <w:spacing w:after="0" w:line="193" w:lineRule="exact"/>
        <w:rPr>
          <w:sz w:val="20"/>
          <w:szCs w:val="20"/>
          <w:color w:val="auto"/>
        </w:rPr>
      </w:pPr>
    </w:p>
    <w:p>
      <w:pPr>
        <w:spacing w:after="0"/>
        <w:rPr>
          <w:sz w:val="20"/>
          <w:szCs w:val="20"/>
          <w:color w:val="auto"/>
        </w:rPr>
      </w:pPr>
      <w:r>
        <w:rPr>
          <w:rFonts w:ascii="Arial" w:cs="Arial" w:eastAsia="Arial" w:hAnsi="Arial"/>
          <w:sz w:val="25"/>
          <w:szCs w:val="25"/>
          <w:color w:val="auto"/>
        </w:rPr>
        <w:t>Equity clawback review provisions</w:t>
      </w:r>
      <w:r>
        <w:rPr>
          <w:rFonts w:ascii="Arial" w:cs="Arial" w:eastAsia="Arial" w:hAnsi="Arial"/>
          <w:sz w:val="32"/>
          <w:szCs w:val="32"/>
          <w:color w:val="auto"/>
          <w:vertAlign w:val="superscript"/>
        </w:rPr>
        <w:t>1</w:t>
      </w:r>
    </w:p>
    <w:p>
      <w:pPr>
        <w:spacing w:after="0"/>
        <w:rPr>
          <w:sz w:val="20"/>
          <w:szCs w:val="20"/>
          <w:color w:val="auto"/>
        </w:rPr>
      </w:pPr>
      <w:r>
        <w:rPr>
          <w:rFonts w:ascii="Arial" w:cs="Arial" w:eastAsia="Arial" w:hAnsi="Arial"/>
          <w:sz w:val="16"/>
          <w:szCs w:val="16"/>
          <w:color w:val="auto"/>
        </w:rPr>
        <w:t>The following table provides details on the clawback provisions that apply to our OC members and the Firmwide Controller.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0" w:type="dxa"/>
            <w:vAlign w:val="bottom"/>
            <w:tcBorders>
              <w:bottom w:val="single" w:sz="8" w:color="F4EFE7"/>
            </w:tcBorders>
            <w:shd w:val="clear" w:color="auto" w:fill="F4EFE7"/>
          </w:tcPr>
          <w:p>
            <w:pPr>
              <w:spacing w:after="0"/>
              <w:rPr>
                <w:sz w:val="19"/>
                <w:szCs w:val="19"/>
                <w:color w:val="auto"/>
              </w:rPr>
            </w:pPr>
          </w:p>
        </w:tc>
        <w:tc>
          <w:tcPr>
            <w:tcW w:w="8280" w:type="dxa"/>
            <w:vAlign w:val="bottom"/>
            <w:tcBorders>
              <w:bottom w:val="single" w:sz="8" w:color="F4EFE7"/>
            </w:tcBorders>
            <w:shd w:val="clear" w:color="auto" w:fill="F4EFE7"/>
          </w:tcPr>
          <w:p>
            <w:pPr>
              <w:spacing w:after="0"/>
              <w:rPr>
                <w:sz w:val="19"/>
                <w:szCs w:val="19"/>
                <w:color w:val="auto"/>
              </w:rPr>
            </w:pPr>
          </w:p>
        </w:tc>
        <w:tc>
          <w:tcPr>
            <w:tcW w:w="1660" w:type="dxa"/>
            <w:vAlign w:val="bottom"/>
            <w:tcBorders>
              <w:bottom w:val="single" w:sz="8" w:color="auto"/>
            </w:tcBorders>
            <w:gridSpan w:val="2"/>
            <w:shd w:val="clear" w:color="auto" w:fill="F4EFE7"/>
          </w:tcPr>
          <w:p>
            <w:pPr>
              <w:ind w:left="420"/>
              <w:spacing w:after="0"/>
              <w:rPr>
                <w:sz w:val="20"/>
                <w:szCs w:val="20"/>
                <w:color w:val="auto"/>
              </w:rPr>
            </w:pPr>
            <w:r>
              <w:rPr>
                <w:rFonts w:ascii="Arial" w:cs="Arial" w:eastAsia="Arial" w:hAnsi="Arial"/>
                <w:sz w:val="14"/>
                <w:szCs w:val="14"/>
                <w:b w:val="1"/>
                <w:bCs w:val="1"/>
                <w:color w:val="8F5A39"/>
              </w:rPr>
              <w:t>Award Type</w:t>
            </w:r>
          </w:p>
        </w:tc>
        <w:tc>
          <w:tcPr>
            <w:tcW w:w="100" w:type="dxa"/>
            <w:vAlign w:val="bottom"/>
            <w:tcBorders>
              <w:bottom w:val="single" w:sz="8" w:color="F4EFE7"/>
            </w:tcBorders>
            <w:shd w:val="clear" w:color="auto" w:fill="F4EFE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Category</w:t>
            </w:r>
          </w:p>
        </w:tc>
        <w:tc>
          <w:tcPr>
            <w:tcW w:w="828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Trigger</w:t>
            </w:r>
          </w:p>
        </w:tc>
        <w:tc>
          <w:tcPr>
            <w:tcW w:w="720" w:type="dxa"/>
            <w:vAlign w:val="bottom"/>
            <w:tcBorders>
              <w:bottom w:val="single" w:sz="8" w:color="auto"/>
            </w:tcBorders>
            <w:shd w:val="clear" w:color="auto" w:fill="F4EFE7"/>
          </w:tcPr>
          <w:p>
            <w:pPr>
              <w:ind w:left="120"/>
              <w:spacing w:after="0"/>
              <w:rPr>
                <w:sz w:val="20"/>
                <w:szCs w:val="20"/>
                <w:color w:val="auto"/>
              </w:rPr>
            </w:pPr>
            <w:r>
              <w:rPr>
                <w:rFonts w:ascii="Arial" w:cs="Arial" w:eastAsia="Arial" w:hAnsi="Arial"/>
                <w:sz w:val="14"/>
                <w:szCs w:val="14"/>
                <w:b w:val="1"/>
                <w:bCs w:val="1"/>
                <w:color w:val="8F5A39"/>
              </w:rPr>
              <w:t>Vested</w:t>
            </w:r>
          </w:p>
        </w:tc>
        <w:tc>
          <w:tcPr>
            <w:tcW w:w="1040" w:type="dxa"/>
            <w:vAlign w:val="bottom"/>
            <w:tcBorders>
              <w:bottom w:val="single" w:sz="8" w:color="auto"/>
            </w:tcBorders>
            <w:gridSpan w:val="2"/>
            <w:shd w:val="clear" w:color="auto" w:fill="F4EFE7"/>
          </w:tcPr>
          <w:p>
            <w:pPr>
              <w:ind w:left="140"/>
              <w:spacing w:after="0"/>
              <w:rPr>
                <w:sz w:val="20"/>
                <w:szCs w:val="20"/>
                <w:color w:val="auto"/>
              </w:rPr>
            </w:pPr>
            <w:r>
              <w:rPr>
                <w:rFonts w:ascii="Arial" w:cs="Arial" w:eastAsia="Arial" w:hAnsi="Arial"/>
                <w:sz w:val="14"/>
                <w:szCs w:val="14"/>
                <w:b w:val="1"/>
                <w:bCs w:val="1"/>
                <w:color w:val="8F5A39"/>
              </w:rPr>
              <w:t>Unvested</w:t>
            </w:r>
          </w:p>
        </w:tc>
        <w:tc>
          <w:tcPr>
            <w:tcW w:w="0" w:type="dxa"/>
            <w:vAlign w:val="bottom"/>
          </w:tcPr>
          <w:p>
            <w:pPr>
              <w:spacing w:after="0"/>
              <w:rPr>
                <w:sz w:val="1"/>
                <w:szCs w:val="1"/>
                <w:color w:val="auto"/>
              </w:rPr>
            </w:pPr>
          </w:p>
        </w:tc>
      </w:tr>
      <w:tr>
        <w:trPr>
          <w:trHeight w:val="236"/>
        </w:trPr>
        <w:tc>
          <w:tcPr>
            <w:tcW w:w="1200" w:type="dxa"/>
            <w:vAlign w:val="bottom"/>
          </w:tcPr>
          <w:p>
            <w:pPr>
              <w:ind w:left="20"/>
              <w:spacing w:after="0"/>
              <w:rPr>
                <w:sz w:val="20"/>
                <w:szCs w:val="20"/>
                <w:color w:val="auto"/>
              </w:rPr>
            </w:pPr>
            <w:r>
              <w:rPr>
                <w:rFonts w:ascii="Arial" w:cs="Arial" w:eastAsia="Arial" w:hAnsi="Arial"/>
                <w:sz w:val="14"/>
                <w:szCs w:val="14"/>
                <w:b w:val="1"/>
                <w:bCs w:val="1"/>
                <w:color w:val="auto"/>
              </w:rPr>
              <w:t>Restatement</w:t>
            </w:r>
          </w:p>
        </w:tc>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In the event of a</w:t>
            </w:r>
            <w:r>
              <w:rPr>
                <w:rFonts w:ascii="Arial" w:cs="Arial" w:eastAsia="Arial" w:hAnsi="Arial"/>
                <w:sz w:val="16"/>
                <w:szCs w:val="16"/>
                <w:b w:val="1"/>
                <w:bCs w:val="1"/>
                <w:color w:val="auto"/>
              </w:rPr>
              <w:t xml:space="preserve"> </w:t>
            </w:r>
            <w:r>
              <w:rPr>
                <w:rFonts w:ascii="Arial" w:cs="Arial" w:eastAsia="Arial" w:hAnsi="Arial"/>
                <w:sz w:val="14"/>
                <w:szCs w:val="14"/>
                <w:b w:val="1"/>
                <w:bCs w:val="1"/>
                <w:color w:val="auto"/>
              </w:rPr>
              <w:t>material restatement of the Firm’s financial results</w:t>
            </w:r>
            <w:r>
              <w:rPr>
                <w:rFonts w:ascii="Arial" w:cs="Arial" w:eastAsia="Arial" w:hAnsi="Arial"/>
                <w:sz w:val="16"/>
                <w:szCs w:val="16"/>
                <w:b w:val="1"/>
                <w:bCs w:val="1"/>
                <w:color w:val="auto"/>
              </w:rPr>
              <w:t xml:space="preserve"> </w:t>
            </w:r>
            <w:r>
              <w:rPr>
                <w:rFonts w:ascii="Arial" w:cs="Arial" w:eastAsia="Arial" w:hAnsi="Arial"/>
                <w:sz w:val="14"/>
                <w:szCs w:val="14"/>
                <w:color w:val="auto"/>
              </w:rPr>
              <w:t>for the relevant period</w:t>
            </w: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8280" w:type="dxa"/>
            <w:vAlign w:val="bottom"/>
            <w:tcBorders>
              <w:bottom w:val="single" w:sz="8" w:color="B2B2B2"/>
            </w:tcBorders>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This provision also</w:t>
            </w:r>
            <w:r>
              <w:rPr>
                <w:rFonts w:ascii="Arial" w:cs="Arial" w:eastAsia="Arial" w:hAnsi="Arial"/>
                <w:sz w:val="16"/>
                <w:szCs w:val="16"/>
                <w:b w:val="1"/>
                <w:bCs w:val="1"/>
                <w:color w:val="auto"/>
              </w:rPr>
              <w:t xml:space="preserve"> </w:t>
            </w:r>
            <w:r>
              <w:rPr>
                <w:rFonts w:ascii="Arial" w:cs="Arial" w:eastAsia="Arial" w:hAnsi="Arial"/>
                <w:sz w:val="14"/>
                <w:szCs w:val="14"/>
                <w:b w:val="1"/>
                <w:bCs w:val="1"/>
                <w:color w:val="auto"/>
              </w:rPr>
              <w:t>applies to cash incentives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1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Misconduct</w:t>
            </w:r>
          </w:p>
        </w:tc>
        <w:tc>
          <w:tcPr>
            <w:tcW w:w="8280" w:type="dxa"/>
            <w:vAlign w:val="bottom"/>
            <w:tcBorders>
              <w:bottom w:val="single" w:sz="8" w:color="B2B2B2"/>
            </w:tcBorders>
          </w:tcPr>
          <w:p>
            <w:pPr>
              <w:spacing w:after="0"/>
              <w:rPr>
                <w:sz w:val="5"/>
                <w:szCs w:val="5"/>
                <w:color w:val="auto"/>
              </w:rPr>
            </w:pPr>
          </w:p>
        </w:tc>
        <w:tc>
          <w:tcPr>
            <w:tcW w:w="720" w:type="dxa"/>
            <w:vAlign w:val="bottom"/>
            <w:tcBorders>
              <w:bottom w:val="single" w:sz="8" w:color="B2B2B2"/>
            </w:tcBorders>
          </w:tcPr>
          <w:p>
            <w:pPr>
              <w:spacing w:after="0"/>
              <w:rPr>
                <w:sz w:val="5"/>
                <w:szCs w:val="5"/>
                <w:color w:val="auto"/>
              </w:rPr>
            </w:pPr>
          </w:p>
        </w:tc>
        <w:tc>
          <w:tcPr>
            <w:tcW w:w="940" w:type="dxa"/>
            <w:vAlign w:val="bottom"/>
            <w:tcBorders>
              <w:bottom w:val="single" w:sz="8" w:color="B2B2B2"/>
            </w:tcBorders>
          </w:tcPr>
          <w:p>
            <w:pPr>
              <w:spacing w:after="0"/>
              <w:rPr>
                <w:sz w:val="5"/>
                <w:szCs w:val="5"/>
                <w:color w:val="auto"/>
              </w:rPr>
            </w:pPr>
          </w:p>
        </w:tc>
        <w:tc>
          <w:tcPr>
            <w:tcW w:w="10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200" w:type="dxa"/>
            <w:vAlign w:val="bottom"/>
            <w:vMerge w:val="continue"/>
          </w:tcPr>
          <w:p>
            <w:pPr>
              <w:spacing w:after="0"/>
              <w:rPr>
                <w:sz w:val="17"/>
                <w:szCs w:val="17"/>
                <w:color w:val="auto"/>
              </w:rPr>
            </w:pPr>
          </w:p>
        </w:tc>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If the employee engaged in</w:t>
            </w:r>
            <w:r>
              <w:rPr>
                <w:rFonts w:ascii="Arial" w:cs="Arial" w:eastAsia="Arial" w:hAnsi="Arial"/>
                <w:sz w:val="16"/>
                <w:szCs w:val="16"/>
                <w:b w:val="1"/>
                <w:bCs w:val="1"/>
                <w:color w:val="auto"/>
              </w:rPr>
              <w:t xml:space="preserve"> </w:t>
            </w:r>
            <w:r>
              <w:rPr>
                <w:rFonts w:ascii="Arial" w:cs="Arial" w:eastAsia="Arial" w:hAnsi="Arial"/>
                <w:sz w:val="14"/>
                <w:szCs w:val="14"/>
                <w:b w:val="1"/>
                <w:bCs w:val="1"/>
                <w:color w:val="auto"/>
              </w:rPr>
              <w:t>conduct detrimental</w:t>
            </w:r>
            <w:r>
              <w:rPr>
                <w:rFonts w:ascii="Arial" w:cs="Arial" w:eastAsia="Arial" w:hAnsi="Arial"/>
                <w:sz w:val="16"/>
                <w:szCs w:val="16"/>
                <w:b w:val="1"/>
                <w:bCs w:val="1"/>
                <w:color w:val="auto"/>
              </w:rPr>
              <w:t xml:space="preserve"> </w:t>
            </w:r>
            <w:r>
              <w:rPr>
                <w:rFonts w:ascii="Arial" w:cs="Arial" w:eastAsia="Arial" w:hAnsi="Arial"/>
                <w:sz w:val="14"/>
                <w:szCs w:val="14"/>
                <w:color w:val="auto"/>
              </w:rPr>
              <w:t>to the Firm that causes material financial or reputational harm to the Firm,</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8280" w:type="dxa"/>
            <w:vAlign w:val="bottom"/>
          </w:tcPr>
          <w:p>
            <w:pPr>
              <w:ind w:left="200"/>
              <w:spacing w:after="0"/>
              <w:rPr>
                <w:sz w:val="20"/>
                <w:szCs w:val="20"/>
                <w:color w:val="auto"/>
              </w:rPr>
            </w:pPr>
            <w:r>
              <w:rPr>
                <w:rFonts w:ascii="Arial" w:cs="Arial" w:eastAsia="Arial" w:hAnsi="Arial"/>
                <w:sz w:val="14"/>
                <w:szCs w:val="14"/>
                <w:color w:val="auto"/>
              </w:rPr>
              <w:t>or engaged in knowing and willful misconduct related to employment</w:t>
            </w: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0" w:type="dxa"/>
            <w:vAlign w:val="bottom"/>
          </w:tcPr>
          <w:p>
            <w:pPr>
              <w:spacing w:after="0"/>
              <w:rPr>
                <w:sz w:val="6"/>
                <w:szCs w:val="6"/>
                <w:color w:val="auto"/>
              </w:rPr>
            </w:pPr>
          </w:p>
        </w:tc>
        <w:tc>
          <w:tcPr>
            <w:tcW w:w="8280" w:type="dxa"/>
            <w:vAlign w:val="bottom"/>
            <w:tcBorders>
              <w:bottom w:val="single" w:sz="8" w:color="B2B2B2"/>
            </w:tcBorders>
          </w:tcPr>
          <w:p>
            <w:pPr>
              <w:spacing w:after="0"/>
              <w:rPr>
                <w:sz w:val="6"/>
                <w:szCs w:val="6"/>
                <w:color w:val="auto"/>
              </w:rPr>
            </w:pPr>
          </w:p>
        </w:tc>
        <w:tc>
          <w:tcPr>
            <w:tcW w:w="720" w:type="dxa"/>
            <w:vAlign w:val="bottom"/>
            <w:tcBorders>
              <w:bottom w:val="single" w:sz="8" w:color="B2B2B2"/>
            </w:tcBorders>
          </w:tcPr>
          <w:p>
            <w:pPr>
              <w:spacing w:after="0"/>
              <w:rPr>
                <w:sz w:val="6"/>
                <w:szCs w:val="6"/>
                <w:color w:val="auto"/>
              </w:rPr>
            </w:pPr>
          </w:p>
        </w:tc>
        <w:tc>
          <w:tcPr>
            <w:tcW w:w="940" w:type="dxa"/>
            <w:vAlign w:val="bottom"/>
            <w:tcBorders>
              <w:bottom w:val="single" w:sz="8" w:color="B2B2B2"/>
            </w:tcBorders>
          </w:tcPr>
          <w:p>
            <w:pPr>
              <w:spacing w:after="0"/>
              <w:rPr>
                <w:sz w:val="6"/>
                <w:szCs w:val="6"/>
                <w:color w:val="auto"/>
              </w:rPr>
            </w:pPr>
          </w:p>
        </w:tc>
        <w:tc>
          <w:tcPr>
            <w:tcW w:w="10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If the award was based on</w:t>
            </w:r>
            <w:r>
              <w:rPr>
                <w:rFonts w:ascii="Arial" w:cs="Arial" w:eastAsia="Arial" w:hAnsi="Arial"/>
                <w:sz w:val="16"/>
                <w:szCs w:val="16"/>
                <w:b w:val="1"/>
                <w:bCs w:val="1"/>
                <w:color w:val="auto"/>
              </w:rPr>
              <w:t xml:space="preserve"> </w:t>
            </w:r>
            <w:r>
              <w:rPr>
                <w:rFonts w:ascii="Arial" w:cs="Arial" w:eastAsia="Arial" w:hAnsi="Arial"/>
                <w:sz w:val="14"/>
                <w:szCs w:val="14"/>
                <w:b w:val="1"/>
                <w:bCs w:val="1"/>
                <w:color w:val="auto"/>
              </w:rPr>
              <w:t>material misrepresentation</w:t>
            </w:r>
            <w:r>
              <w:rPr>
                <w:rFonts w:ascii="Arial" w:cs="Arial" w:eastAsia="Arial" w:hAnsi="Arial"/>
                <w:sz w:val="16"/>
                <w:szCs w:val="16"/>
                <w:b w:val="1"/>
                <w:bCs w:val="1"/>
                <w:color w:val="auto"/>
              </w:rPr>
              <w:t xml:space="preserve"> </w:t>
            </w:r>
            <w:r>
              <w:rPr>
                <w:rFonts w:ascii="Arial" w:cs="Arial" w:eastAsia="Arial" w:hAnsi="Arial"/>
                <w:sz w:val="14"/>
                <w:szCs w:val="14"/>
                <w:color w:val="auto"/>
              </w:rPr>
              <w:t>by the employee</w:t>
            </w: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200" w:type="dxa"/>
            <w:vAlign w:val="bottom"/>
          </w:tcPr>
          <w:p>
            <w:pPr>
              <w:spacing w:after="0"/>
              <w:rPr>
                <w:sz w:val="7"/>
                <w:szCs w:val="7"/>
                <w:color w:val="auto"/>
              </w:rPr>
            </w:pPr>
          </w:p>
        </w:tc>
        <w:tc>
          <w:tcPr>
            <w:tcW w:w="8280" w:type="dxa"/>
            <w:vAlign w:val="bottom"/>
            <w:tcBorders>
              <w:bottom w:val="single" w:sz="8" w:color="B2B2B2"/>
            </w:tcBorders>
          </w:tcPr>
          <w:p>
            <w:pPr>
              <w:spacing w:after="0"/>
              <w:rPr>
                <w:sz w:val="7"/>
                <w:szCs w:val="7"/>
                <w:color w:val="auto"/>
              </w:rPr>
            </w:pPr>
          </w:p>
        </w:tc>
        <w:tc>
          <w:tcPr>
            <w:tcW w:w="720" w:type="dxa"/>
            <w:vAlign w:val="bottom"/>
            <w:tcBorders>
              <w:bottom w:val="single" w:sz="8" w:color="B2B2B2"/>
            </w:tcBorders>
          </w:tcPr>
          <w:p>
            <w:pPr>
              <w:spacing w:after="0"/>
              <w:rPr>
                <w:sz w:val="7"/>
                <w:szCs w:val="7"/>
                <w:color w:val="auto"/>
              </w:rPr>
            </w:pPr>
          </w:p>
        </w:tc>
        <w:tc>
          <w:tcPr>
            <w:tcW w:w="940" w:type="dxa"/>
            <w:vAlign w:val="bottom"/>
            <w:tcBorders>
              <w:bottom w:val="single" w:sz="8" w:color="B2B2B2"/>
            </w:tcBorders>
          </w:tcPr>
          <w:p>
            <w:pPr>
              <w:spacing w:after="0"/>
              <w:rPr>
                <w:sz w:val="7"/>
                <w:szCs w:val="7"/>
                <w:color w:val="auto"/>
              </w:rPr>
            </w:pPr>
          </w:p>
        </w:tc>
        <w:tc>
          <w:tcPr>
            <w:tcW w:w="100" w:type="dxa"/>
            <w:vAlign w:val="bottom"/>
            <w:tcBorders>
              <w:bottom w:val="single" w:sz="8" w:color="B2B2B2"/>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If the employee is</w:t>
            </w:r>
            <w:r>
              <w:rPr>
                <w:rFonts w:ascii="Arial" w:cs="Arial" w:eastAsia="Arial" w:hAnsi="Arial"/>
                <w:sz w:val="16"/>
                <w:szCs w:val="16"/>
                <w:b w:val="1"/>
                <w:bCs w:val="1"/>
                <w:color w:val="auto"/>
              </w:rPr>
              <w:t xml:space="preserve"> </w:t>
            </w:r>
            <w:r>
              <w:rPr>
                <w:rFonts w:ascii="Arial" w:cs="Arial" w:eastAsia="Arial" w:hAnsi="Arial"/>
                <w:sz w:val="14"/>
                <w:szCs w:val="14"/>
                <w:b w:val="1"/>
                <w:bCs w:val="1"/>
                <w:color w:val="auto"/>
              </w:rPr>
              <w:t>terminated for cause</w:t>
            </w: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Risk-related</w:t>
            </w:r>
          </w:p>
        </w:tc>
        <w:tc>
          <w:tcPr>
            <w:tcW w:w="8280" w:type="dxa"/>
            <w:vAlign w:val="bottom"/>
            <w:tcBorders>
              <w:bottom w:val="single" w:sz="8" w:color="B2B2B2"/>
            </w:tcBorders>
          </w:tcPr>
          <w:p>
            <w:pPr>
              <w:spacing w:after="0"/>
              <w:rPr>
                <w:sz w:val="7"/>
                <w:szCs w:val="7"/>
                <w:color w:val="auto"/>
              </w:rPr>
            </w:pPr>
          </w:p>
        </w:tc>
        <w:tc>
          <w:tcPr>
            <w:tcW w:w="720" w:type="dxa"/>
            <w:vAlign w:val="bottom"/>
            <w:tcBorders>
              <w:bottom w:val="single" w:sz="8" w:color="B2B2B2"/>
            </w:tcBorders>
          </w:tcPr>
          <w:p>
            <w:pPr>
              <w:spacing w:after="0"/>
              <w:rPr>
                <w:sz w:val="7"/>
                <w:szCs w:val="7"/>
                <w:color w:val="auto"/>
              </w:rPr>
            </w:pPr>
          </w:p>
        </w:tc>
        <w:tc>
          <w:tcPr>
            <w:tcW w:w="940" w:type="dxa"/>
            <w:vAlign w:val="bottom"/>
            <w:tcBorders>
              <w:bottom w:val="single" w:sz="8" w:color="B2B2B2"/>
            </w:tcBorders>
          </w:tcPr>
          <w:p>
            <w:pPr>
              <w:spacing w:after="0"/>
              <w:rPr>
                <w:sz w:val="7"/>
                <w:szCs w:val="7"/>
                <w:color w:val="auto"/>
              </w:rPr>
            </w:pPr>
          </w:p>
        </w:tc>
        <w:tc>
          <w:tcPr>
            <w:tcW w:w="100" w:type="dxa"/>
            <w:vAlign w:val="bottom"/>
            <w:tcBorders>
              <w:bottom w:val="single" w:sz="8" w:color="B2B2B2"/>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200" w:type="dxa"/>
            <w:vAlign w:val="bottom"/>
            <w:vMerge w:val="continue"/>
          </w:tcPr>
          <w:p>
            <w:pPr>
              <w:spacing w:after="0"/>
              <w:rPr>
                <w:sz w:val="15"/>
                <w:szCs w:val="15"/>
                <w:color w:val="auto"/>
              </w:rPr>
            </w:pPr>
          </w:p>
        </w:tc>
        <w:tc>
          <w:tcPr>
            <w:tcW w:w="8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If the employee improperly or with gross negligence</w:t>
            </w:r>
            <w:r>
              <w:rPr>
                <w:rFonts w:ascii="Arial" w:cs="Arial" w:eastAsia="Arial" w:hAnsi="Arial"/>
                <w:sz w:val="16"/>
                <w:szCs w:val="16"/>
                <w:b w:val="1"/>
                <w:bCs w:val="1"/>
                <w:color w:val="auto"/>
              </w:rPr>
              <w:t xml:space="preserve"> </w:t>
            </w:r>
            <w:r>
              <w:rPr>
                <w:rFonts w:ascii="Arial" w:cs="Arial" w:eastAsia="Arial" w:hAnsi="Arial"/>
                <w:sz w:val="14"/>
                <w:szCs w:val="14"/>
                <w:b w:val="1"/>
                <w:bCs w:val="1"/>
                <w:color w:val="auto"/>
              </w:rPr>
              <w:t>failed to identify, raise or assess,</w:t>
            </w:r>
            <w:r>
              <w:rPr>
                <w:rFonts w:ascii="Arial" w:cs="Arial" w:eastAsia="Arial" w:hAnsi="Arial"/>
                <w:sz w:val="16"/>
                <w:szCs w:val="16"/>
                <w:b w:val="1"/>
                <w:bCs w:val="1"/>
                <w:color w:val="auto"/>
              </w:rPr>
              <w:t xml:space="preserve"> </w:t>
            </w:r>
            <w:r>
              <w:rPr>
                <w:rFonts w:ascii="Arial" w:cs="Arial" w:eastAsia="Arial" w:hAnsi="Arial"/>
                <w:sz w:val="14"/>
                <w:szCs w:val="14"/>
                <w:color w:val="auto"/>
              </w:rPr>
              <w:t>in a timely manner and as</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20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and Other</w:t>
            </w:r>
          </w:p>
        </w:tc>
        <w:tc>
          <w:tcPr>
            <w:tcW w:w="82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8280" w:type="dxa"/>
            <w:vAlign w:val="bottom"/>
          </w:tcPr>
          <w:p>
            <w:pPr>
              <w:ind w:left="200"/>
              <w:spacing w:after="0"/>
              <w:rPr>
                <w:sz w:val="20"/>
                <w:szCs w:val="20"/>
                <w:color w:val="auto"/>
              </w:rPr>
            </w:pPr>
            <w:r>
              <w:rPr>
                <w:rFonts w:ascii="Arial" w:cs="Arial" w:eastAsia="Arial" w:hAnsi="Arial"/>
                <w:sz w:val="14"/>
                <w:szCs w:val="14"/>
                <w:color w:val="auto"/>
              </w:rPr>
              <w:t xml:space="preserve">reasonably expected, issues and/or concerns with respect to </w:t>
            </w:r>
            <w:r>
              <w:rPr>
                <w:rFonts w:ascii="Arial" w:cs="Arial" w:eastAsia="Arial" w:hAnsi="Arial"/>
                <w:sz w:val="14"/>
                <w:szCs w:val="14"/>
                <w:b w:val="1"/>
                <w:bCs w:val="1"/>
                <w:color w:val="auto"/>
              </w:rPr>
              <w:t>risks material to the Firm</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8280" w:type="dxa"/>
            <w:vAlign w:val="bottom"/>
            <w:tcBorders>
              <w:bottom w:val="single" w:sz="8" w:color="B2B2B2"/>
            </w:tcBorders>
          </w:tcPr>
          <w:p>
            <w:pPr>
              <w:spacing w:after="0"/>
              <w:rPr>
                <w:sz w:val="13"/>
                <w:szCs w:val="13"/>
                <w:color w:val="auto"/>
              </w:rPr>
            </w:pPr>
          </w:p>
        </w:tc>
        <w:tc>
          <w:tcPr>
            <w:tcW w:w="720" w:type="dxa"/>
            <w:vAlign w:val="bottom"/>
            <w:tcBorders>
              <w:bottom w:val="single" w:sz="8" w:color="B2B2B2"/>
            </w:tcBorders>
          </w:tcPr>
          <w:p>
            <w:pPr>
              <w:spacing w:after="0"/>
              <w:rPr>
                <w:sz w:val="13"/>
                <w:szCs w:val="13"/>
                <w:color w:val="auto"/>
              </w:rPr>
            </w:pPr>
          </w:p>
        </w:tc>
        <w:tc>
          <w:tcPr>
            <w:tcW w:w="940" w:type="dxa"/>
            <w:vAlign w:val="bottom"/>
            <w:tcBorders>
              <w:bottom w:val="single" w:sz="8" w:color="B2B2B2"/>
            </w:tcBorders>
          </w:tcPr>
          <w:p>
            <w:pPr>
              <w:spacing w:after="0"/>
              <w:rPr>
                <w:sz w:val="13"/>
                <w:szCs w:val="13"/>
                <w:color w:val="auto"/>
              </w:rPr>
            </w:pPr>
          </w:p>
        </w:tc>
        <w:tc>
          <w:tcPr>
            <w:tcW w:w="10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200" w:type="dxa"/>
            <w:vAlign w:val="bottom"/>
          </w:tcPr>
          <w:p>
            <w:pPr>
              <w:spacing w:after="0"/>
              <w:rPr>
                <w:sz w:val="17"/>
                <w:szCs w:val="17"/>
                <w:color w:val="auto"/>
              </w:rPr>
            </w:pPr>
          </w:p>
        </w:tc>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If the award was based on</w:t>
            </w:r>
            <w:r>
              <w:rPr>
                <w:rFonts w:ascii="Arial" w:cs="Arial" w:eastAsia="Arial" w:hAnsi="Arial"/>
                <w:sz w:val="16"/>
                <w:szCs w:val="16"/>
                <w:b w:val="1"/>
                <w:bCs w:val="1"/>
                <w:color w:val="auto"/>
              </w:rPr>
              <w:t xml:space="preserve"> </w:t>
            </w:r>
            <w:r>
              <w:rPr>
                <w:rFonts w:ascii="Arial" w:cs="Arial" w:eastAsia="Arial" w:hAnsi="Arial"/>
                <w:sz w:val="14"/>
                <w:szCs w:val="14"/>
                <w:b w:val="1"/>
                <w:bCs w:val="1"/>
                <w:color w:val="auto"/>
              </w:rPr>
              <w:t>materially inaccurate performance metrics,</w:t>
            </w:r>
            <w:r>
              <w:rPr>
                <w:rFonts w:ascii="Arial" w:cs="Arial" w:eastAsia="Arial" w:hAnsi="Arial"/>
                <w:sz w:val="16"/>
                <w:szCs w:val="16"/>
                <w:b w:val="1"/>
                <w:bCs w:val="1"/>
                <w:color w:val="auto"/>
              </w:rPr>
              <w:t xml:space="preserve"> </w:t>
            </w:r>
            <w:r>
              <w:rPr>
                <w:rFonts w:ascii="Arial" w:cs="Arial" w:eastAsia="Arial" w:hAnsi="Arial"/>
                <w:sz w:val="14"/>
                <w:szCs w:val="14"/>
                <w:color w:val="auto"/>
              </w:rPr>
              <w:t>whether or not the employee was responsible for</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8280" w:type="dxa"/>
            <w:vAlign w:val="bottom"/>
          </w:tcPr>
          <w:p>
            <w:pPr>
              <w:ind w:left="200"/>
              <w:spacing w:after="0"/>
              <w:rPr>
                <w:sz w:val="20"/>
                <w:szCs w:val="20"/>
                <w:color w:val="auto"/>
              </w:rPr>
            </w:pPr>
            <w:r>
              <w:rPr>
                <w:rFonts w:ascii="Arial" w:cs="Arial" w:eastAsia="Arial" w:hAnsi="Arial"/>
                <w:sz w:val="14"/>
                <w:szCs w:val="14"/>
                <w:color w:val="auto"/>
              </w:rPr>
              <w:t>the inaccuracy</w:t>
            </w: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Protection-</w:t>
            </w:r>
          </w:p>
        </w:tc>
        <w:tc>
          <w:tcPr>
            <w:tcW w:w="8280" w:type="dxa"/>
            <w:vAlign w:val="bottom"/>
            <w:tcBorders>
              <w:bottom w:val="single" w:sz="8" w:color="B2B2B2"/>
            </w:tcBorders>
          </w:tcPr>
          <w:p>
            <w:pPr>
              <w:spacing w:after="0"/>
              <w:rPr>
                <w:sz w:val="6"/>
                <w:szCs w:val="6"/>
                <w:color w:val="auto"/>
              </w:rPr>
            </w:pPr>
          </w:p>
        </w:tc>
        <w:tc>
          <w:tcPr>
            <w:tcW w:w="720" w:type="dxa"/>
            <w:vAlign w:val="bottom"/>
            <w:tcBorders>
              <w:bottom w:val="single" w:sz="8" w:color="B2B2B2"/>
            </w:tcBorders>
          </w:tcPr>
          <w:p>
            <w:pPr>
              <w:spacing w:after="0"/>
              <w:rPr>
                <w:sz w:val="6"/>
                <w:szCs w:val="6"/>
                <w:color w:val="auto"/>
              </w:rPr>
            </w:pPr>
          </w:p>
        </w:tc>
        <w:tc>
          <w:tcPr>
            <w:tcW w:w="940" w:type="dxa"/>
            <w:vAlign w:val="bottom"/>
            <w:tcBorders>
              <w:bottom w:val="single" w:sz="8" w:color="B2B2B2"/>
            </w:tcBorders>
          </w:tcPr>
          <w:p>
            <w:pPr>
              <w:spacing w:after="0"/>
              <w:rPr>
                <w:sz w:val="6"/>
                <w:szCs w:val="6"/>
                <w:color w:val="auto"/>
              </w:rPr>
            </w:pPr>
          </w:p>
        </w:tc>
        <w:tc>
          <w:tcPr>
            <w:tcW w:w="10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82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If</w:t>
            </w:r>
            <w:r>
              <w:rPr>
                <w:rFonts w:ascii="Arial" w:cs="Arial" w:eastAsia="Arial" w:hAnsi="Arial"/>
                <w:sz w:val="16"/>
                <w:szCs w:val="16"/>
                <w:b w:val="1"/>
                <w:bCs w:val="1"/>
                <w:color w:val="auto"/>
              </w:rPr>
              <w:t xml:space="preserve"> </w:t>
            </w:r>
            <w:r>
              <w:rPr>
                <w:rFonts w:ascii="Arial" w:cs="Arial" w:eastAsia="Arial" w:hAnsi="Arial"/>
                <w:sz w:val="14"/>
                <w:szCs w:val="14"/>
                <w:b w:val="1"/>
                <w:bCs w:val="1"/>
                <w:color w:val="auto"/>
              </w:rPr>
              <w:t>performance in relation to the priorities</w:t>
            </w:r>
            <w:r>
              <w:rPr>
                <w:rFonts w:ascii="Arial" w:cs="Arial" w:eastAsia="Arial" w:hAnsi="Arial"/>
                <w:sz w:val="16"/>
                <w:szCs w:val="16"/>
                <w:b w:val="1"/>
                <w:bCs w:val="1"/>
                <w:color w:val="auto"/>
              </w:rPr>
              <w:t xml:space="preserve"> </w:t>
            </w:r>
            <w:r>
              <w:rPr>
                <w:rFonts w:ascii="Arial" w:cs="Arial" w:eastAsia="Arial" w:hAnsi="Arial"/>
                <w:sz w:val="14"/>
                <w:szCs w:val="14"/>
                <w:color w:val="auto"/>
              </w:rPr>
              <w:t>for their position, or the Firm’s performance in relation to the priorities for which</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200" w:type="dxa"/>
            <w:vAlign w:val="bottom"/>
          </w:tcPr>
          <w:p>
            <w:pPr>
              <w:ind w:left="20"/>
              <w:spacing w:after="0"/>
              <w:rPr>
                <w:sz w:val="20"/>
                <w:szCs w:val="20"/>
                <w:color w:val="auto"/>
              </w:rPr>
            </w:pPr>
            <w:r>
              <w:rPr>
                <w:rFonts w:ascii="Arial" w:cs="Arial" w:eastAsia="Arial" w:hAnsi="Arial"/>
                <w:sz w:val="14"/>
                <w:szCs w:val="14"/>
                <w:b w:val="1"/>
                <w:bCs w:val="1"/>
                <w:color w:val="auto"/>
              </w:rPr>
              <w:t>Based Vesting</w:t>
            </w:r>
            <w:r>
              <w:rPr>
                <w:rFonts w:ascii="Arial" w:cs="Arial" w:eastAsia="Arial" w:hAnsi="Arial"/>
                <w:sz w:val="18"/>
                <w:szCs w:val="18"/>
                <w:b w:val="1"/>
                <w:bCs w:val="1"/>
                <w:color w:val="auto"/>
                <w:vertAlign w:val="superscript"/>
              </w:rPr>
              <w:t>2</w:t>
            </w:r>
          </w:p>
        </w:tc>
        <w:tc>
          <w:tcPr>
            <w:tcW w:w="8280" w:type="dxa"/>
            <w:vAlign w:val="bottom"/>
          </w:tcPr>
          <w:p>
            <w:pPr>
              <w:ind w:left="200"/>
              <w:spacing w:after="0"/>
              <w:rPr>
                <w:sz w:val="20"/>
                <w:szCs w:val="20"/>
                <w:color w:val="auto"/>
              </w:rPr>
            </w:pPr>
            <w:r>
              <w:rPr>
                <w:rFonts w:ascii="Arial" w:cs="Arial" w:eastAsia="Arial" w:hAnsi="Arial"/>
                <w:sz w:val="14"/>
                <w:szCs w:val="14"/>
                <w:color w:val="auto"/>
              </w:rPr>
              <w:t xml:space="preserve">they share responsibility as a member of the Operating Committee, </w:t>
            </w:r>
            <w:r>
              <w:rPr>
                <w:rFonts w:ascii="Arial" w:cs="Arial" w:eastAsia="Arial" w:hAnsi="Arial"/>
                <w:sz w:val="14"/>
                <w:szCs w:val="14"/>
                <w:b w:val="1"/>
                <w:bCs w:val="1"/>
                <w:color w:val="auto"/>
              </w:rPr>
              <w:t>has been unsatisfactory for a sustained period of</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-2051050</wp:posOffset>
            </wp:positionV>
            <wp:extent cx="102870" cy="8572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-2051050</wp:posOffset>
            </wp:positionV>
            <wp:extent cx="102870" cy="8572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-1699895</wp:posOffset>
            </wp:positionV>
            <wp:extent cx="102870" cy="8572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-1699895</wp:posOffset>
            </wp:positionV>
            <wp:extent cx="102870" cy="8572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-1433830</wp:posOffset>
            </wp:positionV>
            <wp:extent cx="102870" cy="8572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-1433830</wp:posOffset>
            </wp:positionV>
            <wp:extent cx="102870" cy="8572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-1210945</wp:posOffset>
            </wp:positionV>
            <wp:extent cx="102870" cy="8572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-1210945</wp:posOffset>
            </wp:positionV>
            <wp:extent cx="102870" cy="8572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-885190</wp:posOffset>
            </wp:positionV>
            <wp:extent cx="102870" cy="8572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-885190</wp:posOffset>
            </wp:positionV>
            <wp:extent cx="102870" cy="8572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-508000</wp:posOffset>
            </wp:positionV>
            <wp:extent cx="102870" cy="8572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-508000</wp:posOffset>
            </wp:positionV>
            <wp:extent cx="102870" cy="8572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-139700</wp:posOffset>
            </wp:positionV>
            <wp:extent cx="102870" cy="8572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4"/>
          <w:szCs w:val="14"/>
          <w:b w:val="1"/>
          <w:bCs w:val="1"/>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66040</wp:posOffset>
            </wp:positionV>
            <wp:extent cx="637794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spacing w:after="0" w:line="205" w:lineRule="exact"/>
        <w:rPr>
          <w:sz w:val="20"/>
          <w:szCs w:val="20"/>
          <w:color w:val="auto"/>
        </w:rPr>
      </w:pPr>
    </w:p>
    <w:p>
      <w:pPr>
        <w:ind w:left="1400" w:right="1920" w:hanging="193"/>
        <w:spacing w:after="0" w:line="307" w:lineRule="auto"/>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If awards granted to participants in a LOB for which the Operating Committee member exercised responsibility were in whole</w:t>
      </w:r>
      <w:r>
        <w:rPr>
          <w:rFonts w:ascii="Arial" w:cs="Arial" w:eastAsia="Arial" w:hAnsi="Arial"/>
          <w:sz w:val="16"/>
          <w:szCs w:val="16"/>
          <w:b w:val="1"/>
          <w:bCs w:val="1"/>
          <w:color w:val="auto"/>
        </w:rPr>
        <w:t xml:space="preserve"> </w:t>
      </w:r>
      <w:r>
        <w:rPr>
          <w:rFonts w:ascii="Arial" w:cs="Arial" w:eastAsia="Arial" w:hAnsi="Arial"/>
          <w:sz w:val="14"/>
          <w:szCs w:val="14"/>
          <w:color w:val="auto"/>
        </w:rPr>
        <w:t xml:space="preserve">or in part cancelled because the LOB </w:t>
      </w:r>
      <w:r>
        <w:rPr>
          <w:rFonts w:ascii="Arial" w:cs="Arial" w:eastAsia="Arial" w:hAnsi="Arial"/>
          <w:sz w:val="14"/>
          <w:szCs w:val="14"/>
          <w:b w:val="1"/>
          <w:bCs w:val="1"/>
          <w:color w:val="auto"/>
        </w:rPr>
        <w:t>did not meet its annual LOB financial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80010</wp:posOffset>
            </wp:positionV>
            <wp:extent cx="637794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-227965</wp:posOffset>
            </wp:positionV>
            <wp:extent cx="102870" cy="8572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14"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If, for any one calendar year during the vesting period</w:t>
      </w:r>
      <w:r>
        <w:rPr>
          <w:rFonts w:ascii="Arial" w:cs="Arial" w:eastAsia="Arial" w:hAnsi="Arial"/>
          <w:sz w:val="14"/>
          <w:szCs w:val="14"/>
          <w:b w:val="1"/>
          <w:bCs w:val="1"/>
          <w:color w:val="auto"/>
        </w:rPr>
        <w:t>, pre-tax pre-provision income is negative,</w:t>
      </w:r>
      <w:r>
        <w:rPr>
          <w:rFonts w:ascii="Arial" w:cs="Arial" w:eastAsia="Arial" w:hAnsi="Arial"/>
          <w:sz w:val="16"/>
          <w:szCs w:val="16"/>
          <w:b w:val="1"/>
          <w:bCs w:val="1"/>
          <w:color w:val="auto"/>
        </w:rPr>
        <w:t xml:space="preserve"> </w:t>
      </w:r>
      <w:r>
        <w:rPr>
          <w:rFonts w:ascii="Arial" w:cs="Arial" w:eastAsia="Arial" w:hAnsi="Arial"/>
          <w:sz w:val="14"/>
          <w:szCs w:val="14"/>
          <w:color w:val="auto"/>
        </w:rPr>
        <w:t>as reported by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123825</wp:posOffset>
            </wp:positionV>
            <wp:extent cx="637794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-115570</wp:posOffset>
            </wp:positionV>
            <wp:extent cx="102870" cy="8572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82"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If, for the three calendar years preceding the third year vesting date, the</w:t>
      </w:r>
      <w:r>
        <w:rPr>
          <w:rFonts w:ascii="Arial" w:cs="Arial" w:eastAsia="Arial" w:hAnsi="Arial"/>
          <w:sz w:val="16"/>
          <w:szCs w:val="16"/>
          <w:b w:val="1"/>
          <w:bCs w:val="1"/>
          <w:color w:val="auto"/>
        </w:rPr>
        <w:t xml:space="preserve"> </w:t>
      </w:r>
      <w:r>
        <w:rPr>
          <w:rFonts w:ascii="Arial" w:cs="Arial" w:eastAsia="Arial" w:hAnsi="Arial"/>
          <w:sz w:val="14"/>
          <w:szCs w:val="14"/>
          <w:b w:val="1"/>
          <w:bCs w:val="1"/>
          <w:color w:val="auto"/>
        </w:rPr>
        <w:t>Firm does not meet a 15% cumulative ROTCE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-115570</wp:posOffset>
            </wp:positionV>
            <wp:extent cx="102870" cy="8572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right="80" w:hanging="192"/>
        <w:spacing w:after="0" w:line="207" w:lineRule="auto"/>
        <w:tabs>
          <w:tab w:leader="none" w:pos="206" w:val="left"/>
        </w:tabs>
        <w:numPr>
          <w:ilvl w:val="0"/>
          <w:numId w:val="172"/>
        </w:numPr>
        <w:rPr>
          <w:rFonts w:ascii="Arial" w:cs="Arial" w:eastAsia="Arial" w:hAnsi="Arial"/>
          <w:sz w:val="19"/>
          <w:szCs w:val="19"/>
          <w:color w:val="auto"/>
          <w:vertAlign w:val="superscript"/>
        </w:rPr>
      </w:pPr>
      <w:r>
        <w:rPr>
          <w:rFonts w:ascii="Arial" w:cs="Arial" w:eastAsia="Arial" w:hAnsi="Arial"/>
          <w:sz w:val="13"/>
          <w:szCs w:val="13"/>
          <w:color w:val="auto"/>
        </w:rPr>
        <w:t>Since 2015, the Firm has maintained a local Malus and Clawback Policy in accordance with E.U. and U.K. regulations which operates in addition to the recovery provisions in the table above. Under the policy, the Firm is able to cancel and/or recover incentive compensation for relevant Identified Staff (including Mr. Pinto’s prior awards granted when he was in the U.K.) in certain circumstances for a minimum period of seven years following the date of the award.</w:t>
      </w:r>
    </w:p>
    <w:p>
      <w:pPr>
        <w:spacing w:after="0" w:line="13" w:lineRule="exact"/>
        <w:rPr>
          <w:sz w:val="20"/>
          <w:szCs w:val="20"/>
          <w:color w:val="auto"/>
        </w:rPr>
      </w:pPr>
    </w:p>
    <w:p>
      <w:pPr>
        <w:ind w:left="200" w:right="120" w:hanging="192"/>
        <w:spacing w:after="0" w:line="205" w:lineRule="auto"/>
        <w:tabs>
          <w:tab w:leader="none" w:pos="193" w:val="left"/>
        </w:tabs>
        <w:numPr>
          <w:ilvl w:val="0"/>
          <w:numId w:val="173"/>
        </w:numPr>
        <w:rPr>
          <w:rFonts w:ascii="Arial" w:cs="Arial" w:eastAsia="Arial" w:hAnsi="Arial"/>
          <w:sz w:val="19"/>
          <w:szCs w:val="19"/>
          <w:color w:val="auto"/>
          <w:vertAlign w:val="superscript"/>
        </w:rPr>
      </w:pPr>
      <w:r>
        <w:rPr>
          <w:rFonts w:ascii="Arial" w:cs="Arial" w:eastAsia="Arial" w:hAnsi="Arial"/>
          <w:sz w:val="13"/>
          <w:szCs w:val="13"/>
          <w:color w:val="auto"/>
        </w:rPr>
        <w:t>Provisions apply to PSUs, RSUs and SARs granted to the Operating Committee and may result in cancellation of up to a total of 50% of the award. For SARs granted to Messrs. Dimon and Pinto in 2021, the cumulative ROTCE threshold is 20% for the four calendar years preceding the fifth-year exercisable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403225</wp:posOffset>
            </wp:positionV>
            <wp:extent cx="651510" cy="8572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52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6620"/>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30" w:type="dxa"/>
        <w:tblCellMar>
          <w:top w:w="0" w:type="dxa"/>
          <w:left w:w="0" w:type="dxa"/>
          <w:bottom w:w="0" w:type="dxa"/>
          <w:right w:w="0" w:type="dxa"/>
        </w:tblCellMar>
      </w:tblPr>
      <w:tr>
        <w:trPr>
          <w:trHeight w:val="458"/>
        </w:trPr>
        <w:tc>
          <w:tcPr>
            <w:tcW w:w="2780" w:type="dxa"/>
            <w:vAlign w:val="bottom"/>
            <w:tcBorders>
              <w:top w:val="single" w:sz="8" w:color="auto"/>
              <w:left w:val="single" w:sz="8" w:color="030303"/>
              <w:right w:val="single" w:sz="8" w:color="auto"/>
            </w:tcBorders>
          </w:tcPr>
          <w:p>
            <w:pPr>
              <w:ind w:left="320"/>
              <w:spacing w:after="0"/>
              <w:rPr>
                <w:sz w:val="20"/>
                <w:szCs w:val="20"/>
                <w:color w:val="auto"/>
              </w:rPr>
            </w:pPr>
            <w:r>
              <w:rPr>
                <w:rFonts w:ascii="Arial" w:cs="Arial" w:eastAsia="Arial" w:hAnsi="Arial"/>
                <w:sz w:val="14"/>
                <w:szCs w:val="14"/>
                <w:color w:val="8F5A39"/>
              </w:rPr>
              <w:t>How we think about pay decisions</w:t>
            </w:r>
          </w:p>
        </w:tc>
        <w:tc>
          <w:tcPr>
            <w:tcW w:w="400" w:type="dxa"/>
            <w:vAlign w:val="bottom"/>
          </w:tcPr>
          <w:p>
            <w:pPr>
              <w:spacing w:after="0"/>
              <w:rPr>
                <w:sz w:val="24"/>
                <w:szCs w:val="24"/>
                <w:color w:val="auto"/>
              </w:rPr>
            </w:pPr>
          </w:p>
        </w:tc>
        <w:tc>
          <w:tcPr>
            <w:tcW w:w="4220" w:type="dxa"/>
            <w:vAlign w:val="bottom"/>
            <w:tcBorders>
              <w:top w:val="single" w:sz="8" w:color="A6D7F0"/>
              <w:bottom w:val="single" w:sz="8" w:color="A6D7F0"/>
            </w:tcBorders>
            <w:shd w:val="clear" w:color="auto" w:fill="A6D7F0"/>
          </w:tcPr>
          <w:p>
            <w:pPr>
              <w:ind w:left="440"/>
              <w:spacing w:after="0"/>
              <w:rPr>
                <w:sz w:val="20"/>
                <w:szCs w:val="20"/>
                <w:color w:val="auto"/>
              </w:rPr>
            </w:pPr>
            <w:r>
              <w:rPr>
                <w:rFonts w:ascii="Arial" w:cs="Arial" w:eastAsia="Arial" w:hAnsi="Arial"/>
                <w:sz w:val="14"/>
                <w:szCs w:val="14"/>
                <w:b w:val="1"/>
                <w:bCs w:val="1"/>
                <w:color w:val="auto"/>
              </w:rPr>
              <w:t>How we performed against our business strategy</w:t>
            </w:r>
          </w:p>
        </w:tc>
        <w:tc>
          <w:tcPr>
            <w:tcW w:w="42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4"/>
                <w:szCs w:val="14"/>
                <w:color w:val="8F5A39"/>
              </w:rPr>
              <w:t>How performance determined pay in 2025</w:t>
            </w:r>
          </w:p>
        </w:tc>
      </w:tr>
      <w:tr>
        <w:trPr>
          <w:trHeight w:val="20"/>
        </w:trPr>
        <w:tc>
          <w:tcPr>
            <w:tcW w:w="27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tcBorders>
              <w:top w:val="single" w:sz="8" w:color="A6D7F0"/>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4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-196850</wp:posOffset>
            </wp:positionV>
            <wp:extent cx="120015" cy="9398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-196850</wp:posOffset>
            </wp:positionV>
            <wp:extent cx="120015" cy="9398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214630</wp:posOffset>
            </wp:positionV>
            <wp:extent cx="8255" cy="48831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48831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1220" w:hanging="1054"/>
        <w:spacing w:after="0"/>
        <w:tabs>
          <w:tab w:leader="none" w:pos="1220" w:val="left"/>
        </w:tabs>
        <w:numPr>
          <w:ilvl w:val="0"/>
          <w:numId w:val="174"/>
        </w:numPr>
        <w:rPr>
          <w:rFonts w:ascii="Arial" w:cs="Arial" w:eastAsia="Arial" w:hAnsi="Arial"/>
          <w:sz w:val="36"/>
          <w:szCs w:val="36"/>
          <w:color w:val="auto"/>
        </w:rPr>
      </w:pPr>
      <w:r>
        <w:rPr>
          <w:rFonts w:ascii="Arial" w:cs="Arial" w:eastAsia="Arial" w:hAnsi="Arial"/>
          <w:sz w:val="36"/>
          <w:szCs w:val="36"/>
          <w:color w:val="8F5A39"/>
        </w:rPr>
        <w:t>How we performed against our business strategy</w:t>
      </w:r>
    </w:p>
    <w:p>
      <w:pPr>
        <w:spacing w:after="0" w:line="150"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continued to deliver strong multi-year financial performance, invest in our future, strengthen our risk and control environment, and reinforce our culture and values, including our long-standing commitment to serve our customers, employees and communities, and conduct business in a responsible way to drive economic growth.</w:t>
      </w:r>
    </w:p>
    <w:p>
      <w:pPr>
        <w:spacing w:after="0" w:line="64"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In assessing the Firm’s performance in 2025, the CMDC considered Business Results and qualitative factors including Client/Customer/Stakeholder; Risk, Controls &amp; Conduct; and Teamwork &amp; Leadership.</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auto"/>
        </w:rPr>
        <w:t>2025 Business Results - Key highlights</w:t>
      </w:r>
    </w:p>
    <w:p>
      <w:pPr>
        <w:spacing w:after="0" w:line="7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Firm continued its focus on serving our clients and customers while investing in and executing on long-term strategic initiatives. The Firm experienced market share gains and expanded our lead, maintained a fortress balance sheet and achieved strong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1517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3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JPMorganChase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400" w:type="dxa"/>
            <w:vAlign w:val="bottom"/>
            <w:shd w:val="clear" w:color="auto" w:fill="F4EFE7"/>
          </w:tcPr>
          <w:p>
            <w:pPr>
              <w:ind w:left="40"/>
              <w:spacing w:after="0"/>
              <w:rPr>
                <w:sz w:val="20"/>
                <w:szCs w:val="20"/>
                <w:color w:val="auto"/>
              </w:rPr>
            </w:pPr>
            <w:r>
              <w:rPr>
                <w:rFonts w:ascii="Arial" w:cs="Arial" w:eastAsia="Arial" w:hAnsi="Arial"/>
                <w:sz w:val="13"/>
                <w:szCs w:val="13"/>
                <w:b w:val="1"/>
                <w:bCs w:val="1"/>
                <w:color w:val="auto"/>
              </w:rPr>
              <w:t>Revenue</w:t>
            </w:r>
          </w:p>
        </w:tc>
        <w:tc>
          <w:tcPr>
            <w:tcW w:w="560" w:type="dxa"/>
            <w:vAlign w:val="bottom"/>
            <w:shd w:val="clear" w:color="auto" w:fill="F4EFE7"/>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shd w:val="clear" w:color="auto" w:fill="F4EFE7"/>
          </w:tcPr>
          <w:p>
            <w:pPr>
              <w:ind w:left="40"/>
              <w:spacing w:after="0"/>
              <w:rPr>
                <w:sz w:val="20"/>
                <w:szCs w:val="20"/>
                <w:color w:val="auto"/>
              </w:rPr>
            </w:pPr>
            <w:r>
              <w:rPr>
                <w:rFonts w:ascii="Arial" w:cs="Arial" w:eastAsia="Arial" w:hAnsi="Arial"/>
                <w:sz w:val="13"/>
                <w:szCs w:val="13"/>
                <w:b w:val="1"/>
                <w:bCs w:val="1"/>
                <w:color w:val="auto"/>
              </w:rPr>
              <w:t>Pre-tax income</w:t>
            </w:r>
          </w:p>
        </w:tc>
        <w:tc>
          <w:tcPr>
            <w:tcW w:w="500" w:type="dxa"/>
            <w:vAlign w:val="bottom"/>
            <w:shd w:val="clear" w:color="auto" w:fill="F4EFE7"/>
          </w:tcPr>
          <w:p>
            <w:pPr>
              <w:spacing w:after="0"/>
              <w:rPr>
                <w:sz w:val="23"/>
                <w:szCs w:val="23"/>
                <w:color w:val="auto"/>
              </w:rPr>
            </w:pPr>
          </w:p>
        </w:tc>
        <w:tc>
          <w:tcPr>
            <w:tcW w:w="80" w:type="dxa"/>
            <w:vAlign w:val="bottom"/>
          </w:tcPr>
          <w:p>
            <w:pPr>
              <w:spacing w:after="0"/>
              <w:rPr>
                <w:sz w:val="23"/>
                <w:szCs w:val="23"/>
                <w:color w:val="auto"/>
              </w:rPr>
            </w:pPr>
          </w:p>
        </w:tc>
        <w:tc>
          <w:tcPr>
            <w:tcW w:w="1700" w:type="dxa"/>
            <w:vAlign w:val="bottom"/>
            <w:shd w:val="clear" w:color="auto" w:fill="F4EFE7"/>
          </w:tcPr>
          <w:p>
            <w:pPr>
              <w:ind w:left="40"/>
              <w:spacing w:after="0"/>
              <w:rPr>
                <w:sz w:val="20"/>
                <w:szCs w:val="20"/>
                <w:color w:val="auto"/>
              </w:rPr>
            </w:pPr>
            <w:r>
              <w:rPr>
                <w:rFonts w:ascii="Arial" w:cs="Arial" w:eastAsia="Arial" w:hAnsi="Arial"/>
                <w:sz w:val="13"/>
                <w:szCs w:val="13"/>
                <w:b w:val="1"/>
                <w:bCs w:val="1"/>
                <w:color w:val="auto"/>
              </w:rPr>
              <w:t>Net income</w:t>
            </w:r>
          </w:p>
        </w:tc>
        <w:tc>
          <w:tcPr>
            <w:tcW w:w="100" w:type="dxa"/>
            <w:vAlign w:val="bottom"/>
          </w:tcPr>
          <w:p>
            <w:pPr>
              <w:spacing w:after="0"/>
              <w:rPr>
                <w:sz w:val="23"/>
                <w:szCs w:val="23"/>
                <w:color w:val="auto"/>
              </w:rPr>
            </w:pPr>
          </w:p>
        </w:tc>
        <w:tc>
          <w:tcPr>
            <w:tcW w:w="1700" w:type="dxa"/>
            <w:vAlign w:val="bottom"/>
            <w:shd w:val="clear" w:color="auto" w:fill="F4EFE7"/>
          </w:tcPr>
          <w:p>
            <w:pPr>
              <w:ind w:left="40"/>
              <w:spacing w:after="0"/>
              <w:rPr>
                <w:sz w:val="20"/>
                <w:szCs w:val="20"/>
                <w:color w:val="auto"/>
              </w:rPr>
            </w:pPr>
            <w:r>
              <w:rPr>
                <w:rFonts w:ascii="Arial" w:cs="Arial" w:eastAsia="Arial" w:hAnsi="Arial"/>
                <w:sz w:val="13"/>
                <w:szCs w:val="13"/>
                <w:b w:val="1"/>
                <w:bCs w:val="1"/>
                <w:color w:val="auto"/>
              </w:rPr>
              <w:t>BVPS</w:t>
            </w:r>
          </w:p>
        </w:tc>
        <w:tc>
          <w:tcPr>
            <w:tcW w:w="100" w:type="dxa"/>
            <w:vAlign w:val="bottom"/>
          </w:tcPr>
          <w:p>
            <w:pPr>
              <w:spacing w:after="0"/>
              <w:rPr>
                <w:sz w:val="23"/>
                <w:szCs w:val="23"/>
                <w:color w:val="auto"/>
              </w:rPr>
            </w:pPr>
          </w:p>
        </w:tc>
        <w:tc>
          <w:tcPr>
            <w:tcW w:w="170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ROE</w:t>
            </w:r>
          </w:p>
        </w:tc>
        <w:tc>
          <w:tcPr>
            <w:tcW w:w="100" w:type="dxa"/>
            <w:vAlign w:val="bottom"/>
          </w:tcPr>
          <w:p>
            <w:pPr>
              <w:spacing w:after="0"/>
              <w:rPr>
                <w:sz w:val="23"/>
                <w:szCs w:val="23"/>
                <w:color w:val="auto"/>
              </w:rPr>
            </w:pPr>
          </w:p>
        </w:tc>
        <w:tc>
          <w:tcPr>
            <w:tcW w:w="198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auto"/>
              </w:rPr>
              <w:t>Market capitalization</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1400" w:type="dxa"/>
            <w:vAlign w:val="bottom"/>
            <w:shd w:val="clear" w:color="auto" w:fill="F4EFE7"/>
          </w:tcPr>
          <w:p>
            <w:pPr>
              <w:ind w:left="40"/>
              <w:spacing w:after="0"/>
              <w:rPr>
                <w:sz w:val="20"/>
                <w:szCs w:val="20"/>
                <w:color w:val="auto"/>
              </w:rPr>
            </w:pPr>
            <w:r>
              <w:rPr>
                <w:rFonts w:ascii="Arial" w:cs="Arial" w:eastAsia="Arial" w:hAnsi="Arial"/>
                <w:sz w:val="25"/>
                <w:szCs w:val="25"/>
                <w:color w:val="8F5A39"/>
              </w:rPr>
              <w:t>$182.4B</w:t>
            </w:r>
          </w:p>
        </w:tc>
        <w:tc>
          <w:tcPr>
            <w:tcW w:w="560" w:type="dxa"/>
            <w:vAlign w:val="bottom"/>
            <w:shd w:val="clear" w:color="auto" w:fill="F4EFE7"/>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shd w:val="clear" w:color="auto" w:fill="F4EFE7"/>
          </w:tcPr>
          <w:p>
            <w:pPr>
              <w:ind w:left="40"/>
              <w:spacing w:after="0"/>
              <w:rPr>
                <w:sz w:val="20"/>
                <w:szCs w:val="20"/>
                <w:color w:val="auto"/>
              </w:rPr>
            </w:pPr>
            <w:r>
              <w:rPr>
                <w:rFonts w:ascii="Arial" w:cs="Arial" w:eastAsia="Arial" w:hAnsi="Arial"/>
                <w:sz w:val="25"/>
                <w:szCs w:val="25"/>
                <w:color w:val="8F5A39"/>
              </w:rPr>
              <w:t>$72.6B</w:t>
            </w:r>
          </w:p>
        </w:tc>
        <w:tc>
          <w:tcPr>
            <w:tcW w:w="500" w:type="dxa"/>
            <w:vAlign w:val="bottom"/>
            <w:shd w:val="clear" w:color="auto" w:fill="F4EFE7"/>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shd w:val="clear" w:color="auto" w:fill="F4EFE7"/>
          </w:tcPr>
          <w:p>
            <w:pPr>
              <w:ind w:left="40"/>
              <w:spacing w:after="0"/>
              <w:rPr>
                <w:sz w:val="20"/>
                <w:szCs w:val="20"/>
                <w:color w:val="auto"/>
              </w:rPr>
            </w:pPr>
            <w:r>
              <w:rPr>
                <w:rFonts w:ascii="Arial" w:cs="Arial" w:eastAsia="Arial" w:hAnsi="Arial"/>
                <w:sz w:val="25"/>
                <w:szCs w:val="25"/>
                <w:color w:val="8F5A39"/>
              </w:rPr>
              <w:t>$57.0B</w:t>
            </w:r>
          </w:p>
        </w:tc>
        <w:tc>
          <w:tcPr>
            <w:tcW w:w="100" w:type="dxa"/>
            <w:vAlign w:val="bottom"/>
          </w:tcPr>
          <w:p>
            <w:pPr>
              <w:spacing w:after="0"/>
              <w:rPr>
                <w:sz w:val="24"/>
                <w:szCs w:val="24"/>
                <w:color w:val="auto"/>
              </w:rPr>
            </w:pPr>
          </w:p>
        </w:tc>
        <w:tc>
          <w:tcPr>
            <w:tcW w:w="1700" w:type="dxa"/>
            <w:vAlign w:val="bottom"/>
            <w:shd w:val="clear" w:color="auto" w:fill="F4EFE7"/>
          </w:tcPr>
          <w:p>
            <w:pPr>
              <w:ind w:left="40"/>
              <w:spacing w:after="0"/>
              <w:rPr>
                <w:sz w:val="20"/>
                <w:szCs w:val="20"/>
                <w:color w:val="auto"/>
              </w:rPr>
            </w:pPr>
            <w:r>
              <w:rPr>
                <w:rFonts w:ascii="Arial" w:cs="Arial" w:eastAsia="Arial" w:hAnsi="Arial"/>
                <w:sz w:val="25"/>
                <w:szCs w:val="25"/>
                <w:color w:val="8F5A39"/>
              </w:rPr>
              <w:t>$126.99</w:t>
            </w:r>
          </w:p>
        </w:tc>
        <w:tc>
          <w:tcPr>
            <w:tcW w:w="100" w:type="dxa"/>
            <w:vAlign w:val="bottom"/>
          </w:tcPr>
          <w:p>
            <w:pPr>
              <w:spacing w:after="0"/>
              <w:rPr>
                <w:sz w:val="24"/>
                <w:szCs w:val="24"/>
                <w:color w:val="auto"/>
              </w:rPr>
            </w:pPr>
          </w:p>
        </w:tc>
        <w:tc>
          <w:tcPr>
            <w:tcW w:w="1700" w:type="dxa"/>
            <w:vAlign w:val="bottom"/>
            <w:shd w:val="clear" w:color="auto" w:fill="F4EFE7"/>
          </w:tcPr>
          <w:p>
            <w:pPr>
              <w:ind w:left="20"/>
              <w:spacing w:after="0"/>
              <w:rPr>
                <w:sz w:val="20"/>
                <w:szCs w:val="20"/>
                <w:color w:val="auto"/>
              </w:rPr>
            </w:pPr>
            <w:r>
              <w:rPr>
                <w:rFonts w:ascii="Arial" w:cs="Arial" w:eastAsia="Arial" w:hAnsi="Arial"/>
                <w:sz w:val="25"/>
                <w:szCs w:val="25"/>
                <w:color w:val="8F5A39"/>
              </w:rPr>
              <w:t>17%</w:t>
            </w:r>
          </w:p>
        </w:tc>
        <w:tc>
          <w:tcPr>
            <w:tcW w:w="100" w:type="dxa"/>
            <w:vAlign w:val="bottom"/>
          </w:tcPr>
          <w:p>
            <w:pPr>
              <w:spacing w:after="0"/>
              <w:rPr>
                <w:sz w:val="24"/>
                <w:szCs w:val="24"/>
                <w:color w:val="auto"/>
              </w:rPr>
            </w:pPr>
          </w:p>
        </w:tc>
        <w:tc>
          <w:tcPr>
            <w:tcW w:w="1980" w:type="dxa"/>
            <w:vAlign w:val="bottom"/>
            <w:shd w:val="clear" w:color="auto" w:fill="F4EFE7"/>
          </w:tcPr>
          <w:p>
            <w:pPr>
              <w:ind w:left="20"/>
              <w:spacing w:after="0"/>
              <w:rPr>
                <w:sz w:val="20"/>
                <w:szCs w:val="20"/>
                <w:color w:val="auto"/>
              </w:rPr>
            </w:pPr>
            <w:r>
              <w:rPr>
                <w:rFonts w:ascii="Arial" w:cs="Arial" w:eastAsia="Arial" w:hAnsi="Arial"/>
                <w:sz w:val="25"/>
                <w:szCs w:val="25"/>
                <w:color w:val="8F5A39"/>
              </w:rPr>
              <w:t>$868.8B</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0" w:type="dxa"/>
            <w:vAlign w:val="bottom"/>
            <w:shd w:val="clear" w:color="auto" w:fill="F4EFE7"/>
          </w:tcPr>
          <w:p>
            <w:pPr>
              <w:ind w:left="40"/>
              <w:spacing w:after="0"/>
              <w:rPr>
                <w:sz w:val="20"/>
                <w:szCs w:val="20"/>
                <w:color w:val="auto"/>
              </w:rPr>
            </w:pPr>
            <w:r>
              <w:rPr>
                <w:rFonts w:ascii="Arial" w:cs="Arial" w:eastAsia="Arial" w:hAnsi="Arial"/>
                <w:sz w:val="13"/>
                <w:szCs w:val="13"/>
                <w:color w:val="auto"/>
              </w:rPr>
              <w:t>Reported</w:t>
            </w:r>
          </w:p>
        </w:tc>
        <w:tc>
          <w:tcPr>
            <w:tcW w:w="560" w:type="dxa"/>
            <w:vAlign w:val="bottom"/>
            <w:shd w:val="clear" w:color="auto" w:fill="F4EFE7"/>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shd w:val="clear" w:color="auto" w:fill="F4EFE7"/>
          </w:tcPr>
          <w:p>
            <w:pPr>
              <w:ind w:left="40"/>
              <w:spacing w:after="0"/>
              <w:rPr>
                <w:sz w:val="20"/>
                <w:szCs w:val="20"/>
                <w:color w:val="auto"/>
              </w:rPr>
            </w:pPr>
            <w:r>
              <w:rPr>
                <w:rFonts w:ascii="Arial" w:cs="Arial" w:eastAsia="Arial" w:hAnsi="Arial"/>
                <w:sz w:val="13"/>
                <w:szCs w:val="13"/>
                <w:color w:val="auto"/>
              </w:rPr>
              <w:t>Reported</w:t>
            </w:r>
          </w:p>
        </w:tc>
        <w:tc>
          <w:tcPr>
            <w:tcW w:w="500" w:type="dxa"/>
            <w:vAlign w:val="bottom"/>
            <w:shd w:val="clear" w:color="auto" w:fill="F4EFE7"/>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shd w:val="clear" w:color="auto" w:fill="F4EFE7"/>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shd w:val="clear" w:color="auto" w:fill="F4EFE7"/>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shd w:val="clear" w:color="auto" w:fill="F4EFE7"/>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shd w:val="clear" w:color="auto" w:fill="F4EFE7"/>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00" w:type="dxa"/>
            <w:vAlign w:val="bottom"/>
            <w:vMerge w:val="restart"/>
            <w:shd w:val="clear" w:color="auto" w:fill="F4EFE7"/>
          </w:tcPr>
          <w:p>
            <w:pPr>
              <w:ind w:left="20"/>
              <w:spacing w:after="0"/>
              <w:rPr>
                <w:sz w:val="20"/>
                <w:szCs w:val="20"/>
                <w:color w:val="auto"/>
              </w:rPr>
            </w:pPr>
            <w:r>
              <w:rPr>
                <w:rFonts w:ascii="Arial" w:cs="Arial" w:eastAsia="Arial" w:hAnsi="Arial"/>
                <w:sz w:val="25"/>
                <w:szCs w:val="25"/>
                <w:color w:val="8F5A39"/>
              </w:rPr>
              <w:t>$185.6B</w:t>
            </w:r>
          </w:p>
        </w:tc>
        <w:tc>
          <w:tcPr>
            <w:tcW w:w="560" w:type="dxa"/>
            <w:vAlign w:val="bottom"/>
            <w:shd w:val="clear" w:color="auto" w:fill="F4EFE7"/>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restart"/>
            <w:shd w:val="clear" w:color="auto" w:fill="F4EFE7"/>
          </w:tcPr>
          <w:p>
            <w:pPr>
              <w:ind w:left="20"/>
              <w:spacing w:after="0"/>
              <w:rPr>
                <w:sz w:val="20"/>
                <w:szCs w:val="20"/>
                <w:color w:val="auto"/>
              </w:rPr>
            </w:pPr>
            <w:r>
              <w:rPr>
                <w:rFonts w:ascii="Arial" w:cs="Arial" w:eastAsia="Arial" w:hAnsi="Arial"/>
                <w:sz w:val="25"/>
                <w:szCs w:val="25"/>
                <w:color w:val="8F5A39"/>
              </w:rPr>
              <w:t>$80.1B</w:t>
            </w:r>
          </w:p>
        </w:tc>
        <w:tc>
          <w:tcPr>
            <w:tcW w:w="500" w:type="dxa"/>
            <w:vAlign w:val="bottom"/>
            <w:shd w:val="clear" w:color="auto" w:fill="F4EFE7"/>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shd w:val="clear" w:color="auto" w:fill="F4EFE7"/>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shd w:val="clear" w:color="auto" w:fill="F4EFE7"/>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shd w:val="clear" w:color="auto" w:fill="F4EFE7"/>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shd w:val="clear" w:color="auto" w:fill="F4EFE7"/>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shd w:val="clear" w:color="auto" w:fill="F4EFE7"/>
          </w:tcPr>
          <w:p>
            <w:pPr>
              <w:spacing w:after="0"/>
              <w:rPr>
                <w:sz w:val="4"/>
                <w:szCs w:val="4"/>
                <w:color w:val="auto"/>
              </w:rPr>
            </w:pPr>
          </w:p>
        </w:tc>
        <w:tc>
          <w:tcPr>
            <w:tcW w:w="560" w:type="dxa"/>
            <w:vAlign w:val="bottom"/>
            <w:vMerge w:val="restart"/>
            <w:shd w:val="clear" w:color="auto" w:fill="F4EFE7"/>
          </w:tcPr>
          <w:p>
            <w:pPr>
              <w:spacing w:after="0"/>
              <w:rPr>
                <w:sz w:val="4"/>
                <w:szCs w:val="4"/>
                <w:color w:val="auto"/>
              </w:rPr>
            </w:pPr>
          </w:p>
        </w:tc>
        <w:tc>
          <w:tcPr>
            <w:tcW w:w="80" w:type="dxa"/>
            <w:vAlign w:val="bottom"/>
            <w:vMerge w:val="restart"/>
          </w:tcPr>
          <w:p>
            <w:pPr>
              <w:spacing w:after="0"/>
              <w:rPr>
                <w:sz w:val="4"/>
                <w:szCs w:val="4"/>
                <w:color w:val="auto"/>
              </w:rPr>
            </w:pPr>
          </w:p>
        </w:tc>
        <w:tc>
          <w:tcPr>
            <w:tcW w:w="1200" w:type="dxa"/>
            <w:vAlign w:val="bottom"/>
            <w:vMerge w:val="continue"/>
            <w:shd w:val="clear" w:color="auto" w:fill="F4EFE7"/>
          </w:tcPr>
          <w:p>
            <w:pPr>
              <w:spacing w:after="0"/>
              <w:rPr>
                <w:sz w:val="4"/>
                <w:szCs w:val="4"/>
                <w:color w:val="auto"/>
              </w:rPr>
            </w:pPr>
          </w:p>
        </w:tc>
        <w:tc>
          <w:tcPr>
            <w:tcW w:w="500" w:type="dxa"/>
            <w:vAlign w:val="bottom"/>
            <w:shd w:val="clear" w:color="auto" w:fill="F4EFE7"/>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400" w:type="dxa"/>
            <w:vAlign w:val="bottom"/>
            <w:vMerge w:val="continue"/>
            <w:shd w:val="clear" w:color="auto" w:fill="F4EFE7"/>
          </w:tcPr>
          <w:p>
            <w:pPr>
              <w:spacing w:after="0"/>
              <w:rPr>
                <w:sz w:val="14"/>
                <w:szCs w:val="14"/>
                <w:color w:val="auto"/>
              </w:rPr>
            </w:pPr>
          </w:p>
        </w:tc>
        <w:tc>
          <w:tcPr>
            <w:tcW w:w="560" w:type="dxa"/>
            <w:vAlign w:val="bottom"/>
            <w:vMerge w:val="continue"/>
            <w:shd w:val="clear" w:color="auto" w:fill="F4EFE7"/>
          </w:tcPr>
          <w:p>
            <w:pPr>
              <w:spacing w:after="0"/>
              <w:rPr>
                <w:sz w:val="14"/>
                <w:szCs w:val="14"/>
                <w:color w:val="auto"/>
              </w:rPr>
            </w:pPr>
          </w:p>
        </w:tc>
        <w:tc>
          <w:tcPr>
            <w:tcW w:w="80" w:type="dxa"/>
            <w:vAlign w:val="bottom"/>
            <w:vMerge w:val="continue"/>
          </w:tcPr>
          <w:p>
            <w:pPr>
              <w:spacing w:after="0"/>
              <w:rPr>
                <w:sz w:val="14"/>
                <w:szCs w:val="14"/>
                <w:color w:val="auto"/>
              </w:rPr>
            </w:pPr>
          </w:p>
        </w:tc>
        <w:tc>
          <w:tcPr>
            <w:tcW w:w="1200" w:type="dxa"/>
            <w:vAlign w:val="bottom"/>
            <w:vMerge w:val="continue"/>
            <w:shd w:val="clear" w:color="auto" w:fill="F4EFE7"/>
          </w:tcPr>
          <w:p>
            <w:pPr>
              <w:spacing w:after="0"/>
              <w:rPr>
                <w:sz w:val="14"/>
                <w:szCs w:val="14"/>
                <w:color w:val="auto"/>
              </w:rPr>
            </w:pPr>
          </w:p>
        </w:tc>
        <w:tc>
          <w:tcPr>
            <w:tcW w:w="500" w:type="dxa"/>
            <w:vAlign w:val="bottom"/>
            <w:shd w:val="clear" w:color="auto" w:fill="F4EFE7"/>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vMerge w:val="restart"/>
            <w:shd w:val="clear" w:color="auto" w:fill="F4EFE7"/>
          </w:tcPr>
          <w:p>
            <w:pPr>
              <w:ind w:left="40"/>
              <w:spacing w:after="0"/>
              <w:rPr>
                <w:sz w:val="20"/>
                <w:szCs w:val="20"/>
                <w:color w:val="auto"/>
              </w:rPr>
            </w:pPr>
            <w:r>
              <w:rPr>
                <w:rFonts w:ascii="Arial" w:cs="Arial" w:eastAsia="Arial" w:hAnsi="Arial"/>
                <w:sz w:val="13"/>
                <w:szCs w:val="13"/>
                <w:b w:val="1"/>
                <w:bCs w:val="1"/>
                <w:color w:val="auto"/>
              </w:rPr>
              <w:t>EPS</w:t>
            </w:r>
          </w:p>
        </w:tc>
        <w:tc>
          <w:tcPr>
            <w:tcW w:w="100" w:type="dxa"/>
            <w:vAlign w:val="bottom"/>
          </w:tcPr>
          <w:p>
            <w:pPr>
              <w:spacing w:after="0"/>
              <w:rPr>
                <w:sz w:val="14"/>
                <w:szCs w:val="14"/>
                <w:color w:val="auto"/>
              </w:rPr>
            </w:pPr>
          </w:p>
        </w:tc>
        <w:tc>
          <w:tcPr>
            <w:tcW w:w="1700" w:type="dxa"/>
            <w:vAlign w:val="bottom"/>
            <w:vMerge w:val="restart"/>
            <w:shd w:val="clear" w:color="auto" w:fill="F4EFE7"/>
          </w:tcPr>
          <w:p>
            <w:pPr>
              <w:ind w:left="40"/>
              <w:spacing w:after="0"/>
              <w:rPr>
                <w:sz w:val="20"/>
                <w:szCs w:val="20"/>
                <w:color w:val="auto"/>
              </w:rPr>
            </w:pPr>
            <w:r>
              <w:rPr>
                <w:rFonts w:ascii="Arial" w:cs="Arial" w:eastAsia="Arial" w:hAnsi="Arial"/>
                <w:sz w:val="13"/>
                <w:szCs w:val="13"/>
                <w:b w:val="1"/>
                <w:bCs w:val="1"/>
                <w:color w:val="auto"/>
              </w:rPr>
              <w:t>TBVPS</w:t>
            </w:r>
            <w:r>
              <w:rPr>
                <w:rFonts w:ascii="Arial" w:cs="Arial" w:eastAsia="Arial" w:hAnsi="Arial"/>
                <w:sz w:val="17"/>
                <w:szCs w:val="17"/>
                <w:b w:val="1"/>
                <w:bCs w:val="1"/>
                <w:color w:val="auto"/>
                <w:vertAlign w:val="superscript"/>
              </w:rPr>
              <w:t>2</w:t>
            </w:r>
          </w:p>
        </w:tc>
        <w:tc>
          <w:tcPr>
            <w:tcW w:w="100" w:type="dxa"/>
            <w:vAlign w:val="bottom"/>
          </w:tcPr>
          <w:p>
            <w:pPr>
              <w:spacing w:after="0"/>
              <w:rPr>
                <w:sz w:val="14"/>
                <w:szCs w:val="14"/>
                <w:color w:val="auto"/>
              </w:rPr>
            </w:pPr>
          </w:p>
        </w:tc>
        <w:tc>
          <w:tcPr>
            <w:tcW w:w="1700" w:type="dxa"/>
            <w:vAlign w:val="bottom"/>
            <w:vMerge w:val="restart"/>
            <w:shd w:val="clear" w:color="auto" w:fill="F4EFE7"/>
          </w:tcPr>
          <w:p>
            <w:pPr>
              <w:ind w:left="20"/>
              <w:spacing w:after="0"/>
              <w:rPr>
                <w:sz w:val="20"/>
                <w:szCs w:val="20"/>
                <w:color w:val="auto"/>
              </w:rPr>
            </w:pPr>
            <w:r>
              <w:rPr>
                <w:rFonts w:ascii="Arial" w:cs="Arial" w:eastAsia="Arial" w:hAnsi="Arial"/>
                <w:sz w:val="13"/>
                <w:szCs w:val="13"/>
                <w:b w:val="1"/>
                <w:bCs w:val="1"/>
                <w:color w:val="auto"/>
              </w:rPr>
              <w:t>ROTCE</w:t>
            </w:r>
            <w:r>
              <w:rPr>
                <w:rFonts w:ascii="Arial" w:cs="Arial" w:eastAsia="Arial" w:hAnsi="Arial"/>
                <w:sz w:val="17"/>
                <w:szCs w:val="17"/>
                <w:b w:val="1"/>
                <w:bCs w:val="1"/>
                <w:color w:val="auto"/>
                <w:vertAlign w:val="superscript"/>
              </w:rPr>
              <w:t>2</w:t>
            </w:r>
          </w:p>
        </w:tc>
        <w:tc>
          <w:tcPr>
            <w:tcW w:w="100" w:type="dxa"/>
            <w:vAlign w:val="bottom"/>
          </w:tcPr>
          <w:p>
            <w:pPr>
              <w:spacing w:after="0"/>
              <w:rPr>
                <w:sz w:val="14"/>
                <w:szCs w:val="14"/>
                <w:color w:val="auto"/>
              </w:rPr>
            </w:pPr>
          </w:p>
        </w:tc>
        <w:tc>
          <w:tcPr>
            <w:tcW w:w="1980" w:type="dxa"/>
            <w:vAlign w:val="bottom"/>
            <w:vMerge w:val="restart"/>
            <w:shd w:val="clear" w:color="auto" w:fill="F4EFE7"/>
          </w:tcPr>
          <w:p>
            <w:pPr>
              <w:ind w:left="20"/>
              <w:spacing w:after="0"/>
              <w:rPr>
                <w:sz w:val="20"/>
                <w:szCs w:val="20"/>
                <w:color w:val="auto"/>
              </w:rPr>
            </w:pPr>
            <w:r>
              <w:rPr>
                <w:rFonts w:ascii="Arial" w:cs="Arial" w:eastAsia="Arial" w:hAnsi="Arial"/>
                <w:sz w:val="13"/>
                <w:szCs w:val="13"/>
                <w:b w:val="1"/>
                <w:bCs w:val="1"/>
                <w:color w:val="auto"/>
              </w:rPr>
              <w:t>Net capital distributions</w:t>
            </w:r>
            <w:r>
              <w:rPr>
                <w:rFonts w:ascii="Arial" w:cs="Arial" w:eastAsia="Arial" w:hAnsi="Arial"/>
                <w:sz w:val="17"/>
                <w:szCs w:val="17"/>
                <w:b w:val="1"/>
                <w:bCs w:val="1"/>
                <w:color w:val="auto"/>
                <w:vertAlign w:val="superscript"/>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400" w:type="dxa"/>
            <w:vAlign w:val="bottom"/>
            <w:shd w:val="clear" w:color="auto" w:fill="F4EFE7"/>
          </w:tcPr>
          <w:p>
            <w:pPr>
              <w:spacing w:after="0"/>
              <w:rPr>
                <w:sz w:val="6"/>
                <w:szCs w:val="6"/>
                <w:color w:val="auto"/>
              </w:rPr>
            </w:pPr>
          </w:p>
        </w:tc>
        <w:tc>
          <w:tcPr>
            <w:tcW w:w="560" w:type="dxa"/>
            <w:vAlign w:val="bottom"/>
            <w:shd w:val="clear" w:color="auto" w:fill="F4EFE7"/>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shd w:val="clear" w:color="auto" w:fill="F4EFE7"/>
          </w:tcPr>
          <w:p>
            <w:pPr>
              <w:spacing w:after="0"/>
              <w:rPr>
                <w:sz w:val="6"/>
                <w:szCs w:val="6"/>
                <w:color w:val="auto"/>
              </w:rPr>
            </w:pPr>
          </w:p>
        </w:tc>
        <w:tc>
          <w:tcPr>
            <w:tcW w:w="500" w:type="dxa"/>
            <w:vAlign w:val="bottom"/>
            <w:shd w:val="clear" w:color="auto" w:fill="F4EFE7"/>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vMerge w:val="continue"/>
            <w:shd w:val="clear" w:color="auto" w:fill="F4EFE7"/>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vMerge w:val="continue"/>
            <w:shd w:val="clear" w:color="auto" w:fill="F4EFE7"/>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vMerge w:val="continue"/>
            <w:shd w:val="clear" w:color="auto" w:fill="F4EFE7"/>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vMerge w:val="continue"/>
            <w:shd w:val="clear" w:color="auto" w:fill="F4EFE7"/>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400" w:type="dxa"/>
            <w:vAlign w:val="bottom"/>
            <w:vMerge w:val="restart"/>
            <w:shd w:val="clear" w:color="auto" w:fill="F4EFE7"/>
          </w:tcPr>
          <w:p>
            <w:pPr>
              <w:ind w:left="40"/>
              <w:spacing w:after="0"/>
              <w:rPr>
                <w:sz w:val="20"/>
                <w:szCs w:val="20"/>
                <w:color w:val="auto"/>
              </w:rPr>
            </w:pPr>
            <w:r>
              <w:rPr>
                <w:rFonts w:ascii="Arial" w:cs="Arial" w:eastAsia="Arial" w:hAnsi="Arial"/>
                <w:sz w:val="13"/>
                <w:szCs w:val="13"/>
                <w:color w:val="auto"/>
              </w:rPr>
              <w:t>Managed</w:t>
            </w:r>
            <w:r>
              <w:rPr>
                <w:rFonts w:ascii="Arial" w:cs="Arial" w:eastAsia="Arial" w:hAnsi="Arial"/>
                <w:sz w:val="17"/>
                <w:szCs w:val="17"/>
                <w:color w:val="auto"/>
                <w:vertAlign w:val="superscript"/>
              </w:rPr>
              <w:t>1,2</w:t>
            </w:r>
          </w:p>
        </w:tc>
        <w:tc>
          <w:tcPr>
            <w:tcW w:w="560" w:type="dxa"/>
            <w:vAlign w:val="bottom"/>
            <w:shd w:val="clear" w:color="auto" w:fill="F4EFE7"/>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vMerge w:val="restart"/>
            <w:shd w:val="clear" w:color="auto" w:fill="F4EFE7"/>
          </w:tcPr>
          <w:p>
            <w:pPr>
              <w:ind w:left="40"/>
              <w:spacing w:after="0"/>
              <w:rPr>
                <w:sz w:val="20"/>
                <w:szCs w:val="20"/>
                <w:color w:val="auto"/>
              </w:rPr>
            </w:pPr>
            <w:r>
              <w:rPr>
                <w:rFonts w:ascii="Arial" w:cs="Arial" w:eastAsia="Arial" w:hAnsi="Arial"/>
                <w:sz w:val="13"/>
                <w:szCs w:val="13"/>
                <w:color w:val="auto"/>
              </w:rPr>
              <w:t>Ex. LLR</w:t>
            </w:r>
            <w:r>
              <w:rPr>
                <w:rFonts w:ascii="Arial" w:cs="Arial" w:eastAsia="Arial" w:hAnsi="Arial"/>
                <w:sz w:val="17"/>
                <w:szCs w:val="17"/>
                <w:color w:val="auto"/>
                <w:vertAlign w:val="superscript"/>
              </w:rPr>
              <w:t>1,2</w:t>
            </w:r>
          </w:p>
        </w:tc>
        <w:tc>
          <w:tcPr>
            <w:tcW w:w="500" w:type="dxa"/>
            <w:vAlign w:val="bottom"/>
            <w:shd w:val="clear" w:color="auto" w:fill="F4EFE7"/>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shd w:val="clear" w:color="auto" w:fill="F4EFE7"/>
          </w:tcPr>
          <w:p>
            <w:pPr>
              <w:ind w:left="40"/>
              <w:spacing w:after="0" w:line="198" w:lineRule="exact"/>
              <w:rPr>
                <w:sz w:val="20"/>
                <w:szCs w:val="20"/>
                <w:color w:val="auto"/>
              </w:rPr>
            </w:pPr>
            <w:r>
              <w:rPr>
                <w:rFonts w:ascii="Arial" w:cs="Arial" w:eastAsia="Arial" w:hAnsi="Arial"/>
                <w:sz w:val="22"/>
                <w:szCs w:val="22"/>
                <w:color w:val="8F5A39"/>
              </w:rPr>
              <w:t>$20.02</w:t>
            </w:r>
          </w:p>
        </w:tc>
        <w:tc>
          <w:tcPr>
            <w:tcW w:w="100" w:type="dxa"/>
            <w:vAlign w:val="bottom"/>
          </w:tcPr>
          <w:p>
            <w:pPr>
              <w:spacing w:after="0"/>
              <w:rPr>
                <w:sz w:val="17"/>
                <w:szCs w:val="17"/>
                <w:color w:val="auto"/>
              </w:rPr>
            </w:pPr>
          </w:p>
        </w:tc>
        <w:tc>
          <w:tcPr>
            <w:tcW w:w="1700" w:type="dxa"/>
            <w:vAlign w:val="bottom"/>
            <w:shd w:val="clear" w:color="auto" w:fill="F4EFE7"/>
          </w:tcPr>
          <w:p>
            <w:pPr>
              <w:ind w:left="40"/>
              <w:spacing w:after="0" w:line="198" w:lineRule="exact"/>
              <w:rPr>
                <w:sz w:val="20"/>
                <w:szCs w:val="20"/>
                <w:color w:val="auto"/>
              </w:rPr>
            </w:pPr>
            <w:r>
              <w:rPr>
                <w:rFonts w:ascii="Arial" w:cs="Arial" w:eastAsia="Arial" w:hAnsi="Arial"/>
                <w:sz w:val="22"/>
                <w:szCs w:val="22"/>
                <w:color w:val="8F5A39"/>
              </w:rPr>
              <w:t>$107.56</w:t>
            </w:r>
          </w:p>
        </w:tc>
        <w:tc>
          <w:tcPr>
            <w:tcW w:w="100" w:type="dxa"/>
            <w:vAlign w:val="bottom"/>
          </w:tcPr>
          <w:p>
            <w:pPr>
              <w:spacing w:after="0"/>
              <w:rPr>
                <w:sz w:val="17"/>
                <w:szCs w:val="17"/>
                <w:color w:val="auto"/>
              </w:rPr>
            </w:pPr>
          </w:p>
        </w:tc>
        <w:tc>
          <w:tcPr>
            <w:tcW w:w="1700" w:type="dxa"/>
            <w:vAlign w:val="bottom"/>
            <w:shd w:val="clear" w:color="auto" w:fill="F4EFE7"/>
          </w:tcPr>
          <w:p>
            <w:pPr>
              <w:ind w:left="20"/>
              <w:spacing w:after="0" w:line="198" w:lineRule="exact"/>
              <w:rPr>
                <w:sz w:val="20"/>
                <w:szCs w:val="20"/>
                <w:color w:val="auto"/>
              </w:rPr>
            </w:pPr>
            <w:r>
              <w:rPr>
                <w:rFonts w:ascii="Arial" w:cs="Arial" w:eastAsia="Arial" w:hAnsi="Arial"/>
                <w:sz w:val="22"/>
                <w:szCs w:val="22"/>
                <w:color w:val="8F5A39"/>
              </w:rPr>
              <w:t>20%</w:t>
            </w:r>
          </w:p>
        </w:tc>
        <w:tc>
          <w:tcPr>
            <w:tcW w:w="100" w:type="dxa"/>
            <w:vAlign w:val="bottom"/>
          </w:tcPr>
          <w:p>
            <w:pPr>
              <w:spacing w:after="0"/>
              <w:rPr>
                <w:sz w:val="17"/>
                <w:szCs w:val="17"/>
                <w:color w:val="auto"/>
              </w:rPr>
            </w:pPr>
          </w:p>
        </w:tc>
        <w:tc>
          <w:tcPr>
            <w:tcW w:w="1980" w:type="dxa"/>
            <w:vAlign w:val="bottom"/>
            <w:shd w:val="clear" w:color="auto" w:fill="F4EFE7"/>
          </w:tcPr>
          <w:p>
            <w:pPr>
              <w:ind w:left="20"/>
              <w:spacing w:after="0" w:line="198" w:lineRule="exact"/>
              <w:rPr>
                <w:sz w:val="20"/>
                <w:szCs w:val="20"/>
                <w:color w:val="auto"/>
              </w:rPr>
            </w:pPr>
            <w:r>
              <w:rPr>
                <w:rFonts w:ascii="Arial" w:cs="Arial" w:eastAsia="Arial" w:hAnsi="Arial"/>
                <w:sz w:val="22"/>
                <w:szCs w:val="22"/>
                <w:color w:val="8F5A39"/>
              </w:rPr>
              <w:t>$46.1B</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1400" w:type="dxa"/>
            <w:vAlign w:val="bottom"/>
            <w:vMerge w:val="continue"/>
            <w:shd w:val="clear" w:color="auto" w:fill="F4EFE7"/>
          </w:tcPr>
          <w:p>
            <w:pPr>
              <w:spacing w:after="0"/>
              <w:rPr>
                <w:sz w:val="8"/>
                <w:szCs w:val="8"/>
                <w:color w:val="auto"/>
              </w:rPr>
            </w:pPr>
          </w:p>
        </w:tc>
        <w:tc>
          <w:tcPr>
            <w:tcW w:w="560" w:type="dxa"/>
            <w:vAlign w:val="bottom"/>
            <w:shd w:val="clear" w:color="auto" w:fill="F4EFE7"/>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vMerge w:val="continue"/>
            <w:shd w:val="clear" w:color="auto" w:fill="F4EFE7"/>
          </w:tcPr>
          <w:p>
            <w:pPr>
              <w:spacing w:after="0"/>
              <w:rPr>
                <w:sz w:val="8"/>
                <w:szCs w:val="8"/>
                <w:color w:val="auto"/>
              </w:rPr>
            </w:pPr>
          </w:p>
        </w:tc>
        <w:tc>
          <w:tcPr>
            <w:tcW w:w="500" w:type="dxa"/>
            <w:vAlign w:val="bottom"/>
            <w:shd w:val="clear" w:color="auto" w:fill="F4EFE7"/>
          </w:tcPr>
          <w:p>
            <w:pPr>
              <w:spacing w:after="0"/>
              <w:rPr>
                <w:sz w:val="8"/>
                <w:szCs w:val="8"/>
                <w:color w:val="auto"/>
              </w:rPr>
            </w:pPr>
          </w:p>
        </w:tc>
        <w:tc>
          <w:tcPr>
            <w:tcW w:w="80" w:type="dxa"/>
            <w:vAlign w:val="bottom"/>
          </w:tcPr>
          <w:p>
            <w:pPr>
              <w:spacing w:after="0"/>
              <w:rPr>
                <w:sz w:val="8"/>
                <w:szCs w:val="8"/>
                <w:color w:val="auto"/>
              </w:rPr>
            </w:pPr>
          </w:p>
        </w:tc>
        <w:tc>
          <w:tcPr>
            <w:tcW w:w="1700" w:type="dxa"/>
            <w:vAlign w:val="bottom"/>
            <w:shd w:val="clear" w:color="auto" w:fill="F4EFE7"/>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shd w:val="clear" w:color="auto" w:fill="F4EFE7"/>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shd w:val="clear" w:color="auto" w:fill="F4EFE7"/>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shd w:val="clear" w:color="auto" w:fill="F4EFE7"/>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400" w:type="dxa"/>
            <w:vAlign w:val="bottom"/>
            <w:shd w:val="clear" w:color="auto" w:fill="F4EFE7"/>
          </w:tcPr>
          <w:p>
            <w:pPr>
              <w:spacing w:after="0"/>
              <w:rPr>
                <w:sz w:val="15"/>
                <w:szCs w:val="15"/>
                <w:color w:val="auto"/>
              </w:rPr>
            </w:pPr>
          </w:p>
        </w:tc>
        <w:tc>
          <w:tcPr>
            <w:tcW w:w="560" w:type="dxa"/>
            <w:vAlign w:val="bottom"/>
            <w:shd w:val="clear" w:color="auto" w:fill="F4EFE7"/>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shd w:val="clear" w:color="auto" w:fill="F4EFE7"/>
          </w:tcPr>
          <w:p>
            <w:pPr>
              <w:spacing w:after="0"/>
              <w:rPr>
                <w:sz w:val="15"/>
                <w:szCs w:val="15"/>
                <w:color w:val="auto"/>
              </w:rPr>
            </w:pPr>
          </w:p>
        </w:tc>
        <w:tc>
          <w:tcPr>
            <w:tcW w:w="500" w:type="dxa"/>
            <w:vAlign w:val="bottom"/>
            <w:shd w:val="clear" w:color="auto" w:fill="F4EFE7"/>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shd w:val="clear" w:color="auto" w:fill="F4EFE7"/>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shd w:val="clear" w:color="auto" w:fill="F4EFE7"/>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shd w:val="clear" w:color="auto" w:fill="F4EFE7"/>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shd w:val="clear" w:color="auto" w:fill="F4EFE7"/>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spacing w:after="0"/>
              <w:rPr>
                <w:sz w:val="15"/>
                <w:szCs w:val="15"/>
                <w:color w:val="auto"/>
              </w:rPr>
            </w:pPr>
          </w:p>
        </w:tc>
        <w:tc>
          <w:tcPr>
            <w:tcW w:w="2280" w:type="dxa"/>
            <w:vAlign w:val="bottom"/>
            <w:tcBorders>
              <w:bottom w:val="single" w:sz="8" w:color="auto"/>
            </w:tcBorders>
            <w:gridSpan w:val="3"/>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400" w:type="dxa"/>
            <w:vAlign w:val="bottom"/>
          </w:tcPr>
          <w:p>
            <w:pPr>
              <w:spacing w:after="0"/>
              <w:rPr>
                <w:sz w:val="24"/>
                <w:szCs w:val="24"/>
                <w:color w:val="auto"/>
              </w:rPr>
            </w:pPr>
          </w:p>
        </w:tc>
        <w:tc>
          <w:tcPr>
            <w:tcW w:w="1840" w:type="dxa"/>
            <w:vAlign w:val="bottom"/>
            <w:gridSpan w:val="3"/>
          </w:tcPr>
          <w:p>
            <w:pPr>
              <w:ind w:left="420"/>
              <w:spacing w:after="0"/>
              <w:rPr>
                <w:sz w:val="20"/>
                <w:szCs w:val="20"/>
                <w:color w:val="auto"/>
              </w:rPr>
            </w:pPr>
            <w:r>
              <w:rPr>
                <w:rFonts w:ascii="Arial" w:cs="Arial" w:eastAsia="Arial" w:hAnsi="Arial"/>
                <w:sz w:val="13"/>
                <w:szCs w:val="13"/>
                <w:b w:val="1"/>
                <w:bCs w:val="1"/>
                <w:color w:val="auto"/>
              </w:rPr>
              <w:t>Revenue</w:t>
            </w:r>
            <w:r>
              <w:rPr>
                <w:rFonts w:ascii="Arial" w:cs="Arial" w:eastAsia="Arial" w:hAnsi="Arial"/>
                <w:sz w:val="17"/>
                <w:szCs w:val="17"/>
                <w:b w:val="1"/>
                <w:bCs w:val="1"/>
                <w:color w:val="auto"/>
                <w:vertAlign w:val="superscript"/>
              </w:rPr>
              <w:t>1</w:t>
            </w:r>
          </w:p>
        </w:tc>
        <w:tc>
          <w:tcPr>
            <w:tcW w:w="2280" w:type="dxa"/>
            <w:vAlign w:val="bottom"/>
            <w:gridSpan w:val="3"/>
          </w:tcPr>
          <w:p>
            <w:pPr>
              <w:ind w:left="220"/>
              <w:spacing w:after="0"/>
              <w:rPr>
                <w:sz w:val="20"/>
                <w:szCs w:val="20"/>
                <w:color w:val="auto"/>
              </w:rPr>
            </w:pPr>
            <w:r>
              <w:rPr>
                <w:rFonts w:ascii="Arial" w:cs="Arial" w:eastAsia="Arial" w:hAnsi="Arial"/>
                <w:sz w:val="13"/>
                <w:szCs w:val="13"/>
                <w:b w:val="1"/>
                <w:bCs w:val="1"/>
                <w:color w:val="auto"/>
              </w:rPr>
              <w:t>Pre-tax income ex. LLR</w:t>
            </w:r>
            <w:r>
              <w:rPr>
                <w:rFonts w:ascii="Arial" w:cs="Arial" w:eastAsia="Arial" w:hAnsi="Arial"/>
                <w:sz w:val="17"/>
                <w:szCs w:val="17"/>
                <w:b w:val="1"/>
                <w:bCs w:val="1"/>
                <w:color w:val="auto"/>
                <w:vertAlign w:val="superscript"/>
              </w:rPr>
              <w:t>1,2</w:t>
            </w:r>
          </w:p>
        </w:tc>
        <w:tc>
          <w:tcPr>
            <w:tcW w:w="36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 market share in U.S. retail deposits</w:t>
            </w:r>
            <w:r>
              <w:rPr>
                <w:rFonts w:ascii="Arial" w:cs="Arial" w:eastAsia="Arial" w:hAnsi="Arial"/>
                <w:sz w:val="9"/>
                <w:szCs w:val="9"/>
                <w:color w:val="auto"/>
              </w:rPr>
              <w:t>4</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400" w:type="dxa"/>
            <w:vAlign w:val="bottom"/>
            <w:vMerge w:val="restart"/>
          </w:tcPr>
          <w:p>
            <w:pPr>
              <w:ind w:left="100"/>
              <w:spacing w:after="0"/>
              <w:rPr>
                <w:sz w:val="20"/>
                <w:szCs w:val="20"/>
                <w:color w:val="auto"/>
              </w:rPr>
            </w:pPr>
            <w:r>
              <w:rPr>
                <w:rFonts w:ascii="Arial" w:cs="Arial" w:eastAsia="Arial" w:hAnsi="Arial"/>
                <w:sz w:val="16"/>
                <w:szCs w:val="16"/>
                <w:b w:val="1"/>
                <w:bCs w:val="1"/>
                <w:color w:val="8F5A39"/>
              </w:rPr>
              <w:t>CCB</w:t>
            </w:r>
          </w:p>
        </w:tc>
        <w:tc>
          <w:tcPr>
            <w:tcW w:w="1840" w:type="dxa"/>
            <w:vAlign w:val="bottom"/>
            <w:gridSpan w:val="3"/>
            <w:vMerge w:val="restart"/>
          </w:tcPr>
          <w:p>
            <w:pPr>
              <w:ind w:left="420"/>
              <w:spacing w:after="0"/>
              <w:rPr>
                <w:sz w:val="20"/>
                <w:szCs w:val="20"/>
                <w:color w:val="auto"/>
              </w:rPr>
            </w:pPr>
            <w:r>
              <w:rPr>
                <w:rFonts w:ascii="Arial" w:cs="Arial" w:eastAsia="Arial" w:hAnsi="Arial"/>
                <w:sz w:val="25"/>
                <w:szCs w:val="25"/>
                <w:color w:val="8F5A39"/>
              </w:rPr>
              <w:t>$76.0B</w:t>
            </w:r>
          </w:p>
        </w:tc>
        <w:tc>
          <w:tcPr>
            <w:tcW w:w="2280" w:type="dxa"/>
            <w:vAlign w:val="bottom"/>
            <w:gridSpan w:val="3"/>
            <w:vMerge w:val="restart"/>
          </w:tcPr>
          <w:p>
            <w:pPr>
              <w:ind w:left="220"/>
              <w:spacing w:after="0"/>
              <w:rPr>
                <w:sz w:val="20"/>
                <w:szCs w:val="20"/>
                <w:color w:val="auto"/>
              </w:rPr>
            </w:pPr>
            <w:r>
              <w:rPr>
                <w:rFonts w:ascii="Arial" w:cs="Arial" w:eastAsia="Arial" w:hAnsi="Arial"/>
                <w:sz w:val="25"/>
                <w:szCs w:val="25"/>
                <w:color w:val="8F5A39"/>
              </w:rPr>
              <w:t>$27.5B</w:t>
            </w:r>
          </w:p>
        </w:tc>
        <w:tc>
          <w:tcPr>
            <w:tcW w:w="36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1400" w:type="dxa"/>
            <w:vAlign w:val="bottom"/>
            <w:vMerge w:val="continue"/>
          </w:tcPr>
          <w:p>
            <w:pPr>
              <w:spacing w:after="0"/>
              <w:rPr>
                <w:sz w:val="24"/>
                <w:szCs w:val="24"/>
                <w:color w:val="auto"/>
              </w:rPr>
            </w:pPr>
          </w:p>
        </w:tc>
        <w:tc>
          <w:tcPr>
            <w:tcW w:w="1840" w:type="dxa"/>
            <w:vAlign w:val="bottom"/>
            <w:gridSpan w:val="3"/>
            <w:vMerge w:val="continue"/>
          </w:tcPr>
          <w:p>
            <w:pPr>
              <w:spacing w:after="0"/>
              <w:rPr>
                <w:sz w:val="24"/>
                <w:szCs w:val="24"/>
                <w:color w:val="auto"/>
              </w:rPr>
            </w:pPr>
          </w:p>
        </w:tc>
        <w:tc>
          <w:tcPr>
            <w:tcW w:w="2280" w:type="dxa"/>
            <w:vAlign w:val="bottom"/>
            <w:gridSpan w:val="3"/>
            <w:vMerge w:val="continue"/>
          </w:tcPr>
          <w:p>
            <w:pPr>
              <w:spacing w:after="0"/>
              <w:rPr>
                <w:sz w:val="24"/>
                <w:szCs w:val="24"/>
                <w:color w:val="auto"/>
              </w:rPr>
            </w:pPr>
          </w:p>
        </w:tc>
        <w:tc>
          <w:tcPr>
            <w:tcW w:w="3600" w:type="dxa"/>
            <w:vAlign w:val="bottom"/>
            <w:gridSpan w:val="4"/>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 market share in U.S. credit card sales volume</w:t>
            </w:r>
            <w:r>
              <w:rPr>
                <w:rFonts w:ascii="Arial" w:cs="Arial" w:eastAsia="Arial" w:hAnsi="Arial"/>
                <w:sz w:val="18"/>
                <w:szCs w:val="18"/>
                <w:color w:val="auto"/>
                <w:vertAlign w:val="superscript"/>
              </w:rPr>
              <w:t>4</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400" w:type="dxa"/>
            <w:vAlign w:val="bottom"/>
          </w:tcPr>
          <w:p>
            <w:pPr>
              <w:spacing w:after="0"/>
              <w:rPr>
                <w:sz w:val="16"/>
                <w:szCs w:val="16"/>
                <w:color w:val="auto"/>
              </w:rPr>
            </w:pPr>
          </w:p>
        </w:tc>
        <w:tc>
          <w:tcPr>
            <w:tcW w:w="1840" w:type="dxa"/>
            <w:vAlign w:val="bottom"/>
            <w:gridSpan w:val="3"/>
          </w:tcPr>
          <w:p>
            <w:pPr>
              <w:ind w:left="420"/>
              <w:spacing w:after="0"/>
              <w:rPr>
                <w:sz w:val="20"/>
                <w:szCs w:val="20"/>
                <w:color w:val="auto"/>
              </w:rPr>
            </w:pPr>
            <w:r>
              <w:rPr>
                <w:rFonts w:ascii="Arial" w:cs="Arial" w:eastAsia="Arial" w:hAnsi="Arial"/>
                <w:sz w:val="13"/>
                <w:szCs w:val="13"/>
                <w:b w:val="1"/>
                <w:bCs w:val="1"/>
                <w:color w:val="auto"/>
              </w:rPr>
              <w:t>Net income</w:t>
            </w:r>
          </w:p>
        </w:tc>
        <w:tc>
          <w:tcPr>
            <w:tcW w:w="2280" w:type="dxa"/>
            <w:vAlign w:val="bottom"/>
            <w:gridSpan w:val="3"/>
          </w:tcPr>
          <w:p>
            <w:pPr>
              <w:ind w:left="220"/>
              <w:spacing w:after="0"/>
              <w:rPr>
                <w:sz w:val="20"/>
                <w:szCs w:val="20"/>
                <w:color w:val="auto"/>
              </w:rPr>
            </w:pPr>
            <w:r>
              <w:rPr>
                <w:rFonts w:ascii="Arial" w:cs="Arial" w:eastAsia="Arial" w:hAnsi="Arial"/>
                <w:sz w:val="13"/>
                <w:szCs w:val="13"/>
                <w:b w:val="1"/>
                <w:bCs w:val="1"/>
                <w:color w:val="auto"/>
              </w:rPr>
              <w:t>ROE</w:t>
            </w:r>
          </w:p>
        </w:tc>
        <w:tc>
          <w:tcPr>
            <w:tcW w:w="3600" w:type="dxa"/>
            <w:vAlign w:val="bottom"/>
            <w:gridSpan w:val="4"/>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 primary bank for U.S. small businesses</w:t>
            </w:r>
            <w:r>
              <w:rPr>
                <w:rFonts w:ascii="Arial" w:cs="Arial" w:eastAsia="Arial" w:hAnsi="Arial"/>
                <w:sz w:val="9"/>
                <w:szCs w:val="9"/>
                <w:color w:val="auto"/>
              </w:rPr>
              <w:t>4</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400" w:type="dxa"/>
            <w:vAlign w:val="bottom"/>
          </w:tcPr>
          <w:p>
            <w:pPr>
              <w:spacing w:after="0"/>
              <w:rPr>
                <w:sz w:val="24"/>
                <w:szCs w:val="24"/>
                <w:color w:val="auto"/>
              </w:rPr>
            </w:pPr>
          </w:p>
        </w:tc>
        <w:tc>
          <w:tcPr>
            <w:tcW w:w="1840" w:type="dxa"/>
            <w:vAlign w:val="bottom"/>
            <w:gridSpan w:val="3"/>
          </w:tcPr>
          <w:p>
            <w:pPr>
              <w:ind w:left="420"/>
              <w:spacing w:after="0"/>
              <w:rPr>
                <w:sz w:val="20"/>
                <w:szCs w:val="20"/>
                <w:color w:val="auto"/>
              </w:rPr>
            </w:pPr>
            <w:r>
              <w:rPr>
                <w:rFonts w:ascii="Arial" w:cs="Arial" w:eastAsia="Arial" w:hAnsi="Arial"/>
                <w:sz w:val="25"/>
                <w:szCs w:val="25"/>
                <w:color w:val="8F5A39"/>
              </w:rPr>
              <w:t>$18.2B</w:t>
            </w:r>
          </w:p>
        </w:tc>
        <w:tc>
          <w:tcPr>
            <w:tcW w:w="2280" w:type="dxa"/>
            <w:vAlign w:val="bottom"/>
            <w:gridSpan w:val="3"/>
          </w:tcPr>
          <w:p>
            <w:pPr>
              <w:ind w:left="220"/>
              <w:spacing w:after="0"/>
              <w:rPr>
                <w:sz w:val="20"/>
                <w:szCs w:val="20"/>
                <w:color w:val="auto"/>
              </w:rPr>
            </w:pPr>
            <w:r>
              <w:rPr>
                <w:rFonts w:ascii="Arial" w:cs="Arial" w:eastAsia="Arial" w:hAnsi="Arial"/>
                <w:sz w:val="25"/>
                <w:szCs w:val="25"/>
                <w:color w:val="8F5A39"/>
              </w:rPr>
              <w:t>32%</w:t>
            </w:r>
          </w:p>
        </w:tc>
        <w:tc>
          <w:tcPr>
            <w:tcW w:w="3600" w:type="dxa"/>
            <w:vAlign w:val="bottom"/>
            <w:gridSpan w:val="4"/>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 U.S. digital banking platform</w:t>
            </w:r>
            <w:r>
              <w:rPr>
                <w:rFonts w:ascii="Arial" w:cs="Arial" w:eastAsia="Arial" w:hAnsi="Arial"/>
                <w:sz w:val="18"/>
                <w:szCs w:val="18"/>
                <w:color w:val="auto"/>
                <w:vertAlign w:val="superscript"/>
              </w:rPr>
              <w:t>4</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400" w:type="dxa"/>
            <w:vAlign w:val="bottom"/>
            <w:tcBorders>
              <w:bottom w:val="single" w:sz="8" w:color="B3B3B3"/>
            </w:tcBorders>
          </w:tcPr>
          <w:p>
            <w:pPr>
              <w:spacing w:after="0"/>
              <w:rPr>
                <w:sz w:val="3"/>
                <w:szCs w:val="3"/>
                <w:color w:val="auto"/>
              </w:rPr>
            </w:pPr>
          </w:p>
        </w:tc>
        <w:tc>
          <w:tcPr>
            <w:tcW w:w="1840" w:type="dxa"/>
            <w:vAlign w:val="bottom"/>
            <w:tcBorders>
              <w:bottom w:val="single" w:sz="8" w:color="B3B3B3"/>
            </w:tcBorders>
            <w:gridSpan w:val="3"/>
          </w:tcPr>
          <w:p>
            <w:pPr>
              <w:spacing w:after="0"/>
              <w:rPr>
                <w:sz w:val="3"/>
                <w:szCs w:val="3"/>
                <w:color w:val="auto"/>
              </w:rPr>
            </w:pPr>
          </w:p>
        </w:tc>
        <w:tc>
          <w:tcPr>
            <w:tcW w:w="2280" w:type="dxa"/>
            <w:vAlign w:val="bottom"/>
            <w:tcBorders>
              <w:bottom w:val="single" w:sz="8" w:color="B3B3B3"/>
            </w:tcBorders>
            <w:gridSpan w:val="3"/>
          </w:tcPr>
          <w:p>
            <w:pPr>
              <w:spacing w:after="0"/>
              <w:rPr>
                <w:sz w:val="3"/>
                <w:szCs w:val="3"/>
                <w:color w:val="auto"/>
              </w:rPr>
            </w:pPr>
          </w:p>
        </w:tc>
        <w:tc>
          <w:tcPr>
            <w:tcW w:w="5680" w:type="dxa"/>
            <w:vAlign w:val="bottom"/>
            <w:tcBorders>
              <w:bottom w:val="single" w:sz="8" w:color="B3B3B3"/>
            </w:tcBorders>
            <w:gridSpan w:val="6"/>
          </w:tcPr>
          <w:p>
            <w:pPr>
              <w:spacing w:after="0"/>
              <w:rPr>
                <w:sz w:val="3"/>
                <w:szCs w:val="3"/>
                <w:color w:val="auto"/>
              </w:rPr>
            </w:pPr>
          </w:p>
        </w:tc>
        <w:tc>
          <w:tcPr>
            <w:tcW w:w="4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400" w:type="dxa"/>
            <w:vAlign w:val="bottom"/>
          </w:tcPr>
          <w:p>
            <w:pPr>
              <w:spacing w:after="0"/>
              <w:rPr>
                <w:sz w:val="22"/>
                <w:szCs w:val="22"/>
                <w:color w:val="auto"/>
              </w:rPr>
            </w:pPr>
          </w:p>
        </w:tc>
        <w:tc>
          <w:tcPr>
            <w:tcW w:w="1840" w:type="dxa"/>
            <w:vAlign w:val="bottom"/>
            <w:gridSpan w:val="3"/>
          </w:tcPr>
          <w:p>
            <w:pPr>
              <w:ind w:left="420"/>
              <w:spacing w:after="0"/>
              <w:rPr>
                <w:sz w:val="20"/>
                <w:szCs w:val="20"/>
                <w:color w:val="auto"/>
              </w:rPr>
            </w:pPr>
            <w:r>
              <w:rPr>
                <w:rFonts w:ascii="Arial" w:cs="Arial" w:eastAsia="Arial" w:hAnsi="Arial"/>
                <w:sz w:val="13"/>
                <w:szCs w:val="13"/>
                <w:b w:val="1"/>
                <w:bCs w:val="1"/>
                <w:color w:val="auto"/>
              </w:rPr>
              <w:t>Revenue</w:t>
            </w:r>
            <w:r>
              <w:rPr>
                <w:rFonts w:ascii="Arial" w:cs="Arial" w:eastAsia="Arial" w:hAnsi="Arial"/>
                <w:sz w:val="17"/>
                <w:szCs w:val="17"/>
                <w:b w:val="1"/>
                <w:bCs w:val="1"/>
                <w:color w:val="auto"/>
                <w:vertAlign w:val="superscript"/>
              </w:rPr>
              <w:t>1</w:t>
            </w:r>
          </w:p>
        </w:tc>
        <w:tc>
          <w:tcPr>
            <w:tcW w:w="2280" w:type="dxa"/>
            <w:vAlign w:val="bottom"/>
            <w:gridSpan w:val="3"/>
          </w:tcPr>
          <w:p>
            <w:pPr>
              <w:ind w:left="220"/>
              <w:spacing w:after="0"/>
              <w:rPr>
                <w:sz w:val="20"/>
                <w:szCs w:val="20"/>
                <w:color w:val="auto"/>
              </w:rPr>
            </w:pPr>
            <w:r>
              <w:rPr>
                <w:rFonts w:ascii="Arial" w:cs="Arial" w:eastAsia="Arial" w:hAnsi="Arial"/>
                <w:sz w:val="13"/>
                <w:szCs w:val="13"/>
                <w:b w:val="1"/>
                <w:bCs w:val="1"/>
                <w:color w:val="auto"/>
              </w:rPr>
              <w:t>Pre-tax income</w:t>
            </w:r>
            <w:r>
              <w:rPr>
                <w:rFonts w:ascii="Arial" w:cs="Arial" w:eastAsia="Arial" w:hAnsi="Arial"/>
                <w:sz w:val="17"/>
                <w:szCs w:val="17"/>
                <w:b w:val="1"/>
                <w:bCs w:val="1"/>
                <w:color w:val="auto"/>
                <w:vertAlign w:val="superscript"/>
              </w:rPr>
              <w:t>1</w:t>
            </w:r>
          </w:p>
        </w:tc>
        <w:tc>
          <w:tcPr>
            <w:tcW w:w="5680" w:type="dxa"/>
            <w:vAlign w:val="bottom"/>
            <w:gridSpan w:val="6"/>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 in global IB fees for 17 consecutive years, with 8.4% wallet share</w:t>
            </w:r>
            <w:r>
              <w:rPr>
                <w:rFonts w:ascii="Arial" w:cs="Arial" w:eastAsia="Arial" w:hAnsi="Arial"/>
                <w:sz w:val="9"/>
                <w:szCs w:val="9"/>
                <w:color w:val="auto"/>
              </w:rPr>
              <w:t>5</w:t>
            </w:r>
            <w:r>
              <w:rPr>
                <w:rFonts w:ascii="Arial" w:cs="Arial" w:eastAsia="Arial" w:hAnsi="Arial"/>
                <w:sz w:val="14"/>
                <w:szCs w:val="14"/>
                <w:b w:val="1"/>
                <w:bCs w:val="1"/>
                <w:color w:val="auto"/>
              </w:rPr>
              <w:t xml:space="preserve"> </w:t>
            </w:r>
            <w:r>
              <w:rPr>
                <w:rFonts w:ascii="Arial" w:cs="Arial" w:eastAsia="Arial" w:hAnsi="Arial"/>
                <w:sz w:val="14"/>
                <w:szCs w:val="14"/>
                <w:color w:val="auto"/>
              </w:rPr>
              <w:t>in 2025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400" w:type="dxa"/>
            <w:vAlign w:val="bottom"/>
          </w:tcPr>
          <w:p>
            <w:pPr>
              <w:ind w:left="100"/>
              <w:spacing w:after="0"/>
              <w:rPr>
                <w:sz w:val="20"/>
                <w:szCs w:val="20"/>
                <w:color w:val="auto"/>
              </w:rPr>
            </w:pPr>
            <w:r>
              <w:rPr>
                <w:rFonts w:ascii="Arial" w:cs="Arial" w:eastAsia="Arial" w:hAnsi="Arial"/>
                <w:sz w:val="16"/>
                <w:szCs w:val="16"/>
                <w:b w:val="1"/>
                <w:bCs w:val="1"/>
                <w:color w:val="8F5A39"/>
              </w:rPr>
              <w:t>CIB</w:t>
            </w:r>
          </w:p>
        </w:tc>
        <w:tc>
          <w:tcPr>
            <w:tcW w:w="1840" w:type="dxa"/>
            <w:vAlign w:val="bottom"/>
            <w:gridSpan w:val="3"/>
          </w:tcPr>
          <w:p>
            <w:pPr>
              <w:ind w:left="420"/>
              <w:spacing w:after="0" w:line="252" w:lineRule="exact"/>
              <w:rPr>
                <w:sz w:val="20"/>
                <w:szCs w:val="20"/>
                <w:color w:val="auto"/>
              </w:rPr>
            </w:pPr>
            <w:r>
              <w:rPr>
                <w:rFonts w:ascii="Arial" w:cs="Arial" w:eastAsia="Arial" w:hAnsi="Arial"/>
                <w:sz w:val="25"/>
                <w:szCs w:val="25"/>
                <w:color w:val="8F5A39"/>
              </w:rPr>
              <w:t>$78.5B</w:t>
            </w:r>
          </w:p>
        </w:tc>
        <w:tc>
          <w:tcPr>
            <w:tcW w:w="2280" w:type="dxa"/>
            <w:vAlign w:val="bottom"/>
            <w:gridSpan w:val="3"/>
          </w:tcPr>
          <w:p>
            <w:pPr>
              <w:ind w:left="220"/>
              <w:spacing w:after="0" w:line="252" w:lineRule="exact"/>
              <w:rPr>
                <w:sz w:val="20"/>
                <w:szCs w:val="20"/>
                <w:color w:val="auto"/>
              </w:rPr>
            </w:pPr>
            <w:r>
              <w:rPr>
                <w:rFonts w:ascii="Arial" w:cs="Arial" w:eastAsia="Arial" w:hAnsi="Arial"/>
                <w:sz w:val="25"/>
                <w:szCs w:val="25"/>
                <w:color w:val="8F5A39"/>
              </w:rPr>
              <w:t>$37.6B</w:t>
            </w: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 in Markets revenue</w:t>
            </w:r>
            <w:r>
              <w:rPr>
                <w:rFonts w:ascii="Arial" w:cs="Arial" w:eastAsia="Arial" w:hAnsi="Arial"/>
                <w:sz w:val="18"/>
                <w:szCs w:val="18"/>
                <w:color w:val="auto"/>
                <w:vertAlign w:val="superscript"/>
              </w:rPr>
              <w:t>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840" w:type="dxa"/>
            <w:vAlign w:val="bottom"/>
            <w:gridSpan w:val="3"/>
            <w:vMerge w:val="restart"/>
          </w:tcPr>
          <w:p>
            <w:pPr>
              <w:ind w:left="420"/>
              <w:spacing w:after="0"/>
              <w:rPr>
                <w:sz w:val="20"/>
                <w:szCs w:val="20"/>
                <w:color w:val="auto"/>
              </w:rPr>
            </w:pPr>
            <w:r>
              <w:rPr>
                <w:rFonts w:ascii="Arial" w:cs="Arial" w:eastAsia="Arial" w:hAnsi="Arial"/>
                <w:sz w:val="13"/>
                <w:szCs w:val="13"/>
                <w:b w:val="1"/>
                <w:bCs w:val="1"/>
                <w:color w:val="auto"/>
              </w:rPr>
              <w:t>Net income</w:t>
            </w:r>
          </w:p>
        </w:tc>
        <w:tc>
          <w:tcPr>
            <w:tcW w:w="22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ROE</w:t>
            </w:r>
          </w:p>
        </w:tc>
        <w:tc>
          <w:tcPr>
            <w:tcW w:w="5680" w:type="dxa"/>
            <w:vAlign w:val="bottom"/>
            <w:gridSpan w:val="6"/>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 in USD payments volume with 30.2% USD SWIFT market share</w:t>
            </w:r>
            <w:r>
              <w:rPr>
                <w:rFonts w:ascii="Arial" w:cs="Arial" w:eastAsia="Arial" w:hAnsi="Arial"/>
                <w:sz w:val="9"/>
                <w:szCs w:val="9"/>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40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36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 custodian globally by revenue</w:t>
            </w:r>
            <w:r>
              <w:rPr>
                <w:rFonts w:ascii="Arial" w:cs="Arial" w:eastAsia="Arial" w:hAnsi="Arial"/>
                <w:sz w:val="18"/>
                <w:szCs w:val="18"/>
                <w:color w:val="auto"/>
                <w:vertAlign w:val="superscript"/>
              </w:rPr>
              <w:t>5</w:t>
            </w: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840" w:type="dxa"/>
            <w:vAlign w:val="bottom"/>
            <w:gridSpan w:val="3"/>
            <w:vMerge w:val="restart"/>
          </w:tcPr>
          <w:p>
            <w:pPr>
              <w:ind w:left="420"/>
              <w:spacing w:after="0"/>
              <w:rPr>
                <w:sz w:val="20"/>
                <w:szCs w:val="20"/>
                <w:color w:val="auto"/>
              </w:rPr>
            </w:pPr>
            <w:r>
              <w:rPr>
                <w:rFonts w:ascii="Arial" w:cs="Arial" w:eastAsia="Arial" w:hAnsi="Arial"/>
                <w:sz w:val="25"/>
                <w:szCs w:val="25"/>
                <w:color w:val="8F5A39"/>
              </w:rPr>
              <w:t>$27.8B</w:t>
            </w:r>
          </w:p>
        </w:tc>
        <w:tc>
          <w:tcPr>
            <w:tcW w:w="2280" w:type="dxa"/>
            <w:vAlign w:val="bottom"/>
            <w:gridSpan w:val="3"/>
            <w:vMerge w:val="restart"/>
          </w:tcPr>
          <w:p>
            <w:pPr>
              <w:ind w:left="220"/>
              <w:spacing w:after="0"/>
              <w:rPr>
                <w:sz w:val="20"/>
                <w:szCs w:val="20"/>
                <w:color w:val="auto"/>
              </w:rPr>
            </w:pPr>
            <w:r>
              <w:rPr>
                <w:rFonts w:ascii="Arial" w:cs="Arial" w:eastAsia="Arial" w:hAnsi="Arial"/>
                <w:sz w:val="25"/>
                <w:szCs w:val="25"/>
                <w:color w:val="8F5A39"/>
              </w:rPr>
              <w:t>18%</w:t>
            </w:r>
          </w:p>
        </w:tc>
        <w:tc>
          <w:tcPr>
            <w:tcW w:w="36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0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22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-1532890</wp:posOffset>
            </wp:positionV>
            <wp:extent cx="7132320" cy="237426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32320" cy="237426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43"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1060" w:type="dxa"/>
            <w:vAlign w:val="bottom"/>
          </w:tcPr>
          <w:p>
            <w:pPr>
              <w:spacing w:after="0"/>
              <w:rPr>
                <w:sz w:val="17"/>
                <w:szCs w:val="17"/>
                <w:color w:val="auto"/>
              </w:rPr>
            </w:pPr>
          </w:p>
        </w:tc>
        <w:tc>
          <w:tcPr>
            <w:tcW w:w="1880" w:type="dxa"/>
            <w:vAlign w:val="bottom"/>
          </w:tcPr>
          <w:p>
            <w:pPr>
              <w:ind w:left="660"/>
              <w:spacing w:after="0"/>
              <w:rPr>
                <w:sz w:val="20"/>
                <w:szCs w:val="20"/>
                <w:color w:val="auto"/>
              </w:rPr>
            </w:pPr>
            <w:r>
              <w:rPr>
                <w:rFonts w:ascii="Arial" w:cs="Arial" w:eastAsia="Arial" w:hAnsi="Arial"/>
                <w:sz w:val="13"/>
                <w:szCs w:val="13"/>
                <w:b w:val="1"/>
                <w:bCs w:val="1"/>
                <w:color w:val="auto"/>
              </w:rPr>
              <w:t>Revenue</w:t>
            </w:r>
            <w:r>
              <w:rPr>
                <w:rFonts w:ascii="Arial" w:cs="Arial" w:eastAsia="Arial" w:hAnsi="Arial"/>
                <w:sz w:val="17"/>
                <w:szCs w:val="17"/>
                <w:b w:val="1"/>
                <w:bCs w:val="1"/>
                <w:color w:val="auto"/>
                <w:vertAlign w:val="superscript"/>
              </w:rPr>
              <w:t>1</w:t>
            </w:r>
          </w:p>
        </w:tc>
        <w:tc>
          <w:tcPr>
            <w:tcW w:w="1440" w:type="dxa"/>
            <w:vAlign w:val="bottom"/>
          </w:tcPr>
          <w:p>
            <w:pPr>
              <w:ind w:left="420"/>
              <w:spacing w:after="0"/>
              <w:rPr>
                <w:sz w:val="20"/>
                <w:szCs w:val="20"/>
                <w:color w:val="auto"/>
              </w:rPr>
            </w:pPr>
            <w:r>
              <w:rPr>
                <w:rFonts w:ascii="Arial" w:cs="Arial" w:eastAsia="Arial" w:hAnsi="Arial"/>
                <w:sz w:val="13"/>
                <w:szCs w:val="13"/>
                <w:b w:val="1"/>
                <w:bCs w:val="1"/>
                <w:color w:val="auto"/>
              </w:rPr>
              <w:t>Pre-tax income</w:t>
            </w:r>
            <w:r>
              <w:rPr>
                <w:rFonts w:ascii="Arial" w:cs="Arial" w:eastAsia="Arial" w:hAnsi="Arial"/>
                <w:sz w:val="17"/>
                <w:szCs w:val="17"/>
                <w:b w:val="1"/>
                <w:bCs w:val="1"/>
                <w:color w:val="auto"/>
                <w:vertAlign w:val="superscript"/>
              </w:rPr>
              <w:t>1</w:t>
            </w:r>
          </w:p>
        </w:tc>
      </w:tr>
      <w:tr>
        <w:trPr>
          <w:trHeight w:val="332"/>
        </w:trPr>
        <w:tc>
          <w:tcPr>
            <w:tcW w:w="1060" w:type="dxa"/>
            <w:vAlign w:val="bottom"/>
          </w:tcPr>
          <w:p>
            <w:pPr>
              <w:spacing w:after="0"/>
              <w:rPr>
                <w:sz w:val="20"/>
                <w:szCs w:val="20"/>
                <w:color w:val="auto"/>
              </w:rPr>
            </w:pPr>
            <w:r>
              <w:rPr>
                <w:rFonts w:ascii="Arial" w:cs="Arial" w:eastAsia="Arial" w:hAnsi="Arial"/>
                <w:sz w:val="16"/>
                <w:szCs w:val="16"/>
                <w:b w:val="1"/>
                <w:bCs w:val="1"/>
                <w:color w:val="8F5A39"/>
              </w:rPr>
              <w:t>AWM</w:t>
            </w:r>
          </w:p>
        </w:tc>
        <w:tc>
          <w:tcPr>
            <w:tcW w:w="1880" w:type="dxa"/>
            <w:vAlign w:val="bottom"/>
          </w:tcPr>
          <w:p>
            <w:pPr>
              <w:ind w:left="660"/>
              <w:spacing w:after="0"/>
              <w:rPr>
                <w:sz w:val="20"/>
                <w:szCs w:val="20"/>
                <w:color w:val="auto"/>
              </w:rPr>
            </w:pPr>
            <w:r>
              <w:rPr>
                <w:rFonts w:ascii="Arial" w:cs="Arial" w:eastAsia="Arial" w:hAnsi="Arial"/>
                <w:sz w:val="25"/>
                <w:szCs w:val="25"/>
                <w:color w:val="8F5A39"/>
              </w:rPr>
              <w:t>$24.1B</w:t>
            </w:r>
          </w:p>
        </w:tc>
        <w:tc>
          <w:tcPr>
            <w:tcW w:w="1440" w:type="dxa"/>
            <w:vAlign w:val="bottom"/>
          </w:tcPr>
          <w:p>
            <w:pPr>
              <w:ind w:left="420"/>
              <w:spacing w:after="0"/>
              <w:rPr>
                <w:sz w:val="20"/>
                <w:szCs w:val="20"/>
                <w:color w:val="auto"/>
              </w:rPr>
            </w:pPr>
            <w:r>
              <w:rPr>
                <w:rFonts w:ascii="Arial" w:cs="Arial" w:eastAsia="Arial" w:hAnsi="Arial"/>
                <w:sz w:val="25"/>
                <w:szCs w:val="25"/>
                <w:color w:val="8F5A39"/>
              </w:rPr>
              <w:t>$8.6B</w:t>
            </w:r>
          </w:p>
        </w:tc>
      </w:tr>
      <w:tr>
        <w:trPr>
          <w:trHeight w:val="240"/>
        </w:trPr>
        <w:tc>
          <w:tcPr>
            <w:tcW w:w="1060" w:type="dxa"/>
            <w:vAlign w:val="bottom"/>
          </w:tcPr>
          <w:p>
            <w:pPr>
              <w:spacing w:after="0"/>
              <w:rPr>
                <w:sz w:val="20"/>
                <w:szCs w:val="20"/>
                <w:color w:val="auto"/>
              </w:rPr>
            </w:pPr>
          </w:p>
        </w:tc>
        <w:tc>
          <w:tcPr>
            <w:tcW w:w="1880" w:type="dxa"/>
            <w:vAlign w:val="bottom"/>
          </w:tcPr>
          <w:p>
            <w:pPr>
              <w:ind w:left="660"/>
              <w:spacing w:after="0"/>
              <w:rPr>
                <w:sz w:val="20"/>
                <w:szCs w:val="20"/>
                <w:color w:val="auto"/>
              </w:rPr>
            </w:pPr>
            <w:r>
              <w:rPr>
                <w:rFonts w:ascii="Arial" w:cs="Arial" w:eastAsia="Arial" w:hAnsi="Arial"/>
                <w:sz w:val="13"/>
                <w:szCs w:val="13"/>
                <w:b w:val="1"/>
                <w:bCs w:val="1"/>
                <w:color w:val="auto"/>
              </w:rPr>
              <w:t>Net income</w:t>
            </w:r>
          </w:p>
        </w:tc>
        <w:tc>
          <w:tcPr>
            <w:tcW w:w="1440" w:type="dxa"/>
            <w:vAlign w:val="bottom"/>
          </w:tcPr>
          <w:p>
            <w:pPr>
              <w:ind w:left="420"/>
              <w:spacing w:after="0"/>
              <w:rPr>
                <w:sz w:val="20"/>
                <w:szCs w:val="20"/>
                <w:color w:val="auto"/>
              </w:rPr>
            </w:pPr>
            <w:r>
              <w:rPr>
                <w:rFonts w:ascii="Arial" w:cs="Arial" w:eastAsia="Arial" w:hAnsi="Arial"/>
                <w:sz w:val="13"/>
                <w:szCs w:val="13"/>
                <w:b w:val="1"/>
                <w:bCs w:val="1"/>
                <w:color w:val="auto"/>
              </w:rPr>
              <w:t>ROE</w:t>
            </w:r>
          </w:p>
        </w:tc>
      </w:tr>
      <w:tr>
        <w:trPr>
          <w:trHeight w:val="341"/>
        </w:trPr>
        <w:tc>
          <w:tcPr>
            <w:tcW w:w="1060" w:type="dxa"/>
            <w:vAlign w:val="bottom"/>
          </w:tcPr>
          <w:p>
            <w:pPr>
              <w:spacing w:after="0"/>
              <w:rPr>
                <w:sz w:val="24"/>
                <w:szCs w:val="24"/>
                <w:color w:val="auto"/>
              </w:rPr>
            </w:pPr>
          </w:p>
        </w:tc>
        <w:tc>
          <w:tcPr>
            <w:tcW w:w="1880" w:type="dxa"/>
            <w:vAlign w:val="bottom"/>
          </w:tcPr>
          <w:p>
            <w:pPr>
              <w:ind w:left="660"/>
              <w:spacing w:after="0"/>
              <w:rPr>
                <w:sz w:val="20"/>
                <w:szCs w:val="20"/>
                <w:color w:val="auto"/>
              </w:rPr>
            </w:pPr>
            <w:r>
              <w:rPr>
                <w:rFonts w:ascii="Arial" w:cs="Arial" w:eastAsia="Arial" w:hAnsi="Arial"/>
                <w:sz w:val="25"/>
                <w:szCs w:val="25"/>
                <w:color w:val="8F5A39"/>
              </w:rPr>
              <w:t>$6.5B</w:t>
            </w:r>
          </w:p>
        </w:tc>
        <w:tc>
          <w:tcPr>
            <w:tcW w:w="1440" w:type="dxa"/>
            <w:vAlign w:val="bottom"/>
          </w:tcPr>
          <w:p>
            <w:pPr>
              <w:ind w:left="420"/>
              <w:spacing w:after="0"/>
              <w:rPr>
                <w:sz w:val="20"/>
                <w:szCs w:val="20"/>
                <w:color w:val="auto"/>
              </w:rPr>
            </w:pPr>
            <w:r>
              <w:rPr>
                <w:rFonts w:ascii="Arial" w:cs="Arial" w:eastAsia="Arial" w:hAnsi="Arial"/>
                <w:sz w:val="25"/>
                <w:szCs w:val="25"/>
                <w:color w:val="8F5A39"/>
              </w:rPr>
              <w:t>40%</w:t>
            </w: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72" w:hanging="172"/>
        <w:spacing w:after="0"/>
        <w:tabs>
          <w:tab w:leader="none" w:pos="172" w:val="left"/>
        </w:tabs>
        <w:numPr>
          <w:ilvl w:val="0"/>
          <w:numId w:val="175"/>
        </w:numPr>
        <w:rPr>
          <w:rFonts w:ascii="Arial" w:cs="Arial" w:eastAsia="Arial" w:hAnsi="Arial"/>
          <w:sz w:val="14"/>
          <w:szCs w:val="14"/>
          <w:b w:val="1"/>
          <w:bCs w:val="1"/>
          <w:color w:val="auto"/>
        </w:rPr>
      </w:pPr>
      <w:r>
        <w:rPr>
          <w:rFonts w:ascii="Arial" w:cs="Arial" w:eastAsia="Arial" w:hAnsi="Arial"/>
          <w:sz w:val="14"/>
          <w:szCs w:val="14"/>
          <w:color w:val="auto"/>
        </w:rPr>
        <w:t>Pre-tax margin of 36%</w:t>
      </w:r>
    </w:p>
    <w:p>
      <w:pPr>
        <w:spacing w:after="0" w:line="106" w:lineRule="exact"/>
        <w:rPr>
          <w:rFonts w:ascii="Arial" w:cs="Arial" w:eastAsia="Arial" w:hAnsi="Arial"/>
          <w:sz w:val="14"/>
          <w:szCs w:val="14"/>
          <w:b w:val="1"/>
          <w:bCs w:val="1"/>
          <w:color w:val="auto"/>
        </w:rPr>
      </w:pPr>
    </w:p>
    <w:p>
      <w:pPr>
        <w:ind w:left="192" w:right="440" w:hanging="192"/>
        <w:spacing w:after="0"/>
        <w:tabs>
          <w:tab w:leader="none" w:pos="169" w:val="left"/>
        </w:tabs>
        <w:numPr>
          <w:ilvl w:val="0"/>
          <w:numId w:val="175"/>
        </w:numPr>
        <w:rPr>
          <w:rFonts w:ascii="Arial" w:cs="Arial" w:eastAsia="Arial" w:hAnsi="Arial"/>
          <w:sz w:val="14"/>
          <w:szCs w:val="14"/>
          <w:b w:val="1"/>
          <w:bCs w:val="1"/>
          <w:color w:val="auto"/>
        </w:rPr>
      </w:pPr>
      <w:r>
        <w:rPr>
          <w:rFonts w:ascii="Arial" w:cs="Arial" w:eastAsia="Arial" w:hAnsi="Arial"/>
          <w:sz w:val="14"/>
          <w:szCs w:val="14"/>
          <w:color w:val="auto"/>
        </w:rPr>
        <w:t>Long-term AUM flows of $209B; top 2 rank in Client Asset Flows</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over a 5-year period</w:t>
      </w:r>
    </w:p>
    <w:p>
      <w:pPr>
        <w:spacing w:after="0" w:line="66" w:lineRule="exact"/>
        <w:rPr>
          <w:rFonts w:ascii="Arial" w:cs="Arial" w:eastAsia="Arial" w:hAnsi="Arial"/>
          <w:sz w:val="14"/>
          <w:szCs w:val="14"/>
          <w:b w:val="1"/>
          <w:bCs w:val="1"/>
          <w:color w:val="auto"/>
        </w:rPr>
      </w:pPr>
    </w:p>
    <w:p>
      <w:pPr>
        <w:ind w:left="172" w:hanging="172"/>
        <w:spacing w:after="0"/>
        <w:tabs>
          <w:tab w:leader="none" w:pos="172" w:val="left"/>
        </w:tabs>
        <w:numPr>
          <w:ilvl w:val="0"/>
          <w:numId w:val="175"/>
        </w:numPr>
        <w:rPr>
          <w:rFonts w:ascii="Arial" w:cs="Arial" w:eastAsia="Arial" w:hAnsi="Arial"/>
          <w:sz w:val="14"/>
          <w:szCs w:val="14"/>
          <w:b w:val="1"/>
          <w:bCs w:val="1"/>
          <w:color w:val="auto"/>
        </w:rPr>
      </w:pPr>
      <w:r>
        <w:rPr>
          <w:rFonts w:ascii="Arial" w:cs="Arial" w:eastAsia="Arial" w:hAnsi="Arial"/>
          <w:sz w:val="14"/>
          <w:szCs w:val="14"/>
          <w:color w:val="auto"/>
        </w:rPr>
        <w:t>Average deposits of $245.2B (up 4%); record average loans of $246.6B (up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152400</wp:posOffset>
            </wp:positionV>
            <wp:extent cx="713232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4868" w:space="720"/>
            <w:col w:w="5652"/>
          </w:cols>
          <w:pgMar w:left="320" w:top="157" w:right="339" w:bottom="1440" w:gutter="0" w:footer="0" w:header="0"/>
          <w:type w:val="continuous"/>
        </w:sectPr>
      </w:pPr>
    </w:p>
    <w:p>
      <w:pPr>
        <w:ind w:left="200" w:hanging="192"/>
        <w:spacing w:after="0"/>
        <w:tabs>
          <w:tab w:leader="none" w:pos="200" w:val="left"/>
        </w:tabs>
        <w:numPr>
          <w:ilvl w:val="0"/>
          <w:numId w:val="176"/>
        </w:numPr>
        <w:rPr>
          <w:rFonts w:ascii="Arial" w:cs="Arial" w:eastAsia="Arial" w:hAnsi="Arial"/>
          <w:sz w:val="19"/>
          <w:szCs w:val="19"/>
          <w:color w:val="auto"/>
          <w:vertAlign w:val="superscript"/>
        </w:rPr>
      </w:pPr>
      <w:r>
        <w:rPr>
          <w:rFonts w:ascii="Arial" w:cs="Arial" w:eastAsia="Arial" w:hAnsi="Arial"/>
          <w:sz w:val="13"/>
          <w:szCs w:val="13"/>
          <w:color w:val="auto"/>
        </w:rPr>
        <w:t>The Firm reviews the results of the Firm and the lines of business on a managed basis. Refer to Note 2, on page 103 for a definition of managed basis.</w:t>
      </w:r>
    </w:p>
    <w:p>
      <w:pPr>
        <w:ind w:left="200" w:hanging="192"/>
        <w:spacing w:after="0" w:line="182" w:lineRule="auto"/>
        <w:tabs>
          <w:tab w:leader="none" w:pos="200" w:val="left"/>
        </w:tabs>
        <w:numPr>
          <w:ilvl w:val="0"/>
          <w:numId w:val="177"/>
        </w:numPr>
        <w:rPr>
          <w:rFonts w:ascii="Arial" w:cs="Arial" w:eastAsia="Arial" w:hAnsi="Arial"/>
          <w:sz w:val="17"/>
          <w:szCs w:val="17"/>
          <w:color w:val="auto"/>
          <w:vertAlign w:val="superscript"/>
        </w:rPr>
      </w:pPr>
      <w:r>
        <w:rPr>
          <w:rFonts w:ascii="Arial" w:cs="Arial" w:eastAsia="Arial" w:hAnsi="Arial"/>
          <w:sz w:val="11"/>
          <w:szCs w:val="11"/>
          <w:color w:val="auto"/>
        </w:rPr>
        <w:t>Managed Revenue, Pre-Tax Income (ex. LLR), ROTCE and TBVPS are each non-GAAP financial measures; refer to Notes 1 and 2 on page 103 for a further discussion of these measures.</w:t>
      </w:r>
    </w:p>
    <w:p>
      <w:pPr>
        <w:ind w:left="200" w:hanging="192"/>
        <w:spacing w:after="0" w:line="188" w:lineRule="auto"/>
        <w:tabs>
          <w:tab w:leader="none" w:pos="200" w:val="left"/>
        </w:tabs>
        <w:numPr>
          <w:ilvl w:val="0"/>
          <w:numId w:val="178"/>
        </w:numPr>
        <w:rPr>
          <w:rFonts w:ascii="Arial" w:cs="Arial" w:eastAsia="Arial" w:hAnsi="Arial"/>
          <w:sz w:val="18"/>
          <w:szCs w:val="18"/>
          <w:color w:val="auto"/>
          <w:vertAlign w:val="superscript"/>
        </w:rPr>
      </w:pPr>
      <w:r>
        <w:rPr>
          <w:rFonts w:ascii="Arial" w:cs="Arial" w:eastAsia="Arial" w:hAnsi="Arial"/>
          <w:sz w:val="12"/>
          <w:szCs w:val="12"/>
          <w:color w:val="auto"/>
        </w:rPr>
        <w:t>Reflects common dividends and common stock repurchases, net of common stock issued to employees.</w:t>
      </w:r>
    </w:p>
    <w:p>
      <w:pPr>
        <w:ind w:left="200" w:hanging="192"/>
        <w:spacing w:after="0" w:line="182" w:lineRule="auto"/>
        <w:tabs>
          <w:tab w:leader="none" w:pos="200" w:val="left"/>
        </w:tabs>
        <w:numPr>
          <w:ilvl w:val="0"/>
          <w:numId w:val="179"/>
        </w:numPr>
        <w:rPr>
          <w:rFonts w:ascii="Arial" w:cs="Arial" w:eastAsia="Arial" w:hAnsi="Arial"/>
          <w:sz w:val="17"/>
          <w:szCs w:val="17"/>
          <w:color w:val="auto"/>
          <w:vertAlign w:val="superscript"/>
        </w:rPr>
      </w:pPr>
      <w:r>
        <w:rPr>
          <w:rFonts w:ascii="Arial" w:cs="Arial" w:eastAsia="Arial" w:hAnsi="Arial"/>
          <w:sz w:val="11"/>
          <w:szCs w:val="11"/>
          <w:color w:val="auto"/>
        </w:rPr>
        <w:t>Refer to Notes 4, 5, 6 and 7 on page 2.</w:t>
      </w:r>
    </w:p>
    <w:p>
      <w:pPr>
        <w:ind w:left="200" w:hanging="192"/>
        <w:spacing w:after="0" w:line="182" w:lineRule="auto"/>
        <w:tabs>
          <w:tab w:leader="none" w:pos="200" w:val="left"/>
        </w:tabs>
        <w:numPr>
          <w:ilvl w:val="0"/>
          <w:numId w:val="180"/>
        </w:numPr>
        <w:rPr>
          <w:rFonts w:ascii="Arial" w:cs="Arial" w:eastAsia="Arial" w:hAnsi="Arial"/>
          <w:sz w:val="17"/>
          <w:szCs w:val="17"/>
          <w:color w:val="auto"/>
          <w:vertAlign w:val="superscript"/>
        </w:rPr>
      </w:pPr>
      <w:r>
        <w:rPr>
          <w:rFonts w:ascii="Arial" w:cs="Arial" w:eastAsia="Arial" w:hAnsi="Arial"/>
          <w:sz w:val="11"/>
          <w:szCs w:val="11"/>
          <w:color w:val="auto"/>
        </w:rPr>
        <w:t>Refer to Notes 8, 9, 10 and 11 on page 2.</w:t>
      </w:r>
    </w:p>
    <w:p>
      <w:pPr>
        <w:ind w:left="200" w:hanging="192"/>
        <w:spacing w:after="0" w:line="196" w:lineRule="auto"/>
        <w:tabs>
          <w:tab w:leader="none" w:pos="200" w:val="left"/>
        </w:tabs>
        <w:numPr>
          <w:ilvl w:val="0"/>
          <w:numId w:val="181"/>
        </w:numPr>
        <w:rPr>
          <w:rFonts w:ascii="Arial" w:cs="Arial" w:eastAsia="Arial" w:hAnsi="Arial"/>
          <w:sz w:val="19"/>
          <w:szCs w:val="19"/>
          <w:color w:val="auto"/>
          <w:vertAlign w:val="superscript"/>
        </w:rPr>
      </w:pPr>
      <w:r>
        <w:rPr>
          <w:rFonts w:ascii="Arial" w:cs="Arial" w:eastAsia="Arial" w:hAnsi="Arial"/>
          <w:sz w:val="13"/>
          <w:szCs w:val="13"/>
          <w:color w:val="auto"/>
        </w:rPr>
        <w:t>Refer to Note 12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386715</wp:posOffset>
            </wp:positionV>
            <wp:extent cx="651510" cy="8572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12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21"/>
          <w:szCs w:val="21"/>
          <w:color w:val="auto"/>
          <w:vertAlign w:val="superscript"/>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30" w:type="dxa"/>
        <w:tblCellMar>
          <w:top w:w="0" w:type="dxa"/>
          <w:left w:w="0" w:type="dxa"/>
          <w:bottom w:w="0" w:type="dxa"/>
          <w:right w:w="0" w:type="dxa"/>
        </w:tblCellMar>
      </w:tblPr>
      <w:tr>
        <w:trPr>
          <w:trHeight w:val="458"/>
        </w:trPr>
        <w:tc>
          <w:tcPr>
            <w:tcW w:w="2780" w:type="dxa"/>
            <w:vAlign w:val="bottom"/>
            <w:tcBorders>
              <w:top w:val="single" w:sz="8" w:color="auto"/>
              <w:left w:val="single" w:sz="8" w:color="030303"/>
              <w:right w:val="single" w:sz="8" w:color="auto"/>
            </w:tcBorders>
          </w:tcPr>
          <w:p>
            <w:pPr>
              <w:ind w:left="320"/>
              <w:spacing w:after="0"/>
              <w:rPr>
                <w:sz w:val="20"/>
                <w:szCs w:val="20"/>
                <w:color w:val="auto"/>
              </w:rPr>
            </w:pPr>
            <w:r>
              <w:rPr>
                <w:rFonts w:ascii="Arial" w:cs="Arial" w:eastAsia="Arial" w:hAnsi="Arial"/>
                <w:sz w:val="14"/>
                <w:szCs w:val="14"/>
                <w:color w:val="8F5A39"/>
              </w:rPr>
              <w:t>How we think about pay decisions</w:t>
            </w:r>
          </w:p>
        </w:tc>
        <w:tc>
          <w:tcPr>
            <w:tcW w:w="400" w:type="dxa"/>
            <w:vAlign w:val="bottom"/>
          </w:tcPr>
          <w:p>
            <w:pPr>
              <w:spacing w:after="0"/>
              <w:rPr>
                <w:sz w:val="24"/>
                <w:szCs w:val="24"/>
                <w:color w:val="auto"/>
              </w:rPr>
            </w:pPr>
          </w:p>
        </w:tc>
        <w:tc>
          <w:tcPr>
            <w:tcW w:w="4220" w:type="dxa"/>
            <w:vAlign w:val="bottom"/>
            <w:tcBorders>
              <w:top w:val="single" w:sz="8" w:color="A6D7F0"/>
              <w:bottom w:val="single" w:sz="8" w:color="A6D7F0"/>
            </w:tcBorders>
            <w:shd w:val="clear" w:color="auto" w:fill="A6D7F0"/>
          </w:tcPr>
          <w:p>
            <w:pPr>
              <w:ind w:left="440"/>
              <w:spacing w:after="0"/>
              <w:rPr>
                <w:sz w:val="20"/>
                <w:szCs w:val="20"/>
                <w:color w:val="auto"/>
              </w:rPr>
            </w:pPr>
            <w:r>
              <w:rPr>
                <w:rFonts w:ascii="Arial" w:cs="Arial" w:eastAsia="Arial" w:hAnsi="Arial"/>
                <w:sz w:val="14"/>
                <w:szCs w:val="14"/>
                <w:b w:val="1"/>
                <w:bCs w:val="1"/>
                <w:color w:val="auto"/>
              </w:rPr>
              <w:t>How we performed against our business strategy</w:t>
            </w:r>
          </w:p>
        </w:tc>
        <w:tc>
          <w:tcPr>
            <w:tcW w:w="42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4"/>
                <w:szCs w:val="14"/>
                <w:color w:val="8F5A39"/>
              </w:rPr>
              <w:t>How performance determined pay in 2025</w:t>
            </w:r>
          </w:p>
        </w:tc>
      </w:tr>
      <w:tr>
        <w:trPr>
          <w:trHeight w:val="20"/>
        </w:trPr>
        <w:tc>
          <w:tcPr>
            <w:tcW w:w="27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tcBorders>
              <w:top w:val="single" w:sz="8" w:color="A6D7F0"/>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4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-196850</wp:posOffset>
            </wp:positionV>
            <wp:extent cx="120015" cy="9398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-196850</wp:posOffset>
            </wp:positionV>
            <wp:extent cx="120015" cy="9398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color w:val="auto"/>
        </w:rPr>
        <w:t>Client/Customer/Stakeholder</w:t>
      </w:r>
    </w:p>
    <w:p>
      <w:pPr>
        <w:spacing w:after="0" w:line="7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performance reflects ongoing investments in our employees and businesses, and market leadership of our franchises that generates long-term value for our shareholders and helps strengthen the broader economy. Our ability to meet or exceed expectations, deal fairly and ethically, support communities around the world and continue to help build a more inclusive and stronger global economy drives our current and future success.</w:t>
      </w:r>
    </w:p>
    <w:p>
      <w:pPr>
        <w:spacing w:after="0" w:line="2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Exceptional Client Service is one of our Business Principles. We strive to deliver value by offering our customers and clients choice, through a comprehensive set of products and services; security through processes designed to protect their data and transactions; ease of doing business in a fast and simple way; personalization through tailored customer solutions and integrated experiences; and continued investments in technology. Additionally, our LOBs are able to leverage the unique scale advantage of our Firm in order to benefit our customers and clients. Highlights across the Firm include: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940" w:type="dxa"/>
            <w:vAlign w:val="bottom"/>
            <w:tcBorders>
              <w:top w:val="single" w:sz="8" w:color="auto"/>
            </w:tcBorders>
            <w:shd w:val="clear" w:color="auto" w:fill="F4EFE7"/>
          </w:tcPr>
          <w:p>
            <w:pPr>
              <w:spacing w:after="0"/>
              <w:rPr>
                <w:sz w:val="24"/>
                <w:szCs w:val="24"/>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1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Continued investments in:</w:t>
            </w:r>
          </w:p>
        </w:tc>
        <w:tc>
          <w:tcPr>
            <w:tcW w:w="0" w:type="dxa"/>
            <w:vAlign w:val="bottom"/>
          </w:tcPr>
          <w:p>
            <w:pPr>
              <w:spacing w:after="0"/>
              <w:rPr>
                <w:sz w:val="1"/>
                <w:szCs w:val="1"/>
                <w:color w:val="auto"/>
              </w:rPr>
            </w:pPr>
          </w:p>
        </w:tc>
      </w:tr>
      <w:tr>
        <w:trPr>
          <w:trHeight w:val="182"/>
        </w:trPr>
        <w:tc>
          <w:tcPr>
            <w:tcW w:w="940" w:type="dxa"/>
            <w:vAlign w:val="bottom"/>
            <w:shd w:val="clear" w:color="auto" w:fill="F4EFE7"/>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tcPr>
          <w:p>
            <w:pPr>
              <w:ind w:left="100"/>
              <w:spacing w:after="0"/>
              <w:rPr>
                <w:sz w:val="20"/>
                <w:szCs w:val="20"/>
                <w:color w:val="auto"/>
              </w:rPr>
            </w:pPr>
            <w:r>
              <w:rPr>
                <w:rFonts w:ascii="Arial" w:cs="Arial" w:eastAsia="Arial" w:hAnsi="Arial"/>
                <w:sz w:val="14"/>
                <w:szCs w:val="14"/>
                <w:color w:val="auto"/>
              </w:rPr>
              <w:t>— Our communities, including by supporting business growth and entrepreneurship, careers and skills, community development, environmental</w:t>
            </w:r>
          </w:p>
        </w:tc>
        <w:tc>
          <w:tcPr>
            <w:tcW w:w="0" w:type="dxa"/>
            <w:vAlign w:val="bottom"/>
          </w:tcPr>
          <w:p>
            <w:pPr>
              <w:spacing w:after="0"/>
              <w:rPr>
                <w:sz w:val="1"/>
                <w:szCs w:val="1"/>
                <w:color w:val="auto"/>
              </w:rPr>
            </w:pPr>
          </w:p>
        </w:tc>
      </w:tr>
      <w:tr>
        <w:trPr>
          <w:trHeight w:val="175"/>
        </w:trPr>
        <w:tc>
          <w:tcPr>
            <w:tcW w:w="940" w:type="dxa"/>
            <w:vAlign w:val="bottom"/>
            <w:shd w:val="clear" w:color="auto" w:fill="F4EFE7"/>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tcPr>
          <w:p>
            <w:pPr>
              <w:ind w:left="280"/>
              <w:spacing w:after="0"/>
              <w:rPr>
                <w:sz w:val="20"/>
                <w:szCs w:val="20"/>
                <w:color w:val="auto"/>
              </w:rPr>
            </w:pPr>
            <w:r>
              <w:rPr>
                <w:rFonts w:ascii="Arial" w:cs="Arial" w:eastAsia="Arial" w:hAnsi="Arial"/>
                <w:sz w:val="14"/>
                <w:szCs w:val="14"/>
                <w:color w:val="auto"/>
              </w:rPr>
              <w:t>sustainability and financial health and wealth creation. We seek to create a stronger economy through community investments, local collaborations and</w:t>
            </w:r>
          </w:p>
        </w:tc>
        <w:tc>
          <w:tcPr>
            <w:tcW w:w="0" w:type="dxa"/>
            <w:vAlign w:val="bottom"/>
          </w:tcPr>
          <w:p>
            <w:pPr>
              <w:spacing w:after="0"/>
              <w:rPr>
                <w:sz w:val="1"/>
                <w:szCs w:val="1"/>
                <w:color w:val="auto"/>
              </w:rPr>
            </w:pPr>
          </w:p>
        </w:tc>
      </w:tr>
      <w:tr>
        <w:trPr>
          <w:trHeight w:val="190"/>
        </w:trPr>
        <w:tc>
          <w:tcPr>
            <w:tcW w:w="940" w:type="dxa"/>
            <w:vAlign w:val="bottom"/>
            <w:shd w:val="clear" w:color="auto" w:fill="F4EFE7"/>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80"/>
              <w:spacing w:after="0"/>
              <w:rPr>
                <w:sz w:val="20"/>
                <w:szCs w:val="20"/>
                <w:color w:val="auto"/>
              </w:rPr>
            </w:pPr>
            <w:r>
              <w:rPr>
                <w:rFonts w:ascii="Arial" w:cs="Arial" w:eastAsia="Arial" w:hAnsi="Arial"/>
                <w:sz w:val="14"/>
                <w:szCs w:val="14"/>
                <w:color w:val="auto"/>
              </w:rPr>
              <w:t>policy advocacy</w:t>
            </w:r>
          </w:p>
        </w:tc>
        <w:tc>
          <w:tcPr>
            <w:tcW w:w="0" w:type="dxa"/>
            <w:vAlign w:val="bottom"/>
          </w:tcPr>
          <w:p>
            <w:pPr>
              <w:spacing w:after="0"/>
              <w:rPr>
                <w:sz w:val="1"/>
                <w:szCs w:val="1"/>
                <w:color w:val="auto"/>
              </w:rPr>
            </w:pPr>
          </w:p>
        </w:tc>
      </w:tr>
      <w:tr>
        <w:trPr>
          <w:trHeight w:val="188"/>
        </w:trPr>
        <w:tc>
          <w:tcPr>
            <w:tcW w:w="940" w:type="dxa"/>
            <w:vAlign w:val="bottom"/>
            <w:shd w:val="clear" w:color="auto" w:fill="F4EFE7"/>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100"/>
              <w:spacing w:after="0"/>
              <w:rPr>
                <w:sz w:val="20"/>
                <w:szCs w:val="20"/>
                <w:color w:val="auto"/>
              </w:rPr>
            </w:pPr>
            <w:r>
              <w:rPr>
                <w:rFonts w:ascii="Arial" w:cs="Arial" w:eastAsia="Arial" w:hAnsi="Arial"/>
                <w:sz w:val="14"/>
                <w:szCs w:val="14"/>
                <w:color w:val="auto"/>
              </w:rPr>
              <w:t>— Our data and technology capabilities, including AI and ML. We continue to deploy cutting-edge technology across the Firm to enable increased</w:t>
            </w:r>
          </w:p>
        </w:tc>
        <w:tc>
          <w:tcPr>
            <w:tcW w:w="0" w:type="dxa"/>
            <w:vAlign w:val="bottom"/>
          </w:tcPr>
          <w:p>
            <w:pPr>
              <w:spacing w:after="0"/>
              <w:rPr>
                <w:sz w:val="1"/>
                <w:szCs w:val="1"/>
                <w:color w:val="auto"/>
              </w:rPr>
            </w:pPr>
          </w:p>
        </w:tc>
      </w:tr>
      <w:tr>
        <w:trPr>
          <w:trHeight w:val="190"/>
        </w:trPr>
        <w:tc>
          <w:tcPr>
            <w:tcW w:w="940" w:type="dxa"/>
            <w:vAlign w:val="bottom"/>
            <w:vMerge w:val="restart"/>
            <w:shd w:val="clear" w:color="auto" w:fill="F4EFE7"/>
          </w:tcPr>
          <w:p>
            <w:pPr>
              <w:jc w:val="center"/>
              <w:spacing w:after="0"/>
              <w:rPr>
                <w:sz w:val="20"/>
                <w:szCs w:val="20"/>
                <w:color w:val="auto"/>
              </w:rPr>
            </w:pPr>
            <w:r>
              <w:rPr>
                <w:rFonts w:ascii="Arial" w:cs="Arial" w:eastAsia="Arial" w:hAnsi="Arial"/>
                <w:sz w:val="14"/>
                <w:szCs w:val="14"/>
                <w:b w:val="1"/>
                <w:bCs w:val="1"/>
                <w:color w:val="8F5A39"/>
              </w:rPr>
              <w:t>Firmwide</w:t>
            </w:r>
          </w:p>
        </w:tc>
        <w:tc>
          <w:tcPr>
            <w:tcW w:w="120" w:type="dxa"/>
            <w:vAlign w:val="bottom"/>
          </w:tcPr>
          <w:p>
            <w:pPr>
              <w:spacing w:after="0"/>
              <w:rPr>
                <w:sz w:val="16"/>
                <w:szCs w:val="16"/>
                <w:color w:val="auto"/>
              </w:rPr>
            </w:pPr>
          </w:p>
        </w:tc>
        <w:tc>
          <w:tcPr>
            <w:tcW w:w="10120" w:type="dxa"/>
            <w:vAlign w:val="bottom"/>
          </w:tcPr>
          <w:p>
            <w:pPr>
              <w:ind w:left="280"/>
              <w:spacing w:after="0"/>
              <w:rPr>
                <w:sz w:val="20"/>
                <w:szCs w:val="20"/>
                <w:color w:val="auto"/>
              </w:rPr>
            </w:pPr>
            <w:r>
              <w:rPr>
                <w:rFonts w:ascii="Arial" w:cs="Arial" w:eastAsia="Arial" w:hAnsi="Arial"/>
                <w:sz w:val="14"/>
                <w:szCs w:val="14"/>
                <w:color w:val="auto"/>
              </w:rPr>
              <w:t>productivity and an enhanced experience for our clients and customers globally</w:t>
            </w:r>
          </w:p>
        </w:tc>
        <w:tc>
          <w:tcPr>
            <w:tcW w:w="0" w:type="dxa"/>
            <w:vAlign w:val="bottom"/>
          </w:tcPr>
          <w:p>
            <w:pPr>
              <w:spacing w:after="0"/>
              <w:rPr>
                <w:sz w:val="1"/>
                <w:szCs w:val="1"/>
                <w:color w:val="auto"/>
              </w:rPr>
            </w:pPr>
          </w:p>
        </w:tc>
      </w:tr>
      <w:tr>
        <w:trPr>
          <w:trHeight w:val="188"/>
        </w:trPr>
        <w:tc>
          <w:tcPr>
            <w:tcW w:w="940" w:type="dxa"/>
            <w:vAlign w:val="bottom"/>
            <w:vMerge w:val="continue"/>
            <w:shd w:val="clear" w:color="auto" w:fill="F4EFE7"/>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100"/>
              <w:spacing w:after="0"/>
              <w:rPr>
                <w:sz w:val="20"/>
                <w:szCs w:val="20"/>
                <w:color w:val="auto"/>
              </w:rPr>
            </w:pPr>
            <w:r>
              <w:rPr>
                <w:rFonts w:ascii="Arial" w:cs="Arial" w:eastAsia="Arial" w:hAnsi="Arial"/>
                <w:sz w:val="14"/>
                <w:szCs w:val="14"/>
                <w:color w:val="auto"/>
              </w:rPr>
              <w:t>— Our real estate footprint, including by opening our new global headquarters at 270 Park Avenue in New York, to create enhanced collaborative work</w:t>
            </w:r>
          </w:p>
        </w:tc>
        <w:tc>
          <w:tcPr>
            <w:tcW w:w="0" w:type="dxa"/>
            <w:vAlign w:val="bottom"/>
          </w:tcPr>
          <w:p>
            <w:pPr>
              <w:spacing w:after="0"/>
              <w:rPr>
                <w:sz w:val="1"/>
                <w:szCs w:val="1"/>
                <w:color w:val="auto"/>
              </w:rPr>
            </w:pPr>
          </w:p>
        </w:tc>
      </w:tr>
      <w:tr>
        <w:trPr>
          <w:trHeight w:val="190"/>
        </w:trPr>
        <w:tc>
          <w:tcPr>
            <w:tcW w:w="940" w:type="dxa"/>
            <w:vAlign w:val="bottom"/>
            <w:shd w:val="clear" w:color="auto" w:fill="F4EFE7"/>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280"/>
              <w:spacing w:after="0"/>
              <w:rPr>
                <w:sz w:val="20"/>
                <w:szCs w:val="20"/>
                <w:color w:val="auto"/>
              </w:rPr>
            </w:pPr>
            <w:r>
              <w:rPr>
                <w:rFonts w:ascii="Arial" w:cs="Arial" w:eastAsia="Arial" w:hAnsi="Arial"/>
                <w:sz w:val="14"/>
                <w:szCs w:val="14"/>
                <w:color w:val="auto"/>
              </w:rPr>
              <w:t>environments for employees, serve clients around the world and contribute to local economies</w:t>
            </w:r>
          </w:p>
        </w:tc>
        <w:tc>
          <w:tcPr>
            <w:tcW w:w="0" w:type="dxa"/>
            <w:vAlign w:val="bottom"/>
          </w:tcPr>
          <w:p>
            <w:pPr>
              <w:spacing w:after="0"/>
              <w:rPr>
                <w:sz w:val="1"/>
                <w:szCs w:val="1"/>
                <w:color w:val="auto"/>
              </w:rPr>
            </w:pPr>
          </w:p>
        </w:tc>
      </w:tr>
      <w:tr>
        <w:trPr>
          <w:trHeight w:val="201"/>
        </w:trPr>
        <w:tc>
          <w:tcPr>
            <w:tcW w:w="940" w:type="dxa"/>
            <w:vAlign w:val="bottom"/>
            <w:shd w:val="clear" w:color="auto" w:fill="F4EFE7"/>
          </w:tcPr>
          <w:p>
            <w:pPr>
              <w:spacing w:after="0"/>
              <w:rPr>
                <w:sz w:val="17"/>
                <w:szCs w:val="17"/>
                <w:color w:val="auto"/>
              </w:rPr>
            </w:pPr>
          </w:p>
        </w:tc>
        <w:tc>
          <w:tcPr>
            <w:tcW w:w="102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Continued to develop and advance sustainable, evidence-based policy solutions to drive inclusive economic growth globally, powered by the Firm's</w:t>
            </w:r>
          </w:p>
        </w:tc>
        <w:tc>
          <w:tcPr>
            <w:tcW w:w="0" w:type="dxa"/>
            <w:vAlign w:val="bottom"/>
          </w:tcPr>
          <w:p>
            <w:pPr>
              <w:spacing w:after="0"/>
              <w:rPr>
                <w:sz w:val="1"/>
                <w:szCs w:val="1"/>
                <w:color w:val="auto"/>
              </w:rPr>
            </w:pPr>
          </w:p>
        </w:tc>
      </w:tr>
      <w:tr>
        <w:trPr>
          <w:trHeight w:val="190"/>
        </w:trPr>
        <w:tc>
          <w:tcPr>
            <w:tcW w:w="940" w:type="dxa"/>
            <w:vAlign w:val="bottom"/>
            <w:shd w:val="clear" w:color="auto" w:fill="F4EFE7"/>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100"/>
              <w:spacing w:after="0"/>
              <w:rPr>
                <w:sz w:val="20"/>
                <w:szCs w:val="20"/>
                <w:color w:val="auto"/>
              </w:rPr>
            </w:pPr>
            <w:r>
              <w:rPr>
                <w:rFonts w:ascii="Arial" w:cs="Arial" w:eastAsia="Arial" w:hAnsi="Arial"/>
                <w:sz w:val="14"/>
                <w:szCs w:val="14"/>
                <w:color w:val="auto"/>
              </w:rPr>
              <w:t>business resources and expertise, including data, research, talent and philanthropy</w:t>
            </w:r>
          </w:p>
        </w:tc>
        <w:tc>
          <w:tcPr>
            <w:tcW w:w="0" w:type="dxa"/>
            <w:vAlign w:val="bottom"/>
          </w:tcPr>
          <w:p>
            <w:pPr>
              <w:spacing w:after="0"/>
              <w:rPr>
                <w:sz w:val="1"/>
                <w:szCs w:val="1"/>
                <w:color w:val="auto"/>
              </w:rPr>
            </w:pPr>
          </w:p>
        </w:tc>
      </w:tr>
      <w:tr>
        <w:trPr>
          <w:trHeight w:val="188"/>
        </w:trPr>
        <w:tc>
          <w:tcPr>
            <w:tcW w:w="940" w:type="dxa"/>
            <w:vAlign w:val="bottom"/>
            <w:shd w:val="clear" w:color="auto" w:fill="F4EFE7"/>
          </w:tcPr>
          <w:p>
            <w:pPr>
              <w:spacing w:after="0"/>
              <w:rPr>
                <w:sz w:val="16"/>
                <w:szCs w:val="16"/>
                <w:color w:val="auto"/>
              </w:rPr>
            </w:pPr>
          </w:p>
        </w:tc>
        <w:tc>
          <w:tcPr>
            <w:tcW w:w="102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Continued to engage with policy makers globally to advance and protect the long-term interests of our Firm, including our businesses, employees,</w:t>
            </w:r>
          </w:p>
        </w:tc>
        <w:tc>
          <w:tcPr>
            <w:tcW w:w="0" w:type="dxa"/>
            <w:vAlign w:val="bottom"/>
          </w:tcPr>
          <w:p>
            <w:pPr>
              <w:spacing w:after="0"/>
              <w:rPr>
                <w:sz w:val="1"/>
                <w:szCs w:val="1"/>
                <w:color w:val="auto"/>
              </w:rPr>
            </w:pPr>
          </w:p>
        </w:tc>
      </w:tr>
      <w:tr>
        <w:trPr>
          <w:trHeight w:val="190"/>
        </w:trPr>
        <w:tc>
          <w:tcPr>
            <w:tcW w:w="940" w:type="dxa"/>
            <w:vAlign w:val="bottom"/>
            <w:shd w:val="clear" w:color="auto" w:fill="F4EFE7"/>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100"/>
              <w:spacing w:after="0"/>
              <w:rPr>
                <w:sz w:val="20"/>
                <w:szCs w:val="20"/>
                <w:color w:val="auto"/>
              </w:rPr>
            </w:pPr>
            <w:r>
              <w:rPr>
                <w:rFonts w:ascii="Arial" w:cs="Arial" w:eastAsia="Arial" w:hAnsi="Arial"/>
                <w:sz w:val="14"/>
                <w:szCs w:val="14"/>
                <w:color w:val="auto"/>
              </w:rPr>
              <w:t>customers and communities</w:t>
            </w:r>
          </w:p>
        </w:tc>
        <w:tc>
          <w:tcPr>
            <w:tcW w:w="0" w:type="dxa"/>
            <w:vAlign w:val="bottom"/>
          </w:tcPr>
          <w:p>
            <w:pPr>
              <w:spacing w:after="0"/>
              <w:rPr>
                <w:sz w:val="1"/>
                <w:szCs w:val="1"/>
                <w:color w:val="auto"/>
              </w:rPr>
            </w:pPr>
          </w:p>
        </w:tc>
      </w:tr>
      <w:tr>
        <w:trPr>
          <w:trHeight w:val="197"/>
        </w:trPr>
        <w:tc>
          <w:tcPr>
            <w:tcW w:w="940" w:type="dxa"/>
            <w:vAlign w:val="bottom"/>
            <w:tcBorders>
              <w:bottom w:val="single" w:sz="8" w:color="A9A9A9"/>
            </w:tcBorders>
            <w:shd w:val="clear" w:color="auto" w:fill="F4EFE7"/>
          </w:tcPr>
          <w:p>
            <w:pPr>
              <w:spacing w:after="0"/>
              <w:rPr>
                <w:sz w:val="17"/>
                <w:szCs w:val="17"/>
                <w:color w:val="auto"/>
              </w:rPr>
            </w:pPr>
          </w:p>
        </w:tc>
        <w:tc>
          <w:tcPr>
            <w:tcW w:w="10240" w:type="dxa"/>
            <w:vAlign w:val="bottom"/>
            <w:tcBorders>
              <w:bottom w:val="single" w:sz="8" w:color="A9A9A9"/>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940" w:type="dxa"/>
            <w:vAlign w:val="bottom"/>
            <w:shd w:val="clear" w:color="auto" w:fill="F4EFE7"/>
          </w:tcPr>
          <w:p>
            <w:pPr>
              <w:spacing w:after="0"/>
              <w:rPr>
                <w:sz w:val="24"/>
                <w:szCs w:val="24"/>
                <w:color w:val="auto"/>
              </w:rPr>
            </w:pPr>
          </w:p>
        </w:tc>
        <w:tc>
          <w:tcPr>
            <w:tcW w:w="102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Achieved record high customer satisfaction scores in both net promoter scores ("NPS") and customer satisfaction ("CSAT") for branch and digital channels</w:t>
            </w:r>
          </w:p>
        </w:tc>
        <w:tc>
          <w:tcPr>
            <w:tcW w:w="0" w:type="dxa"/>
            <w:vAlign w:val="bottom"/>
          </w:tcPr>
          <w:p>
            <w:pPr>
              <w:spacing w:after="0"/>
              <w:rPr>
                <w:sz w:val="1"/>
                <w:szCs w:val="1"/>
                <w:color w:val="auto"/>
              </w:rPr>
            </w:pPr>
          </w:p>
        </w:tc>
      </w:tr>
      <w:tr>
        <w:trPr>
          <w:trHeight w:val="203"/>
        </w:trPr>
        <w:tc>
          <w:tcPr>
            <w:tcW w:w="940" w:type="dxa"/>
            <w:vAlign w:val="bottom"/>
            <w:shd w:val="clear" w:color="auto" w:fill="F4EFE7"/>
          </w:tcPr>
          <w:p>
            <w:pPr>
              <w:spacing w:after="0"/>
              <w:rPr>
                <w:sz w:val="17"/>
                <w:szCs w:val="17"/>
                <w:color w:val="auto"/>
              </w:rPr>
            </w:pPr>
          </w:p>
        </w:tc>
        <w:tc>
          <w:tcPr>
            <w:tcW w:w="102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Served 94 million customers: 86.6 million consumers and 7.4 million small businesses</w:t>
            </w:r>
          </w:p>
        </w:tc>
        <w:tc>
          <w:tcPr>
            <w:tcW w:w="0" w:type="dxa"/>
            <w:vAlign w:val="bottom"/>
          </w:tcPr>
          <w:p>
            <w:pPr>
              <w:spacing w:after="0"/>
              <w:rPr>
                <w:sz w:val="1"/>
                <w:szCs w:val="1"/>
                <w:color w:val="auto"/>
              </w:rPr>
            </w:pPr>
          </w:p>
        </w:tc>
      </w:tr>
      <w:tr>
        <w:trPr>
          <w:trHeight w:val="216"/>
        </w:trPr>
        <w:tc>
          <w:tcPr>
            <w:tcW w:w="940" w:type="dxa"/>
            <w:vAlign w:val="bottom"/>
            <w:vMerge w:val="restart"/>
            <w:shd w:val="clear" w:color="auto" w:fill="F4EFE7"/>
          </w:tcPr>
          <w:p>
            <w:pPr>
              <w:jc w:val="center"/>
              <w:spacing w:after="0"/>
              <w:rPr>
                <w:sz w:val="20"/>
                <w:szCs w:val="20"/>
                <w:color w:val="auto"/>
              </w:rPr>
            </w:pPr>
            <w:r>
              <w:rPr>
                <w:rFonts w:ascii="Arial" w:cs="Arial" w:eastAsia="Arial" w:hAnsi="Arial"/>
                <w:sz w:val="14"/>
                <w:szCs w:val="14"/>
                <w:b w:val="1"/>
                <w:bCs w:val="1"/>
                <w:color w:val="8F5A39"/>
                <w:w w:val="98"/>
              </w:rPr>
              <w:t>CCB</w:t>
            </w:r>
          </w:p>
        </w:tc>
        <w:tc>
          <w:tcPr>
            <w:tcW w:w="102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Added 1.7 million net new checking accounts across Consumer and Business Banking and acquired 10.4 million new Card accounts</w:t>
            </w:r>
          </w:p>
        </w:tc>
        <w:tc>
          <w:tcPr>
            <w:tcW w:w="0" w:type="dxa"/>
            <w:vAlign w:val="bottom"/>
          </w:tcPr>
          <w:p>
            <w:pPr>
              <w:spacing w:after="0"/>
              <w:rPr>
                <w:sz w:val="1"/>
                <w:szCs w:val="1"/>
                <w:color w:val="auto"/>
              </w:rPr>
            </w:pPr>
          </w:p>
        </w:tc>
      </w:tr>
      <w:tr>
        <w:trPr>
          <w:trHeight w:val="135"/>
        </w:trPr>
        <w:tc>
          <w:tcPr>
            <w:tcW w:w="940" w:type="dxa"/>
            <w:vAlign w:val="bottom"/>
            <w:vMerge w:val="continue"/>
            <w:shd w:val="clear" w:color="auto" w:fill="F4EFE7"/>
          </w:tcPr>
          <w:p>
            <w:pPr>
              <w:spacing w:after="0"/>
              <w:rPr>
                <w:sz w:val="11"/>
                <w:szCs w:val="11"/>
                <w:color w:val="auto"/>
              </w:rPr>
            </w:pPr>
          </w:p>
        </w:tc>
        <w:tc>
          <w:tcPr>
            <w:tcW w:w="10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Opened 160 branches and 18 financial centers, ending the year with more than 5,000 branches and 20 financial centers across our footprint</w:t>
            </w:r>
          </w:p>
        </w:tc>
        <w:tc>
          <w:tcPr>
            <w:tcW w:w="0" w:type="dxa"/>
            <w:vAlign w:val="bottom"/>
          </w:tcPr>
          <w:p>
            <w:pPr>
              <w:spacing w:after="0"/>
              <w:rPr>
                <w:sz w:val="1"/>
                <w:szCs w:val="1"/>
                <w:color w:val="auto"/>
              </w:rPr>
            </w:pPr>
          </w:p>
        </w:tc>
      </w:tr>
      <w:tr>
        <w:trPr>
          <w:trHeight w:val="68"/>
        </w:trPr>
        <w:tc>
          <w:tcPr>
            <w:tcW w:w="940" w:type="dxa"/>
            <w:vAlign w:val="bottom"/>
            <w:shd w:val="clear" w:color="auto" w:fill="F4EFE7"/>
          </w:tcPr>
          <w:p>
            <w:pPr>
              <w:spacing w:after="0"/>
              <w:rPr>
                <w:sz w:val="5"/>
                <w:szCs w:val="5"/>
                <w:color w:val="auto"/>
              </w:rPr>
            </w:pPr>
          </w:p>
        </w:tc>
        <w:tc>
          <w:tcPr>
            <w:tcW w:w="10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940" w:type="dxa"/>
            <w:vAlign w:val="bottom"/>
            <w:shd w:val="clear" w:color="auto" w:fill="F4EFE7"/>
          </w:tcPr>
          <w:p>
            <w:pPr>
              <w:spacing w:after="0"/>
              <w:rPr>
                <w:sz w:val="15"/>
                <w:szCs w:val="15"/>
                <w:color w:val="auto"/>
              </w:rPr>
            </w:pPr>
          </w:p>
        </w:tc>
        <w:tc>
          <w:tcPr>
            <w:tcW w:w="10240" w:type="dxa"/>
            <w:vAlign w:val="bottom"/>
            <w:gridSpan w:val="2"/>
          </w:tcPr>
          <w:p>
            <w:pPr>
              <w:ind w:left="20"/>
              <w:spacing w:after="0" w:line="182"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Announced a milestone deal to become the issuer of the award-winning Apple Card and refreshed our United</w:t>
            </w:r>
            <w:r>
              <w:rPr>
                <w:rFonts w:ascii="Arial" w:cs="Arial" w:eastAsia="Arial" w:hAnsi="Arial"/>
                <w:sz w:val="18"/>
                <w:szCs w:val="18"/>
                <w:color w:val="auto"/>
                <w:vertAlign w:val="superscript"/>
              </w:rPr>
              <w:t>SM</w:t>
            </w:r>
            <w:r>
              <w:rPr>
                <w:rFonts w:ascii="Arial" w:cs="Arial" w:eastAsia="Arial" w:hAnsi="Arial"/>
                <w:sz w:val="14"/>
                <w:szCs w:val="14"/>
                <w:b w:val="1"/>
                <w:bCs w:val="1"/>
                <w:color w:val="auto"/>
              </w:rPr>
              <w:t xml:space="preserve"> </w:t>
            </w:r>
            <w:r>
              <w:rPr>
                <w:rFonts w:ascii="Arial" w:cs="Arial" w:eastAsia="Arial" w:hAnsi="Arial"/>
                <w:sz w:val="14"/>
                <w:szCs w:val="14"/>
                <w:color w:val="auto"/>
              </w:rPr>
              <w:t>and Southwest® partner cards. Enhanced</w:t>
            </w:r>
          </w:p>
        </w:tc>
        <w:tc>
          <w:tcPr>
            <w:tcW w:w="0" w:type="dxa"/>
            <w:vAlign w:val="bottom"/>
          </w:tcPr>
          <w:p>
            <w:pPr>
              <w:spacing w:after="0"/>
              <w:rPr>
                <w:sz w:val="1"/>
                <w:szCs w:val="1"/>
                <w:color w:val="auto"/>
              </w:rPr>
            </w:pPr>
          </w:p>
        </w:tc>
      </w:tr>
      <w:tr>
        <w:trPr>
          <w:trHeight w:val="190"/>
        </w:trPr>
        <w:tc>
          <w:tcPr>
            <w:tcW w:w="940" w:type="dxa"/>
            <w:vAlign w:val="bottom"/>
            <w:shd w:val="clear" w:color="auto" w:fill="F4EFE7"/>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100"/>
              <w:spacing w:after="0"/>
              <w:rPr>
                <w:sz w:val="20"/>
                <w:szCs w:val="20"/>
                <w:color w:val="auto"/>
              </w:rPr>
            </w:pPr>
            <w:r>
              <w:rPr>
                <w:rFonts w:ascii="Arial" w:cs="Arial" w:eastAsia="Arial" w:hAnsi="Arial"/>
                <w:sz w:val="14"/>
                <w:szCs w:val="14"/>
                <w:color w:val="auto"/>
              </w:rPr>
              <w:t>our Sapphire® value proposition and launched the Sapphire for Business</w:t>
            </w:r>
            <w:r>
              <w:rPr>
                <w:rFonts w:ascii="Arial" w:cs="Arial" w:eastAsia="Arial" w:hAnsi="Arial"/>
                <w:sz w:val="9"/>
                <w:szCs w:val="9"/>
                <w:color w:val="auto"/>
              </w:rPr>
              <w:t>SM</w:t>
            </w:r>
            <w:r>
              <w:rPr>
                <w:rFonts w:ascii="Arial" w:cs="Arial" w:eastAsia="Arial" w:hAnsi="Arial"/>
                <w:sz w:val="14"/>
                <w:szCs w:val="14"/>
                <w:color w:val="auto"/>
              </w:rPr>
              <w:t xml:space="preserve"> Card</w:t>
            </w:r>
          </w:p>
        </w:tc>
        <w:tc>
          <w:tcPr>
            <w:tcW w:w="0" w:type="dxa"/>
            <w:vAlign w:val="bottom"/>
          </w:tcPr>
          <w:p>
            <w:pPr>
              <w:spacing w:after="0"/>
              <w:rPr>
                <w:sz w:val="1"/>
                <w:szCs w:val="1"/>
                <w:color w:val="auto"/>
              </w:rPr>
            </w:pPr>
          </w:p>
        </w:tc>
      </w:tr>
      <w:tr>
        <w:trPr>
          <w:trHeight w:val="116"/>
        </w:trPr>
        <w:tc>
          <w:tcPr>
            <w:tcW w:w="940" w:type="dxa"/>
            <w:vAlign w:val="bottom"/>
            <w:tcBorders>
              <w:bottom w:val="single" w:sz="8" w:color="B3B3B3"/>
            </w:tcBorders>
            <w:shd w:val="clear" w:color="auto" w:fill="F4EFE7"/>
          </w:tcPr>
          <w:p>
            <w:pPr>
              <w:spacing w:after="0"/>
              <w:rPr>
                <w:sz w:val="10"/>
                <w:szCs w:val="10"/>
                <w:color w:val="auto"/>
              </w:rPr>
            </w:pPr>
          </w:p>
        </w:tc>
        <w:tc>
          <w:tcPr>
            <w:tcW w:w="10240" w:type="dxa"/>
            <w:vAlign w:val="bottom"/>
            <w:tcBorders>
              <w:bottom w:val="single" w:sz="8" w:color="B3B3B3"/>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457"/>
        </w:trPr>
        <w:tc>
          <w:tcPr>
            <w:tcW w:w="940" w:type="dxa"/>
            <w:vAlign w:val="bottom"/>
            <w:shd w:val="clear" w:color="auto" w:fill="F4EFE7"/>
          </w:tcPr>
          <w:p>
            <w:pPr>
              <w:spacing w:after="0"/>
              <w:rPr>
                <w:sz w:val="24"/>
                <w:szCs w:val="24"/>
                <w:color w:val="auto"/>
              </w:rPr>
            </w:pPr>
          </w:p>
        </w:tc>
        <w:tc>
          <w:tcPr>
            <w:tcW w:w="102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Ranked #1 for overall institutional client service quality for the 7</w:t>
            </w:r>
            <w:r>
              <w:rPr>
                <w:rFonts w:ascii="Arial" w:cs="Arial" w:eastAsia="Arial" w:hAnsi="Arial"/>
                <w:sz w:val="18"/>
                <w:szCs w:val="18"/>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consecutive year in Global Markets, per Coalition Greenwich Institutional Voice of Client</w:t>
            </w:r>
          </w:p>
        </w:tc>
        <w:tc>
          <w:tcPr>
            <w:tcW w:w="0" w:type="dxa"/>
            <w:vAlign w:val="bottom"/>
          </w:tcPr>
          <w:p>
            <w:pPr>
              <w:spacing w:after="0"/>
              <w:rPr>
                <w:sz w:val="1"/>
                <w:szCs w:val="1"/>
                <w:color w:val="auto"/>
              </w:rPr>
            </w:pPr>
          </w:p>
        </w:tc>
      </w:tr>
      <w:tr>
        <w:trPr>
          <w:trHeight w:val="190"/>
        </w:trPr>
        <w:tc>
          <w:tcPr>
            <w:tcW w:w="940" w:type="dxa"/>
            <w:vAlign w:val="bottom"/>
            <w:vMerge w:val="restart"/>
            <w:shd w:val="clear" w:color="auto" w:fill="F4EFE7"/>
          </w:tcPr>
          <w:p>
            <w:pPr>
              <w:jc w:val="center"/>
              <w:spacing w:after="0"/>
              <w:rPr>
                <w:sz w:val="20"/>
                <w:szCs w:val="20"/>
                <w:color w:val="auto"/>
              </w:rPr>
            </w:pPr>
            <w:r>
              <w:rPr>
                <w:rFonts w:ascii="Arial" w:cs="Arial" w:eastAsia="Arial" w:hAnsi="Arial"/>
                <w:sz w:val="14"/>
                <w:szCs w:val="14"/>
                <w:b w:val="1"/>
                <w:bCs w:val="1"/>
                <w:color w:val="8F5A39"/>
                <w:w w:val="99"/>
              </w:rPr>
              <w:t>CIB</w:t>
            </w:r>
          </w:p>
        </w:tc>
        <w:tc>
          <w:tcPr>
            <w:tcW w:w="120" w:type="dxa"/>
            <w:vAlign w:val="bottom"/>
          </w:tcPr>
          <w:p>
            <w:pPr>
              <w:spacing w:after="0"/>
              <w:rPr>
                <w:sz w:val="16"/>
                <w:szCs w:val="16"/>
                <w:color w:val="auto"/>
              </w:rPr>
            </w:pPr>
          </w:p>
        </w:tc>
        <w:tc>
          <w:tcPr>
            <w:tcW w:w="10120" w:type="dxa"/>
            <w:vAlign w:val="bottom"/>
          </w:tcPr>
          <w:p>
            <w:pPr>
              <w:ind w:left="100"/>
              <w:spacing w:after="0"/>
              <w:rPr>
                <w:sz w:val="20"/>
                <w:szCs w:val="20"/>
                <w:color w:val="auto"/>
              </w:rPr>
            </w:pPr>
            <w:r>
              <w:rPr>
                <w:rFonts w:ascii="Arial" w:cs="Arial" w:eastAsia="Arial" w:hAnsi="Arial"/>
                <w:sz w:val="14"/>
                <w:szCs w:val="14"/>
                <w:color w:val="auto"/>
              </w:rPr>
              <w:t>2025 Markets Study</w:t>
            </w:r>
          </w:p>
        </w:tc>
        <w:tc>
          <w:tcPr>
            <w:tcW w:w="0" w:type="dxa"/>
            <w:vAlign w:val="bottom"/>
          </w:tcPr>
          <w:p>
            <w:pPr>
              <w:spacing w:after="0"/>
              <w:rPr>
                <w:sz w:val="1"/>
                <w:szCs w:val="1"/>
                <w:color w:val="auto"/>
              </w:rPr>
            </w:pPr>
          </w:p>
        </w:tc>
      </w:tr>
      <w:tr>
        <w:trPr>
          <w:trHeight w:val="228"/>
        </w:trPr>
        <w:tc>
          <w:tcPr>
            <w:tcW w:w="940" w:type="dxa"/>
            <w:vAlign w:val="bottom"/>
            <w:vMerge w:val="continue"/>
            <w:shd w:val="clear" w:color="auto" w:fill="F4EFE7"/>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120" w:type="dxa"/>
            <w:vAlign w:val="bottom"/>
          </w:tcPr>
          <w:p>
            <w:pPr>
              <w:ind w:left="60"/>
              <w:spacing w:after="0"/>
              <w:rPr>
                <w:sz w:val="20"/>
                <w:szCs w:val="20"/>
                <w:color w:val="auto"/>
              </w:rPr>
            </w:pPr>
            <w:r>
              <w:rPr>
                <w:rFonts w:ascii="Arial" w:cs="Arial" w:eastAsia="Arial" w:hAnsi="Arial"/>
                <w:sz w:val="14"/>
                <w:szCs w:val="14"/>
                <w:color w:val="auto"/>
              </w:rPr>
              <w:t>Ranked #1 Global Research, #1 Global Fixed Income Research and #1 Global Equity Research by Extel for the 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time in 5 years</w:t>
            </w:r>
          </w:p>
        </w:tc>
        <w:tc>
          <w:tcPr>
            <w:tcW w:w="0" w:type="dxa"/>
            <w:vAlign w:val="bottom"/>
          </w:tcPr>
          <w:p>
            <w:pPr>
              <w:spacing w:after="0"/>
              <w:rPr>
                <w:sz w:val="1"/>
                <w:szCs w:val="1"/>
                <w:color w:val="auto"/>
              </w:rPr>
            </w:pPr>
          </w:p>
        </w:tc>
      </w:tr>
      <w:tr>
        <w:trPr>
          <w:trHeight w:val="196"/>
        </w:trPr>
        <w:tc>
          <w:tcPr>
            <w:tcW w:w="940" w:type="dxa"/>
            <w:vAlign w:val="bottom"/>
            <w:shd w:val="clear" w:color="auto" w:fill="F4EFE7"/>
          </w:tcPr>
          <w:p>
            <w:pPr>
              <w:spacing w:after="0"/>
              <w:rPr>
                <w:sz w:val="17"/>
                <w:szCs w:val="17"/>
                <w:color w:val="auto"/>
              </w:rPr>
            </w:pPr>
          </w:p>
        </w:tc>
        <w:tc>
          <w:tcPr>
            <w:tcW w:w="102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Awarded Best Global Corporate Bank consistently, per Coalition Greenwich Institutional Voice of Client 2025 Global Corporate Banking Study</w:t>
            </w:r>
          </w:p>
        </w:tc>
        <w:tc>
          <w:tcPr>
            <w:tcW w:w="0" w:type="dxa"/>
            <w:vAlign w:val="bottom"/>
          </w:tcPr>
          <w:p>
            <w:pPr>
              <w:spacing w:after="0"/>
              <w:rPr>
                <w:sz w:val="1"/>
                <w:szCs w:val="1"/>
                <w:color w:val="auto"/>
              </w:rPr>
            </w:pPr>
          </w:p>
        </w:tc>
      </w:tr>
      <w:tr>
        <w:trPr>
          <w:trHeight w:val="272"/>
        </w:trPr>
        <w:tc>
          <w:tcPr>
            <w:tcW w:w="940" w:type="dxa"/>
            <w:vAlign w:val="bottom"/>
            <w:tcBorders>
              <w:bottom w:val="single" w:sz="8" w:color="B3B3B3"/>
            </w:tcBorders>
            <w:shd w:val="clear" w:color="auto" w:fill="F4EFE7"/>
          </w:tcPr>
          <w:p>
            <w:pPr>
              <w:spacing w:after="0"/>
              <w:rPr>
                <w:sz w:val="23"/>
                <w:szCs w:val="23"/>
                <w:color w:val="auto"/>
              </w:rPr>
            </w:pPr>
          </w:p>
        </w:tc>
        <w:tc>
          <w:tcPr>
            <w:tcW w:w="10240" w:type="dxa"/>
            <w:vAlign w:val="bottom"/>
            <w:tcBorders>
              <w:bottom w:val="single" w:sz="8" w:color="B3B3B3"/>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40" w:type="dxa"/>
            <w:vAlign w:val="bottom"/>
            <w:shd w:val="clear" w:color="auto" w:fill="F4EFE7"/>
          </w:tcPr>
          <w:p>
            <w:pPr>
              <w:spacing w:after="0"/>
              <w:rPr>
                <w:sz w:val="23"/>
                <w:szCs w:val="23"/>
                <w:color w:val="auto"/>
              </w:rPr>
            </w:pPr>
          </w:p>
        </w:tc>
        <w:tc>
          <w:tcPr>
            <w:tcW w:w="102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Received industry-leading recognition for innovation, performance and service: Best Active ETF Issuer for $1B+, World’s Best Private Bank, Best Private</w:t>
            </w:r>
          </w:p>
        </w:tc>
        <w:tc>
          <w:tcPr>
            <w:tcW w:w="0" w:type="dxa"/>
            <w:vAlign w:val="bottom"/>
          </w:tcPr>
          <w:p>
            <w:pPr>
              <w:spacing w:after="0"/>
              <w:rPr>
                <w:sz w:val="1"/>
                <w:szCs w:val="1"/>
                <w:color w:val="auto"/>
              </w:rPr>
            </w:pPr>
          </w:p>
        </w:tc>
      </w:tr>
      <w:tr>
        <w:trPr>
          <w:trHeight w:val="162"/>
        </w:trPr>
        <w:tc>
          <w:tcPr>
            <w:tcW w:w="940" w:type="dxa"/>
            <w:vAlign w:val="bottom"/>
            <w:shd w:val="clear" w:color="auto" w:fill="F4EFE7"/>
          </w:tcPr>
          <w:p>
            <w:pPr>
              <w:spacing w:after="0"/>
              <w:rPr>
                <w:sz w:val="14"/>
                <w:szCs w:val="14"/>
                <w:color w:val="auto"/>
              </w:rPr>
            </w:pPr>
          </w:p>
        </w:tc>
        <w:tc>
          <w:tcPr>
            <w:tcW w:w="120" w:type="dxa"/>
            <w:vAlign w:val="bottom"/>
          </w:tcPr>
          <w:p>
            <w:pPr>
              <w:spacing w:after="0"/>
              <w:rPr>
                <w:sz w:val="14"/>
                <w:szCs w:val="14"/>
                <w:color w:val="auto"/>
              </w:rPr>
            </w:pPr>
          </w:p>
        </w:tc>
        <w:tc>
          <w:tcPr>
            <w:tcW w:w="10120" w:type="dxa"/>
            <w:vAlign w:val="bottom"/>
          </w:tcPr>
          <w:p>
            <w:pPr>
              <w:ind w:left="100"/>
              <w:spacing w:after="0"/>
              <w:rPr>
                <w:sz w:val="20"/>
                <w:szCs w:val="20"/>
                <w:color w:val="auto"/>
              </w:rPr>
            </w:pPr>
            <w:r>
              <w:rPr>
                <w:rFonts w:ascii="Arial" w:cs="Arial" w:eastAsia="Arial" w:hAnsi="Arial"/>
                <w:sz w:val="14"/>
                <w:szCs w:val="14"/>
                <w:color w:val="auto"/>
              </w:rPr>
              <w:t>Bank for Big Data Analytics and AI, Best Private Bank for Client Communication and Engagement, Equities Fund Manager of the Year (Europe) and Asia</w:t>
            </w:r>
          </w:p>
        </w:tc>
        <w:tc>
          <w:tcPr>
            <w:tcW w:w="0" w:type="dxa"/>
            <w:vAlign w:val="bottom"/>
          </w:tcPr>
          <w:p>
            <w:pPr>
              <w:spacing w:after="0"/>
              <w:rPr>
                <w:sz w:val="1"/>
                <w:szCs w:val="1"/>
                <w:color w:val="auto"/>
              </w:rPr>
            </w:pPr>
          </w:p>
        </w:tc>
      </w:tr>
      <w:tr>
        <w:trPr>
          <w:trHeight w:val="190"/>
        </w:trPr>
        <w:tc>
          <w:tcPr>
            <w:tcW w:w="940" w:type="dxa"/>
            <w:vAlign w:val="bottom"/>
            <w:vMerge w:val="restart"/>
            <w:shd w:val="clear" w:color="auto" w:fill="F4EFE7"/>
          </w:tcPr>
          <w:p>
            <w:pPr>
              <w:jc w:val="center"/>
              <w:spacing w:after="0"/>
              <w:rPr>
                <w:sz w:val="20"/>
                <w:szCs w:val="20"/>
                <w:color w:val="auto"/>
              </w:rPr>
            </w:pPr>
            <w:r>
              <w:rPr>
                <w:rFonts w:ascii="Arial" w:cs="Arial" w:eastAsia="Arial" w:hAnsi="Arial"/>
                <w:sz w:val="14"/>
                <w:szCs w:val="14"/>
                <w:b w:val="1"/>
                <w:bCs w:val="1"/>
                <w:color w:val="8F5A39"/>
                <w:w w:val="97"/>
              </w:rPr>
              <w:t>AWM</w:t>
            </w:r>
          </w:p>
        </w:tc>
        <w:tc>
          <w:tcPr>
            <w:tcW w:w="120" w:type="dxa"/>
            <w:vAlign w:val="bottom"/>
          </w:tcPr>
          <w:p>
            <w:pPr>
              <w:spacing w:after="0"/>
              <w:rPr>
                <w:sz w:val="16"/>
                <w:szCs w:val="16"/>
                <w:color w:val="auto"/>
              </w:rPr>
            </w:pPr>
          </w:p>
        </w:tc>
        <w:tc>
          <w:tcPr>
            <w:tcW w:w="10120" w:type="dxa"/>
            <w:vAlign w:val="bottom"/>
          </w:tcPr>
          <w:p>
            <w:pPr>
              <w:ind w:left="100"/>
              <w:spacing w:after="0"/>
              <w:rPr>
                <w:sz w:val="20"/>
                <w:szCs w:val="20"/>
                <w:color w:val="auto"/>
              </w:rPr>
            </w:pPr>
            <w:r>
              <w:rPr>
                <w:rFonts w:ascii="Arial" w:cs="Arial" w:eastAsia="Arial" w:hAnsi="Arial"/>
                <w:sz w:val="14"/>
                <w:szCs w:val="14"/>
                <w:color w:val="auto"/>
              </w:rPr>
              <w:t>House of the Year (AsianInvestor)</w:t>
            </w:r>
          </w:p>
        </w:tc>
        <w:tc>
          <w:tcPr>
            <w:tcW w:w="0" w:type="dxa"/>
            <w:vAlign w:val="bottom"/>
          </w:tcPr>
          <w:p>
            <w:pPr>
              <w:spacing w:after="0"/>
              <w:rPr>
                <w:sz w:val="1"/>
                <w:szCs w:val="1"/>
                <w:color w:val="auto"/>
              </w:rPr>
            </w:pPr>
          </w:p>
        </w:tc>
      </w:tr>
      <w:tr>
        <w:trPr>
          <w:trHeight w:val="222"/>
        </w:trPr>
        <w:tc>
          <w:tcPr>
            <w:tcW w:w="940" w:type="dxa"/>
            <w:vAlign w:val="bottom"/>
            <w:vMerge w:val="continue"/>
            <w:shd w:val="clear" w:color="auto" w:fill="F4EFE7"/>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120" w:type="dxa"/>
            <w:vAlign w:val="bottom"/>
          </w:tcPr>
          <w:p>
            <w:pPr>
              <w:ind w:left="60"/>
              <w:spacing w:after="0"/>
              <w:rPr>
                <w:sz w:val="20"/>
                <w:szCs w:val="20"/>
                <w:color w:val="auto"/>
              </w:rPr>
            </w:pPr>
            <w:r>
              <w:rPr>
                <w:rFonts w:ascii="Arial" w:cs="Arial" w:eastAsia="Arial" w:hAnsi="Arial"/>
                <w:sz w:val="14"/>
                <w:szCs w:val="14"/>
                <w:color w:val="auto"/>
              </w:rPr>
              <w:t>83% of 10-year long-term mutual fund AUM performing in top two quartiles, and 88% of equities AUM performing above benchmark</w:t>
            </w:r>
          </w:p>
        </w:tc>
        <w:tc>
          <w:tcPr>
            <w:tcW w:w="0" w:type="dxa"/>
            <w:vAlign w:val="bottom"/>
          </w:tcPr>
          <w:p>
            <w:pPr>
              <w:spacing w:after="0"/>
              <w:rPr>
                <w:sz w:val="1"/>
                <w:szCs w:val="1"/>
                <w:color w:val="auto"/>
              </w:rPr>
            </w:pPr>
          </w:p>
        </w:tc>
      </w:tr>
      <w:tr>
        <w:trPr>
          <w:trHeight w:val="182"/>
        </w:trPr>
        <w:tc>
          <w:tcPr>
            <w:tcW w:w="940" w:type="dxa"/>
            <w:vAlign w:val="bottom"/>
            <w:shd w:val="clear" w:color="auto" w:fill="F4EFE7"/>
          </w:tcPr>
          <w:p>
            <w:pPr>
              <w:spacing w:after="0"/>
              <w:rPr>
                <w:sz w:val="15"/>
                <w:szCs w:val="15"/>
                <w:color w:val="auto"/>
              </w:rPr>
            </w:pPr>
          </w:p>
        </w:tc>
        <w:tc>
          <w:tcPr>
            <w:tcW w:w="102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Drove technology modernization and enhancement in data centers and implementation of AI/ML technologies across AWM, aiming to increase efficiencies,</w:t>
            </w:r>
          </w:p>
        </w:tc>
        <w:tc>
          <w:tcPr>
            <w:tcW w:w="0" w:type="dxa"/>
            <w:vAlign w:val="bottom"/>
          </w:tcPr>
          <w:p>
            <w:pPr>
              <w:spacing w:after="0"/>
              <w:rPr>
                <w:sz w:val="1"/>
                <w:szCs w:val="1"/>
                <w:color w:val="auto"/>
              </w:rPr>
            </w:pPr>
          </w:p>
        </w:tc>
      </w:tr>
      <w:tr>
        <w:trPr>
          <w:trHeight w:val="190"/>
        </w:trPr>
        <w:tc>
          <w:tcPr>
            <w:tcW w:w="940" w:type="dxa"/>
            <w:vAlign w:val="bottom"/>
            <w:shd w:val="clear" w:color="auto" w:fill="F4EFE7"/>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ind w:left="100"/>
              <w:spacing w:after="0"/>
              <w:rPr>
                <w:sz w:val="20"/>
                <w:szCs w:val="20"/>
                <w:color w:val="auto"/>
              </w:rPr>
            </w:pPr>
            <w:r>
              <w:rPr>
                <w:rFonts w:ascii="Arial" w:cs="Arial" w:eastAsia="Arial" w:hAnsi="Arial"/>
                <w:sz w:val="14"/>
                <w:szCs w:val="14"/>
                <w:color w:val="auto"/>
              </w:rPr>
              <w:t>reduce risk and enhance our ability to serve clients effectively</w:t>
            </w:r>
          </w:p>
        </w:tc>
        <w:tc>
          <w:tcPr>
            <w:tcW w:w="0" w:type="dxa"/>
            <w:vAlign w:val="bottom"/>
          </w:tcPr>
          <w:p>
            <w:pPr>
              <w:spacing w:after="0"/>
              <w:rPr>
                <w:sz w:val="1"/>
                <w:szCs w:val="1"/>
                <w:color w:val="auto"/>
              </w:rPr>
            </w:pPr>
          </w:p>
        </w:tc>
      </w:tr>
      <w:tr>
        <w:trPr>
          <w:trHeight w:val="103"/>
        </w:trPr>
        <w:tc>
          <w:tcPr>
            <w:tcW w:w="940" w:type="dxa"/>
            <w:vAlign w:val="bottom"/>
            <w:tcBorders>
              <w:bottom w:val="single" w:sz="8" w:color="auto"/>
            </w:tcBorders>
            <w:shd w:val="clear" w:color="auto" w:fill="F4EFE7"/>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565785</wp:posOffset>
            </wp:positionV>
            <wp:extent cx="651510" cy="8572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54</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tbl>
      <w:tblPr>
        <w:tblLayout w:type="fixed"/>
        <w:tblInd w:w="30" w:type="dxa"/>
        <w:tblCellMar>
          <w:top w:w="0" w:type="dxa"/>
          <w:left w:w="0" w:type="dxa"/>
          <w:bottom w:w="0" w:type="dxa"/>
          <w:right w:w="0" w:type="dxa"/>
        </w:tblCellMar>
      </w:tblPr>
      <w:tr>
        <w:trPr>
          <w:trHeight w:val="458"/>
        </w:trPr>
        <w:tc>
          <w:tcPr>
            <w:tcW w:w="2780" w:type="dxa"/>
            <w:vAlign w:val="bottom"/>
            <w:tcBorders>
              <w:top w:val="single" w:sz="8" w:color="auto"/>
              <w:left w:val="single" w:sz="8" w:color="030303"/>
              <w:right w:val="single" w:sz="8" w:color="auto"/>
            </w:tcBorders>
          </w:tcPr>
          <w:p>
            <w:pPr>
              <w:ind w:left="320"/>
              <w:spacing w:after="0"/>
              <w:rPr>
                <w:sz w:val="20"/>
                <w:szCs w:val="20"/>
                <w:color w:val="auto"/>
              </w:rPr>
            </w:pPr>
            <w:r>
              <w:rPr>
                <w:rFonts w:ascii="Arial" w:cs="Arial" w:eastAsia="Arial" w:hAnsi="Arial"/>
                <w:sz w:val="14"/>
                <w:szCs w:val="14"/>
                <w:color w:val="8F5A39"/>
              </w:rPr>
              <w:t>How we think about pay decisions</w:t>
            </w:r>
          </w:p>
        </w:tc>
        <w:tc>
          <w:tcPr>
            <w:tcW w:w="400" w:type="dxa"/>
            <w:vAlign w:val="bottom"/>
          </w:tcPr>
          <w:p>
            <w:pPr>
              <w:spacing w:after="0"/>
              <w:rPr>
                <w:sz w:val="24"/>
                <w:szCs w:val="24"/>
                <w:color w:val="auto"/>
              </w:rPr>
            </w:pPr>
          </w:p>
        </w:tc>
        <w:tc>
          <w:tcPr>
            <w:tcW w:w="4220" w:type="dxa"/>
            <w:vAlign w:val="bottom"/>
            <w:tcBorders>
              <w:top w:val="single" w:sz="8" w:color="A6D7F0"/>
              <w:bottom w:val="single" w:sz="8" w:color="A6D7F0"/>
            </w:tcBorders>
            <w:shd w:val="clear" w:color="auto" w:fill="A6D7F0"/>
          </w:tcPr>
          <w:p>
            <w:pPr>
              <w:ind w:left="440"/>
              <w:spacing w:after="0"/>
              <w:rPr>
                <w:sz w:val="20"/>
                <w:szCs w:val="20"/>
                <w:color w:val="auto"/>
              </w:rPr>
            </w:pPr>
            <w:r>
              <w:rPr>
                <w:rFonts w:ascii="Arial" w:cs="Arial" w:eastAsia="Arial" w:hAnsi="Arial"/>
                <w:sz w:val="14"/>
                <w:szCs w:val="14"/>
                <w:b w:val="1"/>
                <w:bCs w:val="1"/>
                <w:color w:val="auto"/>
              </w:rPr>
              <w:t>How we performed against our business strategy</w:t>
            </w:r>
          </w:p>
        </w:tc>
        <w:tc>
          <w:tcPr>
            <w:tcW w:w="42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4"/>
                <w:szCs w:val="14"/>
                <w:color w:val="8F5A39"/>
              </w:rPr>
              <w:t>How performance determined pay in 2025</w:t>
            </w:r>
          </w:p>
        </w:tc>
      </w:tr>
      <w:tr>
        <w:trPr>
          <w:trHeight w:val="20"/>
        </w:trPr>
        <w:tc>
          <w:tcPr>
            <w:tcW w:w="27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tcBorders>
              <w:top w:val="single" w:sz="8" w:color="A6D7F0"/>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4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-196850</wp:posOffset>
            </wp:positionV>
            <wp:extent cx="120015" cy="9398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-196850</wp:posOffset>
            </wp:positionV>
            <wp:extent cx="120015" cy="9398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color w:val="auto"/>
        </w:rPr>
        <w:t>Risk, Controls &amp; Conduct</w:t>
      </w:r>
    </w:p>
    <w:p>
      <w:pPr>
        <w:spacing w:after="0" w:line="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Risk management is an inherent part of the Firm’s business activities, and we believe a strong control environment is fundamental to our success. The Firm manages its business and the associated risks in a manner that balances serving the interests of its clients, customers and shareholders, and protecting the safety and soundness of the Firm. We continue to invest in strengthening our controls and infrastructure and improving how we serve our customers and clients. Additionally, as digital solutions play a role in financial services and the economy as a whole, the risk of cyberattacks and other threats to information security continues to evolve and grow, and we invest in enhancing our cyber defense capabilities. Our key priorities/focus areas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487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32320" cy="17487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spacing w:after="0"/>
              <w:rPr>
                <w:sz w:val="16"/>
                <w:szCs w:val="16"/>
                <w:color w:val="auto"/>
              </w:rPr>
            </w:pPr>
          </w:p>
        </w:tc>
        <w:tc>
          <w:tcPr>
            <w:tcW w:w="9800" w:type="dxa"/>
            <w:vAlign w:val="bottom"/>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Educating and training employees on how to identify potential cybersecurity and privacy risks, protect the Firm's resources and information and</w:t>
            </w:r>
          </w:p>
        </w:tc>
      </w:tr>
      <w:tr>
        <w:trPr>
          <w:trHeight w:val="190"/>
        </w:trPr>
        <w:tc>
          <w:tcPr>
            <w:tcW w:w="1440" w:type="dxa"/>
            <w:vAlign w:val="bottom"/>
          </w:tcPr>
          <w:p>
            <w:pPr>
              <w:spacing w:after="0"/>
              <w:rPr>
                <w:sz w:val="16"/>
                <w:szCs w:val="16"/>
                <w:color w:val="auto"/>
              </w:rPr>
            </w:pPr>
          </w:p>
        </w:tc>
        <w:tc>
          <w:tcPr>
            <w:tcW w:w="9800" w:type="dxa"/>
            <w:vAlign w:val="bottom"/>
          </w:tcPr>
          <w:p>
            <w:pPr>
              <w:ind w:left="260"/>
              <w:spacing w:after="0"/>
              <w:rPr>
                <w:sz w:val="20"/>
                <w:szCs w:val="20"/>
                <w:color w:val="auto"/>
              </w:rPr>
            </w:pPr>
            <w:r>
              <w:rPr>
                <w:rFonts w:ascii="Arial" w:cs="Arial" w:eastAsia="Arial" w:hAnsi="Arial"/>
                <w:sz w:val="14"/>
                <w:szCs w:val="14"/>
                <w:color w:val="auto"/>
              </w:rPr>
              <w:t>report any unusual activity or incidents</w:t>
            </w:r>
          </w:p>
        </w:tc>
      </w:tr>
      <w:tr>
        <w:trPr>
          <w:trHeight w:val="238"/>
        </w:trPr>
        <w:tc>
          <w:tcPr>
            <w:tcW w:w="1440" w:type="dxa"/>
            <w:vAlign w:val="bottom"/>
          </w:tcPr>
          <w:p>
            <w:pPr>
              <w:jc w:val="center"/>
              <w:spacing w:after="0"/>
              <w:rPr>
                <w:sz w:val="20"/>
                <w:szCs w:val="20"/>
                <w:color w:val="auto"/>
              </w:rPr>
            </w:pPr>
            <w:r>
              <w:rPr>
                <w:rFonts w:ascii="Arial" w:cs="Arial" w:eastAsia="Arial" w:hAnsi="Arial"/>
                <w:sz w:val="14"/>
                <w:szCs w:val="14"/>
                <w:b w:val="1"/>
                <w:bCs w:val="1"/>
                <w:color w:val="8F5A39"/>
              </w:rPr>
              <w:t>Cybersecurity and</w:t>
            </w:r>
          </w:p>
        </w:tc>
        <w:tc>
          <w:tcPr>
            <w:tcW w:w="9800" w:type="dxa"/>
            <w:vAlign w:val="bottom"/>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Deepening our public and private sector partnerships to understand the full spectrum of cybersecurity risks, enhance defenses and improve</w:t>
            </w:r>
          </w:p>
        </w:tc>
      </w:tr>
      <w:tr>
        <w:trPr>
          <w:trHeight w:val="220"/>
        </w:trPr>
        <w:tc>
          <w:tcPr>
            <w:tcW w:w="1440" w:type="dxa"/>
            <w:vAlign w:val="bottom"/>
          </w:tcPr>
          <w:p>
            <w:pPr>
              <w:jc w:val="center"/>
              <w:ind w:left="8"/>
              <w:spacing w:after="0"/>
              <w:rPr>
                <w:sz w:val="20"/>
                <w:szCs w:val="20"/>
                <w:color w:val="auto"/>
              </w:rPr>
            </w:pPr>
            <w:r>
              <w:rPr>
                <w:rFonts w:ascii="Arial" w:cs="Arial" w:eastAsia="Arial" w:hAnsi="Arial"/>
                <w:sz w:val="14"/>
                <w:szCs w:val="14"/>
                <w:b w:val="1"/>
                <w:bCs w:val="1"/>
                <w:color w:val="8F5A39"/>
              </w:rPr>
              <w:t>data privacy</w:t>
            </w:r>
          </w:p>
        </w:tc>
        <w:tc>
          <w:tcPr>
            <w:tcW w:w="9800" w:type="dxa"/>
            <w:vAlign w:val="bottom"/>
          </w:tcPr>
          <w:p>
            <w:pPr>
              <w:ind w:left="260"/>
              <w:spacing w:after="0"/>
              <w:rPr>
                <w:sz w:val="20"/>
                <w:szCs w:val="20"/>
                <w:color w:val="auto"/>
              </w:rPr>
            </w:pPr>
            <w:r>
              <w:rPr>
                <w:rFonts w:ascii="Arial" w:cs="Arial" w:eastAsia="Arial" w:hAnsi="Arial"/>
                <w:sz w:val="14"/>
                <w:szCs w:val="14"/>
                <w:color w:val="auto"/>
              </w:rPr>
              <w:t>resiliency</w:t>
            </w:r>
          </w:p>
        </w:tc>
      </w:tr>
      <w:tr>
        <w:trPr>
          <w:trHeight w:val="189"/>
        </w:trPr>
        <w:tc>
          <w:tcPr>
            <w:tcW w:w="1440" w:type="dxa"/>
            <w:vAlign w:val="bottom"/>
          </w:tcPr>
          <w:p>
            <w:pPr>
              <w:spacing w:after="0"/>
              <w:rPr>
                <w:sz w:val="16"/>
                <w:szCs w:val="16"/>
                <w:color w:val="auto"/>
              </w:rPr>
            </w:pPr>
          </w:p>
        </w:tc>
        <w:tc>
          <w:tcPr>
            <w:tcW w:w="9800" w:type="dxa"/>
            <w:vAlign w:val="bottom"/>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Strengthening our comprehensive strategy on privacy and data protection, including maintaining and evolving internal controls, establishing policies</w:t>
            </w:r>
          </w:p>
        </w:tc>
      </w:tr>
      <w:tr>
        <w:trPr>
          <w:trHeight w:val="190"/>
        </w:trPr>
        <w:tc>
          <w:tcPr>
            <w:tcW w:w="1440" w:type="dxa"/>
            <w:vAlign w:val="bottom"/>
          </w:tcPr>
          <w:p>
            <w:pPr>
              <w:spacing w:after="0"/>
              <w:rPr>
                <w:sz w:val="16"/>
                <w:szCs w:val="16"/>
                <w:color w:val="auto"/>
              </w:rPr>
            </w:pPr>
          </w:p>
        </w:tc>
        <w:tc>
          <w:tcPr>
            <w:tcW w:w="9800" w:type="dxa"/>
            <w:vAlign w:val="bottom"/>
          </w:tcPr>
          <w:p>
            <w:pPr>
              <w:ind w:left="260"/>
              <w:spacing w:after="0"/>
              <w:rPr>
                <w:sz w:val="20"/>
                <w:szCs w:val="20"/>
                <w:color w:val="auto"/>
              </w:rPr>
            </w:pPr>
            <w:r>
              <w:rPr>
                <w:rFonts w:ascii="Arial" w:cs="Arial" w:eastAsia="Arial" w:hAnsi="Arial"/>
                <w:sz w:val="14"/>
                <w:szCs w:val="14"/>
                <w:color w:val="auto"/>
              </w:rPr>
              <w:t>covering all stages of the data lifecycle and deploying appropriate technology</w:t>
            </w:r>
          </w:p>
        </w:tc>
      </w:tr>
      <w:tr>
        <w:trPr>
          <w:trHeight w:val="116"/>
        </w:trPr>
        <w:tc>
          <w:tcPr>
            <w:tcW w:w="1440" w:type="dxa"/>
            <w:vAlign w:val="bottom"/>
            <w:tcBorders>
              <w:bottom w:val="single" w:sz="8" w:color="B3B3B3"/>
            </w:tcBorders>
          </w:tcPr>
          <w:p>
            <w:pPr>
              <w:spacing w:after="0"/>
              <w:rPr>
                <w:sz w:val="10"/>
                <w:szCs w:val="10"/>
                <w:color w:val="auto"/>
              </w:rPr>
            </w:pPr>
          </w:p>
        </w:tc>
        <w:tc>
          <w:tcPr>
            <w:tcW w:w="9800" w:type="dxa"/>
            <w:vAlign w:val="bottom"/>
            <w:tcBorders>
              <w:bottom w:val="single" w:sz="8" w:color="B3B3B3"/>
            </w:tcBorders>
          </w:tcPr>
          <w:p>
            <w:pPr>
              <w:spacing w:after="0"/>
              <w:rPr>
                <w:sz w:val="10"/>
                <w:szCs w:val="10"/>
                <w:color w:val="auto"/>
              </w:rPr>
            </w:pPr>
          </w:p>
        </w:tc>
      </w:tr>
      <w:tr>
        <w:trPr>
          <w:trHeight w:val="302"/>
        </w:trPr>
        <w:tc>
          <w:tcPr>
            <w:tcW w:w="1440" w:type="dxa"/>
            <w:vAlign w:val="bottom"/>
          </w:tcPr>
          <w:p>
            <w:pPr>
              <w:spacing w:after="0"/>
              <w:rPr>
                <w:sz w:val="24"/>
                <w:szCs w:val="24"/>
                <w:color w:val="auto"/>
              </w:rPr>
            </w:pPr>
          </w:p>
        </w:tc>
        <w:tc>
          <w:tcPr>
            <w:tcW w:w="9800" w:type="dxa"/>
            <w:vAlign w:val="bottom"/>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Setting standards for manager expectations to drive a strong culture and promote employee engagement</w:t>
            </w:r>
          </w:p>
        </w:tc>
      </w:tr>
      <w:tr>
        <w:trPr>
          <w:trHeight w:val="216"/>
        </w:trPr>
        <w:tc>
          <w:tcPr>
            <w:tcW w:w="1440" w:type="dxa"/>
            <w:vAlign w:val="bottom"/>
          </w:tcPr>
          <w:p>
            <w:pPr>
              <w:spacing w:after="0"/>
              <w:rPr>
                <w:sz w:val="18"/>
                <w:szCs w:val="18"/>
                <w:color w:val="auto"/>
              </w:rPr>
            </w:pPr>
          </w:p>
        </w:tc>
        <w:tc>
          <w:tcPr>
            <w:tcW w:w="9800" w:type="dxa"/>
            <w:vAlign w:val="bottom"/>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Communicating expectations that all employee conduct must adhere to the highest ethical standards</w:t>
            </w:r>
          </w:p>
        </w:tc>
      </w:tr>
    </w:tbl>
    <w:p>
      <w:pPr>
        <w:ind w:left="60"/>
        <w:spacing w:after="0" w:line="201" w:lineRule="auto"/>
        <w:rPr>
          <w:sz w:val="20"/>
          <w:szCs w:val="20"/>
          <w:color w:val="auto"/>
        </w:rPr>
      </w:pPr>
      <w:r>
        <w:rPr>
          <w:rFonts w:ascii="Arial" w:cs="Arial" w:eastAsia="Arial" w:hAnsi="Arial"/>
          <w:sz w:val="28"/>
          <w:szCs w:val="28"/>
          <w:b w:val="1"/>
          <w:bCs w:val="1"/>
          <w:color w:val="8F5A39"/>
          <w:vertAlign w:val="subscript"/>
        </w:rPr>
        <w:t>Culture and conduct</w:t>
      </w:r>
      <w:r>
        <w:rPr>
          <w:rFonts w:ascii="Arial" w:cs="Arial" w:eastAsia="Arial" w:hAnsi="Arial"/>
          <w:sz w:val="14"/>
          <w:szCs w:val="14"/>
          <w:b w:val="1"/>
          <w:bCs w:val="1"/>
          <w:color w:val="auto"/>
        </w:rPr>
        <w:t xml:space="preserve"> •  </w:t>
      </w:r>
      <w:r>
        <w:rPr>
          <w:rFonts w:ascii="Arial" w:cs="Arial" w:eastAsia="Arial" w:hAnsi="Arial"/>
          <w:sz w:val="14"/>
          <w:szCs w:val="14"/>
          <w:color w:val="auto"/>
        </w:rPr>
        <w:t>Promoting a culture of respect that allows every employee to feel safe and empowered at work</w:t>
      </w:r>
    </w:p>
    <w:p>
      <w:pPr>
        <w:ind w:left="1700" w:right="240" w:hanging="189"/>
        <w:spacing w:after="0" w:line="314" w:lineRule="auto"/>
        <w:tabs>
          <w:tab w:leader="none" w:pos="1677" w:val="left"/>
        </w:tabs>
        <w:numPr>
          <w:ilvl w:val="0"/>
          <w:numId w:val="182"/>
        </w:numPr>
        <w:rPr>
          <w:rFonts w:ascii="Arial" w:cs="Arial" w:eastAsia="Arial" w:hAnsi="Arial"/>
          <w:sz w:val="14"/>
          <w:szCs w:val="14"/>
          <w:b w:val="1"/>
          <w:bCs w:val="1"/>
          <w:color w:val="auto"/>
        </w:rPr>
      </w:pPr>
      <w:r>
        <w:rPr>
          <w:rFonts w:ascii="Arial" w:cs="Arial" w:eastAsia="Arial" w:hAnsi="Arial"/>
          <w:sz w:val="14"/>
          <w:szCs w:val="14"/>
          <w:color w:val="auto"/>
        </w:rPr>
        <w:t>Remaining committed to our core principles, including our belief in the power of a diverse workforce that strengthens our business and attracts and retains the best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color w:val="auto"/>
        </w:rPr>
        <w:t>Teamwork &amp; Leadership</w:t>
      </w:r>
    </w:p>
    <w:p>
      <w:pPr>
        <w:spacing w:after="0" w:line="6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We know our people are the foundation of our success. The Firm believes our long-term growth and success depend on our ability to identify, attract, develop, retain and engage talented employees, and foster an inclusive work environment. The Firm believes in equal opportunity employment and is focused on being an employer of choice for all talent, where employees are treated with respect and dignity. We support the professional development and career growth of our employees through training and educational programs, and provide competitive compensation, benefits and wellness programs. Our key priorities/focus areas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3086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32320" cy="308610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11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8F5A39"/>
              </w:rPr>
              <w:t>Attracting and</w:t>
            </w:r>
          </w:p>
        </w:tc>
        <w:tc>
          <w:tcPr>
            <w:tcW w:w="852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Attracting and hiring highly qualified candidates across all roles and career levels</w:t>
            </w:r>
          </w:p>
        </w:tc>
        <w:tc>
          <w:tcPr>
            <w:tcW w:w="0" w:type="dxa"/>
            <w:vAlign w:val="bottom"/>
          </w:tcPr>
          <w:p>
            <w:pPr>
              <w:spacing w:after="0"/>
              <w:rPr>
                <w:sz w:val="1"/>
                <w:szCs w:val="1"/>
                <w:color w:val="auto"/>
              </w:rPr>
            </w:pPr>
          </w:p>
        </w:tc>
      </w:tr>
      <w:tr>
        <w:trPr>
          <w:trHeight w:val="87"/>
        </w:trPr>
        <w:tc>
          <w:tcPr>
            <w:tcW w:w="1120" w:type="dxa"/>
            <w:vAlign w:val="bottom"/>
            <w:vMerge w:val="continue"/>
          </w:tcPr>
          <w:p>
            <w:pPr>
              <w:spacing w:after="0"/>
              <w:rPr>
                <w:sz w:val="7"/>
                <w:szCs w:val="7"/>
                <w:color w:val="auto"/>
              </w:rPr>
            </w:pPr>
          </w:p>
        </w:tc>
        <w:tc>
          <w:tcPr>
            <w:tcW w:w="2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8280" w:type="dxa"/>
            <w:vAlign w:val="bottom"/>
            <w:vMerge w:val="restart"/>
          </w:tcPr>
          <w:p>
            <w:pPr>
              <w:ind w:left="60"/>
              <w:spacing w:after="0"/>
              <w:rPr>
                <w:sz w:val="20"/>
                <w:szCs w:val="20"/>
                <w:color w:val="auto"/>
              </w:rPr>
            </w:pPr>
            <w:r>
              <w:rPr>
                <w:rFonts w:ascii="Arial" w:cs="Arial" w:eastAsia="Arial" w:hAnsi="Arial"/>
                <w:sz w:val="14"/>
                <w:szCs w:val="14"/>
                <w:color w:val="auto"/>
              </w:rPr>
              <w:t>Providing rewarding career opportunities for external candidates and internal employees who are seeking a different role</w:t>
            </w:r>
          </w:p>
        </w:tc>
        <w:tc>
          <w:tcPr>
            <w:tcW w:w="0" w:type="dxa"/>
            <w:vAlign w:val="bottom"/>
          </w:tcPr>
          <w:p>
            <w:pPr>
              <w:spacing w:after="0"/>
              <w:rPr>
                <w:sz w:val="1"/>
                <w:szCs w:val="1"/>
                <w:color w:val="auto"/>
              </w:rPr>
            </w:pPr>
          </w:p>
        </w:tc>
      </w:tr>
      <w:tr>
        <w:trPr>
          <w:trHeight w:val="162"/>
        </w:trPr>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8F5A39"/>
              </w:rPr>
              <w:t>retaining</w:t>
            </w:r>
          </w:p>
        </w:tc>
        <w:tc>
          <w:tcPr>
            <w:tcW w:w="240" w:type="dxa"/>
            <w:vAlign w:val="bottom"/>
            <w:vMerge w:val="continue"/>
          </w:tcPr>
          <w:p>
            <w:pPr>
              <w:spacing w:after="0"/>
              <w:rPr>
                <w:sz w:val="14"/>
                <w:szCs w:val="14"/>
                <w:color w:val="auto"/>
              </w:rPr>
            </w:pPr>
          </w:p>
        </w:tc>
        <w:tc>
          <w:tcPr>
            <w:tcW w:w="8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8F5A39"/>
              </w:rPr>
              <w:t>employees</w:t>
            </w: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8280" w:type="dxa"/>
            <w:vAlign w:val="bottom"/>
          </w:tcPr>
          <w:p>
            <w:pPr>
              <w:ind w:left="60"/>
              <w:spacing w:after="0"/>
              <w:rPr>
                <w:sz w:val="20"/>
                <w:szCs w:val="20"/>
                <w:color w:val="auto"/>
              </w:rPr>
            </w:pPr>
            <w:r>
              <w:rPr>
                <w:rFonts w:ascii="Arial" w:cs="Arial" w:eastAsia="Arial" w:hAnsi="Arial"/>
                <w:sz w:val="14"/>
                <w:szCs w:val="14"/>
                <w:color w:val="auto"/>
              </w:rPr>
              <w:t>Recruiting from a broad set of channels and industries and engaging individuals with diverse skills, backgrounds and experiences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57" w:right="339" w:bottom="1440" w:gutter="0" w:footer="0" w:header="0"/>
        </w:sectPr>
      </w:pPr>
    </w:p>
    <w:p>
      <w:pPr>
        <w:spacing w:after="0" w:line="387" w:lineRule="exact"/>
        <w:rPr>
          <w:sz w:val="20"/>
          <w:szCs w:val="20"/>
          <w:color w:val="auto"/>
        </w:rPr>
      </w:pPr>
    </w:p>
    <w:p>
      <w:pPr>
        <w:ind w:left="380" w:hanging="15"/>
        <w:spacing w:after="0" w:line="314" w:lineRule="auto"/>
        <w:rPr>
          <w:sz w:val="20"/>
          <w:szCs w:val="20"/>
          <w:color w:val="auto"/>
        </w:rPr>
      </w:pPr>
      <w:r>
        <w:rPr>
          <w:rFonts w:ascii="Arial" w:cs="Arial" w:eastAsia="Arial" w:hAnsi="Arial"/>
          <w:sz w:val="14"/>
          <w:szCs w:val="14"/>
          <w:b w:val="1"/>
          <w:bCs w:val="1"/>
          <w:color w:val="8F5A39"/>
        </w:rPr>
        <w:t>Developing employees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169" w:hanging="169"/>
        <w:spacing w:after="0"/>
        <w:tabs>
          <w:tab w:leader="none" w:pos="169" w:val="left"/>
        </w:tabs>
        <w:numPr>
          <w:ilvl w:val="0"/>
          <w:numId w:val="183"/>
        </w:numPr>
        <w:rPr>
          <w:rFonts w:ascii="Arial" w:cs="Arial" w:eastAsia="Arial" w:hAnsi="Arial"/>
          <w:sz w:val="14"/>
          <w:szCs w:val="14"/>
          <w:b w:val="1"/>
          <w:bCs w:val="1"/>
          <w:color w:val="auto"/>
        </w:rPr>
      </w:pPr>
      <w:r>
        <w:rPr>
          <w:rFonts w:ascii="Arial" w:cs="Arial" w:eastAsia="Arial" w:hAnsi="Arial"/>
          <w:sz w:val="14"/>
          <w:szCs w:val="14"/>
          <w:color w:val="auto"/>
        </w:rPr>
        <w:t>Fostering a culture that enables employees to grow and succeed while encouraging them to uphold a standard of excellence</w:t>
      </w:r>
    </w:p>
    <w:p>
      <w:pPr>
        <w:spacing w:after="0" w:line="68" w:lineRule="exact"/>
        <w:rPr>
          <w:rFonts w:ascii="Arial" w:cs="Arial" w:eastAsia="Arial" w:hAnsi="Arial"/>
          <w:sz w:val="14"/>
          <w:szCs w:val="14"/>
          <w:b w:val="1"/>
          <w:bCs w:val="1"/>
          <w:color w:val="auto"/>
        </w:rPr>
      </w:pPr>
    </w:p>
    <w:p>
      <w:pPr>
        <w:ind w:left="189" w:right="140" w:hanging="189"/>
        <w:spacing w:after="0" w:line="311" w:lineRule="auto"/>
        <w:tabs>
          <w:tab w:leader="none" w:pos="166" w:val="left"/>
        </w:tabs>
        <w:numPr>
          <w:ilvl w:val="0"/>
          <w:numId w:val="183"/>
        </w:numPr>
        <w:rPr>
          <w:rFonts w:ascii="Arial" w:cs="Arial" w:eastAsia="Arial" w:hAnsi="Arial"/>
          <w:sz w:val="14"/>
          <w:szCs w:val="14"/>
          <w:b w:val="1"/>
          <w:bCs w:val="1"/>
          <w:color w:val="auto"/>
        </w:rPr>
      </w:pPr>
      <w:r>
        <w:rPr>
          <w:rFonts w:ascii="Arial" w:cs="Arial" w:eastAsia="Arial" w:hAnsi="Arial"/>
          <w:sz w:val="14"/>
          <w:szCs w:val="14"/>
          <w:color w:val="auto"/>
        </w:rPr>
        <w:t>Offering extensive training programs and educational resources to empower employees to build their knowledge, skills and experience, and to guide their career advancement</w:t>
      </w:r>
    </w:p>
    <w:p>
      <w:pPr>
        <w:spacing w:after="0" w:line="1" w:lineRule="exact"/>
        <w:rPr>
          <w:rFonts w:ascii="Arial" w:cs="Arial" w:eastAsia="Arial" w:hAnsi="Arial"/>
          <w:sz w:val="14"/>
          <w:szCs w:val="14"/>
          <w:b w:val="1"/>
          <w:bCs w:val="1"/>
          <w:color w:val="auto"/>
        </w:rPr>
      </w:pPr>
    </w:p>
    <w:p>
      <w:pPr>
        <w:ind w:left="169" w:hanging="169"/>
        <w:spacing w:after="0"/>
        <w:tabs>
          <w:tab w:leader="none" w:pos="169" w:val="left"/>
        </w:tabs>
        <w:numPr>
          <w:ilvl w:val="0"/>
          <w:numId w:val="183"/>
        </w:numPr>
        <w:rPr>
          <w:rFonts w:ascii="Arial" w:cs="Arial" w:eastAsia="Arial" w:hAnsi="Arial"/>
          <w:sz w:val="14"/>
          <w:szCs w:val="14"/>
          <w:b w:val="1"/>
          <w:bCs w:val="1"/>
          <w:color w:val="auto"/>
        </w:rPr>
      </w:pPr>
      <w:r>
        <w:rPr>
          <w:rFonts w:ascii="Arial" w:cs="Arial" w:eastAsia="Arial" w:hAnsi="Arial"/>
          <w:sz w:val="14"/>
          <w:szCs w:val="14"/>
          <w:color w:val="auto"/>
        </w:rPr>
        <w:t>Supporting our talent with mentorship opportunities that help accelerate their professional growth and development</w:t>
      </w:r>
    </w:p>
    <w:p>
      <w:pPr>
        <w:spacing w:after="0" w:line="200" w:lineRule="exact"/>
        <w:rPr>
          <w:sz w:val="20"/>
          <w:szCs w:val="20"/>
          <w:color w:val="auto"/>
        </w:rPr>
      </w:pPr>
    </w:p>
    <w:p>
      <w:pPr>
        <w:sectPr>
          <w:pgSz w:w="11900" w:h="16838" w:orient="portrait"/>
          <w:cols w:equalWidth="0" w:num="2">
            <w:col w:w="1140" w:space="371"/>
            <w:col w:w="9729"/>
          </w:cols>
          <w:pgMar w:left="320" w:top="157" w:right="339" w:bottom="1440" w:gutter="0" w:footer="0" w:header="0"/>
          <w:type w:val="continuous"/>
        </w:sectPr>
      </w:pPr>
    </w:p>
    <w:p>
      <w:pPr>
        <w:spacing w:after="0" w:line="328"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8F5A39"/>
        </w:rPr>
        <w:t>Rewarding and</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8F5A39"/>
        </w:rPr>
        <w:t>supporting</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8F5A39"/>
        </w:rPr>
        <w:t>employees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189" w:right="620" w:hanging="189"/>
        <w:spacing w:after="0" w:line="311" w:lineRule="auto"/>
        <w:tabs>
          <w:tab w:leader="none" w:pos="166" w:val="left"/>
        </w:tabs>
        <w:numPr>
          <w:ilvl w:val="0"/>
          <w:numId w:val="184"/>
        </w:numPr>
        <w:rPr>
          <w:rFonts w:ascii="Arial" w:cs="Arial" w:eastAsia="Arial" w:hAnsi="Arial"/>
          <w:sz w:val="14"/>
          <w:szCs w:val="14"/>
          <w:b w:val="1"/>
          <w:bCs w:val="1"/>
          <w:color w:val="auto"/>
        </w:rPr>
      </w:pPr>
      <w:r>
        <w:rPr>
          <w:rFonts w:ascii="Arial" w:cs="Arial" w:eastAsia="Arial" w:hAnsi="Arial"/>
          <w:sz w:val="14"/>
          <w:szCs w:val="14"/>
          <w:color w:val="auto"/>
        </w:rPr>
        <w:t>Providing market-competitive compensation opportunities, guided by the Firm's pay-for-performance philosophy and balanced compensation framework</w:t>
      </w:r>
    </w:p>
    <w:p>
      <w:pPr>
        <w:spacing w:after="0" w:line="1" w:lineRule="exact"/>
        <w:rPr>
          <w:rFonts w:ascii="Arial" w:cs="Arial" w:eastAsia="Arial" w:hAnsi="Arial"/>
          <w:sz w:val="14"/>
          <w:szCs w:val="14"/>
          <w:b w:val="1"/>
          <w:bCs w:val="1"/>
          <w:color w:val="auto"/>
        </w:rPr>
      </w:pPr>
    </w:p>
    <w:p>
      <w:pPr>
        <w:ind w:left="169" w:hanging="169"/>
        <w:spacing w:after="0"/>
        <w:tabs>
          <w:tab w:leader="none" w:pos="169" w:val="left"/>
        </w:tabs>
        <w:numPr>
          <w:ilvl w:val="0"/>
          <w:numId w:val="184"/>
        </w:numPr>
        <w:rPr>
          <w:rFonts w:ascii="Arial" w:cs="Arial" w:eastAsia="Arial" w:hAnsi="Arial"/>
          <w:sz w:val="14"/>
          <w:szCs w:val="14"/>
          <w:b w:val="1"/>
          <w:bCs w:val="1"/>
          <w:color w:val="auto"/>
        </w:rPr>
      </w:pPr>
      <w:r>
        <w:rPr>
          <w:rFonts w:ascii="Arial" w:cs="Arial" w:eastAsia="Arial" w:hAnsi="Arial"/>
          <w:sz w:val="14"/>
          <w:szCs w:val="14"/>
          <w:color w:val="auto"/>
        </w:rPr>
        <w:t>Offering comprehensive benefits and wellness programs to support our employees and their families and help them build a financially secure future</w:t>
      </w:r>
    </w:p>
    <w:p>
      <w:pPr>
        <w:spacing w:after="0" w:line="227" w:lineRule="exact"/>
        <w:rPr>
          <w:sz w:val="20"/>
          <w:szCs w:val="20"/>
          <w:color w:val="auto"/>
        </w:rPr>
      </w:pPr>
    </w:p>
    <w:p>
      <w:pPr>
        <w:sectPr>
          <w:pgSz w:w="11900" w:h="16838" w:orient="portrait"/>
          <w:cols w:equalWidth="0" w:num="2">
            <w:col w:w="1260" w:space="251"/>
            <w:col w:w="9729"/>
          </w:cols>
          <w:pgMar w:left="320" w:top="157" w:right="33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8F5A39"/>
              </w:rPr>
              <w:t>2025</w:t>
            </w:r>
          </w:p>
        </w:tc>
        <w:tc>
          <w:tcPr>
            <w:tcW w:w="9920" w:type="dxa"/>
            <w:vAlign w:val="bottom"/>
            <w:gridSpan w:val="2"/>
          </w:tcPr>
          <w:p>
            <w:pPr>
              <w:ind w:left="2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2025 Top Companies List (LinkedIn)</w:t>
            </w:r>
          </w:p>
        </w:tc>
        <w:tc>
          <w:tcPr>
            <w:tcW w:w="0" w:type="dxa"/>
            <w:vAlign w:val="bottom"/>
          </w:tcPr>
          <w:p>
            <w:pPr>
              <w:spacing w:after="0"/>
              <w:rPr>
                <w:sz w:val="1"/>
                <w:szCs w:val="1"/>
                <w:color w:val="auto"/>
              </w:rPr>
            </w:pPr>
          </w:p>
        </w:tc>
      </w:tr>
      <w:tr>
        <w:trPr>
          <w:trHeight w:val="178"/>
        </w:trPr>
        <w:tc>
          <w:tcPr>
            <w:tcW w:w="1320" w:type="dxa"/>
            <w:vAlign w:val="bottom"/>
            <w:vMerge w:val="continue"/>
          </w:tcPr>
          <w:p>
            <w:pPr>
              <w:spacing w:after="0"/>
              <w:rPr>
                <w:sz w:val="15"/>
                <w:szCs w:val="15"/>
                <w:color w:val="auto"/>
              </w:rPr>
            </w:pPr>
          </w:p>
        </w:tc>
        <w:tc>
          <w:tcPr>
            <w:tcW w:w="3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9620" w:type="dxa"/>
            <w:vAlign w:val="bottom"/>
          </w:tcPr>
          <w:p>
            <w:pPr>
              <w:ind w:left="60"/>
              <w:spacing w:after="0"/>
              <w:rPr>
                <w:sz w:val="20"/>
                <w:szCs w:val="20"/>
                <w:color w:val="auto"/>
              </w:rPr>
            </w:pPr>
            <w:r>
              <w:rPr>
                <w:rFonts w:ascii="Arial" w:cs="Arial" w:eastAsia="Arial" w:hAnsi="Arial"/>
                <w:sz w:val="14"/>
                <w:szCs w:val="14"/>
                <w:color w:val="auto"/>
              </w:rPr>
              <w:t>Top 10 Most Admired Companies in the World (FORTUNE)</w:t>
            </w:r>
          </w:p>
        </w:tc>
        <w:tc>
          <w:tcPr>
            <w:tcW w:w="0" w:type="dxa"/>
            <w:vAlign w:val="bottom"/>
          </w:tcPr>
          <w:p>
            <w:pPr>
              <w:spacing w:after="0"/>
              <w:rPr>
                <w:sz w:val="1"/>
                <w:szCs w:val="1"/>
                <w:color w:val="auto"/>
              </w:rPr>
            </w:pPr>
          </w:p>
        </w:tc>
      </w:tr>
      <w:tr>
        <w:trPr>
          <w:trHeight w:val="196"/>
        </w:trPr>
        <w:tc>
          <w:tcPr>
            <w:tcW w:w="1320" w:type="dxa"/>
            <w:vAlign w:val="bottom"/>
          </w:tcPr>
          <w:p>
            <w:pPr>
              <w:jc w:val="center"/>
              <w:ind w:left="128"/>
              <w:spacing w:after="0"/>
              <w:rPr>
                <w:sz w:val="20"/>
                <w:szCs w:val="20"/>
                <w:color w:val="auto"/>
              </w:rPr>
            </w:pPr>
            <w:r>
              <w:rPr>
                <w:rFonts w:ascii="Arial" w:cs="Arial" w:eastAsia="Arial" w:hAnsi="Arial"/>
                <w:sz w:val="14"/>
                <w:szCs w:val="14"/>
                <w:b w:val="1"/>
                <w:bCs w:val="1"/>
                <w:color w:val="8F5A39"/>
              </w:rPr>
              <w:t>Accolades</w:t>
            </w:r>
          </w:p>
        </w:tc>
        <w:tc>
          <w:tcPr>
            <w:tcW w:w="3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9620" w:type="dxa"/>
            <w:vAlign w:val="bottom"/>
            <w:vMerge w:val="restart"/>
          </w:tcPr>
          <w:p>
            <w:pPr>
              <w:ind w:left="60"/>
              <w:spacing w:after="0"/>
              <w:rPr>
                <w:sz w:val="20"/>
                <w:szCs w:val="20"/>
                <w:color w:val="auto"/>
              </w:rPr>
            </w:pPr>
            <w:r>
              <w:rPr>
                <w:rFonts w:ascii="Arial" w:cs="Arial" w:eastAsia="Arial" w:hAnsi="Arial"/>
                <w:sz w:val="14"/>
                <w:szCs w:val="14"/>
                <w:color w:val="auto"/>
              </w:rPr>
              <w:t>#1 Most Attractive Employer among Business Students in the U.S. (Universum)</w:t>
            </w:r>
          </w:p>
        </w:tc>
        <w:tc>
          <w:tcPr>
            <w:tcW w:w="0" w:type="dxa"/>
            <w:vAlign w:val="bottom"/>
          </w:tcPr>
          <w:p>
            <w:pPr>
              <w:spacing w:after="0"/>
              <w:rPr>
                <w:sz w:val="1"/>
                <w:szCs w:val="1"/>
                <w:color w:val="auto"/>
              </w:rPr>
            </w:pPr>
          </w:p>
        </w:tc>
      </w:tr>
      <w:tr>
        <w:trPr>
          <w:trHeight w:val="72"/>
        </w:trPr>
        <w:tc>
          <w:tcPr>
            <w:tcW w:w="13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445770</wp:posOffset>
            </wp:positionV>
            <wp:extent cx="651510" cy="8572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12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21"/>
          <w:szCs w:val="21"/>
          <w:color w:val="auto"/>
          <w:vertAlign w:val="superscript"/>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458"/>
        </w:trPr>
        <w:tc>
          <w:tcPr>
            <w:tcW w:w="2800" w:type="dxa"/>
            <w:vAlign w:val="bottom"/>
            <w:tcBorders>
              <w:top w:val="single" w:sz="8" w:color="auto"/>
              <w:left w:val="single" w:sz="8" w:color="030303"/>
              <w:right w:val="single" w:sz="8" w:color="auto"/>
            </w:tcBorders>
          </w:tcPr>
          <w:p>
            <w:pPr>
              <w:ind w:left="320"/>
              <w:spacing w:after="0"/>
              <w:rPr>
                <w:sz w:val="20"/>
                <w:szCs w:val="20"/>
                <w:color w:val="auto"/>
              </w:rPr>
            </w:pPr>
            <w:r>
              <w:rPr>
                <w:rFonts w:ascii="Arial" w:cs="Arial" w:eastAsia="Arial" w:hAnsi="Arial"/>
                <w:sz w:val="14"/>
                <w:szCs w:val="14"/>
                <w:color w:val="8F5A39"/>
              </w:rPr>
              <w:t>How we think about pay decisions</w:t>
            </w:r>
          </w:p>
        </w:tc>
        <w:tc>
          <w:tcPr>
            <w:tcW w:w="400" w:type="dxa"/>
            <w:vAlign w:val="bottom"/>
            <w:tcBorders>
              <w:right w:val="single" w:sz="8" w:color="030303"/>
            </w:tcBorders>
          </w:tcPr>
          <w:p>
            <w:pPr>
              <w:spacing w:after="0"/>
              <w:rPr>
                <w:sz w:val="24"/>
                <w:szCs w:val="24"/>
                <w:color w:val="auto"/>
              </w:rPr>
            </w:pPr>
          </w:p>
        </w:tc>
        <w:tc>
          <w:tcPr>
            <w:tcW w:w="41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380" w:type="dxa"/>
            <w:vAlign w:val="bottom"/>
          </w:tcPr>
          <w:p>
            <w:pPr>
              <w:spacing w:after="0"/>
              <w:rPr>
                <w:sz w:val="24"/>
                <w:szCs w:val="24"/>
                <w:color w:val="auto"/>
              </w:rPr>
            </w:pPr>
          </w:p>
        </w:tc>
        <w:tc>
          <w:tcPr>
            <w:tcW w:w="3560" w:type="dxa"/>
            <w:vAlign w:val="bottom"/>
            <w:tcBorders>
              <w:top w:val="single" w:sz="8" w:color="A6D7F0"/>
              <w:bottom w:val="single" w:sz="8" w:color="A6D7F0"/>
            </w:tcBorders>
            <w:shd w:val="clear" w:color="auto" w:fill="A6D7F0"/>
          </w:tcPr>
          <w:p>
            <w:pPr>
              <w:ind w:left="380"/>
              <w:spacing w:after="0"/>
              <w:rPr>
                <w:sz w:val="20"/>
                <w:szCs w:val="20"/>
                <w:color w:val="auto"/>
              </w:rPr>
            </w:pPr>
            <w:r>
              <w:rPr>
                <w:rFonts w:ascii="Arial" w:cs="Arial" w:eastAsia="Arial" w:hAnsi="Arial"/>
                <w:sz w:val="14"/>
                <w:szCs w:val="14"/>
                <w:b w:val="1"/>
                <w:bCs w:val="1"/>
                <w:color w:val="auto"/>
              </w:rPr>
              <w:t>How performance determined pay in 2025</w:t>
            </w:r>
          </w:p>
        </w:tc>
      </w:tr>
      <w:tr>
        <w:trPr>
          <w:trHeight w:val="20"/>
        </w:trPr>
        <w:tc>
          <w:tcPr>
            <w:tcW w:w="28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tcBorders>
              <w:top w:val="single" w:sz="8" w:color="A6D7F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-196850</wp:posOffset>
            </wp:positionV>
            <wp:extent cx="120015" cy="9398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-196850</wp:posOffset>
            </wp:positionV>
            <wp:extent cx="120015" cy="9398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163195</wp:posOffset>
            </wp:positionV>
            <wp:extent cx="8255" cy="48831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48831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20" w:hanging="1054"/>
        <w:spacing w:after="0"/>
        <w:tabs>
          <w:tab w:leader="none" w:pos="1220" w:val="left"/>
        </w:tabs>
        <w:numPr>
          <w:ilvl w:val="0"/>
          <w:numId w:val="185"/>
        </w:numPr>
        <w:rPr>
          <w:rFonts w:ascii="Arial" w:cs="Arial" w:eastAsia="Arial" w:hAnsi="Arial"/>
          <w:sz w:val="36"/>
          <w:szCs w:val="36"/>
          <w:color w:val="auto"/>
        </w:rPr>
      </w:pPr>
      <w:r>
        <w:rPr>
          <w:rFonts w:ascii="Arial" w:cs="Arial" w:eastAsia="Arial" w:hAnsi="Arial"/>
          <w:sz w:val="36"/>
          <w:szCs w:val="36"/>
          <w:color w:val="8F5A39"/>
        </w:rPr>
        <w:t>How performance determined pay in 2025</w:t>
      </w:r>
    </w:p>
    <w:p>
      <w:pPr>
        <w:spacing w:after="0" w:line="15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CEO pay is strongly aligned to the Firm’s short-, medium- and long-term performance, with approximately 88% of the CEO’s variable pay deferred into equity, of which 100% is in at-risk PSUs. Other NEO pay is also strongly aligned to Firm and LOB performance, with a majority of variable pay deferred into equity, of which 50% is in at-risk PSUs. The table below sets forth salary and incentive compensation awarded for 2025 performance to our NEOs who served as Executive Officers through December 31, 2025. The pages that follow summarize the performance of those individual NEOs that drove the CMDC’s 2025 pay decisions.</w:t>
      </w:r>
    </w:p>
    <w:p>
      <w:pPr>
        <w:spacing w:after="0" w:line="122" w:lineRule="exact"/>
        <w:rPr>
          <w:sz w:val="20"/>
          <w:szCs w:val="20"/>
          <w:color w:val="auto"/>
        </w:rPr>
      </w:pPr>
    </w:p>
    <w:p>
      <w:pPr>
        <w:spacing w:after="0"/>
        <w:rPr>
          <w:sz w:val="20"/>
          <w:szCs w:val="20"/>
          <w:color w:val="auto"/>
        </w:rPr>
      </w:pPr>
      <w:r>
        <w:rPr>
          <w:rFonts w:ascii="Arial" w:cs="Arial" w:eastAsia="Arial" w:hAnsi="Arial"/>
          <w:sz w:val="29"/>
          <w:szCs w:val="29"/>
          <w:color w:val="auto"/>
        </w:rPr>
        <w:t>NEO annual compensation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Borders>
              <w:bottom w:val="single" w:sz="8" w:color="F4EFE7"/>
            </w:tcBorders>
            <w:shd w:val="clear" w:color="auto" w:fill="F4EFE7"/>
          </w:tcPr>
          <w:p>
            <w:pPr>
              <w:spacing w:after="0"/>
              <w:rPr>
                <w:sz w:val="19"/>
                <w:szCs w:val="19"/>
                <w:color w:val="auto"/>
              </w:rPr>
            </w:pPr>
          </w:p>
        </w:tc>
        <w:tc>
          <w:tcPr>
            <w:tcW w:w="720" w:type="dxa"/>
            <w:vAlign w:val="bottom"/>
            <w:tcBorders>
              <w:bottom w:val="single" w:sz="8" w:color="F4EFE7"/>
            </w:tcBorders>
            <w:shd w:val="clear" w:color="auto" w:fill="F4EFE7"/>
          </w:tcPr>
          <w:p>
            <w:pPr>
              <w:spacing w:after="0"/>
              <w:rPr>
                <w:sz w:val="19"/>
                <w:szCs w:val="19"/>
                <w:color w:val="auto"/>
              </w:rPr>
            </w:pPr>
          </w:p>
        </w:tc>
        <w:tc>
          <w:tcPr>
            <w:tcW w:w="480" w:type="dxa"/>
            <w:vAlign w:val="bottom"/>
            <w:tcBorders>
              <w:bottom w:val="single" w:sz="8" w:color="auto"/>
            </w:tcBorders>
            <w:shd w:val="clear" w:color="auto" w:fill="F4EFE7"/>
          </w:tcPr>
          <w:p>
            <w:pPr>
              <w:spacing w:after="0"/>
              <w:rPr>
                <w:sz w:val="19"/>
                <w:szCs w:val="19"/>
                <w:color w:val="auto"/>
              </w:rPr>
            </w:pPr>
          </w:p>
        </w:tc>
        <w:tc>
          <w:tcPr>
            <w:tcW w:w="960" w:type="dxa"/>
            <w:vAlign w:val="bottom"/>
            <w:tcBorders>
              <w:bottom w:val="single" w:sz="8" w:color="auto"/>
            </w:tcBorders>
            <w:shd w:val="clear" w:color="auto" w:fill="F4EFE7"/>
          </w:tcPr>
          <w:p>
            <w:pPr>
              <w:spacing w:after="0"/>
              <w:rPr>
                <w:sz w:val="19"/>
                <w:szCs w:val="19"/>
                <w:color w:val="auto"/>
              </w:rPr>
            </w:pPr>
          </w:p>
        </w:tc>
        <w:tc>
          <w:tcPr>
            <w:tcW w:w="440" w:type="dxa"/>
            <w:vAlign w:val="bottom"/>
            <w:tcBorders>
              <w:bottom w:val="single" w:sz="8" w:color="auto"/>
            </w:tcBorders>
            <w:shd w:val="clear" w:color="auto" w:fill="F4EFE7"/>
          </w:tcPr>
          <w:p>
            <w:pPr>
              <w:spacing w:after="0"/>
              <w:rPr>
                <w:sz w:val="19"/>
                <w:szCs w:val="19"/>
                <w:color w:val="auto"/>
              </w:rPr>
            </w:pPr>
          </w:p>
        </w:tc>
        <w:tc>
          <w:tcPr>
            <w:tcW w:w="3840" w:type="dxa"/>
            <w:vAlign w:val="bottom"/>
            <w:tcBorders>
              <w:bottom w:val="single" w:sz="8" w:color="auto"/>
            </w:tcBorders>
            <w:gridSpan w:val="5"/>
            <w:shd w:val="clear" w:color="auto" w:fill="F4EFE7"/>
          </w:tcPr>
          <w:p>
            <w:pPr>
              <w:jc w:val="right"/>
              <w:ind w:right="508"/>
              <w:spacing w:after="0"/>
              <w:rPr>
                <w:sz w:val="20"/>
                <w:szCs w:val="20"/>
                <w:color w:val="auto"/>
              </w:rPr>
            </w:pPr>
            <w:r>
              <w:rPr>
                <w:rFonts w:ascii="Arial" w:cs="Arial" w:eastAsia="Arial" w:hAnsi="Arial"/>
                <w:sz w:val="14"/>
                <w:szCs w:val="14"/>
                <w:b w:val="1"/>
                <w:bCs w:val="1"/>
                <w:color w:val="8F5A39"/>
              </w:rPr>
              <w:t>Annual Compensation (For Performance Year)</w:t>
            </w:r>
          </w:p>
        </w:tc>
        <w:tc>
          <w:tcPr>
            <w:tcW w:w="440" w:type="dxa"/>
            <w:vAlign w:val="bottom"/>
            <w:tcBorders>
              <w:bottom w:val="single" w:sz="8" w:color="auto"/>
            </w:tcBorders>
            <w:shd w:val="clear" w:color="auto" w:fill="F4EFE7"/>
          </w:tcPr>
          <w:p>
            <w:pPr>
              <w:spacing w:after="0"/>
              <w:rPr>
                <w:sz w:val="19"/>
                <w:szCs w:val="19"/>
                <w:color w:val="auto"/>
              </w:rPr>
            </w:pPr>
          </w:p>
        </w:tc>
        <w:tc>
          <w:tcPr>
            <w:tcW w:w="960" w:type="dxa"/>
            <w:vAlign w:val="bottom"/>
            <w:tcBorders>
              <w:bottom w:val="single" w:sz="8" w:color="auto"/>
            </w:tcBorders>
            <w:shd w:val="clear" w:color="auto" w:fill="F4EFE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F4EFE7"/>
            </w:tcBorders>
            <w:shd w:val="clear" w:color="auto" w:fill="F4EFE7"/>
          </w:tcPr>
          <w:p>
            <w:pPr>
              <w:spacing w:after="0"/>
              <w:rPr>
                <w:sz w:val="19"/>
                <w:szCs w:val="19"/>
                <w:color w:val="auto"/>
              </w:rPr>
            </w:pPr>
          </w:p>
        </w:tc>
        <w:tc>
          <w:tcPr>
            <w:tcW w:w="720" w:type="dxa"/>
            <w:vAlign w:val="bottom"/>
            <w:tcBorders>
              <w:bottom w:val="single" w:sz="8" w:color="F4EFE7"/>
            </w:tcBorders>
            <w:shd w:val="clear" w:color="auto" w:fill="F4EFE7"/>
          </w:tcPr>
          <w:p>
            <w:pPr>
              <w:spacing w:after="0"/>
              <w:rPr>
                <w:sz w:val="19"/>
                <w:szCs w:val="19"/>
                <w:color w:val="auto"/>
              </w:rPr>
            </w:pPr>
          </w:p>
        </w:tc>
        <w:tc>
          <w:tcPr>
            <w:tcW w:w="480" w:type="dxa"/>
            <w:vAlign w:val="bottom"/>
            <w:tcBorders>
              <w:bottom w:val="single" w:sz="8" w:color="F4EFE7"/>
            </w:tcBorders>
            <w:shd w:val="clear" w:color="auto" w:fill="F4EFE7"/>
          </w:tcPr>
          <w:p>
            <w:pPr>
              <w:spacing w:after="0"/>
              <w:rPr>
                <w:sz w:val="19"/>
                <w:szCs w:val="19"/>
                <w:color w:val="auto"/>
              </w:rPr>
            </w:pPr>
          </w:p>
        </w:tc>
        <w:tc>
          <w:tcPr>
            <w:tcW w:w="960" w:type="dxa"/>
            <w:vAlign w:val="bottom"/>
            <w:tcBorders>
              <w:bottom w:val="single" w:sz="8" w:color="F4EFE7"/>
            </w:tcBorders>
            <w:shd w:val="clear" w:color="auto" w:fill="F4EFE7"/>
          </w:tcPr>
          <w:p>
            <w:pPr>
              <w:spacing w:after="0"/>
              <w:rPr>
                <w:sz w:val="19"/>
                <w:szCs w:val="19"/>
                <w:color w:val="auto"/>
              </w:rPr>
            </w:pPr>
          </w:p>
        </w:tc>
        <w:tc>
          <w:tcPr>
            <w:tcW w:w="440" w:type="dxa"/>
            <w:vAlign w:val="bottom"/>
            <w:tcBorders>
              <w:bottom w:val="single" w:sz="8" w:color="auto"/>
            </w:tcBorders>
            <w:shd w:val="clear" w:color="auto" w:fill="F4EFE7"/>
          </w:tcPr>
          <w:p>
            <w:pPr>
              <w:spacing w:after="0"/>
              <w:rPr>
                <w:sz w:val="19"/>
                <w:szCs w:val="19"/>
                <w:color w:val="auto"/>
              </w:rPr>
            </w:pPr>
          </w:p>
        </w:tc>
        <w:tc>
          <w:tcPr>
            <w:tcW w:w="2480" w:type="dxa"/>
            <w:vAlign w:val="bottom"/>
            <w:tcBorders>
              <w:bottom w:val="single" w:sz="8" w:color="auto"/>
            </w:tcBorders>
            <w:gridSpan w:val="3"/>
            <w:shd w:val="clear" w:color="auto" w:fill="F4EFE7"/>
          </w:tcPr>
          <w:p>
            <w:pPr>
              <w:jc w:val="right"/>
              <w:spacing w:after="0"/>
              <w:rPr>
                <w:sz w:val="20"/>
                <w:szCs w:val="20"/>
                <w:color w:val="auto"/>
              </w:rPr>
            </w:pPr>
            <w:r>
              <w:rPr>
                <w:rFonts w:ascii="Arial" w:cs="Arial" w:eastAsia="Arial" w:hAnsi="Arial"/>
                <w:sz w:val="14"/>
                <w:szCs w:val="14"/>
                <w:b w:val="1"/>
                <w:bCs w:val="1"/>
                <w:color w:val="8F5A39"/>
              </w:rPr>
              <w:t>Incentive Compensation</w:t>
            </w:r>
          </w:p>
        </w:tc>
        <w:tc>
          <w:tcPr>
            <w:tcW w:w="280" w:type="dxa"/>
            <w:vAlign w:val="bottom"/>
            <w:tcBorders>
              <w:bottom w:val="single" w:sz="8" w:color="auto"/>
            </w:tcBorders>
            <w:shd w:val="clear" w:color="auto" w:fill="F4EFE7"/>
          </w:tcPr>
          <w:p>
            <w:pPr>
              <w:spacing w:after="0"/>
              <w:rPr>
                <w:sz w:val="19"/>
                <w:szCs w:val="19"/>
                <w:color w:val="auto"/>
              </w:rPr>
            </w:pPr>
          </w:p>
        </w:tc>
        <w:tc>
          <w:tcPr>
            <w:tcW w:w="1080" w:type="dxa"/>
            <w:vAlign w:val="bottom"/>
            <w:tcBorders>
              <w:bottom w:val="single" w:sz="8" w:color="auto"/>
            </w:tcBorders>
            <w:shd w:val="clear" w:color="auto" w:fill="F4EFE7"/>
          </w:tcPr>
          <w:p>
            <w:pPr>
              <w:spacing w:after="0"/>
              <w:rPr>
                <w:sz w:val="19"/>
                <w:szCs w:val="19"/>
                <w:color w:val="auto"/>
              </w:rPr>
            </w:pPr>
          </w:p>
        </w:tc>
        <w:tc>
          <w:tcPr>
            <w:tcW w:w="440" w:type="dxa"/>
            <w:vAlign w:val="bottom"/>
            <w:tcBorders>
              <w:bottom w:val="single" w:sz="8" w:color="F4EFE7"/>
            </w:tcBorders>
            <w:shd w:val="clear" w:color="auto" w:fill="F4EFE7"/>
          </w:tcPr>
          <w:p>
            <w:pPr>
              <w:spacing w:after="0"/>
              <w:rPr>
                <w:sz w:val="19"/>
                <w:szCs w:val="19"/>
                <w:color w:val="auto"/>
              </w:rPr>
            </w:pPr>
          </w:p>
        </w:tc>
        <w:tc>
          <w:tcPr>
            <w:tcW w:w="960" w:type="dxa"/>
            <w:vAlign w:val="bottom"/>
            <w:tcBorders>
              <w:bottom w:val="single" w:sz="8" w:color="F4EFE7"/>
            </w:tcBorders>
            <w:shd w:val="clear" w:color="auto" w:fill="F4EFE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Name and principal position</w:t>
            </w:r>
          </w:p>
        </w:tc>
        <w:tc>
          <w:tcPr>
            <w:tcW w:w="72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Year</w:t>
            </w:r>
          </w:p>
        </w:tc>
        <w:tc>
          <w:tcPr>
            <w:tcW w:w="480" w:type="dxa"/>
            <w:vAlign w:val="bottom"/>
            <w:tcBorders>
              <w:bottom w:val="single" w:sz="8" w:color="auto"/>
            </w:tcBorders>
            <w:shd w:val="clear" w:color="auto" w:fill="F4EFE7"/>
          </w:tcPr>
          <w:p>
            <w:pPr>
              <w:spacing w:after="0"/>
              <w:rPr>
                <w:sz w:val="19"/>
                <w:szCs w:val="19"/>
                <w:color w:val="auto"/>
              </w:rPr>
            </w:pPr>
          </w:p>
        </w:tc>
        <w:tc>
          <w:tcPr>
            <w:tcW w:w="960" w:type="dxa"/>
            <w:vAlign w:val="bottom"/>
            <w:tcBorders>
              <w:bottom w:val="single" w:sz="8" w:color="auto"/>
            </w:tcBorders>
            <w:shd w:val="clear" w:color="auto" w:fill="F4EFE7"/>
          </w:tcPr>
          <w:p>
            <w:pPr>
              <w:jc w:val="right"/>
              <w:ind w:right="68"/>
              <w:spacing w:after="0"/>
              <w:rPr>
                <w:sz w:val="20"/>
                <w:szCs w:val="20"/>
                <w:color w:val="auto"/>
              </w:rPr>
            </w:pPr>
            <w:r>
              <w:rPr>
                <w:rFonts w:ascii="Arial" w:cs="Arial" w:eastAsia="Arial" w:hAnsi="Arial"/>
                <w:sz w:val="14"/>
                <w:szCs w:val="14"/>
                <w:b w:val="1"/>
                <w:bCs w:val="1"/>
                <w:color w:val="8F5A39"/>
              </w:rPr>
              <w:t>Salary</w:t>
            </w:r>
          </w:p>
        </w:tc>
        <w:tc>
          <w:tcPr>
            <w:tcW w:w="440" w:type="dxa"/>
            <w:vAlign w:val="bottom"/>
            <w:tcBorders>
              <w:bottom w:val="single" w:sz="8" w:color="auto"/>
            </w:tcBorders>
            <w:shd w:val="clear" w:color="auto" w:fill="F4EFE7"/>
          </w:tcPr>
          <w:p>
            <w:pPr>
              <w:spacing w:after="0"/>
              <w:rPr>
                <w:sz w:val="19"/>
                <w:szCs w:val="19"/>
                <w:color w:val="auto"/>
              </w:rPr>
            </w:pPr>
          </w:p>
        </w:tc>
        <w:tc>
          <w:tcPr>
            <w:tcW w:w="1060" w:type="dxa"/>
            <w:vAlign w:val="bottom"/>
            <w:tcBorders>
              <w:bottom w:val="single" w:sz="8" w:color="auto"/>
            </w:tcBorders>
            <w:shd w:val="clear" w:color="auto" w:fill="F4EFE7"/>
          </w:tcPr>
          <w:p>
            <w:pPr>
              <w:jc w:val="right"/>
              <w:ind w:right="68"/>
              <w:spacing w:after="0"/>
              <w:rPr>
                <w:sz w:val="20"/>
                <w:szCs w:val="20"/>
                <w:color w:val="auto"/>
              </w:rPr>
            </w:pPr>
            <w:r>
              <w:rPr>
                <w:rFonts w:ascii="Arial" w:cs="Arial" w:eastAsia="Arial" w:hAnsi="Arial"/>
                <w:sz w:val="14"/>
                <w:szCs w:val="14"/>
                <w:b w:val="1"/>
                <w:bCs w:val="1"/>
                <w:color w:val="8F5A39"/>
              </w:rPr>
              <w:t>Cash</w:t>
            </w:r>
          </w:p>
        </w:tc>
        <w:tc>
          <w:tcPr>
            <w:tcW w:w="360" w:type="dxa"/>
            <w:vAlign w:val="bottom"/>
            <w:tcBorders>
              <w:bottom w:val="single" w:sz="8" w:color="auto"/>
            </w:tcBorders>
            <w:shd w:val="clear" w:color="auto" w:fill="F4EFE7"/>
          </w:tcPr>
          <w:p>
            <w:pPr>
              <w:spacing w:after="0"/>
              <w:rPr>
                <w:sz w:val="19"/>
                <w:szCs w:val="19"/>
                <w:color w:val="auto"/>
              </w:rPr>
            </w:pPr>
          </w:p>
        </w:tc>
        <w:tc>
          <w:tcPr>
            <w:tcW w:w="1060" w:type="dxa"/>
            <w:vAlign w:val="bottom"/>
            <w:tcBorders>
              <w:bottom w:val="single" w:sz="8" w:color="auto"/>
            </w:tcBorders>
            <w:shd w:val="clear" w:color="auto" w:fill="F4EFE7"/>
          </w:tcPr>
          <w:p>
            <w:pPr>
              <w:jc w:val="right"/>
              <w:ind w:right="168"/>
              <w:spacing w:after="0"/>
              <w:rPr>
                <w:sz w:val="20"/>
                <w:szCs w:val="20"/>
                <w:color w:val="auto"/>
              </w:rPr>
            </w:pPr>
            <w:r>
              <w:rPr>
                <w:rFonts w:ascii="Arial" w:cs="Arial" w:eastAsia="Arial" w:hAnsi="Arial"/>
                <w:sz w:val="14"/>
                <w:szCs w:val="14"/>
                <w:b w:val="1"/>
                <w:bCs w:val="1"/>
                <w:color w:val="8F5A39"/>
              </w:rPr>
              <w:t>RSUs</w:t>
            </w:r>
          </w:p>
        </w:tc>
        <w:tc>
          <w:tcPr>
            <w:tcW w:w="280" w:type="dxa"/>
            <w:vAlign w:val="bottom"/>
            <w:tcBorders>
              <w:bottom w:val="single" w:sz="8" w:color="auto"/>
            </w:tcBorders>
            <w:shd w:val="clear" w:color="auto" w:fill="F4EFE7"/>
          </w:tcPr>
          <w:p>
            <w:pPr>
              <w:spacing w:after="0"/>
              <w:rPr>
                <w:sz w:val="19"/>
                <w:szCs w:val="19"/>
                <w:color w:val="auto"/>
              </w:rPr>
            </w:pPr>
          </w:p>
        </w:tc>
        <w:tc>
          <w:tcPr>
            <w:tcW w:w="1080" w:type="dxa"/>
            <w:vAlign w:val="bottom"/>
            <w:tcBorders>
              <w:bottom w:val="single" w:sz="8" w:color="auto"/>
            </w:tcBorders>
            <w:shd w:val="clear" w:color="auto" w:fill="F4EFE7"/>
          </w:tcPr>
          <w:p>
            <w:pPr>
              <w:jc w:val="right"/>
              <w:ind w:right="68"/>
              <w:spacing w:after="0"/>
              <w:rPr>
                <w:sz w:val="20"/>
                <w:szCs w:val="20"/>
                <w:color w:val="auto"/>
              </w:rPr>
            </w:pPr>
            <w:r>
              <w:rPr>
                <w:rFonts w:ascii="Arial" w:cs="Arial" w:eastAsia="Arial" w:hAnsi="Arial"/>
                <w:sz w:val="14"/>
                <w:szCs w:val="14"/>
                <w:b w:val="1"/>
                <w:bCs w:val="1"/>
                <w:color w:val="8F5A39"/>
              </w:rPr>
              <w:t>PSUs</w:t>
            </w:r>
            <w:r>
              <w:rPr>
                <w:rFonts w:ascii="Arial" w:cs="Arial" w:eastAsia="Arial" w:hAnsi="Arial"/>
                <w:sz w:val="9"/>
                <w:szCs w:val="9"/>
                <w:b w:val="1"/>
                <w:bCs w:val="1"/>
                <w:color w:val="8F5A39"/>
              </w:rPr>
              <w:t>1</w:t>
            </w:r>
          </w:p>
        </w:tc>
        <w:tc>
          <w:tcPr>
            <w:tcW w:w="440" w:type="dxa"/>
            <w:vAlign w:val="bottom"/>
            <w:tcBorders>
              <w:bottom w:val="single" w:sz="8" w:color="auto"/>
            </w:tcBorders>
            <w:shd w:val="clear" w:color="auto" w:fill="F4EFE7"/>
          </w:tcPr>
          <w:p>
            <w:pPr>
              <w:spacing w:after="0"/>
              <w:rPr>
                <w:sz w:val="19"/>
                <w:szCs w:val="19"/>
                <w:color w:val="auto"/>
              </w:rPr>
            </w:pPr>
          </w:p>
        </w:tc>
        <w:tc>
          <w:tcPr>
            <w:tcW w:w="96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Total</w:t>
            </w:r>
          </w:p>
        </w:tc>
        <w:tc>
          <w:tcPr>
            <w:tcW w:w="0" w:type="dxa"/>
            <w:vAlign w:val="bottom"/>
          </w:tcPr>
          <w:p>
            <w:pPr>
              <w:spacing w:after="0"/>
              <w:rPr>
                <w:sz w:val="1"/>
                <w:szCs w:val="1"/>
                <w:color w:val="auto"/>
              </w:rPr>
            </w:pPr>
          </w:p>
        </w:tc>
      </w:tr>
      <w:tr>
        <w:trPr>
          <w:trHeight w:val="220"/>
        </w:trPr>
        <w:tc>
          <w:tcPr>
            <w:tcW w:w="3400" w:type="dxa"/>
            <w:vAlign w:val="bottom"/>
          </w:tcPr>
          <w:p>
            <w:pPr>
              <w:ind w:left="20"/>
              <w:spacing w:after="0"/>
              <w:rPr>
                <w:sz w:val="20"/>
                <w:szCs w:val="20"/>
                <w:color w:val="auto"/>
              </w:rPr>
            </w:pPr>
            <w:r>
              <w:rPr>
                <w:rFonts w:ascii="Arial" w:cs="Arial" w:eastAsia="Arial" w:hAnsi="Arial"/>
                <w:sz w:val="16"/>
                <w:szCs w:val="16"/>
                <w:b w:val="1"/>
                <w:bCs w:val="1"/>
                <w:color w:val="8F5A39"/>
              </w:rPr>
              <w:t>James Dimon</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1,500,000</w:t>
            </w: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5,000,000</w:t>
            </w:r>
          </w:p>
        </w:tc>
        <w:tc>
          <w:tcPr>
            <w:tcW w:w="3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36,500,000</w:t>
            </w:r>
          </w:p>
        </w:tc>
        <w:tc>
          <w:tcPr>
            <w:tcW w:w="4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43,000,000</w:t>
            </w:r>
          </w:p>
        </w:tc>
        <w:tc>
          <w:tcPr>
            <w:tcW w:w="0" w:type="dxa"/>
            <w:vAlign w:val="bottom"/>
          </w:tcPr>
          <w:p>
            <w:pPr>
              <w:spacing w:after="0"/>
              <w:rPr>
                <w:sz w:val="1"/>
                <w:szCs w:val="1"/>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Chairman and CEO</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6"/>
                <w:szCs w:val="16"/>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1,500,000</w:t>
            </w:r>
          </w:p>
        </w:tc>
        <w:tc>
          <w:tcPr>
            <w:tcW w:w="440" w:type="dxa"/>
            <w:vAlign w:val="bottom"/>
          </w:tcPr>
          <w:p>
            <w:pPr>
              <w:spacing w:after="0"/>
              <w:rPr>
                <w:sz w:val="16"/>
                <w:szCs w:val="16"/>
                <w:color w:val="auto"/>
              </w:rPr>
            </w:pP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5,000,000</w:t>
            </w:r>
          </w:p>
        </w:tc>
        <w:tc>
          <w:tcPr>
            <w:tcW w:w="360" w:type="dxa"/>
            <w:vAlign w:val="bottom"/>
          </w:tcPr>
          <w:p>
            <w:pPr>
              <w:spacing w:after="0"/>
              <w:rPr>
                <w:sz w:val="16"/>
                <w:szCs w:val="16"/>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color w:val="auto"/>
              </w:rPr>
              <w:t>32,500,000</w:t>
            </w:r>
          </w:p>
        </w:tc>
        <w:tc>
          <w:tcPr>
            <w:tcW w:w="4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39,000,000</w:t>
            </w: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1,500,000</w:t>
            </w:r>
          </w:p>
        </w:tc>
        <w:tc>
          <w:tcPr>
            <w:tcW w:w="440" w:type="dxa"/>
            <w:vAlign w:val="bottom"/>
          </w:tcPr>
          <w:p>
            <w:pPr>
              <w:spacing w:after="0"/>
              <w:rPr>
                <w:sz w:val="23"/>
                <w:szCs w:val="23"/>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5,000,000</w:t>
            </w:r>
          </w:p>
        </w:tc>
        <w:tc>
          <w:tcPr>
            <w:tcW w:w="360" w:type="dxa"/>
            <w:vAlign w:val="bottom"/>
          </w:tcPr>
          <w:p>
            <w:pPr>
              <w:spacing w:after="0"/>
              <w:rPr>
                <w:sz w:val="23"/>
                <w:szCs w:val="23"/>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29,500,000</w:t>
            </w: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36,000,000</w:t>
            </w:r>
          </w:p>
        </w:tc>
        <w:tc>
          <w:tcPr>
            <w:tcW w:w="0" w:type="dxa"/>
            <w:vAlign w:val="bottom"/>
          </w:tcPr>
          <w:p>
            <w:pPr>
              <w:spacing w:after="0"/>
              <w:rPr>
                <w:sz w:val="1"/>
                <w:szCs w:val="1"/>
                <w:color w:val="auto"/>
              </w:rPr>
            </w:pPr>
          </w:p>
        </w:tc>
      </w:tr>
      <w:tr>
        <w:trPr>
          <w:trHeight w:val="62"/>
        </w:trPr>
        <w:tc>
          <w:tcPr>
            <w:tcW w:w="3400" w:type="dxa"/>
            <w:vAlign w:val="bottom"/>
            <w:tcBorders>
              <w:bottom w:val="single" w:sz="8" w:color="B2B2B2"/>
            </w:tcBorders>
          </w:tcPr>
          <w:p>
            <w:pPr>
              <w:spacing w:after="0"/>
              <w:rPr>
                <w:sz w:val="5"/>
                <w:szCs w:val="5"/>
                <w:color w:val="auto"/>
              </w:rPr>
            </w:pPr>
          </w:p>
        </w:tc>
        <w:tc>
          <w:tcPr>
            <w:tcW w:w="720" w:type="dxa"/>
            <w:vAlign w:val="bottom"/>
            <w:tcBorders>
              <w:bottom w:val="single" w:sz="8" w:color="B2B2B2"/>
            </w:tcBorders>
          </w:tcPr>
          <w:p>
            <w:pPr>
              <w:spacing w:after="0"/>
              <w:rPr>
                <w:sz w:val="5"/>
                <w:szCs w:val="5"/>
                <w:color w:val="auto"/>
              </w:rPr>
            </w:pPr>
          </w:p>
        </w:tc>
        <w:tc>
          <w:tcPr>
            <w:tcW w:w="480" w:type="dxa"/>
            <w:vAlign w:val="bottom"/>
            <w:tcBorders>
              <w:bottom w:val="single" w:sz="8" w:color="B2B2B2"/>
            </w:tcBorders>
          </w:tcPr>
          <w:p>
            <w:pPr>
              <w:spacing w:after="0"/>
              <w:rPr>
                <w:sz w:val="5"/>
                <w:szCs w:val="5"/>
                <w:color w:val="auto"/>
              </w:rPr>
            </w:pPr>
          </w:p>
        </w:tc>
        <w:tc>
          <w:tcPr>
            <w:tcW w:w="960" w:type="dxa"/>
            <w:vAlign w:val="bottom"/>
            <w:tcBorders>
              <w:bottom w:val="single" w:sz="8" w:color="B2B2B2"/>
            </w:tcBorders>
          </w:tcPr>
          <w:p>
            <w:pPr>
              <w:spacing w:after="0"/>
              <w:rPr>
                <w:sz w:val="5"/>
                <w:szCs w:val="5"/>
                <w:color w:val="auto"/>
              </w:rPr>
            </w:pPr>
          </w:p>
        </w:tc>
        <w:tc>
          <w:tcPr>
            <w:tcW w:w="44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36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280" w:type="dxa"/>
            <w:vAlign w:val="bottom"/>
            <w:tcBorders>
              <w:bottom w:val="single" w:sz="8" w:color="B2B2B2"/>
            </w:tcBorders>
          </w:tcPr>
          <w:p>
            <w:pPr>
              <w:spacing w:after="0"/>
              <w:rPr>
                <w:sz w:val="5"/>
                <w:szCs w:val="5"/>
                <w:color w:val="auto"/>
              </w:rPr>
            </w:pPr>
          </w:p>
        </w:tc>
        <w:tc>
          <w:tcPr>
            <w:tcW w:w="1080" w:type="dxa"/>
            <w:vAlign w:val="bottom"/>
            <w:tcBorders>
              <w:bottom w:val="single" w:sz="8" w:color="B2B2B2"/>
            </w:tcBorders>
          </w:tcPr>
          <w:p>
            <w:pPr>
              <w:spacing w:after="0"/>
              <w:rPr>
                <w:sz w:val="5"/>
                <w:szCs w:val="5"/>
                <w:color w:val="auto"/>
              </w:rPr>
            </w:pPr>
          </w:p>
        </w:tc>
        <w:tc>
          <w:tcPr>
            <w:tcW w:w="440" w:type="dxa"/>
            <w:vAlign w:val="bottom"/>
            <w:tcBorders>
              <w:bottom w:val="single" w:sz="8" w:color="B2B2B2"/>
            </w:tcBorders>
          </w:tcPr>
          <w:p>
            <w:pPr>
              <w:spacing w:after="0"/>
              <w:rPr>
                <w:sz w:val="5"/>
                <w:szCs w:val="5"/>
                <w:color w:val="auto"/>
              </w:rPr>
            </w:pPr>
          </w:p>
        </w:tc>
        <w:tc>
          <w:tcPr>
            <w:tcW w:w="96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20"/>
              <w:spacing w:after="0"/>
              <w:rPr>
                <w:sz w:val="20"/>
                <w:szCs w:val="20"/>
                <w:color w:val="auto"/>
              </w:rPr>
            </w:pPr>
            <w:r>
              <w:rPr>
                <w:rFonts w:ascii="Arial" w:cs="Arial" w:eastAsia="Arial" w:hAnsi="Arial"/>
                <w:sz w:val="16"/>
                <w:szCs w:val="16"/>
                <w:b w:val="1"/>
                <w:bCs w:val="1"/>
                <w:color w:val="8F5A39"/>
              </w:rPr>
              <w:t>Mary Callahan Erdoes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8"/>
                <w:szCs w:val="18"/>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1,000,000</w:t>
            </w:r>
          </w:p>
        </w:tc>
        <w:tc>
          <w:tcPr>
            <w:tcW w:w="4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12,000,000</w:t>
            </w:r>
          </w:p>
        </w:tc>
        <w:tc>
          <w:tcPr>
            <w:tcW w:w="360" w:type="dxa"/>
            <w:vAlign w:val="bottom"/>
          </w:tcPr>
          <w:p>
            <w:pPr>
              <w:spacing w:after="0"/>
              <w:rPr>
                <w:sz w:val="18"/>
                <w:szCs w:val="18"/>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9,000,000</w:t>
            </w:r>
          </w:p>
        </w:tc>
        <w:tc>
          <w:tcPr>
            <w:tcW w:w="2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9,000,000</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31,000,000</w:t>
            </w:r>
          </w:p>
        </w:tc>
        <w:tc>
          <w:tcPr>
            <w:tcW w:w="0" w:type="dxa"/>
            <w:vAlign w:val="bottom"/>
          </w:tcPr>
          <w:p>
            <w:pPr>
              <w:spacing w:after="0"/>
              <w:rPr>
                <w:sz w:val="1"/>
                <w:szCs w:val="1"/>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CEO, Asset &amp; Wealth Management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6"/>
                <w:szCs w:val="16"/>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1,000,000</w:t>
            </w:r>
          </w:p>
        </w:tc>
        <w:tc>
          <w:tcPr>
            <w:tcW w:w="440" w:type="dxa"/>
            <w:vAlign w:val="bottom"/>
          </w:tcPr>
          <w:p>
            <w:pPr>
              <w:spacing w:after="0"/>
              <w:rPr>
                <w:sz w:val="16"/>
                <w:szCs w:val="16"/>
                <w:color w:val="auto"/>
              </w:rPr>
            </w:pP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11,000,000</w:t>
            </w:r>
          </w:p>
        </w:tc>
        <w:tc>
          <w:tcPr>
            <w:tcW w:w="360" w:type="dxa"/>
            <w:vAlign w:val="bottom"/>
          </w:tcPr>
          <w:p>
            <w:pPr>
              <w:spacing w:after="0"/>
              <w:rPr>
                <w:sz w:val="16"/>
                <w:szCs w:val="16"/>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color w:val="auto"/>
              </w:rPr>
              <w:t>8,250,000</w:t>
            </w:r>
          </w:p>
        </w:tc>
        <w:tc>
          <w:tcPr>
            <w:tcW w:w="280" w:type="dxa"/>
            <w:vAlign w:val="bottom"/>
          </w:tcPr>
          <w:p>
            <w:pPr>
              <w:spacing w:after="0"/>
              <w:rPr>
                <w:sz w:val="16"/>
                <w:szCs w:val="16"/>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color w:val="auto"/>
              </w:rPr>
              <w:t>8,250,000</w:t>
            </w:r>
          </w:p>
        </w:tc>
        <w:tc>
          <w:tcPr>
            <w:tcW w:w="4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28,500,000</w:t>
            </w: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750,000</w:t>
            </w:r>
          </w:p>
        </w:tc>
        <w:tc>
          <w:tcPr>
            <w:tcW w:w="440" w:type="dxa"/>
            <w:vAlign w:val="bottom"/>
          </w:tcPr>
          <w:p>
            <w:pPr>
              <w:spacing w:after="0"/>
              <w:rPr>
                <w:sz w:val="23"/>
                <w:szCs w:val="23"/>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10,500,000</w:t>
            </w:r>
          </w:p>
        </w:tc>
        <w:tc>
          <w:tcPr>
            <w:tcW w:w="360" w:type="dxa"/>
            <w:vAlign w:val="bottom"/>
          </w:tcPr>
          <w:p>
            <w:pPr>
              <w:spacing w:after="0"/>
              <w:rPr>
                <w:sz w:val="23"/>
                <w:szCs w:val="23"/>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7,875,000</w:t>
            </w:r>
          </w:p>
        </w:tc>
        <w:tc>
          <w:tcPr>
            <w:tcW w:w="280" w:type="dxa"/>
            <w:vAlign w:val="bottom"/>
          </w:tcPr>
          <w:p>
            <w:pPr>
              <w:spacing w:after="0"/>
              <w:rPr>
                <w:sz w:val="23"/>
                <w:szCs w:val="23"/>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7,875,000</w:t>
            </w: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27,000,000</w:t>
            </w:r>
          </w:p>
        </w:tc>
        <w:tc>
          <w:tcPr>
            <w:tcW w:w="0" w:type="dxa"/>
            <w:vAlign w:val="bottom"/>
          </w:tcPr>
          <w:p>
            <w:pPr>
              <w:spacing w:after="0"/>
              <w:rPr>
                <w:sz w:val="1"/>
                <w:szCs w:val="1"/>
                <w:color w:val="auto"/>
              </w:rPr>
            </w:pPr>
          </w:p>
        </w:tc>
      </w:tr>
      <w:tr>
        <w:trPr>
          <w:trHeight w:val="62"/>
        </w:trPr>
        <w:tc>
          <w:tcPr>
            <w:tcW w:w="3400" w:type="dxa"/>
            <w:vAlign w:val="bottom"/>
            <w:tcBorders>
              <w:bottom w:val="single" w:sz="8" w:color="B2B2B2"/>
            </w:tcBorders>
          </w:tcPr>
          <w:p>
            <w:pPr>
              <w:spacing w:after="0"/>
              <w:rPr>
                <w:sz w:val="5"/>
                <w:szCs w:val="5"/>
                <w:color w:val="auto"/>
              </w:rPr>
            </w:pPr>
          </w:p>
        </w:tc>
        <w:tc>
          <w:tcPr>
            <w:tcW w:w="720" w:type="dxa"/>
            <w:vAlign w:val="bottom"/>
            <w:tcBorders>
              <w:bottom w:val="single" w:sz="8" w:color="B2B2B2"/>
            </w:tcBorders>
          </w:tcPr>
          <w:p>
            <w:pPr>
              <w:spacing w:after="0"/>
              <w:rPr>
                <w:sz w:val="5"/>
                <w:szCs w:val="5"/>
                <w:color w:val="auto"/>
              </w:rPr>
            </w:pPr>
          </w:p>
        </w:tc>
        <w:tc>
          <w:tcPr>
            <w:tcW w:w="480" w:type="dxa"/>
            <w:vAlign w:val="bottom"/>
            <w:tcBorders>
              <w:bottom w:val="single" w:sz="8" w:color="B2B2B2"/>
            </w:tcBorders>
          </w:tcPr>
          <w:p>
            <w:pPr>
              <w:spacing w:after="0"/>
              <w:rPr>
                <w:sz w:val="5"/>
                <w:szCs w:val="5"/>
                <w:color w:val="auto"/>
              </w:rPr>
            </w:pPr>
          </w:p>
        </w:tc>
        <w:tc>
          <w:tcPr>
            <w:tcW w:w="960" w:type="dxa"/>
            <w:vAlign w:val="bottom"/>
            <w:tcBorders>
              <w:bottom w:val="single" w:sz="8" w:color="B2B2B2"/>
            </w:tcBorders>
          </w:tcPr>
          <w:p>
            <w:pPr>
              <w:spacing w:after="0"/>
              <w:rPr>
                <w:sz w:val="5"/>
                <w:szCs w:val="5"/>
                <w:color w:val="auto"/>
              </w:rPr>
            </w:pPr>
          </w:p>
        </w:tc>
        <w:tc>
          <w:tcPr>
            <w:tcW w:w="44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36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280" w:type="dxa"/>
            <w:vAlign w:val="bottom"/>
            <w:tcBorders>
              <w:bottom w:val="single" w:sz="8" w:color="B2B2B2"/>
            </w:tcBorders>
          </w:tcPr>
          <w:p>
            <w:pPr>
              <w:spacing w:after="0"/>
              <w:rPr>
                <w:sz w:val="5"/>
                <w:szCs w:val="5"/>
                <w:color w:val="auto"/>
              </w:rPr>
            </w:pPr>
          </w:p>
        </w:tc>
        <w:tc>
          <w:tcPr>
            <w:tcW w:w="1080" w:type="dxa"/>
            <w:vAlign w:val="bottom"/>
            <w:tcBorders>
              <w:bottom w:val="single" w:sz="8" w:color="B2B2B2"/>
            </w:tcBorders>
          </w:tcPr>
          <w:p>
            <w:pPr>
              <w:spacing w:after="0"/>
              <w:rPr>
                <w:sz w:val="5"/>
                <w:szCs w:val="5"/>
                <w:color w:val="auto"/>
              </w:rPr>
            </w:pPr>
          </w:p>
        </w:tc>
        <w:tc>
          <w:tcPr>
            <w:tcW w:w="440" w:type="dxa"/>
            <w:vAlign w:val="bottom"/>
            <w:tcBorders>
              <w:bottom w:val="single" w:sz="8" w:color="B2B2B2"/>
            </w:tcBorders>
          </w:tcPr>
          <w:p>
            <w:pPr>
              <w:spacing w:after="0"/>
              <w:rPr>
                <w:sz w:val="5"/>
                <w:szCs w:val="5"/>
                <w:color w:val="auto"/>
              </w:rPr>
            </w:pPr>
          </w:p>
        </w:tc>
        <w:tc>
          <w:tcPr>
            <w:tcW w:w="96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20"/>
              <w:spacing w:after="0" w:line="214" w:lineRule="exact"/>
              <w:rPr>
                <w:sz w:val="20"/>
                <w:szCs w:val="20"/>
                <w:color w:val="auto"/>
              </w:rPr>
            </w:pPr>
            <w:r>
              <w:rPr>
                <w:rFonts w:ascii="Arial" w:cs="Arial" w:eastAsia="Arial" w:hAnsi="Arial"/>
                <w:sz w:val="16"/>
                <w:szCs w:val="16"/>
                <w:b w:val="1"/>
                <w:bCs w:val="1"/>
                <w:color w:val="8F5A39"/>
              </w:rPr>
              <w:t>Troy Rohrbaugh</w:t>
            </w:r>
            <w:r>
              <w:rPr>
                <w:rFonts w:ascii="Arial" w:cs="Arial" w:eastAsia="Arial" w:hAnsi="Arial"/>
                <w:sz w:val="21"/>
                <w:szCs w:val="21"/>
                <w:b w:val="1"/>
                <w:bCs w:val="1"/>
                <w:color w:val="8F5A39"/>
                <w:vertAlign w:val="superscript"/>
              </w:rPr>
              <w:t>2</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8"/>
                <w:szCs w:val="18"/>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1,000,000</w:t>
            </w:r>
          </w:p>
        </w:tc>
        <w:tc>
          <w:tcPr>
            <w:tcW w:w="4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10,600,000</w:t>
            </w:r>
          </w:p>
        </w:tc>
        <w:tc>
          <w:tcPr>
            <w:tcW w:w="360" w:type="dxa"/>
            <w:vAlign w:val="bottom"/>
          </w:tcPr>
          <w:p>
            <w:pPr>
              <w:spacing w:after="0"/>
              <w:rPr>
                <w:sz w:val="18"/>
                <w:szCs w:val="18"/>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7,950,000</w:t>
            </w:r>
          </w:p>
        </w:tc>
        <w:tc>
          <w:tcPr>
            <w:tcW w:w="2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7,950,000</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27,500,000</w:t>
            </w:r>
          </w:p>
        </w:tc>
        <w:tc>
          <w:tcPr>
            <w:tcW w:w="0" w:type="dxa"/>
            <w:vAlign w:val="bottom"/>
          </w:tcPr>
          <w:p>
            <w:pPr>
              <w:spacing w:after="0"/>
              <w:rPr>
                <w:sz w:val="1"/>
                <w:szCs w:val="1"/>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Co-CEO, Commercial &amp; Investment Bank</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6"/>
                <w:szCs w:val="16"/>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1,000,000</w:t>
            </w:r>
          </w:p>
        </w:tc>
        <w:tc>
          <w:tcPr>
            <w:tcW w:w="440" w:type="dxa"/>
            <w:vAlign w:val="bottom"/>
          </w:tcPr>
          <w:p>
            <w:pPr>
              <w:spacing w:after="0"/>
              <w:rPr>
                <w:sz w:val="16"/>
                <w:szCs w:val="16"/>
                <w:color w:val="auto"/>
              </w:rPr>
            </w:pP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9,200,000</w:t>
            </w:r>
          </w:p>
        </w:tc>
        <w:tc>
          <w:tcPr>
            <w:tcW w:w="360" w:type="dxa"/>
            <w:vAlign w:val="bottom"/>
          </w:tcPr>
          <w:p>
            <w:pPr>
              <w:spacing w:after="0"/>
              <w:rPr>
                <w:sz w:val="16"/>
                <w:szCs w:val="16"/>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color w:val="auto"/>
              </w:rPr>
              <w:t>6,900,000</w:t>
            </w:r>
          </w:p>
        </w:tc>
        <w:tc>
          <w:tcPr>
            <w:tcW w:w="280" w:type="dxa"/>
            <w:vAlign w:val="bottom"/>
          </w:tcPr>
          <w:p>
            <w:pPr>
              <w:spacing w:after="0"/>
              <w:rPr>
                <w:sz w:val="16"/>
                <w:szCs w:val="16"/>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color w:val="auto"/>
              </w:rPr>
              <w:t>6,900,000</w:t>
            </w:r>
          </w:p>
        </w:tc>
        <w:tc>
          <w:tcPr>
            <w:tcW w:w="4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24,000,000</w:t>
            </w: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3400" w:type="dxa"/>
            <w:vAlign w:val="bottom"/>
            <w:tcBorders>
              <w:bottom w:val="single" w:sz="8" w:color="B2B2B2"/>
            </w:tcBorders>
          </w:tcPr>
          <w:p>
            <w:pPr>
              <w:spacing w:after="0"/>
              <w:rPr>
                <w:sz w:val="5"/>
                <w:szCs w:val="5"/>
                <w:color w:val="auto"/>
              </w:rPr>
            </w:pPr>
          </w:p>
        </w:tc>
        <w:tc>
          <w:tcPr>
            <w:tcW w:w="720" w:type="dxa"/>
            <w:vAlign w:val="bottom"/>
            <w:tcBorders>
              <w:bottom w:val="single" w:sz="8" w:color="B2B2B2"/>
            </w:tcBorders>
          </w:tcPr>
          <w:p>
            <w:pPr>
              <w:spacing w:after="0"/>
              <w:rPr>
                <w:sz w:val="5"/>
                <w:szCs w:val="5"/>
                <w:color w:val="auto"/>
              </w:rPr>
            </w:pPr>
          </w:p>
        </w:tc>
        <w:tc>
          <w:tcPr>
            <w:tcW w:w="480" w:type="dxa"/>
            <w:vAlign w:val="bottom"/>
            <w:tcBorders>
              <w:bottom w:val="single" w:sz="8" w:color="B2B2B2"/>
            </w:tcBorders>
          </w:tcPr>
          <w:p>
            <w:pPr>
              <w:spacing w:after="0"/>
              <w:rPr>
                <w:sz w:val="5"/>
                <w:szCs w:val="5"/>
                <w:color w:val="auto"/>
              </w:rPr>
            </w:pPr>
          </w:p>
        </w:tc>
        <w:tc>
          <w:tcPr>
            <w:tcW w:w="960" w:type="dxa"/>
            <w:vAlign w:val="bottom"/>
            <w:tcBorders>
              <w:bottom w:val="single" w:sz="8" w:color="B2B2B2"/>
            </w:tcBorders>
          </w:tcPr>
          <w:p>
            <w:pPr>
              <w:spacing w:after="0"/>
              <w:rPr>
                <w:sz w:val="5"/>
                <w:szCs w:val="5"/>
                <w:color w:val="auto"/>
              </w:rPr>
            </w:pPr>
          </w:p>
        </w:tc>
        <w:tc>
          <w:tcPr>
            <w:tcW w:w="44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36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280" w:type="dxa"/>
            <w:vAlign w:val="bottom"/>
            <w:tcBorders>
              <w:bottom w:val="single" w:sz="8" w:color="B2B2B2"/>
            </w:tcBorders>
          </w:tcPr>
          <w:p>
            <w:pPr>
              <w:spacing w:after="0"/>
              <w:rPr>
                <w:sz w:val="5"/>
                <w:szCs w:val="5"/>
                <w:color w:val="auto"/>
              </w:rPr>
            </w:pPr>
          </w:p>
        </w:tc>
        <w:tc>
          <w:tcPr>
            <w:tcW w:w="1080" w:type="dxa"/>
            <w:vAlign w:val="bottom"/>
            <w:tcBorders>
              <w:bottom w:val="single" w:sz="8" w:color="B2B2B2"/>
            </w:tcBorders>
          </w:tcPr>
          <w:p>
            <w:pPr>
              <w:spacing w:after="0"/>
              <w:rPr>
                <w:sz w:val="5"/>
                <w:szCs w:val="5"/>
                <w:color w:val="auto"/>
              </w:rPr>
            </w:pPr>
          </w:p>
        </w:tc>
        <w:tc>
          <w:tcPr>
            <w:tcW w:w="440" w:type="dxa"/>
            <w:vAlign w:val="bottom"/>
            <w:tcBorders>
              <w:bottom w:val="single" w:sz="8" w:color="B2B2B2"/>
            </w:tcBorders>
          </w:tcPr>
          <w:p>
            <w:pPr>
              <w:spacing w:after="0"/>
              <w:rPr>
                <w:sz w:val="5"/>
                <w:szCs w:val="5"/>
                <w:color w:val="auto"/>
              </w:rPr>
            </w:pPr>
          </w:p>
        </w:tc>
        <w:tc>
          <w:tcPr>
            <w:tcW w:w="96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20"/>
              <w:spacing w:after="0" w:line="214" w:lineRule="exact"/>
              <w:rPr>
                <w:sz w:val="20"/>
                <w:szCs w:val="20"/>
                <w:color w:val="auto"/>
              </w:rPr>
            </w:pPr>
            <w:r>
              <w:rPr>
                <w:rFonts w:ascii="Arial" w:cs="Arial" w:eastAsia="Arial" w:hAnsi="Arial"/>
                <w:sz w:val="16"/>
                <w:szCs w:val="16"/>
                <w:b w:val="1"/>
                <w:bCs w:val="1"/>
                <w:color w:val="8F5A39"/>
              </w:rPr>
              <w:t>Douglas Petno</w:t>
            </w:r>
            <w:r>
              <w:rPr>
                <w:rFonts w:ascii="Arial" w:cs="Arial" w:eastAsia="Arial" w:hAnsi="Arial"/>
                <w:sz w:val="21"/>
                <w:szCs w:val="21"/>
                <w:b w:val="1"/>
                <w:bCs w:val="1"/>
                <w:color w:val="8F5A39"/>
                <w:vertAlign w:val="superscript"/>
              </w:rPr>
              <w:t>3</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8"/>
                <w:szCs w:val="18"/>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1,000,000</w:t>
            </w:r>
          </w:p>
        </w:tc>
        <w:tc>
          <w:tcPr>
            <w:tcW w:w="4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10,600,000</w:t>
            </w:r>
          </w:p>
        </w:tc>
        <w:tc>
          <w:tcPr>
            <w:tcW w:w="360" w:type="dxa"/>
            <w:vAlign w:val="bottom"/>
          </w:tcPr>
          <w:p>
            <w:pPr>
              <w:spacing w:after="0"/>
              <w:rPr>
                <w:sz w:val="18"/>
                <w:szCs w:val="18"/>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7,950,000</w:t>
            </w:r>
          </w:p>
        </w:tc>
        <w:tc>
          <w:tcPr>
            <w:tcW w:w="2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7,950,000</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27,500,000</w:t>
            </w:r>
          </w:p>
        </w:tc>
        <w:tc>
          <w:tcPr>
            <w:tcW w:w="0" w:type="dxa"/>
            <w:vAlign w:val="bottom"/>
          </w:tcPr>
          <w:p>
            <w:pPr>
              <w:spacing w:after="0"/>
              <w:rPr>
                <w:sz w:val="1"/>
                <w:szCs w:val="1"/>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Co-CEO, Commercial &amp; Investment Bank</w:t>
            </w: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400" w:type="dxa"/>
            <w:vAlign w:val="bottom"/>
            <w:tcBorders>
              <w:bottom w:val="single" w:sz="8" w:color="B2B2B2"/>
            </w:tcBorders>
          </w:tcPr>
          <w:p>
            <w:pPr>
              <w:spacing w:after="0"/>
              <w:rPr>
                <w:sz w:val="5"/>
                <w:szCs w:val="5"/>
                <w:color w:val="auto"/>
              </w:rPr>
            </w:pPr>
          </w:p>
        </w:tc>
        <w:tc>
          <w:tcPr>
            <w:tcW w:w="720" w:type="dxa"/>
            <w:vAlign w:val="bottom"/>
            <w:tcBorders>
              <w:bottom w:val="single" w:sz="8" w:color="B2B2B2"/>
            </w:tcBorders>
          </w:tcPr>
          <w:p>
            <w:pPr>
              <w:spacing w:after="0"/>
              <w:rPr>
                <w:sz w:val="5"/>
                <w:szCs w:val="5"/>
                <w:color w:val="auto"/>
              </w:rPr>
            </w:pPr>
          </w:p>
        </w:tc>
        <w:tc>
          <w:tcPr>
            <w:tcW w:w="480" w:type="dxa"/>
            <w:vAlign w:val="bottom"/>
            <w:tcBorders>
              <w:bottom w:val="single" w:sz="8" w:color="B2B2B2"/>
            </w:tcBorders>
          </w:tcPr>
          <w:p>
            <w:pPr>
              <w:spacing w:after="0"/>
              <w:rPr>
                <w:sz w:val="5"/>
                <w:szCs w:val="5"/>
                <w:color w:val="auto"/>
              </w:rPr>
            </w:pPr>
          </w:p>
        </w:tc>
        <w:tc>
          <w:tcPr>
            <w:tcW w:w="960" w:type="dxa"/>
            <w:vAlign w:val="bottom"/>
            <w:tcBorders>
              <w:bottom w:val="single" w:sz="8" w:color="B2B2B2"/>
            </w:tcBorders>
          </w:tcPr>
          <w:p>
            <w:pPr>
              <w:spacing w:after="0"/>
              <w:rPr>
                <w:sz w:val="5"/>
                <w:szCs w:val="5"/>
                <w:color w:val="auto"/>
              </w:rPr>
            </w:pPr>
          </w:p>
        </w:tc>
        <w:tc>
          <w:tcPr>
            <w:tcW w:w="44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360" w:type="dxa"/>
            <w:vAlign w:val="bottom"/>
            <w:tcBorders>
              <w:bottom w:val="single" w:sz="8" w:color="B2B2B2"/>
            </w:tcBorders>
          </w:tcPr>
          <w:p>
            <w:pPr>
              <w:spacing w:after="0"/>
              <w:rPr>
                <w:sz w:val="5"/>
                <w:szCs w:val="5"/>
                <w:color w:val="auto"/>
              </w:rPr>
            </w:pPr>
          </w:p>
        </w:tc>
        <w:tc>
          <w:tcPr>
            <w:tcW w:w="1060" w:type="dxa"/>
            <w:vAlign w:val="bottom"/>
            <w:tcBorders>
              <w:bottom w:val="single" w:sz="8" w:color="B2B2B2"/>
            </w:tcBorders>
          </w:tcPr>
          <w:p>
            <w:pPr>
              <w:spacing w:after="0"/>
              <w:rPr>
                <w:sz w:val="5"/>
                <w:szCs w:val="5"/>
                <w:color w:val="auto"/>
              </w:rPr>
            </w:pPr>
          </w:p>
        </w:tc>
        <w:tc>
          <w:tcPr>
            <w:tcW w:w="280" w:type="dxa"/>
            <w:vAlign w:val="bottom"/>
            <w:tcBorders>
              <w:bottom w:val="single" w:sz="8" w:color="B2B2B2"/>
            </w:tcBorders>
          </w:tcPr>
          <w:p>
            <w:pPr>
              <w:spacing w:after="0"/>
              <w:rPr>
                <w:sz w:val="5"/>
                <w:szCs w:val="5"/>
                <w:color w:val="auto"/>
              </w:rPr>
            </w:pPr>
          </w:p>
        </w:tc>
        <w:tc>
          <w:tcPr>
            <w:tcW w:w="1080" w:type="dxa"/>
            <w:vAlign w:val="bottom"/>
            <w:tcBorders>
              <w:bottom w:val="single" w:sz="8" w:color="B2B2B2"/>
            </w:tcBorders>
          </w:tcPr>
          <w:p>
            <w:pPr>
              <w:spacing w:after="0"/>
              <w:rPr>
                <w:sz w:val="5"/>
                <w:szCs w:val="5"/>
                <w:color w:val="auto"/>
              </w:rPr>
            </w:pPr>
          </w:p>
        </w:tc>
        <w:tc>
          <w:tcPr>
            <w:tcW w:w="440" w:type="dxa"/>
            <w:vAlign w:val="bottom"/>
            <w:tcBorders>
              <w:bottom w:val="single" w:sz="8" w:color="B2B2B2"/>
            </w:tcBorders>
          </w:tcPr>
          <w:p>
            <w:pPr>
              <w:spacing w:after="0"/>
              <w:rPr>
                <w:sz w:val="5"/>
                <w:szCs w:val="5"/>
                <w:color w:val="auto"/>
              </w:rPr>
            </w:pPr>
          </w:p>
        </w:tc>
        <w:tc>
          <w:tcPr>
            <w:tcW w:w="96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20"/>
              <w:spacing w:after="0"/>
              <w:rPr>
                <w:sz w:val="20"/>
                <w:szCs w:val="20"/>
                <w:color w:val="auto"/>
              </w:rPr>
            </w:pPr>
            <w:r>
              <w:rPr>
                <w:rFonts w:ascii="Arial" w:cs="Arial" w:eastAsia="Arial" w:hAnsi="Arial"/>
                <w:sz w:val="16"/>
                <w:szCs w:val="16"/>
                <w:b w:val="1"/>
                <w:bCs w:val="1"/>
                <w:color w:val="8F5A39"/>
              </w:rPr>
              <w:t>Jeremy Barnum</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8"/>
                <w:szCs w:val="18"/>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1,000,000</w:t>
            </w:r>
          </w:p>
        </w:tc>
        <w:tc>
          <w:tcPr>
            <w:tcW w:w="4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7,400,000</w:t>
            </w:r>
          </w:p>
        </w:tc>
        <w:tc>
          <w:tcPr>
            <w:tcW w:w="360" w:type="dxa"/>
            <w:vAlign w:val="bottom"/>
          </w:tcPr>
          <w:p>
            <w:pPr>
              <w:spacing w:after="0"/>
              <w:rPr>
                <w:sz w:val="18"/>
                <w:szCs w:val="18"/>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5,550,000</w:t>
            </w:r>
          </w:p>
        </w:tc>
        <w:tc>
          <w:tcPr>
            <w:tcW w:w="2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5,550,000</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19,500,000</w:t>
            </w:r>
          </w:p>
        </w:tc>
        <w:tc>
          <w:tcPr>
            <w:tcW w:w="0" w:type="dxa"/>
            <w:vAlign w:val="bottom"/>
          </w:tcPr>
          <w:p>
            <w:pPr>
              <w:spacing w:after="0"/>
              <w:rPr>
                <w:sz w:val="1"/>
                <w:szCs w:val="1"/>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CFO</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6"/>
                <w:szCs w:val="16"/>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1,000,000</w:t>
            </w:r>
          </w:p>
        </w:tc>
        <w:tc>
          <w:tcPr>
            <w:tcW w:w="440" w:type="dxa"/>
            <w:vAlign w:val="bottom"/>
          </w:tcPr>
          <w:p>
            <w:pPr>
              <w:spacing w:after="0"/>
              <w:rPr>
                <w:sz w:val="16"/>
                <w:szCs w:val="16"/>
                <w:color w:val="auto"/>
              </w:rPr>
            </w:pP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6,530,000</w:t>
            </w:r>
          </w:p>
        </w:tc>
        <w:tc>
          <w:tcPr>
            <w:tcW w:w="360" w:type="dxa"/>
            <w:vAlign w:val="bottom"/>
          </w:tcPr>
          <w:p>
            <w:pPr>
              <w:spacing w:after="0"/>
              <w:rPr>
                <w:sz w:val="16"/>
                <w:szCs w:val="16"/>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color w:val="auto"/>
              </w:rPr>
              <w:t>4,897,500</w:t>
            </w:r>
          </w:p>
        </w:tc>
        <w:tc>
          <w:tcPr>
            <w:tcW w:w="280" w:type="dxa"/>
            <w:vAlign w:val="bottom"/>
          </w:tcPr>
          <w:p>
            <w:pPr>
              <w:spacing w:after="0"/>
              <w:rPr>
                <w:sz w:val="16"/>
                <w:szCs w:val="16"/>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color w:val="auto"/>
              </w:rPr>
              <w:t>4,897,500</w:t>
            </w:r>
          </w:p>
        </w:tc>
        <w:tc>
          <w:tcPr>
            <w:tcW w:w="4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17,325,000</w:t>
            </w: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750,000</w:t>
            </w:r>
          </w:p>
        </w:tc>
        <w:tc>
          <w:tcPr>
            <w:tcW w:w="440" w:type="dxa"/>
            <w:vAlign w:val="bottom"/>
          </w:tcPr>
          <w:p>
            <w:pPr>
              <w:spacing w:after="0"/>
              <w:rPr>
                <w:sz w:val="23"/>
                <w:szCs w:val="23"/>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5,700,000</w:t>
            </w:r>
          </w:p>
        </w:tc>
        <w:tc>
          <w:tcPr>
            <w:tcW w:w="360" w:type="dxa"/>
            <w:vAlign w:val="bottom"/>
          </w:tcPr>
          <w:p>
            <w:pPr>
              <w:spacing w:after="0"/>
              <w:rPr>
                <w:sz w:val="23"/>
                <w:szCs w:val="23"/>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4,275,000</w:t>
            </w:r>
          </w:p>
        </w:tc>
        <w:tc>
          <w:tcPr>
            <w:tcW w:w="280" w:type="dxa"/>
            <w:vAlign w:val="bottom"/>
          </w:tcPr>
          <w:p>
            <w:pPr>
              <w:spacing w:after="0"/>
              <w:rPr>
                <w:sz w:val="23"/>
                <w:szCs w:val="23"/>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4,275,000</w:t>
            </w: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62"/>
        </w:trPr>
        <w:tc>
          <w:tcPr>
            <w:tcW w:w="3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0" w:right="340" w:hanging="192"/>
        <w:spacing w:after="0" w:line="194" w:lineRule="auto"/>
        <w:tabs>
          <w:tab w:leader="none" w:pos="206" w:val="left"/>
        </w:tabs>
        <w:numPr>
          <w:ilvl w:val="0"/>
          <w:numId w:val="186"/>
        </w:numPr>
        <w:rPr>
          <w:rFonts w:ascii="Arial" w:cs="Arial" w:eastAsia="Arial" w:hAnsi="Arial"/>
          <w:sz w:val="19"/>
          <w:szCs w:val="19"/>
          <w:color w:val="auto"/>
          <w:vertAlign w:val="superscript"/>
        </w:rPr>
      </w:pPr>
      <w:r>
        <w:rPr>
          <w:rFonts w:ascii="Arial" w:cs="Arial" w:eastAsia="Arial" w:hAnsi="Arial"/>
          <w:sz w:val="13"/>
          <w:szCs w:val="13"/>
          <w:color w:val="auto"/>
        </w:rPr>
        <w:t>Reflects the grant date fair value. Actual amounts of PSUs received by NEOs upon vesting may range from 0% to 150% of the target shares (excluding accrued dividends), depending upon the Firm’s performance.</w:t>
      </w:r>
    </w:p>
    <w:p>
      <w:pPr>
        <w:ind w:left="200" w:hanging="192"/>
        <w:spacing w:after="0" w:line="182" w:lineRule="auto"/>
        <w:tabs>
          <w:tab w:leader="none" w:pos="200" w:val="left"/>
        </w:tabs>
        <w:numPr>
          <w:ilvl w:val="0"/>
          <w:numId w:val="187"/>
        </w:numPr>
        <w:rPr>
          <w:rFonts w:ascii="Arial" w:cs="Arial" w:eastAsia="Arial" w:hAnsi="Arial"/>
          <w:sz w:val="17"/>
          <w:szCs w:val="17"/>
          <w:color w:val="auto"/>
          <w:vertAlign w:val="superscript"/>
        </w:rPr>
      </w:pPr>
      <w:r>
        <w:rPr>
          <w:rFonts w:ascii="Arial" w:cs="Arial" w:eastAsia="Arial" w:hAnsi="Arial"/>
          <w:sz w:val="11"/>
          <w:szCs w:val="11"/>
          <w:color w:val="auto"/>
        </w:rPr>
        <w:t>Mr. Rohrbaugh was not a NEO in 2023. Mr. Rohrbaugh's salary of $1,000,000 includes a fee of £150,000 for his service on the J.P. Morgan Securities plc Board.</w:t>
      </w:r>
    </w:p>
    <w:p>
      <w:pPr>
        <w:ind w:left="200" w:hanging="192"/>
        <w:spacing w:after="0" w:line="196" w:lineRule="auto"/>
        <w:tabs>
          <w:tab w:leader="none" w:pos="200" w:val="left"/>
        </w:tabs>
        <w:numPr>
          <w:ilvl w:val="0"/>
          <w:numId w:val="188"/>
        </w:numPr>
        <w:rPr>
          <w:rFonts w:ascii="Arial" w:cs="Arial" w:eastAsia="Arial" w:hAnsi="Arial"/>
          <w:sz w:val="19"/>
          <w:szCs w:val="19"/>
          <w:color w:val="auto"/>
          <w:vertAlign w:val="superscript"/>
        </w:rPr>
      </w:pPr>
      <w:r>
        <w:rPr>
          <w:rFonts w:ascii="Arial" w:cs="Arial" w:eastAsia="Arial" w:hAnsi="Arial"/>
          <w:sz w:val="13"/>
          <w:szCs w:val="13"/>
          <w:color w:val="auto"/>
        </w:rPr>
        <w:t>Mr. Petno was not a NEO in 2023 or 2024.</w:t>
      </w:r>
    </w:p>
    <w:p>
      <w:pPr>
        <w:spacing w:after="0" w:line="13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previously disclosed, Daniel Pinto plans to retire at the end of 2026, after over 40 years of distinguished service. The Firm thanks Mr. Pinto for his stewardship and significant contributions to the success of our leading franchise. In recognition of his prior role as President &amp; COO and transition to Vice Chair, including his ongoing support and engagement with stakeholders, advisory and delivery on strategic priorities, and successful COO transition, Mr. Pinto's 2025 performance year compensation was $23.25 million, comprising $1.5 million salary, $5.0 million cash incentive, $8.375 million RSUs and $8.375 million PSUs.</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color w:val="auto"/>
        </w:rPr>
        <w:t>Interpreting 2025 NEO compensation</w:t>
      </w:r>
    </w:p>
    <w:p>
      <w:pPr>
        <w:spacing w:after="0" w:line="15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table and narrative above illustrate how the CMDC and Board viewed compensation awarded for 2025 performance. They differ from how compensation is reported in the “Summary compensation table” (“SCT”) on page 63, which is required by the SEC, and are not intended as a substitute for the SCT. In the table and narrative above, equity awards (RSUs and PSUs) granted in 2026, 2025 and 2024 are shown as compensation for the relevant performance year (2025, 2024 and 2023, respectively). In contrast, the SCT reports the value of equity awards in the year in which they are granted. Additionally, the table and narrative above do not show the change in pension value and nonqualified deferred compensation and all other compensation, which are reported in the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474980</wp:posOffset>
            </wp:positionV>
            <wp:extent cx="651510" cy="8572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56</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458"/>
        </w:trPr>
        <w:tc>
          <w:tcPr>
            <w:tcW w:w="2800" w:type="dxa"/>
            <w:vAlign w:val="bottom"/>
            <w:tcBorders>
              <w:top w:val="single" w:sz="8" w:color="auto"/>
              <w:left w:val="single" w:sz="8" w:color="030303"/>
              <w:right w:val="single" w:sz="8" w:color="auto"/>
            </w:tcBorders>
          </w:tcPr>
          <w:p>
            <w:pPr>
              <w:ind w:left="320"/>
              <w:spacing w:after="0"/>
              <w:rPr>
                <w:sz w:val="20"/>
                <w:szCs w:val="20"/>
                <w:color w:val="auto"/>
              </w:rPr>
            </w:pPr>
            <w:r>
              <w:rPr>
                <w:rFonts w:ascii="Arial" w:cs="Arial" w:eastAsia="Arial" w:hAnsi="Arial"/>
                <w:sz w:val="14"/>
                <w:szCs w:val="14"/>
                <w:color w:val="8F5A39"/>
              </w:rPr>
              <w:t>How we think about pay decisions</w:t>
            </w:r>
          </w:p>
        </w:tc>
        <w:tc>
          <w:tcPr>
            <w:tcW w:w="400" w:type="dxa"/>
            <w:vAlign w:val="bottom"/>
            <w:tcBorders>
              <w:right w:val="single" w:sz="8" w:color="030303"/>
            </w:tcBorders>
          </w:tcPr>
          <w:p>
            <w:pPr>
              <w:spacing w:after="0"/>
              <w:rPr>
                <w:sz w:val="24"/>
                <w:szCs w:val="24"/>
                <w:color w:val="auto"/>
              </w:rPr>
            </w:pPr>
          </w:p>
        </w:tc>
        <w:tc>
          <w:tcPr>
            <w:tcW w:w="41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380" w:type="dxa"/>
            <w:vAlign w:val="bottom"/>
          </w:tcPr>
          <w:p>
            <w:pPr>
              <w:spacing w:after="0"/>
              <w:rPr>
                <w:sz w:val="24"/>
                <w:szCs w:val="24"/>
                <w:color w:val="auto"/>
              </w:rPr>
            </w:pPr>
          </w:p>
        </w:tc>
        <w:tc>
          <w:tcPr>
            <w:tcW w:w="3560" w:type="dxa"/>
            <w:vAlign w:val="bottom"/>
            <w:tcBorders>
              <w:top w:val="single" w:sz="8" w:color="A6D7F0"/>
              <w:bottom w:val="single" w:sz="8" w:color="A6D7F0"/>
            </w:tcBorders>
            <w:shd w:val="clear" w:color="auto" w:fill="A6D7F0"/>
          </w:tcPr>
          <w:p>
            <w:pPr>
              <w:ind w:left="380"/>
              <w:spacing w:after="0"/>
              <w:rPr>
                <w:sz w:val="20"/>
                <w:szCs w:val="20"/>
                <w:color w:val="auto"/>
              </w:rPr>
            </w:pPr>
            <w:r>
              <w:rPr>
                <w:rFonts w:ascii="Arial" w:cs="Arial" w:eastAsia="Arial" w:hAnsi="Arial"/>
                <w:sz w:val="14"/>
                <w:szCs w:val="14"/>
                <w:b w:val="1"/>
                <w:bCs w:val="1"/>
                <w:color w:val="auto"/>
              </w:rPr>
              <w:t>How performance determined pay in 2025</w:t>
            </w:r>
          </w:p>
        </w:tc>
      </w:tr>
      <w:tr>
        <w:trPr>
          <w:trHeight w:val="20"/>
        </w:trPr>
        <w:tc>
          <w:tcPr>
            <w:tcW w:w="28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tcBorders>
              <w:top w:val="single" w:sz="8" w:color="A6D7F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-196850</wp:posOffset>
            </wp:positionV>
            <wp:extent cx="120015" cy="9398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-196850</wp:posOffset>
            </wp:positionV>
            <wp:extent cx="120015" cy="9398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color w:val="auto"/>
        </w:rPr>
        <w:t>2025 CEO annual compensation is aligned with multi-year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20015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320"/>
        <w:spacing w:after="0"/>
        <w:rPr>
          <w:sz w:val="20"/>
          <w:szCs w:val="20"/>
          <w:color w:val="auto"/>
        </w:rPr>
      </w:pPr>
      <w:r>
        <w:rPr>
          <w:rFonts w:ascii="Arial" w:cs="Arial" w:eastAsia="Arial" w:hAnsi="Arial"/>
          <w:sz w:val="25"/>
          <w:szCs w:val="25"/>
          <w:color w:val="8F5A39"/>
        </w:rPr>
        <w:t>James Dimon</w:t>
      </w:r>
    </w:p>
    <w:p>
      <w:pPr>
        <w:spacing w:after="0" w:line="20"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Chairman and CEO</w:t>
      </w:r>
    </w:p>
    <w:p>
      <w:pPr>
        <w:spacing w:after="0" w:line="57" w:lineRule="exact"/>
        <w:rPr>
          <w:sz w:val="20"/>
          <w:szCs w:val="20"/>
          <w:color w:val="auto"/>
        </w:rPr>
      </w:pPr>
    </w:p>
    <w:p>
      <w:pPr>
        <w:ind w:left="2320" w:right="3800"/>
        <w:spacing w:after="0" w:line="266" w:lineRule="auto"/>
        <w:rPr>
          <w:sz w:val="20"/>
          <w:szCs w:val="20"/>
          <w:color w:val="auto"/>
        </w:rPr>
      </w:pPr>
      <w:r>
        <w:rPr>
          <w:rFonts w:ascii="Arial" w:cs="Arial" w:eastAsia="Arial" w:hAnsi="Arial"/>
          <w:sz w:val="16"/>
          <w:szCs w:val="16"/>
          <w:color w:val="auto"/>
        </w:rPr>
        <w:t>In determining Mr. Dimon’s compensation, independent members of the Board considered his exemplary leadership and achievements across the Firm’s four broad performance dimensions.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CEO PERFORMANCE SUMMARY: </w:t>
      </w:r>
      <w:r>
        <w:rPr>
          <w:rFonts w:ascii="Arial" w:cs="Arial" w:eastAsia="Arial" w:hAnsi="Arial"/>
          <w:sz w:val="16"/>
          <w:szCs w:val="16"/>
          <w:color w:val="auto"/>
        </w:rPr>
        <w:t>Assessment of results against long-term strategic priorities and qualitative considerations</w:t>
      </w:r>
    </w:p>
    <w:p>
      <w:pPr>
        <w:sectPr>
          <w:pgSz w:w="11900" w:h="16838" w:orient="portrait"/>
          <w:cols w:equalWidth="0" w:num="1">
            <w:col w:w="11240"/>
          </w:cols>
          <w:pgMar w:left="320" w:top="157" w:right="339" w:bottom="1440" w:gutter="0" w:footer="0" w:header="0"/>
        </w:sectPr>
      </w:pPr>
    </w:p>
    <w:p>
      <w:pPr>
        <w:spacing w:after="0" w:line="16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8F5A39"/>
        </w:rPr>
        <w:t>2025 Business Results &amp; 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-115570</wp:posOffset>
            </wp:positionV>
            <wp:extent cx="7012305" cy="168846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012305" cy="1688465"/>
                    </a:xfrm>
                    <a:prstGeom prst="rect">
                      <a:avLst/>
                    </a:prstGeom>
                    <a:noFill/>
                  </pic:spPr>
                </pic:pic>
              </a:graphicData>
            </a:graphic>
          </wp:anchor>
        </w:drawing>
      </w:r>
    </w:p>
    <w:p>
      <w:pPr>
        <w:spacing w:after="0" w:line="14" w:lineRule="exact"/>
        <w:rPr>
          <w:sz w:val="20"/>
          <w:szCs w:val="20"/>
          <w:color w:val="auto"/>
        </w:rPr>
      </w:pPr>
    </w:p>
    <w:tbl>
      <w:tblPr>
        <w:tblLayout w:type="fixed"/>
        <w:tblInd w:w="780" w:type="dxa"/>
        <w:tblCellMar>
          <w:top w:w="0" w:type="dxa"/>
          <w:left w:w="0" w:type="dxa"/>
          <w:bottom w:w="0" w:type="dxa"/>
          <w:right w:w="0" w:type="dxa"/>
        </w:tblCellMar>
      </w:tblPr>
      <w:tr>
        <w:trPr>
          <w:trHeight w:val="241"/>
        </w:trPr>
        <w:tc>
          <w:tcPr>
            <w:tcW w:w="3820" w:type="dxa"/>
            <w:vAlign w:val="bottom"/>
            <w:gridSpan w:val="2"/>
            <w:shd w:val="clear" w:color="auto" w:fill="F4EFE7"/>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Record revenue</w:t>
            </w:r>
            <w:r>
              <w:rPr>
                <w:rFonts w:ascii="Arial" w:cs="Arial" w:eastAsia="Arial" w:hAnsi="Arial"/>
                <w:sz w:val="21"/>
                <w:szCs w:val="21"/>
                <w:color w:val="auto"/>
                <w:vertAlign w:val="superscript"/>
              </w:rPr>
              <w:t>1,2</w:t>
            </w:r>
            <w:r>
              <w:rPr>
                <w:rFonts w:ascii="Arial" w:cs="Arial" w:eastAsia="Arial" w:hAnsi="Arial"/>
                <w:sz w:val="16"/>
                <w:szCs w:val="16"/>
                <w:b w:val="1"/>
                <w:bCs w:val="1"/>
                <w:color w:val="auto"/>
              </w:rPr>
              <w:t xml:space="preserve"> </w:t>
            </w:r>
            <w:r>
              <w:rPr>
                <w:rFonts w:ascii="Arial" w:cs="Arial" w:eastAsia="Arial" w:hAnsi="Arial"/>
                <w:sz w:val="16"/>
                <w:szCs w:val="16"/>
                <w:color w:val="auto"/>
              </w:rPr>
              <w:t>of $185.6 billion</w:t>
            </w:r>
          </w:p>
        </w:tc>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Net income of $57.0 billion</w:t>
            </w:r>
          </w:p>
        </w:tc>
      </w:tr>
      <w:tr>
        <w:trPr>
          <w:trHeight w:val="189"/>
        </w:trPr>
        <w:tc>
          <w:tcPr>
            <w:tcW w:w="140" w:type="dxa"/>
            <w:vAlign w:val="bottom"/>
            <w:shd w:val="clear" w:color="auto" w:fill="F4EFE7"/>
          </w:tcPr>
          <w:p>
            <w:pPr>
              <w:ind w:left="20"/>
              <w:spacing w:after="0"/>
              <w:rPr>
                <w:sz w:val="20"/>
                <w:szCs w:val="20"/>
                <w:color w:val="auto"/>
              </w:rPr>
            </w:pPr>
            <w:r>
              <w:rPr>
                <w:rFonts w:ascii="Arial" w:cs="Arial" w:eastAsia="Arial" w:hAnsi="Arial"/>
                <w:sz w:val="16"/>
                <w:szCs w:val="16"/>
                <w:b w:val="1"/>
                <w:bCs w:val="1"/>
                <w:color w:val="auto"/>
              </w:rPr>
              <w:t>•</w:t>
            </w:r>
          </w:p>
        </w:tc>
        <w:tc>
          <w:tcPr>
            <w:tcW w:w="3680" w:type="dxa"/>
            <w:vAlign w:val="bottom"/>
            <w:shd w:val="clear" w:color="auto" w:fill="F4EFE7"/>
          </w:tcPr>
          <w:p>
            <w:pPr>
              <w:ind w:left="60"/>
              <w:spacing w:after="0"/>
              <w:rPr>
                <w:sz w:val="20"/>
                <w:szCs w:val="20"/>
                <w:color w:val="auto"/>
              </w:rPr>
            </w:pPr>
            <w:r>
              <w:rPr>
                <w:rFonts w:ascii="Arial" w:cs="Arial" w:eastAsia="Arial" w:hAnsi="Arial"/>
                <w:sz w:val="16"/>
                <w:szCs w:val="16"/>
                <w:color w:val="auto"/>
              </w:rPr>
              <w:t>Pre-tax income of $72.6 billion; Pre-tax income</w:t>
            </w: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2900" w:type="dxa"/>
            <w:vAlign w:val="bottom"/>
          </w:tcPr>
          <w:p>
            <w:pPr>
              <w:ind w:left="60"/>
              <w:spacing w:after="0"/>
              <w:rPr>
                <w:sz w:val="20"/>
                <w:szCs w:val="20"/>
                <w:color w:val="auto"/>
              </w:rPr>
            </w:pPr>
            <w:r>
              <w:rPr>
                <w:rFonts w:ascii="Arial" w:cs="Arial" w:eastAsia="Arial" w:hAnsi="Arial"/>
                <w:sz w:val="16"/>
                <w:szCs w:val="16"/>
                <w:color w:val="auto"/>
              </w:rPr>
              <w:t>EPS of $20.02</w:t>
            </w:r>
          </w:p>
        </w:tc>
      </w:tr>
      <w:tr>
        <w:trPr>
          <w:trHeight w:val="286"/>
        </w:trPr>
        <w:tc>
          <w:tcPr>
            <w:tcW w:w="140" w:type="dxa"/>
            <w:vAlign w:val="bottom"/>
            <w:shd w:val="clear" w:color="auto" w:fill="F4EFE7"/>
          </w:tcPr>
          <w:p>
            <w:pPr>
              <w:spacing w:after="0"/>
              <w:rPr>
                <w:sz w:val="24"/>
                <w:szCs w:val="24"/>
                <w:color w:val="auto"/>
              </w:rPr>
            </w:pPr>
          </w:p>
        </w:tc>
        <w:tc>
          <w:tcPr>
            <w:tcW w:w="3680" w:type="dxa"/>
            <w:vAlign w:val="bottom"/>
            <w:shd w:val="clear" w:color="auto" w:fill="F4EFE7"/>
          </w:tcPr>
          <w:p>
            <w:pPr>
              <w:ind w:left="60"/>
              <w:spacing w:after="0"/>
              <w:rPr>
                <w:sz w:val="20"/>
                <w:szCs w:val="20"/>
                <w:color w:val="auto"/>
              </w:rPr>
            </w:pPr>
            <w:r>
              <w:rPr>
                <w:rFonts w:ascii="Arial" w:cs="Arial" w:eastAsia="Arial" w:hAnsi="Arial"/>
                <w:sz w:val="16"/>
                <w:szCs w:val="16"/>
                <w:color w:val="auto"/>
              </w:rPr>
              <w:t>ex. LLR</w:t>
            </w:r>
            <w:r>
              <w:rPr>
                <w:rFonts w:ascii="Arial" w:cs="Arial" w:eastAsia="Arial" w:hAnsi="Arial"/>
                <w:sz w:val="21"/>
                <w:szCs w:val="21"/>
                <w:color w:val="auto"/>
                <w:vertAlign w:val="superscript"/>
              </w:rPr>
              <w:t>1,2</w:t>
            </w:r>
            <w:r>
              <w:rPr>
                <w:rFonts w:ascii="Arial" w:cs="Arial" w:eastAsia="Arial" w:hAnsi="Arial"/>
                <w:sz w:val="16"/>
                <w:szCs w:val="16"/>
                <w:color w:val="auto"/>
              </w:rPr>
              <w:t xml:space="preserve"> of $80.1 billion</w:t>
            </w: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50"/>
        </w:trPr>
        <w:tc>
          <w:tcPr>
            <w:tcW w:w="140" w:type="dxa"/>
            <w:vAlign w:val="bottom"/>
            <w:shd w:val="clear" w:color="auto" w:fill="F4EFE7"/>
          </w:tcPr>
          <w:p>
            <w:pPr>
              <w:ind w:left="20"/>
              <w:spacing w:after="0"/>
              <w:rPr>
                <w:sz w:val="20"/>
                <w:szCs w:val="20"/>
                <w:color w:val="auto"/>
              </w:rPr>
            </w:pPr>
            <w:r>
              <w:rPr>
                <w:rFonts w:ascii="Arial" w:cs="Arial" w:eastAsia="Arial" w:hAnsi="Arial"/>
                <w:sz w:val="16"/>
                <w:szCs w:val="16"/>
                <w:b w:val="1"/>
                <w:bCs w:val="1"/>
                <w:color w:val="auto"/>
              </w:rPr>
              <w:t>•</w:t>
            </w:r>
          </w:p>
        </w:tc>
        <w:tc>
          <w:tcPr>
            <w:tcW w:w="3680" w:type="dxa"/>
            <w:vAlign w:val="bottom"/>
            <w:shd w:val="clear" w:color="auto" w:fill="F4EFE7"/>
          </w:tcPr>
          <w:p>
            <w:pPr>
              <w:ind w:left="60"/>
              <w:spacing w:after="0"/>
              <w:rPr>
                <w:sz w:val="20"/>
                <w:szCs w:val="20"/>
                <w:color w:val="auto"/>
              </w:rPr>
            </w:pPr>
            <w:r>
              <w:rPr>
                <w:rFonts w:ascii="Arial" w:cs="Arial" w:eastAsia="Arial" w:hAnsi="Arial"/>
                <w:sz w:val="16"/>
                <w:szCs w:val="16"/>
                <w:b w:val="1"/>
                <w:bCs w:val="1"/>
                <w:color w:val="auto"/>
              </w:rPr>
              <w:t>CCB</w:t>
            </w:r>
            <w:r>
              <w:rPr>
                <w:rFonts w:ascii="Arial" w:cs="Arial" w:eastAsia="Arial" w:hAnsi="Arial"/>
                <w:sz w:val="21"/>
                <w:szCs w:val="21"/>
                <w:b w:val="1"/>
                <w:bCs w:val="1"/>
                <w:color w:val="auto"/>
                <w:vertAlign w:val="superscript"/>
              </w:rPr>
              <w:t>3</w:t>
            </w:r>
            <w:r>
              <w:rPr>
                <w:rFonts w:ascii="Arial" w:cs="Arial" w:eastAsia="Arial" w:hAnsi="Arial"/>
                <w:sz w:val="16"/>
                <w:szCs w:val="16"/>
                <w:color w:val="auto"/>
              </w:rPr>
              <w:t>: #1 U.S. retail deposit market share</w:t>
            </w: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2900" w:type="dxa"/>
            <w:vAlign w:val="bottom"/>
          </w:tcPr>
          <w:p>
            <w:pPr>
              <w:ind w:left="60"/>
              <w:spacing w:after="0"/>
              <w:rPr>
                <w:sz w:val="20"/>
                <w:szCs w:val="20"/>
                <w:color w:val="auto"/>
              </w:rPr>
            </w:pPr>
            <w:r>
              <w:rPr>
                <w:rFonts w:ascii="Arial" w:cs="Arial" w:eastAsia="Arial" w:hAnsi="Arial"/>
                <w:sz w:val="16"/>
                <w:szCs w:val="16"/>
                <w:b w:val="1"/>
                <w:bCs w:val="1"/>
                <w:color w:val="auto"/>
                <w:w w:val="99"/>
              </w:rPr>
              <w:t>CIB</w:t>
            </w:r>
            <w:r>
              <w:rPr>
                <w:rFonts w:ascii="Arial" w:cs="Arial" w:eastAsia="Arial" w:hAnsi="Arial"/>
                <w:sz w:val="21"/>
                <w:szCs w:val="21"/>
                <w:b w:val="1"/>
                <w:bCs w:val="1"/>
                <w:color w:val="auto"/>
                <w:w w:val="99"/>
                <w:vertAlign w:val="superscript"/>
              </w:rPr>
              <w:t>3</w:t>
            </w:r>
            <w:r>
              <w:rPr>
                <w:rFonts w:ascii="Arial" w:cs="Arial" w:eastAsia="Arial" w:hAnsi="Arial"/>
                <w:sz w:val="16"/>
                <w:szCs w:val="16"/>
                <w:color w:val="auto"/>
                <w:w w:val="99"/>
              </w:rPr>
              <w:t>: #1 Markets revenue and global IB</w:t>
            </w:r>
          </w:p>
        </w:tc>
      </w:tr>
      <w:tr>
        <w:trPr>
          <w:trHeight w:val="216"/>
        </w:trPr>
        <w:tc>
          <w:tcPr>
            <w:tcW w:w="140" w:type="dxa"/>
            <w:vAlign w:val="bottom"/>
            <w:shd w:val="clear" w:color="auto" w:fill="F4EFE7"/>
          </w:tcPr>
          <w:p>
            <w:pPr>
              <w:spacing w:after="0"/>
              <w:rPr>
                <w:sz w:val="18"/>
                <w:szCs w:val="18"/>
                <w:color w:val="auto"/>
              </w:rPr>
            </w:pPr>
          </w:p>
        </w:tc>
        <w:tc>
          <w:tcPr>
            <w:tcW w:w="3680" w:type="dxa"/>
            <w:vAlign w:val="bottom"/>
            <w:shd w:val="clear" w:color="auto" w:fill="F4EFE7"/>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ind w:left="80"/>
              <w:spacing w:after="0"/>
              <w:rPr>
                <w:sz w:val="20"/>
                <w:szCs w:val="20"/>
                <w:color w:val="auto"/>
              </w:rPr>
            </w:pPr>
            <w:r>
              <w:rPr>
                <w:rFonts w:ascii="Arial" w:cs="Arial" w:eastAsia="Arial" w:hAnsi="Arial"/>
                <w:sz w:val="16"/>
                <w:szCs w:val="16"/>
                <w:color w:val="auto"/>
              </w:rPr>
              <w:t>fees</w:t>
            </w:r>
          </w:p>
        </w:tc>
      </w:tr>
    </w:tbl>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170" w:hanging="170"/>
        <w:spacing w:after="0"/>
        <w:tabs>
          <w:tab w:leader="none" w:pos="170" w:val="left"/>
        </w:tabs>
        <w:numPr>
          <w:ilvl w:val="0"/>
          <w:numId w:val="189"/>
        </w:numPr>
        <w:rPr>
          <w:rFonts w:ascii="Arial" w:cs="Arial" w:eastAsia="Arial" w:hAnsi="Arial"/>
          <w:sz w:val="16"/>
          <w:szCs w:val="16"/>
          <w:b w:val="1"/>
          <w:bCs w:val="1"/>
          <w:color w:val="auto"/>
        </w:rPr>
      </w:pPr>
      <w:r>
        <w:rPr>
          <w:rFonts w:ascii="Arial" w:cs="Arial" w:eastAsia="Arial" w:hAnsi="Arial"/>
          <w:sz w:val="16"/>
          <w:szCs w:val="16"/>
          <w:color w:val="auto"/>
        </w:rPr>
        <w:t>BVPS of $126.99; TBVPS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$107.56</w:t>
      </w:r>
    </w:p>
    <w:p>
      <w:pPr>
        <w:spacing w:after="0" w:line="14" w:lineRule="exact"/>
        <w:rPr>
          <w:rFonts w:ascii="Arial" w:cs="Arial" w:eastAsia="Arial" w:hAnsi="Arial"/>
          <w:sz w:val="16"/>
          <w:szCs w:val="16"/>
          <w:b w:val="1"/>
          <w:bCs w:val="1"/>
          <w:color w:val="auto"/>
        </w:rPr>
      </w:pPr>
    </w:p>
    <w:p>
      <w:pPr>
        <w:ind w:left="170" w:hanging="170"/>
        <w:spacing w:after="0"/>
        <w:tabs>
          <w:tab w:leader="none" w:pos="170" w:val="left"/>
        </w:tabs>
        <w:numPr>
          <w:ilvl w:val="0"/>
          <w:numId w:val="189"/>
        </w:numPr>
        <w:rPr>
          <w:rFonts w:ascii="Arial" w:cs="Arial" w:eastAsia="Arial" w:hAnsi="Arial"/>
          <w:sz w:val="16"/>
          <w:szCs w:val="16"/>
          <w:b w:val="1"/>
          <w:bCs w:val="1"/>
          <w:color w:val="auto"/>
        </w:rPr>
      </w:pPr>
      <w:r>
        <w:rPr>
          <w:rFonts w:ascii="Arial" w:cs="Arial" w:eastAsia="Arial" w:hAnsi="Arial"/>
          <w:sz w:val="16"/>
          <w:szCs w:val="16"/>
          <w:color w:val="auto"/>
        </w:rPr>
        <w:t>ROE of 17%; ROTCE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20%</w:t>
      </w:r>
    </w:p>
    <w:p>
      <w:pPr>
        <w:spacing w:after="0" w:line="272" w:lineRule="exact"/>
        <w:rPr>
          <w:rFonts w:ascii="Arial" w:cs="Arial" w:eastAsia="Arial" w:hAnsi="Arial"/>
          <w:sz w:val="16"/>
          <w:szCs w:val="16"/>
          <w:b w:val="1"/>
          <w:bCs w:val="1"/>
          <w:color w:val="auto"/>
        </w:rPr>
      </w:pPr>
    </w:p>
    <w:p>
      <w:pPr>
        <w:ind w:left="170" w:hanging="170"/>
        <w:spacing w:after="0"/>
        <w:tabs>
          <w:tab w:leader="none" w:pos="170"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AWM</w:t>
      </w:r>
      <w:r>
        <w:rPr>
          <w:rFonts w:ascii="Arial" w:cs="Arial" w:eastAsia="Arial" w:hAnsi="Arial"/>
          <w:sz w:val="21"/>
          <w:szCs w:val="21"/>
          <w:b w:val="1"/>
          <w:bCs w:val="1"/>
          <w:color w:val="auto"/>
          <w:vertAlign w:val="superscript"/>
        </w:rPr>
        <w:t>3</w:t>
      </w:r>
      <w:r>
        <w:rPr>
          <w:rFonts w:ascii="Arial" w:cs="Arial" w:eastAsia="Arial" w:hAnsi="Arial"/>
          <w:sz w:val="16"/>
          <w:szCs w:val="16"/>
          <w:color w:val="auto"/>
        </w:rPr>
        <w:t>: #1 Active Flows</w:t>
      </w:r>
    </w:p>
    <w:p>
      <w:pPr>
        <w:spacing w:after="0" w:line="269" w:lineRule="exact"/>
        <w:rPr>
          <w:sz w:val="20"/>
          <w:szCs w:val="20"/>
          <w:color w:val="auto"/>
        </w:rPr>
      </w:pPr>
    </w:p>
    <w:p>
      <w:pPr>
        <w:sectPr>
          <w:pgSz w:w="11900" w:h="16838" w:orient="portrait"/>
          <w:cols w:equalWidth="0" w:num="2">
            <w:col w:w="7640" w:space="270"/>
            <w:col w:w="3330"/>
          </w:cols>
          <w:pgMar w:left="320" w:top="157" w:right="339" w:bottom="1440" w:gutter="0" w:footer="0" w:header="0"/>
          <w:type w:val="continuous"/>
        </w:sectPr>
      </w:pPr>
    </w:p>
    <w:p>
      <w:pPr>
        <w:ind w:left="980" w:right="320" w:hanging="185"/>
        <w:spacing w:after="0" w:line="263" w:lineRule="auto"/>
        <w:tabs>
          <w:tab w:leader="none" w:pos="964" w:val="left"/>
        </w:tabs>
        <w:numPr>
          <w:ilvl w:val="0"/>
          <w:numId w:val="190"/>
        </w:numPr>
        <w:rPr>
          <w:rFonts w:ascii="Arial" w:cs="Arial" w:eastAsia="Arial" w:hAnsi="Arial"/>
          <w:sz w:val="16"/>
          <w:szCs w:val="16"/>
          <w:b w:val="1"/>
          <w:bCs w:val="1"/>
          <w:color w:val="auto"/>
        </w:rPr>
      </w:pPr>
      <w:r>
        <w:rPr>
          <w:rFonts w:ascii="Arial" w:cs="Arial" w:eastAsia="Arial" w:hAnsi="Arial"/>
          <w:sz w:val="16"/>
          <w:szCs w:val="16"/>
          <w:color w:val="auto"/>
        </w:rPr>
        <w:t>Maintained a fortress balance sheet, executed on long-term strategic initiatives and selectively deployed excess capital amid a constructive market backdrop</w:t>
      </w:r>
    </w:p>
    <w:p>
      <w:pPr>
        <w:spacing w:after="0" w:line="1" w:lineRule="exact"/>
        <w:rPr>
          <w:rFonts w:ascii="Arial" w:cs="Arial" w:eastAsia="Arial" w:hAnsi="Arial"/>
          <w:sz w:val="16"/>
          <w:szCs w:val="16"/>
          <w:b w:val="1"/>
          <w:bCs w:val="1"/>
          <w:color w:val="auto"/>
        </w:rPr>
      </w:pPr>
    </w:p>
    <w:p>
      <w:pPr>
        <w:ind w:left="980" w:hanging="185"/>
        <w:spacing w:after="0"/>
        <w:tabs>
          <w:tab w:leader="none" w:pos="980" w:val="left"/>
        </w:tabs>
        <w:numPr>
          <w:ilvl w:val="0"/>
          <w:numId w:val="190"/>
        </w:numPr>
        <w:rPr>
          <w:rFonts w:ascii="Arial" w:cs="Arial" w:eastAsia="Arial" w:hAnsi="Arial"/>
          <w:sz w:val="16"/>
          <w:szCs w:val="16"/>
          <w:b w:val="1"/>
          <w:bCs w:val="1"/>
          <w:color w:val="auto"/>
        </w:rPr>
      </w:pPr>
      <w:r>
        <w:rPr>
          <w:rFonts w:ascii="Arial" w:cs="Arial" w:eastAsia="Arial" w:hAnsi="Arial"/>
          <w:sz w:val="16"/>
          <w:szCs w:val="16"/>
          <w:color w:val="auto"/>
        </w:rPr>
        <w:t>Continued to efficiently address risks and controls while improving the client and customer experience</w:t>
      </w:r>
    </w:p>
    <w:p>
      <w:pPr>
        <w:spacing w:after="0" w:line="45" w:lineRule="exact"/>
        <w:rPr>
          <w:rFonts w:ascii="Arial" w:cs="Arial" w:eastAsia="Arial" w:hAnsi="Arial"/>
          <w:sz w:val="16"/>
          <w:szCs w:val="16"/>
          <w:b w:val="1"/>
          <w:bCs w:val="1"/>
          <w:color w:val="auto"/>
        </w:rPr>
      </w:pPr>
    </w:p>
    <w:p>
      <w:pPr>
        <w:ind w:left="980" w:hanging="185"/>
        <w:spacing w:after="0"/>
        <w:tabs>
          <w:tab w:leader="none" w:pos="980" w:val="left"/>
        </w:tabs>
        <w:numPr>
          <w:ilvl w:val="0"/>
          <w:numId w:val="190"/>
        </w:numPr>
        <w:rPr>
          <w:rFonts w:ascii="Arial" w:cs="Arial" w:eastAsia="Arial" w:hAnsi="Arial"/>
          <w:sz w:val="16"/>
          <w:szCs w:val="16"/>
          <w:b w:val="1"/>
          <w:bCs w:val="1"/>
          <w:color w:val="auto"/>
        </w:rPr>
      </w:pPr>
      <w:r>
        <w:rPr>
          <w:rFonts w:ascii="Arial" w:cs="Arial" w:eastAsia="Arial" w:hAnsi="Arial"/>
          <w:sz w:val="16"/>
          <w:szCs w:val="16"/>
          <w:color w:val="auto"/>
        </w:rPr>
        <w:t>Continued investment in data, technology and AI/ML capabilities to improve internal processes and position the Firm for future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-90170</wp:posOffset>
            </wp:positionV>
            <wp:extent cx="7054850" cy="34886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054850" cy="34886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Client/Customer/Stakeholder</w:t>
      </w:r>
    </w:p>
    <w:p>
      <w:pPr>
        <w:spacing w:after="0" w:line="73" w:lineRule="exact"/>
        <w:rPr>
          <w:sz w:val="20"/>
          <w:szCs w:val="20"/>
          <w:color w:val="auto"/>
        </w:rPr>
      </w:pPr>
    </w:p>
    <w:p>
      <w:pPr>
        <w:ind w:left="940" w:right="460" w:hanging="199"/>
        <w:spacing w:after="0" w:line="268" w:lineRule="auto"/>
        <w:tabs>
          <w:tab w:leader="none" w:pos="924" w:val="left"/>
        </w:tabs>
        <w:numPr>
          <w:ilvl w:val="0"/>
          <w:numId w:val="191"/>
        </w:numPr>
        <w:rPr>
          <w:rFonts w:ascii="Arial" w:cs="Arial" w:eastAsia="Arial" w:hAnsi="Arial"/>
          <w:sz w:val="16"/>
          <w:szCs w:val="16"/>
          <w:b w:val="1"/>
          <w:bCs w:val="1"/>
          <w:color w:val="auto"/>
        </w:rPr>
      </w:pPr>
      <w:r>
        <w:rPr>
          <w:rFonts w:ascii="Arial" w:cs="Arial" w:eastAsia="Arial" w:hAnsi="Arial"/>
          <w:sz w:val="16"/>
          <w:szCs w:val="16"/>
          <w:color w:val="auto"/>
        </w:rPr>
        <w:t>Continued to put clients and customers first by delivering a comprehensive set of products and services, including leveraging cutting-edge technology to provide tailored solutions and an intuitive digital experience</w:t>
      </w:r>
    </w:p>
    <w:p>
      <w:pPr>
        <w:spacing w:after="0" w:line="7" w:lineRule="exact"/>
        <w:rPr>
          <w:rFonts w:ascii="Arial" w:cs="Arial" w:eastAsia="Arial" w:hAnsi="Arial"/>
          <w:sz w:val="16"/>
          <w:szCs w:val="16"/>
          <w:b w:val="1"/>
          <w:bCs w:val="1"/>
          <w:color w:val="auto"/>
        </w:rPr>
      </w:pPr>
    </w:p>
    <w:p>
      <w:pPr>
        <w:ind w:left="940" w:right="300" w:hanging="199"/>
        <w:spacing w:after="0" w:line="268" w:lineRule="auto"/>
        <w:tabs>
          <w:tab w:leader="none" w:pos="924" w:val="left"/>
        </w:tabs>
        <w:numPr>
          <w:ilvl w:val="0"/>
          <w:numId w:val="191"/>
        </w:numPr>
        <w:rPr>
          <w:rFonts w:ascii="Arial" w:cs="Arial" w:eastAsia="Arial" w:hAnsi="Arial"/>
          <w:sz w:val="16"/>
          <w:szCs w:val="16"/>
          <w:b w:val="1"/>
          <w:bCs w:val="1"/>
          <w:color w:val="auto"/>
        </w:rPr>
      </w:pPr>
      <w:r>
        <w:rPr>
          <w:rFonts w:ascii="Arial" w:cs="Arial" w:eastAsia="Arial" w:hAnsi="Arial"/>
          <w:sz w:val="16"/>
          <w:szCs w:val="16"/>
          <w:color w:val="auto"/>
        </w:rPr>
        <w:t>Remained steadfast in driving economic growth, supporting and empowering the communities we serve around the world and engaging with policymakers to support the long-term interests of the Firm and stakeholders</w:t>
      </w:r>
    </w:p>
    <w:p>
      <w:pPr>
        <w:spacing w:after="0" w:line="21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Risk, Controls &amp; Conduct</w:t>
      </w:r>
    </w:p>
    <w:p>
      <w:pPr>
        <w:spacing w:after="0" w:line="7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Continued to focus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-98425</wp:posOffset>
            </wp:positionV>
            <wp:extent cx="163195" cy="10115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clrChange>
                        <a:clrFrom>
                          <a:srgbClr val="000000"/>
                        </a:clrFrom>
                        <a:clrTo>
                          <a:srgbClr val="000000">
                            <a:alpha val="0"/>
                          </a:srgbClr>
                        </a:clrTo>
                      </a:clrChange>
                      <a:extLst>
                        <a:ext uri="{28A0092B-C50C-407E-A947-70E740481C1C}"/>
                      </a:extLst>
                    </a:blip>
                    <a:srcRect/>
                    <a:stretch>
                      <a:fillRect/>
                    </a:stretch>
                  </pic:blipFill>
                  <pic:spPr bwMode="auto">
                    <a:xfrm>
                      <a:off x="0" y="0"/>
                      <a:ext cx="163195" cy="10115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-98425</wp:posOffset>
            </wp:positionV>
            <wp:extent cx="163195" cy="10115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clrChange>
                        <a:clrFrom>
                          <a:srgbClr val="FFFFFF"/>
                        </a:clrFrom>
                        <a:clrTo>
                          <a:srgbClr val="FFFFFF">
                            <a:alpha val="0"/>
                          </a:srgbClr>
                        </a:clrTo>
                      </a:clrChange>
                      <a:extLst>
                        <a:ext uri="{28A0092B-C50C-407E-A947-70E740481C1C}"/>
                      </a:extLst>
                    </a:blip>
                    <a:srcRect/>
                    <a:stretch>
                      <a:fillRect/>
                    </a:stretch>
                  </pic:blipFill>
                  <pic:spPr bwMode="auto">
                    <a:xfrm>
                      <a:off x="0" y="0"/>
                      <a:ext cx="163195" cy="1011555"/>
                    </a:xfrm>
                    <a:prstGeom prst="rect">
                      <a:avLst/>
                    </a:prstGeom>
                    <a:noFill/>
                  </pic:spPr>
                </pic:pic>
              </a:graphicData>
            </a:graphic>
          </wp:anchor>
        </w:drawing>
      </w:r>
    </w:p>
    <w:p>
      <w:pPr>
        <w:spacing w:after="0" w:line="26" w:lineRule="exact"/>
        <w:rPr>
          <w:sz w:val="20"/>
          <w:szCs w:val="20"/>
          <w:color w:val="auto"/>
        </w:rPr>
      </w:pPr>
    </w:p>
    <w:p>
      <w:pPr>
        <w:ind w:left="920" w:hanging="179"/>
        <w:spacing w:after="0"/>
        <w:tabs>
          <w:tab w:leader="none" w:pos="920" w:val="left"/>
        </w:tabs>
        <w:numPr>
          <w:ilvl w:val="0"/>
          <w:numId w:val="192"/>
        </w:numPr>
        <w:rPr>
          <w:rFonts w:ascii="Arial" w:cs="Arial" w:eastAsia="Arial" w:hAnsi="Arial"/>
          <w:sz w:val="16"/>
          <w:szCs w:val="16"/>
          <w:b w:val="1"/>
          <w:bCs w:val="1"/>
          <w:color w:val="auto"/>
        </w:rPr>
      </w:pPr>
      <w:r>
        <w:rPr>
          <w:rFonts w:ascii="Arial" w:cs="Arial" w:eastAsia="Arial" w:hAnsi="Arial"/>
          <w:sz w:val="16"/>
          <w:szCs w:val="16"/>
          <w:color w:val="auto"/>
        </w:rPr>
        <w:t>Managing key risks to the Firm and maintaining strong risk discipline and a satisfactory risk and controls environment across the organization</w:t>
      </w:r>
    </w:p>
    <w:p>
      <w:pPr>
        <w:spacing w:after="0" w:line="59" w:lineRule="exact"/>
        <w:rPr>
          <w:rFonts w:ascii="Arial" w:cs="Arial" w:eastAsia="Arial" w:hAnsi="Arial"/>
          <w:sz w:val="16"/>
          <w:szCs w:val="16"/>
          <w:b w:val="1"/>
          <w:bCs w:val="1"/>
          <w:color w:val="auto"/>
        </w:rPr>
      </w:pPr>
    </w:p>
    <w:p>
      <w:pPr>
        <w:ind w:left="940" w:right="940" w:hanging="199"/>
        <w:spacing w:after="0" w:line="264" w:lineRule="auto"/>
        <w:tabs>
          <w:tab w:leader="none" w:pos="924" w:val="left"/>
        </w:tabs>
        <w:numPr>
          <w:ilvl w:val="0"/>
          <w:numId w:val="192"/>
        </w:numPr>
        <w:rPr>
          <w:rFonts w:ascii="Arial" w:cs="Arial" w:eastAsia="Arial" w:hAnsi="Arial"/>
          <w:sz w:val="16"/>
          <w:szCs w:val="16"/>
          <w:b w:val="1"/>
          <w:bCs w:val="1"/>
          <w:color w:val="auto"/>
        </w:rPr>
      </w:pPr>
      <w:r>
        <w:rPr>
          <w:rFonts w:ascii="Arial" w:cs="Arial" w:eastAsia="Arial" w:hAnsi="Arial"/>
          <w:sz w:val="16"/>
          <w:szCs w:val="16"/>
          <w:color w:val="auto"/>
        </w:rPr>
        <w:t>Investing significantly in our technologies and cyber defense capabilities to mitigate risk, including through public and private sector partnerships that enhance our resiliency</w:t>
      </w:r>
    </w:p>
    <w:p>
      <w:pPr>
        <w:ind w:left="920" w:hanging="179"/>
        <w:spacing w:after="0"/>
        <w:tabs>
          <w:tab w:leader="none" w:pos="920" w:val="left"/>
        </w:tabs>
        <w:numPr>
          <w:ilvl w:val="0"/>
          <w:numId w:val="192"/>
        </w:numPr>
        <w:rPr>
          <w:rFonts w:ascii="Arial" w:cs="Arial" w:eastAsia="Arial" w:hAnsi="Arial"/>
          <w:sz w:val="16"/>
          <w:szCs w:val="16"/>
          <w:b w:val="1"/>
          <w:bCs w:val="1"/>
          <w:color w:val="auto"/>
        </w:rPr>
      </w:pPr>
      <w:r>
        <w:rPr>
          <w:rFonts w:ascii="Arial" w:cs="Arial" w:eastAsia="Arial" w:hAnsi="Arial"/>
          <w:sz w:val="16"/>
          <w:szCs w:val="16"/>
          <w:color w:val="auto"/>
        </w:rPr>
        <w:t>Setting the standards of leadership and manager expectations to drive the Firm’s culture, consistent with our Business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518160</wp:posOffset>
            </wp:positionV>
            <wp:extent cx="171450" cy="9340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7145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Teamwork &amp; Leadership</w:t>
      </w:r>
    </w:p>
    <w:p>
      <w:pPr>
        <w:spacing w:after="0" w:line="86" w:lineRule="exact"/>
        <w:rPr>
          <w:sz w:val="20"/>
          <w:szCs w:val="20"/>
          <w:color w:val="auto"/>
        </w:rPr>
      </w:pPr>
    </w:p>
    <w:p>
      <w:pPr>
        <w:ind w:left="920" w:hanging="179"/>
        <w:spacing w:after="0"/>
        <w:tabs>
          <w:tab w:leader="none" w:pos="920" w:val="left"/>
        </w:tabs>
        <w:numPr>
          <w:ilvl w:val="0"/>
          <w:numId w:val="193"/>
        </w:numPr>
        <w:rPr>
          <w:rFonts w:ascii="Arial" w:cs="Arial" w:eastAsia="Arial" w:hAnsi="Arial"/>
          <w:sz w:val="16"/>
          <w:szCs w:val="16"/>
          <w:b w:val="1"/>
          <w:bCs w:val="1"/>
          <w:color w:val="auto"/>
        </w:rPr>
      </w:pPr>
      <w:r>
        <w:rPr>
          <w:rFonts w:ascii="Arial" w:cs="Arial" w:eastAsia="Arial" w:hAnsi="Arial"/>
          <w:sz w:val="16"/>
          <w:szCs w:val="16"/>
          <w:color w:val="auto"/>
        </w:rPr>
        <w:t>Continued focus on the execution of long-term succession planning for the Firm’s senior leadership</w:t>
      </w:r>
    </w:p>
    <w:p>
      <w:pPr>
        <w:spacing w:after="0" w:line="45" w:lineRule="exact"/>
        <w:rPr>
          <w:rFonts w:ascii="Arial" w:cs="Arial" w:eastAsia="Arial" w:hAnsi="Arial"/>
          <w:sz w:val="16"/>
          <w:szCs w:val="16"/>
          <w:b w:val="1"/>
          <w:bCs w:val="1"/>
          <w:color w:val="auto"/>
        </w:rPr>
      </w:pPr>
    </w:p>
    <w:p>
      <w:pPr>
        <w:ind w:left="940" w:right="40" w:hanging="199"/>
        <w:spacing w:after="0" w:line="272" w:lineRule="auto"/>
        <w:tabs>
          <w:tab w:leader="none" w:pos="924" w:val="left"/>
        </w:tabs>
        <w:numPr>
          <w:ilvl w:val="0"/>
          <w:numId w:val="193"/>
        </w:numPr>
        <w:rPr>
          <w:rFonts w:ascii="Arial" w:cs="Arial" w:eastAsia="Arial" w:hAnsi="Arial"/>
          <w:sz w:val="16"/>
          <w:szCs w:val="16"/>
          <w:b w:val="1"/>
          <w:bCs w:val="1"/>
          <w:color w:val="auto"/>
        </w:rPr>
      </w:pPr>
      <w:r>
        <w:rPr>
          <w:rFonts w:ascii="Arial" w:cs="Arial" w:eastAsia="Arial" w:hAnsi="Arial"/>
          <w:sz w:val="16"/>
          <w:szCs w:val="16"/>
          <w:color w:val="auto"/>
        </w:rPr>
        <w:t>Fostered a culture of respect, inclusion and performance-based accountability that encourages innovation, creativity and productivity, supported by continued investment in collaborative work environments for our employees</w:t>
      </w:r>
    </w:p>
    <w:p>
      <w:pPr>
        <w:spacing w:after="0" w:line="1" w:lineRule="exact"/>
        <w:rPr>
          <w:rFonts w:ascii="Arial" w:cs="Arial" w:eastAsia="Arial" w:hAnsi="Arial"/>
          <w:sz w:val="16"/>
          <w:szCs w:val="16"/>
          <w:b w:val="1"/>
          <w:bCs w:val="1"/>
          <w:color w:val="auto"/>
        </w:rPr>
      </w:pPr>
    </w:p>
    <w:p>
      <w:pPr>
        <w:ind w:left="940" w:right="80" w:hanging="199"/>
        <w:spacing w:after="0" w:line="268" w:lineRule="auto"/>
        <w:tabs>
          <w:tab w:leader="none" w:pos="924" w:val="left"/>
        </w:tabs>
        <w:numPr>
          <w:ilvl w:val="0"/>
          <w:numId w:val="193"/>
        </w:numPr>
        <w:rPr>
          <w:rFonts w:ascii="Arial" w:cs="Arial" w:eastAsia="Arial" w:hAnsi="Arial"/>
          <w:sz w:val="16"/>
          <w:szCs w:val="16"/>
          <w:b w:val="1"/>
          <w:bCs w:val="1"/>
          <w:color w:val="auto"/>
        </w:rPr>
      </w:pPr>
      <w:r>
        <w:rPr>
          <w:rFonts w:ascii="Arial" w:cs="Arial" w:eastAsia="Arial" w:hAnsi="Arial"/>
          <w:sz w:val="16"/>
          <w:szCs w:val="16"/>
          <w:color w:val="auto"/>
        </w:rPr>
        <w:t>Continued to focus on programs and policies that support the needs and improve the well-being and financial health of our employees and their families</w:t>
      </w:r>
    </w:p>
    <w:p>
      <w:pPr>
        <w:spacing w:after="0" w:line="178" w:lineRule="exact"/>
        <w:rPr>
          <w:sz w:val="20"/>
          <w:szCs w:val="20"/>
          <w:color w:val="auto"/>
        </w:rPr>
      </w:pPr>
    </w:p>
    <w:p>
      <w:pPr>
        <w:ind w:left="200" w:hanging="192"/>
        <w:spacing w:after="0"/>
        <w:tabs>
          <w:tab w:leader="none" w:pos="200" w:val="left"/>
        </w:tabs>
        <w:numPr>
          <w:ilvl w:val="0"/>
          <w:numId w:val="194"/>
        </w:numPr>
        <w:rPr>
          <w:rFonts w:ascii="Arial" w:cs="Arial" w:eastAsia="Arial" w:hAnsi="Arial"/>
          <w:sz w:val="19"/>
          <w:szCs w:val="19"/>
          <w:color w:val="auto"/>
          <w:vertAlign w:val="superscript"/>
        </w:rPr>
      </w:pPr>
      <w:r>
        <w:rPr>
          <w:rFonts w:ascii="Arial" w:cs="Arial" w:eastAsia="Arial" w:hAnsi="Arial"/>
          <w:sz w:val="13"/>
          <w:szCs w:val="13"/>
          <w:color w:val="auto"/>
        </w:rPr>
        <w:t>The Firm reviews the results of the Firm on a managed basis. Refer to Note 2, on page 103 for a definition of managed basis.</w:t>
      </w:r>
    </w:p>
    <w:p>
      <w:pPr>
        <w:ind w:left="200" w:hanging="192"/>
        <w:spacing w:after="0" w:line="182" w:lineRule="auto"/>
        <w:tabs>
          <w:tab w:leader="none" w:pos="200" w:val="left"/>
        </w:tabs>
        <w:numPr>
          <w:ilvl w:val="0"/>
          <w:numId w:val="195"/>
        </w:numPr>
        <w:rPr>
          <w:rFonts w:ascii="Arial" w:cs="Arial" w:eastAsia="Arial" w:hAnsi="Arial"/>
          <w:sz w:val="17"/>
          <w:szCs w:val="17"/>
          <w:color w:val="auto"/>
          <w:vertAlign w:val="superscript"/>
        </w:rPr>
      </w:pPr>
      <w:r>
        <w:rPr>
          <w:rFonts w:ascii="Arial" w:cs="Arial" w:eastAsia="Arial" w:hAnsi="Arial"/>
          <w:sz w:val="11"/>
          <w:szCs w:val="11"/>
          <w:color w:val="auto"/>
        </w:rPr>
        <w:t>Managed Revenue, Pre-Tax Income (ex. LLR), TBVPS and ROTCE are non-GAAP financial measures. Refer to Note 1 on page 103 for further discussion on these measures.</w:t>
      </w:r>
    </w:p>
    <w:p>
      <w:pPr>
        <w:ind w:left="200" w:hanging="192"/>
        <w:spacing w:after="0" w:line="196" w:lineRule="auto"/>
        <w:tabs>
          <w:tab w:leader="none" w:pos="200" w:val="left"/>
        </w:tabs>
        <w:numPr>
          <w:ilvl w:val="0"/>
          <w:numId w:val="196"/>
        </w:numPr>
        <w:rPr>
          <w:rFonts w:ascii="Arial" w:cs="Arial" w:eastAsia="Arial" w:hAnsi="Arial"/>
          <w:sz w:val="19"/>
          <w:szCs w:val="19"/>
          <w:color w:val="auto"/>
          <w:vertAlign w:val="superscript"/>
        </w:rPr>
      </w:pPr>
      <w:r>
        <w:rPr>
          <w:rFonts w:ascii="Arial" w:cs="Arial" w:eastAsia="Arial" w:hAnsi="Arial"/>
          <w:sz w:val="13"/>
          <w:szCs w:val="13"/>
          <w:color w:val="auto"/>
        </w:rPr>
        <w:t>For recognition sources for CCB and CIB refer to page 2, and for AWM,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300355</wp:posOffset>
            </wp:positionV>
            <wp:extent cx="651510" cy="8572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ind w:left="912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21"/>
          <w:szCs w:val="21"/>
          <w:color w:val="auto"/>
          <w:vertAlign w:val="superscript"/>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458"/>
        </w:trPr>
        <w:tc>
          <w:tcPr>
            <w:tcW w:w="2800" w:type="dxa"/>
            <w:vAlign w:val="bottom"/>
            <w:tcBorders>
              <w:top w:val="single" w:sz="8" w:color="auto"/>
              <w:left w:val="single" w:sz="8" w:color="030303"/>
              <w:right w:val="single" w:sz="8" w:color="auto"/>
            </w:tcBorders>
          </w:tcPr>
          <w:p>
            <w:pPr>
              <w:ind w:left="320"/>
              <w:spacing w:after="0"/>
              <w:rPr>
                <w:sz w:val="20"/>
                <w:szCs w:val="20"/>
                <w:color w:val="auto"/>
              </w:rPr>
            </w:pPr>
            <w:r>
              <w:rPr>
                <w:rFonts w:ascii="Arial" w:cs="Arial" w:eastAsia="Arial" w:hAnsi="Arial"/>
                <w:sz w:val="14"/>
                <w:szCs w:val="14"/>
                <w:color w:val="8F5A39"/>
              </w:rPr>
              <w:t>How we think about pay decisions</w:t>
            </w:r>
          </w:p>
        </w:tc>
        <w:tc>
          <w:tcPr>
            <w:tcW w:w="400" w:type="dxa"/>
            <w:vAlign w:val="bottom"/>
            <w:tcBorders>
              <w:right w:val="single" w:sz="8" w:color="030303"/>
            </w:tcBorders>
          </w:tcPr>
          <w:p>
            <w:pPr>
              <w:spacing w:after="0"/>
              <w:rPr>
                <w:sz w:val="24"/>
                <w:szCs w:val="24"/>
                <w:color w:val="auto"/>
              </w:rPr>
            </w:pPr>
          </w:p>
        </w:tc>
        <w:tc>
          <w:tcPr>
            <w:tcW w:w="41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380" w:type="dxa"/>
            <w:vAlign w:val="bottom"/>
          </w:tcPr>
          <w:p>
            <w:pPr>
              <w:spacing w:after="0"/>
              <w:rPr>
                <w:sz w:val="24"/>
                <w:szCs w:val="24"/>
                <w:color w:val="auto"/>
              </w:rPr>
            </w:pPr>
          </w:p>
        </w:tc>
        <w:tc>
          <w:tcPr>
            <w:tcW w:w="3560" w:type="dxa"/>
            <w:vAlign w:val="bottom"/>
            <w:tcBorders>
              <w:top w:val="single" w:sz="8" w:color="A6D7F0"/>
              <w:bottom w:val="single" w:sz="8" w:color="A6D7F0"/>
            </w:tcBorders>
            <w:shd w:val="clear" w:color="auto" w:fill="A6D7F0"/>
          </w:tcPr>
          <w:p>
            <w:pPr>
              <w:ind w:left="380"/>
              <w:spacing w:after="0"/>
              <w:rPr>
                <w:sz w:val="20"/>
                <w:szCs w:val="20"/>
                <w:color w:val="auto"/>
              </w:rPr>
            </w:pPr>
            <w:r>
              <w:rPr>
                <w:rFonts w:ascii="Arial" w:cs="Arial" w:eastAsia="Arial" w:hAnsi="Arial"/>
                <w:sz w:val="14"/>
                <w:szCs w:val="14"/>
                <w:b w:val="1"/>
                <w:bCs w:val="1"/>
                <w:color w:val="auto"/>
              </w:rPr>
              <w:t>How performance determined pay in 2025</w:t>
            </w:r>
          </w:p>
        </w:tc>
      </w:tr>
      <w:tr>
        <w:trPr>
          <w:trHeight w:val="20"/>
        </w:trPr>
        <w:tc>
          <w:tcPr>
            <w:tcW w:w="28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tcBorders>
              <w:top w:val="single" w:sz="8" w:color="A6D7F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-196850</wp:posOffset>
            </wp:positionV>
            <wp:extent cx="120015" cy="9398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-196850</wp:posOffset>
            </wp:positionV>
            <wp:extent cx="120015" cy="9398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color w:val="auto"/>
        </w:rPr>
        <w:t>2025 NEO pay-for-performance summaries</w:t>
      </w:r>
    </w:p>
    <w:p>
      <w:pPr>
        <w:spacing w:after="0" w:line="63"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color w:val="auto"/>
        </w:rPr>
        <w:t>The following pages are summaries of our NEOs’ progress against the Firm’s strategic framework and achievements across the Firm’s four broad performance dimensions.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16586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pacing w:after="0" w:line="383" w:lineRule="exact"/>
        <w:rPr>
          <w:sz w:val="20"/>
          <w:szCs w:val="20"/>
          <w:color w:val="auto"/>
        </w:rPr>
      </w:pPr>
    </w:p>
    <w:p>
      <w:pPr>
        <w:ind w:left="2320"/>
        <w:spacing w:after="0"/>
        <w:rPr>
          <w:sz w:val="20"/>
          <w:szCs w:val="20"/>
          <w:color w:val="auto"/>
        </w:rPr>
      </w:pPr>
      <w:r>
        <w:rPr>
          <w:rFonts w:ascii="Arial" w:cs="Arial" w:eastAsia="Arial" w:hAnsi="Arial"/>
          <w:sz w:val="25"/>
          <w:szCs w:val="25"/>
          <w:color w:val="8F5A39"/>
        </w:rPr>
        <w:t>Mary Callahan Erdoes</w:t>
      </w:r>
    </w:p>
    <w:p>
      <w:pPr>
        <w:spacing w:after="0" w:line="20"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CEO, Asset &amp; Wealth Management</w:t>
      </w:r>
    </w:p>
    <w:p>
      <w:pPr>
        <w:spacing w:after="0" w:line="70" w:lineRule="exact"/>
        <w:rPr>
          <w:sz w:val="20"/>
          <w:szCs w:val="20"/>
          <w:color w:val="auto"/>
        </w:rPr>
      </w:pPr>
    </w:p>
    <w:p>
      <w:pPr>
        <w:ind w:left="2320" w:right="3720"/>
        <w:spacing w:after="0" w:line="257" w:lineRule="auto"/>
        <w:rPr>
          <w:sz w:val="20"/>
          <w:szCs w:val="20"/>
          <w:color w:val="auto"/>
        </w:rPr>
      </w:pPr>
      <w:r>
        <w:rPr>
          <w:rFonts w:ascii="Arial" w:cs="Arial" w:eastAsia="Arial" w:hAnsi="Arial"/>
          <w:sz w:val="16"/>
          <w:szCs w:val="16"/>
          <w:color w:val="auto"/>
        </w:rPr>
        <w:t>Ms. Erdoes has served as CEO of Asset &amp; Wealth Management since September 2009. She previously served as CEO of Wealth Management from 2005 to 2009.</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PERFORMANCE SUMMARY: </w:t>
      </w:r>
      <w:r>
        <w:rPr>
          <w:rFonts w:ascii="Arial" w:cs="Arial" w:eastAsia="Arial" w:hAnsi="Arial"/>
          <w:sz w:val="16"/>
          <w:szCs w:val="16"/>
          <w:color w:val="auto"/>
        </w:rPr>
        <w:t>Assessment of results against long-term strategic priorities and qualitative considerations</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2025 Business Results &amp; 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-115570</wp:posOffset>
            </wp:positionV>
            <wp:extent cx="7054850" cy="14230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054850" cy="1423035"/>
                    </a:xfrm>
                    <a:prstGeom prst="rect">
                      <a:avLst/>
                    </a:prstGeom>
                    <a:noFill/>
                  </pic:spPr>
                </pic:pic>
              </a:graphicData>
            </a:graphic>
          </wp:anchor>
        </w:drawing>
      </w:r>
    </w:p>
    <w:p>
      <w:pPr>
        <w:spacing w:after="0" w:line="26" w:lineRule="exact"/>
        <w:rPr>
          <w:sz w:val="20"/>
          <w:szCs w:val="20"/>
          <w:color w:val="auto"/>
        </w:rPr>
      </w:pPr>
    </w:p>
    <w:p>
      <w:pPr>
        <w:ind w:left="940" w:right="140" w:hanging="199"/>
        <w:spacing w:after="0" w:line="227" w:lineRule="auto"/>
        <w:tabs>
          <w:tab w:leader="none" w:pos="924" w:val="left"/>
        </w:tabs>
        <w:numPr>
          <w:ilvl w:val="0"/>
          <w:numId w:val="197"/>
        </w:numPr>
        <w:rPr>
          <w:rFonts w:ascii="Arial" w:cs="Arial" w:eastAsia="Arial" w:hAnsi="Arial"/>
          <w:sz w:val="16"/>
          <w:szCs w:val="16"/>
          <w:b w:val="1"/>
          <w:bCs w:val="1"/>
          <w:color w:val="auto"/>
        </w:rPr>
      </w:pPr>
      <w:r>
        <w:rPr>
          <w:rFonts w:ascii="Arial" w:cs="Arial" w:eastAsia="Arial" w:hAnsi="Arial"/>
          <w:sz w:val="16"/>
          <w:szCs w:val="16"/>
          <w:color w:val="auto"/>
        </w:rPr>
        <w:t>AWM achieved record net income of $6.5 billion on record revenue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$24.1 billion (9</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year); ROE of 40%; and pre-tax margin of 36%; gained market share overall</w:t>
      </w:r>
    </w:p>
    <w:p>
      <w:pPr>
        <w:spacing w:after="0" w:line="29" w:lineRule="exact"/>
        <w:rPr>
          <w:rFonts w:ascii="Arial" w:cs="Arial" w:eastAsia="Arial" w:hAnsi="Arial"/>
          <w:sz w:val="16"/>
          <w:szCs w:val="16"/>
          <w:b w:val="1"/>
          <w:bCs w:val="1"/>
          <w:color w:val="auto"/>
        </w:rPr>
      </w:pPr>
    </w:p>
    <w:p>
      <w:pPr>
        <w:ind w:left="920" w:hanging="179"/>
        <w:spacing w:after="0"/>
        <w:tabs>
          <w:tab w:leader="none" w:pos="920" w:val="left"/>
        </w:tabs>
        <w:numPr>
          <w:ilvl w:val="0"/>
          <w:numId w:val="197"/>
        </w:numPr>
        <w:rPr>
          <w:rFonts w:ascii="Arial" w:cs="Arial" w:eastAsia="Arial" w:hAnsi="Arial"/>
          <w:sz w:val="16"/>
          <w:szCs w:val="16"/>
          <w:b w:val="1"/>
          <w:bCs w:val="1"/>
          <w:color w:val="auto"/>
        </w:rPr>
      </w:pPr>
      <w:r>
        <w:rPr>
          <w:rFonts w:ascii="Arial" w:cs="Arial" w:eastAsia="Arial" w:hAnsi="Arial"/>
          <w:sz w:val="16"/>
          <w:szCs w:val="16"/>
          <w:color w:val="auto"/>
        </w:rPr>
        <w:t>AUM of $4.8 trillion and client assets of $7.1 trillion, up 18% and 20% respectively</w:t>
      </w:r>
    </w:p>
    <w:p>
      <w:pPr>
        <w:spacing w:after="0" w:line="59" w:lineRule="exact"/>
        <w:rPr>
          <w:rFonts w:ascii="Arial" w:cs="Arial" w:eastAsia="Arial" w:hAnsi="Arial"/>
          <w:sz w:val="16"/>
          <w:szCs w:val="16"/>
          <w:b w:val="1"/>
          <w:bCs w:val="1"/>
          <w:color w:val="auto"/>
        </w:rPr>
      </w:pPr>
    </w:p>
    <w:p>
      <w:pPr>
        <w:ind w:left="940" w:right="20" w:hanging="199"/>
        <w:spacing w:after="0" w:line="245" w:lineRule="auto"/>
        <w:tabs>
          <w:tab w:leader="none" w:pos="924" w:val="left"/>
        </w:tabs>
        <w:numPr>
          <w:ilvl w:val="0"/>
          <w:numId w:val="197"/>
        </w:numPr>
        <w:rPr>
          <w:rFonts w:ascii="Arial" w:cs="Arial" w:eastAsia="Arial" w:hAnsi="Arial"/>
          <w:sz w:val="16"/>
          <w:szCs w:val="16"/>
          <w:b w:val="1"/>
          <w:bCs w:val="1"/>
          <w:color w:val="auto"/>
        </w:rPr>
      </w:pPr>
      <w:r>
        <w:rPr>
          <w:rFonts w:ascii="Arial" w:cs="Arial" w:eastAsia="Arial" w:hAnsi="Arial"/>
          <w:sz w:val="16"/>
          <w:szCs w:val="16"/>
          <w:color w:val="auto"/>
        </w:rPr>
        <w:t>Long-term AUM flows of $209 billion, positive across all channels, regions, and asset classes, and record client asset flows of $553 billion; top 2 rank in Client Asset Flows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over a 5-year period</w:t>
      </w:r>
    </w:p>
    <w:p>
      <w:pPr>
        <w:ind w:left="920" w:hanging="179"/>
        <w:spacing w:after="0"/>
        <w:tabs>
          <w:tab w:leader="none" w:pos="920" w:val="left"/>
        </w:tabs>
        <w:numPr>
          <w:ilvl w:val="0"/>
          <w:numId w:val="197"/>
        </w:numPr>
        <w:rPr>
          <w:rFonts w:ascii="Arial" w:cs="Arial" w:eastAsia="Arial" w:hAnsi="Arial"/>
          <w:sz w:val="16"/>
          <w:szCs w:val="16"/>
          <w:b w:val="1"/>
          <w:bCs w:val="1"/>
          <w:color w:val="auto"/>
        </w:rPr>
      </w:pPr>
      <w:r>
        <w:rPr>
          <w:rFonts w:ascii="Arial" w:cs="Arial" w:eastAsia="Arial" w:hAnsi="Arial"/>
          <w:sz w:val="16"/>
          <w:szCs w:val="16"/>
          <w:color w:val="auto"/>
        </w:rPr>
        <w:t>Average deposits of $245.2 billion (up 4%); record average loans of $246.6 billion (up 8%)</w:t>
      </w:r>
    </w:p>
    <w:p>
      <w:pPr>
        <w:spacing w:after="0" w:line="43" w:lineRule="exact"/>
        <w:rPr>
          <w:rFonts w:ascii="Arial" w:cs="Arial" w:eastAsia="Arial" w:hAnsi="Arial"/>
          <w:sz w:val="16"/>
          <w:szCs w:val="16"/>
          <w:b w:val="1"/>
          <w:bCs w:val="1"/>
          <w:color w:val="auto"/>
        </w:rPr>
      </w:pPr>
    </w:p>
    <w:p>
      <w:pPr>
        <w:ind w:left="940" w:right="40" w:hanging="199"/>
        <w:spacing w:after="0" w:line="286" w:lineRule="auto"/>
        <w:tabs>
          <w:tab w:leader="none" w:pos="924" w:val="left"/>
        </w:tabs>
        <w:numPr>
          <w:ilvl w:val="0"/>
          <w:numId w:val="197"/>
        </w:numPr>
        <w:rPr>
          <w:rFonts w:ascii="Arial" w:cs="Arial" w:eastAsia="Arial" w:hAnsi="Arial"/>
          <w:sz w:val="16"/>
          <w:szCs w:val="16"/>
          <w:b w:val="1"/>
          <w:bCs w:val="1"/>
          <w:color w:val="auto"/>
        </w:rPr>
      </w:pPr>
      <w:r>
        <w:rPr>
          <w:rFonts w:ascii="Arial" w:cs="Arial" w:eastAsia="Arial" w:hAnsi="Arial"/>
          <w:sz w:val="16"/>
          <w:szCs w:val="16"/>
          <w:color w:val="auto"/>
        </w:rPr>
        <w:t>Continued innovation and investments to provide clients with high quality and personalized products at scale, while maintaining focus on a long-term fiduciary mindset to both deliver strong financial performance and grow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-54610</wp:posOffset>
            </wp:positionV>
            <wp:extent cx="7054850" cy="330009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054850" cy="330009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-54610</wp:posOffset>
            </wp:positionV>
            <wp:extent cx="7054850" cy="330009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054850" cy="3300095"/>
                    </a:xfrm>
                    <a:prstGeom prst="rect">
                      <a:avLst/>
                    </a:prstGeom>
                    <a:noFill/>
                  </pic:spPr>
                </pic:pic>
              </a:graphicData>
            </a:graphic>
          </wp:anchor>
        </w:drawing>
      </w:r>
    </w:p>
    <w:p>
      <w:pPr>
        <w:spacing w:after="0" w:line="35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Client/Customer/Stakeholder</w:t>
      </w:r>
    </w:p>
    <w:p>
      <w:pPr>
        <w:spacing w:after="0" w:line="73" w:lineRule="exact"/>
        <w:rPr>
          <w:sz w:val="20"/>
          <w:szCs w:val="20"/>
          <w:color w:val="auto"/>
        </w:rPr>
      </w:pPr>
    </w:p>
    <w:p>
      <w:pPr>
        <w:ind w:left="920" w:hanging="179"/>
        <w:spacing w:after="0"/>
        <w:tabs>
          <w:tab w:leader="none" w:pos="920" w:val="left"/>
        </w:tabs>
        <w:numPr>
          <w:ilvl w:val="0"/>
          <w:numId w:val="198"/>
        </w:numPr>
        <w:rPr>
          <w:rFonts w:ascii="Arial" w:cs="Arial" w:eastAsia="Arial" w:hAnsi="Arial"/>
          <w:sz w:val="16"/>
          <w:szCs w:val="16"/>
          <w:b w:val="1"/>
          <w:bCs w:val="1"/>
          <w:color w:val="auto"/>
        </w:rPr>
      </w:pPr>
      <w:r>
        <w:rPr>
          <w:rFonts w:ascii="Arial" w:cs="Arial" w:eastAsia="Arial" w:hAnsi="Arial"/>
          <w:sz w:val="16"/>
          <w:szCs w:val="16"/>
          <w:color w:val="auto"/>
        </w:rPr>
        <w:t>83% of 10-year long-term mutual fund AUM performing in top two quartiles, and 88% of our equities AUM are performing above benchmark</w:t>
      </w:r>
    </w:p>
    <w:p>
      <w:pPr>
        <w:spacing w:after="0" w:line="59" w:lineRule="exact"/>
        <w:rPr>
          <w:rFonts w:ascii="Arial" w:cs="Arial" w:eastAsia="Arial" w:hAnsi="Arial"/>
          <w:sz w:val="16"/>
          <w:szCs w:val="16"/>
          <w:b w:val="1"/>
          <w:bCs w:val="1"/>
          <w:color w:val="auto"/>
        </w:rPr>
      </w:pPr>
    </w:p>
    <w:p>
      <w:pPr>
        <w:ind w:left="940" w:right="760" w:hanging="199"/>
        <w:spacing w:after="0" w:line="268" w:lineRule="auto"/>
        <w:tabs>
          <w:tab w:leader="none" w:pos="924" w:val="left"/>
        </w:tabs>
        <w:numPr>
          <w:ilvl w:val="0"/>
          <w:numId w:val="198"/>
        </w:numPr>
        <w:rPr>
          <w:rFonts w:ascii="Arial" w:cs="Arial" w:eastAsia="Arial" w:hAnsi="Arial"/>
          <w:sz w:val="16"/>
          <w:szCs w:val="16"/>
          <w:b w:val="1"/>
          <w:bCs w:val="1"/>
          <w:color w:val="auto"/>
        </w:rPr>
      </w:pPr>
      <w:r>
        <w:rPr>
          <w:rFonts w:ascii="Arial" w:cs="Arial" w:eastAsia="Arial" w:hAnsi="Arial"/>
          <w:sz w:val="16"/>
          <w:szCs w:val="16"/>
          <w:color w:val="auto"/>
        </w:rPr>
        <w:t>Drove technology modernization and advancement by spearheading firmwide enhancements in data centers and implementing AI/ML technologies across AWM; these efforts aim to increase efficiencies, reduce risk and enhance our ability to serve clients effectively</w:t>
      </w:r>
    </w:p>
    <w:p>
      <w:pPr>
        <w:spacing w:after="0" w:line="7" w:lineRule="exact"/>
        <w:rPr>
          <w:rFonts w:ascii="Arial" w:cs="Arial" w:eastAsia="Arial" w:hAnsi="Arial"/>
          <w:sz w:val="16"/>
          <w:szCs w:val="16"/>
          <w:b w:val="1"/>
          <w:bCs w:val="1"/>
          <w:color w:val="auto"/>
        </w:rPr>
      </w:pPr>
    </w:p>
    <w:p>
      <w:pPr>
        <w:ind w:left="940" w:right="40" w:hanging="199"/>
        <w:spacing w:after="0" w:line="266" w:lineRule="auto"/>
        <w:tabs>
          <w:tab w:leader="none" w:pos="924" w:val="left"/>
        </w:tabs>
        <w:numPr>
          <w:ilvl w:val="0"/>
          <w:numId w:val="198"/>
        </w:numPr>
        <w:rPr>
          <w:rFonts w:ascii="Arial" w:cs="Arial" w:eastAsia="Arial" w:hAnsi="Arial"/>
          <w:sz w:val="16"/>
          <w:szCs w:val="16"/>
          <w:b w:val="1"/>
          <w:bCs w:val="1"/>
          <w:color w:val="auto"/>
        </w:rPr>
      </w:pPr>
      <w:r>
        <w:rPr>
          <w:rFonts w:ascii="Arial" w:cs="Arial" w:eastAsia="Arial" w:hAnsi="Arial"/>
          <w:sz w:val="16"/>
          <w:szCs w:val="16"/>
          <w:color w:val="auto"/>
        </w:rPr>
        <w:t>Received wide recognition for innovation, performance and service: Best Active ETF Issuer for $1B+, World’s Best Private Bank, Best Private Bank for Big Data Analytics and AI, Best Private Bank for Client Communication and Engagement, Equities Fund Manager of the Year (Europe) and Asia House of the Year (AsianInvestor)</w:t>
      </w:r>
    </w:p>
    <w:p>
      <w:pPr>
        <w:spacing w:after="0" w:line="9" w:lineRule="exact"/>
        <w:rPr>
          <w:rFonts w:ascii="Arial" w:cs="Arial" w:eastAsia="Arial" w:hAnsi="Arial"/>
          <w:sz w:val="16"/>
          <w:szCs w:val="16"/>
          <w:b w:val="1"/>
          <w:bCs w:val="1"/>
          <w:color w:val="auto"/>
        </w:rPr>
      </w:pPr>
    </w:p>
    <w:p>
      <w:pPr>
        <w:ind w:left="920" w:hanging="179"/>
        <w:spacing w:after="0"/>
        <w:tabs>
          <w:tab w:leader="none" w:pos="920" w:val="left"/>
        </w:tabs>
        <w:numPr>
          <w:ilvl w:val="0"/>
          <w:numId w:val="198"/>
        </w:numPr>
        <w:rPr>
          <w:rFonts w:ascii="Arial" w:cs="Arial" w:eastAsia="Arial" w:hAnsi="Arial"/>
          <w:sz w:val="16"/>
          <w:szCs w:val="16"/>
          <w:b w:val="1"/>
          <w:bCs w:val="1"/>
          <w:color w:val="auto"/>
        </w:rPr>
      </w:pPr>
      <w:r>
        <w:rPr>
          <w:rFonts w:ascii="Arial" w:cs="Arial" w:eastAsia="Arial" w:hAnsi="Arial"/>
          <w:sz w:val="16"/>
          <w:szCs w:val="16"/>
          <w:color w:val="auto"/>
        </w:rPr>
        <w:t>Delivered industry leading client flows while maintaining strong profitability and returns on AWM's allocated equity</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Risk, Controls &amp; Conduct</w:t>
      </w:r>
    </w:p>
    <w:p>
      <w:pPr>
        <w:spacing w:after="0" w:line="73" w:lineRule="exact"/>
        <w:rPr>
          <w:sz w:val="20"/>
          <w:szCs w:val="20"/>
          <w:color w:val="auto"/>
        </w:rPr>
      </w:pPr>
    </w:p>
    <w:p>
      <w:pPr>
        <w:ind w:left="940" w:right="380" w:hanging="199"/>
        <w:spacing w:after="0" w:line="272" w:lineRule="auto"/>
        <w:tabs>
          <w:tab w:leader="none" w:pos="924" w:val="left"/>
        </w:tabs>
        <w:numPr>
          <w:ilvl w:val="0"/>
          <w:numId w:val="199"/>
        </w:numPr>
        <w:rPr>
          <w:rFonts w:ascii="Arial" w:cs="Arial" w:eastAsia="Arial" w:hAnsi="Arial"/>
          <w:sz w:val="16"/>
          <w:szCs w:val="16"/>
          <w:b w:val="1"/>
          <w:bCs w:val="1"/>
          <w:color w:val="auto"/>
        </w:rPr>
      </w:pPr>
      <w:r>
        <w:rPr>
          <w:rFonts w:ascii="Arial" w:cs="Arial" w:eastAsia="Arial" w:hAnsi="Arial"/>
          <w:sz w:val="16"/>
          <w:szCs w:val="16"/>
          <w:color w:val="auto"/>
        </w:rPr>
        <w:t>Maintained a satisfactory risk and controls environment, with a continued focus on emerging risk areas and uplifting operational and control processes to support growth</w:t>
      </w:r>
    </w:p>
    <w:p>
      <w:pPr>
        <w:spacing w:after="0" w:line="1" w:lineRule="exact"/>
        <w:rPr>
          <w:rFonts w:ascii="Arial" w:cs="Arial" w:eastAsia="Arial" w:hAnsi="Arial"/>
          <w:sz w:val="16"/>
          <w:szCs w:val="16"/>
          <w:b w:val="1"/>
          <w:bCs w:val="1"/>
          <w:color w:val="auto"/>
        </w:rPr>
      </w:pPr>
    </w:p>
    <w:p>
      <w:pPr>
        <w:ind w:left="920" w:hanging="179"/>
        <w:spacing w:after="0"/>
        <w:tabs>
          <w:tab w:leader="none" w:pos="920" w:val="left"/>
        </w:tabs>
        <w:numPr>
          <w:ilvl w:val="0"/>
          <w:numId w:val="199"/>
        </w:numPr>
        <w:rPr>
          <w:rFonts w:ascii="Arial" w:cs="Arial" w:eastAsia="Arial" w:hAnsi="Arial"/>
          <w:sz w:val="16"/>
          <w:szCs w:val="16"/>
          <w:b w:val="1"/>
          <w:bCs w:val="1"/>
          <w:color w:val="auto"/>
        </w:rPr>
      </w:pPr>
      <w:r>
        <w:rPr>
          <w:rFonts w:ascii="Arial" w:cs="Arial" w:eastAsia="Arial" w:hAnsi="Arial"/>
          <w:sz w:val="16"/>
          <w:szCs w:val="16"/>
          <w:color w:val="auto"/>
        </w:rPr>
        <w:t>Demonstrated focus on driving accountability and the highest standards of culture and conduct consistent with the Firm’s Business Principles</w:t>
      </w:r>
    </w:p>
    <w:p>
      <w:pPr>
        <w:spacing w:after="0" w:line="59" w:lineRule="exact"/>
        <w:rPr>
          <w:rFonts w:ascii="Arial" w:cs="Arial" w:eastAsia="Arial" w:hAnsi="Arial"/>
          <w:sz w:val="16"/>
          <w:szCs w:val="16"/>
          <w:b w:val="1"/>
          <w:bCs w:val="1"/>
          <w:color w:val="auto"/>
        </w:rPr>
      </w:pPr>
    </w:p>
    <w:p>
      <w:pPr>
        <w:ind w:left="920" w:hanging="179"/>
        <w:spacing w:after="0"/>
        <w:tabs>
          <w:tab w:leader="none" w:pos="920" w:val="left"/>
        </w:tabs>
        <w:numPr>
          <w:ilvl w:val="0"/>
          <w:numId w:val="199"/>
        </w:numPr>
        <w:rPr>
          <w:rFonts w:ascii="Arial" w:cs="Arial" w:eastAsia="Arial" w:hAnsi="Arial"/>
          <w:sz w:val="16"/>
          <w:szCs w:val="16"/>
          <w:b w:val="1"/>
          <w:bCs w:val="1"/>
          <w:color w:val="auto"/>
        </w:rPr>
      </w:pPr>
      <w:r>
        <w:rPr>
          <w:rFonts w:ascii="Arial" w:cs="Arial" w:eastAsia="Arial" w:hAnsi="Arial"/>
          <w:sz w:val="16"/>
          <w:szCs w:val="16"/>
          <w:color w:val="auto"/>
        </w:rPr>
        <w:t>Maintained a risk-aware culture with disciplined use of the Firm’s balance sheet and highest standards of fiduciary care for our investor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381000</wp:posOffset>
            </wp:positionV>
            <wp:extent cx="171450" cy="7200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7145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Teamwork &amp; Leadership</w:t>
      </w:r>
    </w:p>
    <w:p>
      <w:pPr>
        <w:spacing w:after="0" w:line="86" w:lineRule="exact"/>
        <w:rPr>
          <w:sz w:val="20"/>
          <w:szCs w:val="20"/>
          <w:color w:val="auto"/>
        </w:rPr>
      </w:pPr>
    </w:p>
    <w:p>
      <w:pPr>
        <w:ind w:left="920" w:hanging="179"/>
        <w:spacing w:after="0"/>
        <w:tabs>
          <w:tab w:leader="none" w:pos="920" w:val="left"/>
        </w:tabs>
        <w:numPr>
          <w:ilvl w:val="0"/>
          <w:numId w:val="200"/>
        </w:numPr>
        <w:rPr>
          <w:rFonts w:ascii="Arial" w:cs="Arial" w:eastAsia="Arial" w:hAnsi="Arial"/>
          <w:sz w:val="16"/>
          <w:szCs w:val="16"/>
          <w:b w:val="1"/>
          <w:bCs w:val="1"/>
          <w:color w:val="auto"/>
        </w:rPr>
      </w:pPr>
      <w:r>
        <w:rPr>
          <w:rFonts w:ascii="Arial" w:cs="Arial" w:eastAsia="Arial" w:hAnsi="Arial"/>
          <w:sz w:val="16"/>
          <w:szCs w:val="16"/>
          <w:color w:val="auto"/>
        </w:rPr>
        <w:t>Maintained a strong focus on succession planning, retention and development of top talent, and hiring efforts</w:t>
      </w:r>
    </w:p>
    <w:p>
      <w:pPr>
        <w:spacing w:after="0" w:line="59" w:lineRule="exact"/>
        <w:rPr>
          <w:rFonts w:ascii="Arial" w:cs="Arial" w:eastAsia="Arial" w:hAnsi="Arial"/>
          <w:sz w:val="16"/>
          <w:szCs w:val="16"/>
          <w:b w:val="1"/>
          <w:bCs w:val="1"/>
          <w:color w:val="auto"/>
        </w:rPr>
      </w:pPr>
    </w:p>
    <w:p>
      <w:pPr>
        <w:ind w:left="920" w:hanging="179"/>
        <w:spacing w:after="0"/>
        <w:tabs>
          <w:tab w:leader="none" w:pos="920" w:val="left"/>
        </w:tabs>
        <w:numPr>
          <w:ilvl w:val="0"/>
          <w:numId w:val="200"/>
        </w:numPr>
        <w:rPr>
          <w:rFonts w:ascii="Arial" w:cs="Arial" w:eastAsia="Arial" w:hAnsi="Arial"/>
          <w:sz w:val="16"/>
          <w:szCs w:val="16"/>
          <w:b w:val="1"/>
          <w:bCs w:val="1"/>
          <w:color w:val="auto"/>
        </w:rPr>
      </w:pPr>
      <w:r>
        <w:rPr>
          <w:rFonts w:ascii="Arial" w:cs="Arial" w:eastAsia="Arial" w:hAnsi="Arial"/>
          <w:sz w:val="16"/>
          <w:szCs w:val="16"/>
          <w:color w:val="auto"/>
        </w:rPr>
        <w:t>Continued to support talent growth by driving AI integration, leading to increased performance and cross-training opportunities</w:t>
      </w:r>
    </w:p>
    <w:p>
      <w:pPr>
        <w:spacing w:after="0" w:line="45" w:lineRule="exact"/>
        <w:rPr>
          <w:rFonts w:ascii="Arial" w:cs="Arial" w:eastAsia="Arial" w:hAnsi="Arial"/>
          <w:sz w:val="16"/>
          <w:szCs w:val="16"/>
          <w:b w:val="1"/>
          <w:bCs w:val="1"/>
          <w:color w:val="auto"/>
        </w:rPr>
      </w:pPr>
    </w:p>
    <w:p>
      <w:pPr>
        <w:ind w:left="920" w:hanging="179"/>
        <w:spacing w:after="0"/>
        <w:tabs>
          <w:tab w:leader="none" w:pos="920" w:val="left"/>
        </w:tabs>
        <w:numPr>
          <w:ilvl w:val="0"/>
          <w:numId w:val="200"/>
        </w:numPr>
        <w:rPr>
          <w:rFonts w:ascii="Arial" w:cs="Arial" w:eastAsia="Arial" w:hAnsi="Arial"/>
          <w:sz w:val="16"/>
          <w:szCs w:val="16"/>
          <w:b w:val="1"/>
          <w:bCs w:val="1"/>
          <w:color w:val="auto"/>
        </w:rPr>
      </w:pPr>
      <w:r>
        <w:rPr>
          <w:rFonts w:ascii="Arial" w:cs="Arial" w:eastAsia="Arial" w:hAnsi="Arial"/>
          <w:sz w:val="16"/>
          <w:szCs w:val="16"/>
          <w:color w:val="auto"/>
        </w:rPr>
        <w:t>Provided ongoing leadership to deliver on strategic priorities and support the Firm’s culture across AWM</w:t>
      </w:r>
    </w:p>
    <w:p>
      <w:pPr>
        <w:spacing w:after="0" w:line="242" w:lineRule="exact"/>
        <w:rPr>
          <w:sz w:val="20"/>
          <w:szCs w:val="20"/>
          <w:color w:val="auto"/>
        </w:rPr>
      </w:pPr>
    </w:p>
    <w:p>
      <w:pPr>
        <w:ind w:left="200" w:hanging="192"/>
        <w:spacing w:after="0"/>
        <w:tabs>
          <w:tab w:leader="none" w:pos="200" w:val="left"/>
        </w:tabs>
        <w:numPr>
          <w:ilvl w:val="0"/>
          <w:numId w:val="201"/>
        </w:numPr>
        <w:rPr>
          <w:rFonts w:ascii="Arial" w:cs="Arial" w:eastAsia="Arial" w:hAnsi="Arial"/>
          <w:sz w:val="19"/>
          <w:szCs w:val="19"/>
          <w:color w:val="auto"/>
          <w:vertAlign w:val="superscript"/>
        </w:rPr>
      </w:pPr>
      <w:r>
        <w:rPr>
          <w:rFonts w:ascii="Arial" w:cs="Arial" w:eastAsia="Arial" w:hAnsi="Arial"/>
          <w:sz w:val="13"/>
          <w:szCs w:val="13"/>
          <w:color w:val="auto"/>
        </w:rPr>
        <w:t>The Firm reviews the results of the lines of business on a managed basis. Refer to Note 2, on page 103 for a definition of managed basis.</w:t>
      </w:r>
    </w:p>
    <w:p>
      <w:pPr>
        <w:ind w:left="200" w:hanging="192"/>
        <w:spacing w:after="0" w:line="196" w:lineRule="auto"/>
        <w:tabs>
          <w:tab w:leader="none" w:pos="200" w:val="left"/>
        </w:tabs>
        <w:numPr>
          <w:ilvl w:val="0"/>
          <w:numId w:val="202"/>
        </w:numPr>
        <w:rPr>
          <w:rFonts w:ascii="Arial" w:cs="Arial" w:eastAsia="Arial" w:hAnsi="Arial"/>
          <w:sz w:val="19"/>
          <w:szCs w:val="19"/>
          <w:color w:val="auto"/>
          <w:vertAlign w:val="superscript"/>
        </w:rPr>
      </w:pPr>
      <w:r>
        <w:rPr>
          <w:rFonts w:ascii="Arial" w:cs="Arial" w:eastAsia="Arial" w:hAnsi="Arial"/>
          <w:sz w:val="13"/>
          <w:szCs w:val="13"/>
          <w:color w:val="auto"/>
        </w:rPr>
        <w:t>Refer to Note 12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403225</wp:posOffset>
            </wp:positionV>
            <wp:extent cx="651510" cy="8572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58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160" w:type="dxa"/>
            <w:vAlign w:val="bottom"/>
            <w:tcBorders>
              <w:top w:val="single" w:sz="8" w:color="auto"/>
              <w:left w:val="single" w:sz="8" w:color="030303"/>
            </w:tcBorders>
          </w:tcPr>
          <w:p>
            <w:pPr>
              <w:spacing w:after="0"/>
              <w:rPr>
                <w:sz w:val="24"/>
                <w:szCs w:val="24"/>
                <w:color w:val="auto"/>
              </w:rPr>
            </w:pPr>
          </w:p>
        </w:tc>
        <w:tc>
          <w:tcPr>
            <w:tcW w:w="26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8F5A39"/>
              </w:rPr>
              <w:t>How we think about pay decisions</w:t>
            </w:r>
          </w:p>
        </w:tc>
        <w:tc>
          <w:tcPr>
            <w:tcW w:w="400" w:type="dxa"/>
            <w:vAlign w:val="bottom"/>
            <w:tcBorders>
              <w:right w:val="single" w:sz="8" w:color="030303"/>
            </w:tcBorders>
          </w:tcPr>
          <w:p>
            <w:pPr>
              <w:spacing w:after="0"/>
              <w:rPr>
                <w:sz w:val="24"/>
                <w:szCs w:val="24"/>
                <w:color w:val="auto"/>
              </w:rPr>
            </w:pPr>
          </w:p>
        </w:tc>
        <w:tc>
          <w:tcPr>
            <w:tcW w:w="41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380" w:type="dxa"/>
            <w:vAlign w:val="bottom"/>
          </w:tcPr>
          <w:p>
            <w:pPr>
              <w:spacing w:after="0"/>
              <w:rPr>
                <w:sz w:val="24"/>
                <w:szCs w:val="24"/>
                <w:color w:val="auto"/>
              </w:rPr>
            </w:pPr>
          </w:p>
        </w:tc>
        <w:tc>
          <w:tcPr>
            <w:tcW w:w="3560" w:type="dxa"/>
            <w:vAlign w:val="bottom"/>
            <w:tcBorders>
              <w:top w:val="single" w:sz="8" w:color="A6D7F0"/>
              <w:bottom w:val="single" w:sz="8" w:color="A6D7F0"/>
            </w:tcBorders>
            <w:shd w:val="clear" w:color="auto" w:fill="A6D7F0"/>
          </w:tcPr>
          <w:p>
            <w:pPr>
              <w:ind w:left="380"/>
              <w:spacing w:after="0"/>
              <w:rPr>
                <w:sz w:val="20"/>
                <w:szCs w:val="20"/>
                <w:color w:val="auto"/>
              </w:rPr>
            </w:pPr>
            <w:r>
              <w:rPr>
                <w:rFonts w:ascii="Arial" w:cs="Arial" w:eastAsia="Arial" w:hAnsi="Arial"/>
                <w:sz w:val="14"/>
                <w:szCs w:val="14"/>
                <w:b w:val="1"/>
                <w:bCs w:val="1"/>
                <w:color w:val="auto"/>
              </w:rPr>
              <w:t>How performance determined pay in 2025</w:t>
            </w:r>
          </w:p>
        </w:tc>
      </w:tr>
      <w:tr>
        <w:trPr>
          <w:trHeight w:val="284"/>
        </w:trPr>
        <w:tc>
          <w:tcPr>
            <w:tcW w:w="160" w:type="dxa"/>
            <w:vAlign w:val="bottom"/>
            <w:tcBorders>
              <w:top w:val="single" w:sz="8" w:color="auto"/>
            </w:tcBorders>
          </w:tcPr>
          <w:p>
            <w:pPr>
              <w:spacing w:after="0"/>
              <w:rPr>
                <w:sz w:val="24"/>
                <w:szCs w:val="24"/>
                <w:color w:val="auto"/>
              </w:rPr>
            </w:pPr>
          </w:p>
        </w:tc>
        <w:tc>
          <w:tcPr>
            <w:tcW w:w="2640" w:type="dxa"/>
            <w:vAlign w:val="bottom"/>
            <w:tcBorders>
              <w:top w:val="single" w:sz="8" w:color="auto"/>
              <w:bottom w:val="single" w:sz="8" w:color="F4EFE7"/>
            </w:tcBorders>
          </w:tcPr>
          <w:p>
            <w:pPr>
              <w:spacing w:after="0"/>
              <w:rPr>
                <w:sz w:val="24"/>
                <w:szCs w:val="24"/>
                <w:color w:val="auto"/>
              </w:rPr>
            </w:pPr>
          </w:p>
        </w:tc>
        <w:tc>
          <w:tcPr>
            <w:tcW w:w="400" w:type="dxa"/>
            <w:vAlign w:val="bottom"/>
            <w:tcBorders>
              <w:bottom w:val="single" w:sz="8" w:color="F4EFE7"/>
            </w:tcBorders>
          </w:tcPr>
          <w:p>
            <w:pPr>
              <w:spacing w:after="0"/>
              <w:rPr>
                <w:sz w:val="24"/>
                <w:szCs w:val="24"/>
                <w:color w:val="auto"/>
              </w:rPr>
            </w:pPr>
          </w:p>
        </w:tc>
        <w:tc>
          <w:tcPr>
            <w:tcW w:w="4100" w:type="dxa"/>
            <w:vAlign w:val="bottom"/>
            <w:tcBorders>
              <w:top w:val="single" w:sz="8" w:color="auto"/>
              <w:bottom w:val="single" w:sz="8" w:color="F4EFE7"/>
            </w:tcBorders>
          </w:tcPr>
          <w:p>
            <w:pPr>
              <w:spacing w:after="0"/>
              <w:rPr>
                <w:sz w:val="24"/>
                <w:szCs w:val="24"/>
                <w:color w:val="auto"/>
              </w:rPr>
            </w:pPr>
          </w:p>
        </w:tc>
        <w:tc>
          <w:tcPr>
            <w:tcW w:w="380" w:type="dxa"/>
            <w:vAlign w:val="bottom"/>
            <w:tcBorders>
              <w:bottom w:val="single" w:sz="8" w:color="F4EFE7"/>
            </w:tcBorders>
          </w:tcPr>
          <w:p>
            <w:pPr>
              <w:spacing w:after="0"/>
              <w:rPr>
                <w:sz w:val="24"/>
                <w:szCs w:val="24"/>
                <w:color w:val="auto"/>
              </w:rPr>
            </w:pPr>
          </w:p>
        </w:tc>
        <w:tc>
          <w:tcPr>
            <w:tcW w:w="3560" w:type="dxa"/>
            <w:vAlign w:val="bottom"/>
            <w:tcBorders>
              <w:top w:val="single" w:sz="8" w:color="A6D7F0"/>
              <w:bottom w:val="single" w:sz="8" w:color="F4EFE7"/>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-393700</wp:posOffset>
            </wp:positionV>
            <wp:extent cx="120015" cy="9398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-393700</wp:posOffset>
            </wp:positionV>
            <wp:extent cx="120015" cy="9398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20015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33" w:lineRule="exact"/>
        <w:rPr>
          <w:sz w:val="20"/>
          <w:szCs w:val="20"/>
          <w:color w:val="auto"/>
        </w:rPr>
      </w:pPr>
    </w:p>
    <w:p>
      <w:pPr>
        <w:ind w:left="2320"/>
        <w:spacing w:after="0"/>
        <w:rPr>
          <w:sz w:val="20"/>
          <w:szCs w:val="20"/>
          <w:color w:val="auto"/>
        </w:rPr>
      </w:pPr>
      <w:r>
        <w:rPr>
          <w:rFonts w:ascii="Arial" w:cs="Arial" w:eastAsia="Arial" w:hAnsi="Arial"/>
          <w:sz w:val="25"/>
          <w:szCs w:val="25"/>
          <w:color w:val="8F5A39"/>
        </w:rPr>
        <w:t>Troy Rohrbaugh</w:t>
      </w:r>
    </w:p>
    <w:p>
      <w:pPr>
        <w:spacing w:after="0" w:line="34"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Co-CEO, Commercial &amp; Investment Bank</w:t>
      </w:r>
    </w:p>
    <w:p>
      <w:pPr>
        <w:spacing w:after="0" w:line="124" w:lineRule="exact"/>
        <w:rPr>
          <w:sz w:val="20"/>
          <w:szCs w:val="20"/>
          <w:color w:val="auto"/>
        </w:rPr>
      </w:pPr>
    </w:p>
    <w:p>
      <w:pPr>
        <w:ind w:left="2320" w:right="3640"/>
        <w:spacing w:after="0" w:line="259" w:lineRule="auto"/>
        <w:rPr>
          <w:sz w:val="20"/>
          <w:szCs w:val="20"/>
          <w:color w:val="auto"/>
        </w:rPr>
      </w:pPr>
      <w:r>
        <w:rPr>
          <w:rFonts w:ascii="Arial" w:cs="Arial" w:eastAsia="Arial" w:hAnsi="Arial"/>
          <w:sz w:val="16"/>
          <w:szCs w:val="16"/>
          <w:color w:val="auto"/>
        </w:rPr>
        <w:t>Mr. Rohrbaugh became Co-CEO of the Commercial &amp; Investment Bank in January 2024, after serving as Co-head of Markets &amp; Securities Services from June 2023. Mr. Rohrbaugh previously served as head of Global Markets starting in 2019.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PERFORMANCE SUMMARY: </w:t>
      </w:r>
      <w:r>
        <w:rPr>
          <w:rFonts w:ascii="Arial" w:cs="Arial" w:eastAsia="Arial" w:hAnsi="Arial"/>
          <w:sz w:val="16"/>
          <w:szCs w:val="16"/>
          <w:color w:val="auto"/>
        </w:rPr>
        <w:t>Assessment of results against long-term strategic priorities and qualitative considerations</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2025 Business Results &amp; 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-115570</wp:posOffset>
            </wp:positionV>
            <wp:extent cx="7054850" cy="15773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054850" cy="1577340"/>
                    </a:xfrm>
                    <a:prstGeom prst="rect">
                      <a:avLst/>
                    </a:prstGeom>
                    <a:noFill/>
                  </pic:spPr>
                </pic:pic>
              </a:graphicData>
            </a:graphic>
          </wp:anchor>
        </w:drawing>
      </w:r>
    </w:p>
    <w:p>
      <w:pPr>
        <w:spacing w:after="0" w:line="26" w:lineRule="exact"/>
        <w:rPr>
          <w:sz w:val="20"/>
          <w:szCs w:val="20"/>
          <w:color w:val="auto"/>
        </w:rPr>
      </w:pPr>
    </w:p>
    <w:p>
      <w:pPr>
        <w:ind w:left="920" w:hanging="179"/>
        <w:spacing w:after="0"/>
        <w:tabs>
          <w:tab w:leader="none" w:pos="920" w:val="left"/>
        </w:tabs>
        <w:numPr>
          <w:ilvl w:val="0"/>
          <w:numId w:val="203"/>
        </w:numPr>
        <w:rPr>
          <w:rFonts w:ascii="Arial" w:cs="Arial" w:eastAsia="Arial" w:hAnsi="Arial"/>
          <w:sz w:val="16"/>
          <w:szCs w:val="16"/>
          <w:b w:val="1"/>
          <w:bCs w:val="1"/>
          <w:color w:val="auto"/>
        </w:rPr>
      </w:pPr>
      <w:r>
        <w:rPr>
          <w:rFonts w:ascii="Arial" w:cs="Arial" w:eastAsia="Arial" w:hAnsi="Arial"/>
          <w:sz w:val="16"/>
          <w:szCs w:val="16"/>
          <w:color w:val="auto"/>
        </w:rPr>
        <w:t>CIB achieved net income of $27.8 billion on revenue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$78.5 billion, with an ROE of 18%</w:t>
      </w:r>
    </w:p>
    <w:p>
      <w:pPr>
        <w:spacing w:after="0" w:line="17" w:lineRule="exact"/>
        <w:rPr>
          <w:rFonts w:ascii="Arial" w:cs="Arial" w:eastAsia="Arial" w:hAnsi="Arial"/>
          <w:sz w:val="16"/>
          <w:szCs w:val="16"/>
          <w:b w:val="1"/>
          <w:bCs w:val="1"/>
          <w:color w:val="auto"/>
        </w:rPr>
      </w:pPr>
    </w:p>
    <w:p>
      <w:pPr>
        <w:ind w:left="940" w:right="280" w:hanging="199"/>
        <w:spacing w:after="0" w:line="265" w:lineRule="auto"/>
        <w:tabs>
          <w:tab w:leader="none" w:pos="924" w:val="left"/>
        </w:tabs>
        <w:numPr>
          <w:ilvl w:val="0"/>
          <w:numId w:val="203"/>
        </w:numPr>
        <w:rPr>
          <w:rFonts w:ascii="Arial" w:cs="Arial" w:eastAsia="Arial" w:hAnsi="Arial"/>
          <w:sz w:val="16"/>
          <w:szCs w:val="16"/>
          <w:b w:val="1"/>
          <w:bCs w:val="1"/>
          <w:color w:val="auto"/>
        </w:rPr>
      </w:pPr>
      <w:r>
        <w:rPr>
          <w:rFonts w:ascii="Arial" w:cs="Arial" w:eastAsia="Arial" w:hAnsi="Arial"/>
          <w:sz w:val="16"/>
          <w:szCs w:val="16"/>
          <w:color w:val="auto"/>
        </w:rPr>
        <w:t>IB fees of $9.7 billion, up 7%; Payments revenue of $19.3 billion, up 7%; Fixed Income revenue of $22.5 billion, up 12%; Equities revenue of $13.3 billion, up 33%; and Securities Services revenue of $5.6 billion, up 10%</w:t>
      </w:r>
    </w:p>
    <w:p>
      <w:pPr>
        <w:spacing w:after="0" w:line="9" w:lineRule="exact"/>
        <w:rPr>
          <w:rFonts w:ascii="Arial" w:cs="Arial" w:eastAsia="Arial" w:hAnsi="Arial"/>
          <w:sz w:val="16"/>
          <w:szCs w:val="16"/>
          <w:b w:val="1"/>
          <w:bCs w:val="1"/>
          <w:color w:val="auto"/>
        </w:rPr>
      </w:pPr>
    </w:p>
    <w:p>
      <w:pPr>
        <w:ind w:left="920" w:hanging="179"/>
        <w:spacing w:after="0"/>
        <w:tabs>
          <w:tab w:leader="none" w:pos="920" w:val="left"/>
        </w:tabs>
        <w:numPr>
          <w:ilvl w:val="0"/>
          <w:numId w:val="203"/>
        </w:numPr>
        <w:rPr>
          <w:rFonts w:ascii="Arial" w:cs="Arial" w:eastAsia="Arial" w:hAnsi="Arial"/>
          <w:sz w:val="16"/>
          <w:szCs w:val="16"/>
          <w:b w:val="1"/>
          <w:bCs w:val="1"/>
          <w:color w:val="auto"/>
        </w:rPr>
      </w:pPr>
      <w:r>
        <w:rPr>
          <w:rFonts w:ascii="Arial" w:cs="Arial" w:eastAsia="Arial" w:hAnsi="Arial"/>
          <w:sz w:val="16"/>
          <w:szCs w:val="16"/>
          <w:color w:val="auto"/>
        </w:rPr>
        <w:t>Ranked #1 in global IB fees for 17 consecutive years with wallet share of 8.4%</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in 2025</w:t>
      </w:r>
    </w:p>
    <w:p>
      <w:pPr>
        <w:spacing w:after="0" w:line="17" w:lineRule="exact"/>
        <w:rPr>
          <w:rFonts w:ascii="Arial" w:cs="Arial" w:eastAsia="Arial" w:hAnsi="Arial"/>
          <w:sz w:val="16"/>
          <w:szCs w:val="16"/>
          <w:b w:val="1"/>
          <w:bCs w:val="1"/>
          <w:color w:val="auto"/>
        </w:rPr>
      </w:pPr>
    </w:p>
    <w:p>
      <w:pPr>
        <w:ind w:left="920" w:hanging="179"/>
        <w:spacing w:after="0" w:line="228" w:lineRule="auto"/>
        <w:tabs>
          <w:tab w:leader="none" w:pos="920" w:val="left"/>
        </w:tabs>
        <w:numPr>
          <w:ilvl w:val="0"/>
          <w:numId w:val="203"/>
        </w:numPr>
        <w:rPr>
          <w:rFonts w:ascii="Arial" w:cs="Arial" w:eastAsia="Arial" w:hAnsi="Arial"/>
          <w:sz w:val="16"/>
          <w:szCs w:val="16"/>
          <w:b w:val="1"/>
          <w:bCs w:val="1"/>
          <w:color w:val="auto"/>
        </w:rPr>
      </w:pPr>
      <w:r>
        <w:rPr>
          <w:rFonts w:ascii="Arial" w:cs="Arial" w:eastAsia="Arial" w:hAnsi="Arial"/>
          <w:sz w:val="16"/>
          <w:szCs w:val="16"/>
          <w:color w:val="auto"/>
        </w:rPr>
        <w:t>Participated in 5 of the top 10 fee paying deals</w:t>
      </w:r>
      <w:r>
        <w:rPr>
          <w:rFonts w:ascii="Arial" w:cs="Arial" w:eastAsia="Arial" w:hAnsi="Arial"/>
          <w:sz w:val="21"/>
          <w:szCs w:val="21"/>
          <w:color w:val="auto"/>
          <w:vertAlign w:val="superscript"/>
        </w:rPr>
        <w:t>3</w:t>
      </w:r>
    </w:p>
    <w:p>
      <w:pPr>
        <w:ind w:left="920" w:hanging="179"/>
        <w:spacing w:after="0"/>
        <w:tabs>
          <w:tab w:leader="none" w:pos="920" w:val="left"/>
        </w:tabs>
        <w:numPr>
          <w:ilvl w:val="0"/>
          <w:numId w:val="203"/>
        </w:numPr>
        <w:rPr>
          <w:rFonts w:ascii="Arial" w:cs="Arial" w:eastAsia="Arial" w:hAnsi="Arial"/>
          <w:sz w:val="16"/>
          <w:szCs w:val="16"/>
          <w:b w:val="1"/>
          <w:bCs w:val="1"/>
          <w:color w:val="auto"/>
        </w:rPr>
      </w:pPr>
      <w:r>
        <w:rPr>
          <w:rFonts w:ascii="Arial" w:cs="Arial" w:eastAsia="Arial" w:hAnsi="Arial"/>
          <w:sz w:val="16"/>
          <w:szCs w:val="16"/>
          <w:color w:val="auto"/>
        </w:rPr>
        <w:t>Ranked #1 in Markets revenue with 11.8%</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wallet share (#1 in Fixed Income; Co-#1 in Equities)</w:t>
      </w:r>
    </w:p>
    <w:p>
      <w:pPr>
        <w:spacing w:after="0" w:line="1" w:lineRule="exact"/>
        <w:rPr>
          <w:rFonts w:ascii="Arial" w:cs="Arial" w:eastAsia="Arial" w:hAnsi="Arial"/>
          <w:sz w:val="16"/>
          <w:szCs w:val="16"/>
          <w:b w:val="1"/>
          <w:bCs w:val="1"/>
          <w:color w:val="auto"/>
        </w:rPr>
      </w:pPr>
    </w:p>
    <w:p>
      <w:pPr>
        <w:ind w:left="920" w:hanging="179"/>
        <w:spacing w:after="0"/>
        <w:tabs>
          <w:tab w:leader="none" w:pos="920" w:val="left"/>
        </w:tabs>
        <w:numPr>
          <w:ilvl w:val="0"/>
          <w:numId w:val="203"/>
        </w:numPr>
        <w:rPr>
          <w:rFonts w:ascii="Arial" w:cs="Arial" w:eastAsia="Arial" w:hAnsi="Arial"/>
          <w:sz w:val="16"/>
          <w:szCs w:val="16"/>
          <w:b w:val="1"/>
          <w:bCs w:val="1"/>
          <w:color w:val="auto"/>
        </w:rPr>
      </w:pPr>
      <w:r>
        <w:rPr>
          <w:rFonts w:ascii="Arial" w:cs="Arial" w:eastAsia="Arial" w:hAnsi="Arial"/>
          <w:sz w:val="16"/>
          <w:szCs w:val="16"/>
          <w:color w:val="auto"/>
        </w:rPr>
        <w:t>Record revenue across Markets, Payments, and Securities Services</w:t>
      </w:r>
    </w:p>
    <w:p>
      <w:pPr>
        <w:spacing w:after="0" w:line="43" w:lineRule="exact"/>
        <w:rPr>
          <w:rFonts w:ascii="Arial" w:cs="Arial" w:eastAsia="Arial" w:hAnsi="Arial"/>
          <w:sz w:val="16"/>
          <w:szCs w:val="16"/>
          <w:b w:val="1"/>
          <w:bCs w:val="1"/>
          <w:color w:val="auto"/>
        </w:rPr>
      </w:pPr>
    </w:p>
    <w:p>
      <w:pPr>
        <w:ind w:left="940" w:right="60" w:hanging="199"/>
        <w:spacing w:after="0" w:line="286" w:lineRule="auto"/>
        <w:tabs>
          <w:tab w:leader="none" w:pos="924" w:val="left"/>
        </w:tabs>
        <w:numPr>
          <w:ilvl w:val="0"/>
          <w:numId w:val="203"/>
        </w:numPr>
        <w:rPr>
          <w:rFonts w:ascii="Arial" w:cs="Arial" w:eastAsia="Arial" w:hAnsi="Arial"/>
          <w:sz w:val="16"/>
          <w:szCs w:val="16"/>
          <w:b w:val="1"/>
          <w:bCs w:val="1"/>
          <w:color w:val="auto"/>
        </w:rPr>
      </w:pPr>
      <w:r>
        <w:rPr>
          <w:rFonts w:ascii="Arial" w:cs="Arial" w:eastAsia="Arial" w:hAnsi="Arial"/>
          <w:sz w:val="16"/>
          <w:szCs w:val="16"/>
          <w:color w:val="auto"/>
        </w:rPr>
        <w:t>Continued to advance CIB's industry-leading positions and focus on integration, collaboration and modernization across the business to provide clients with high quality products and services, and deliver strong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-148590</wp:posOffset>
            </wp:positionV>
            <wp:extent cx="7054850" cy="37719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054850" cy="3771900"/>
                    </a:xfrm>
                    <a:prstGeom prst="rect">
                      <a:avLst/>
                    </a:prstGeom>
                    <a:noFill/>
                  </pic:spPr>
                </pic:pic>
              </a:graphicData>
            </a:graphic>
          </wp:anchor>
        </w:drawing>
      </w:r>
    </w:p>
    <w:p>
      <w:pPr>
        <w:spacing w:after="0" w:line="298"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Client/Customer/Stakeholder</w:t>
      </w:r>
    </w:p>
    <w:p>
      <w:pPr>
        <w:spacing w:after="0" w:line="73" w:lineRule="exact"/>
        <w:rPr>
          <w:sz w:val="20"/>
          <w:szCs w:val="20"/>
          <w:color w:val="auto"/>
        </w:rPr>
      </w:pPr>
    </w:p>
    <w:p>
      <w:pPr>
        <w:ind w:left="940" w:right="40" w:hanging="199"/>
        <w:spacing w:after="0" w:line="264" w:lineRule="auto"/>
        <w:tabs>
          <w:tab w:leader="none" w:pos="924" w:val="left"/>
        </w:tabs>
        <w:numPr>
          <w:ilvl w:val="0"/>
          <w:numId w:val="204"/>
        </w:numPr>
        <w:rPr>
          <w:rFonts w:ascii="Arial" w:cs="Arial" w:eastAsia="Arial" w:hAnsi="Arial"/>
          <w:sz w:val="16"/>
          <w:szCs w:val="16"/>
          <w:b w:val="1"/>
          <w:bCs w:val="1"/>
          <w:color w:val="auto"/>
        </w:rPr>
      </w:pPr>
      <w:r>
        <w:rPr>
          <w:rFonts w:ascii="Arial" w:cs="Arial" w:eastAsia="Arial" w:hAnsi="Arial"/>
          <w:sz w:val="16"/>
          <w:szCs w:val="16"/>
          <w:color w:val="auto"/>
        </w:rPr>
        <w:t>Continued focus on and investment in technologies, efficiency and modernization, implementing optimized client-focused solutions to meet their needs and gain market share globally, in addition to driving AI product maturity and adoption</w:t>
      </w:r>
    </w:p>
    <w:p>
      <w:pPr>
        <w:ind w:left="940" w:right="660" w:hanging="199"/>
        <w:spacing w:after="0" w:line="272" w:lineRule="auto"/>
        <w:tabs>
          <w:tab w:leader="none" w:pos="924" w:val="left"/>
        </w:tabs>
        <w:numPr>
          <w:ilvl w:val="0"/>
          <w:numId w:val="204"/>
        </w:numPr>
        <w:rPr>
          <w:rFonts w:ascii="Arial" w:cs="Arial" w:eastAsia="Arial" w:hAnsi="Arial"/>
          <w:sz w:val="16"/>
          <w:szCs w:val="16"/>
          <w:b w:val="1"/>
          <w:bCs w:val="1"/>
          <w:color w:val="auto"/>
        </w:rPr>
      </w:pPr>
      <w:r>
        <w:rPr>
          <w:rFonts w:ascii="Arial" w:cs="Arial" w:eastAsia="Arial" w:hAnsi="Arial"/>
          <w:sz w:val="16"/>
          <w:szCs w:val="16"/>
          <w:color w:val="auto"/>
        </w:rPr>
        <w:t>Maintained a commitment to our institutional, corporate, and sponsor clients across all regions and products through the participation in numerous client events throughout the year</w:t>
      </w:r>
    </w:p>
    <w:p>
      <w:pPr>
        <w:spacing w:after="0" w:line="1" w:lineRule="exact"/>
        <w:rPr>
          <w:rFonts w:ascii="Arial" w:cs="Arial" w:eastAsia="Arial" w:hAnsi="Arial"/>
          <w:sz w:val="16"/>
          <w:szCs w:val="16"/>
          <w:b w:val="1"/>
          <w:bCs w:val="1"/>
          <w:color w:val="auto"/>
        </w:rPr>
      </w:pPr>
    </w:p>
    <w:p>
      <w:pPr>
        <w:ind w:left="940" w:right="460" w:hanging="199"/>
        <w:spacing w:after="0" w:line="220" w:lineRule="auto"/>
        <w:tabs>
          <w:tab w:leader="none" w:pos="924" w:val="left"/>
        </w:tabs>
        <w:numPr>
          <w:ilvl w:val="0"/>
          <w:numId w:val="204"/>
        </w:numPr>
        <w:rPr>
          <w:rFonts w:ascii="Arial" w:cs="Arial" w:eastAsia="Arial" w:hAnsi="Arial"/>
          <w:sz w:val="16"/>
          <w:szCs w:val="16"/>
          <w:b w:val="1"/>
          <w:bCs w:val="1"/>
          <w:color w:val="auto"/>
        </w:rPr>
      </w:pPr>
      <w:r>
        <w:rPr>
          <w:rFonts w:ascii="Arial" w:cs="Arial" w:eastAsia="Arial" w:hAnsi="Arial"/>
          <w:sz w:val="16"/>
          <w:szCs w:val="16"/>
          <w:color w:val="auto"/>
        </w:rPr>
        <w:t>Ranked #1 for overall institutional client service quality for the 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consecutive year in Global Markets, per Coalition Greenwich Institutional Voice of Client 2025 Markets Study</w:t>
      </w:r>
    </w:p>
    <w:p>
      <w:pPr>
        <w:spacing w:after="0" w:line="14" w:lineRule="exact"/>
        <w:rPr>
          <w:rFonts w:ascii="Arial" w:cs="Arial" w:eastAsia="Arial" w:hAnsi="Arial"/>
          <w:sz w:val="16"/>
          <w:szCs w:val="16"/>
          <w:b w:val="1"/>
          <w:bCs w:val="1"/>
          <w:color w:val="auto"/>
        </w:rPr>
      </w:pPr>
    </w:p>
    <w:p>
      <w:pPr>
        <w:ind w:left="920" w:hanging="179"/>
        <w:spacing w:after="0"/>
        <w:tabs>
          <w:tab w:leader="none" w:pos="920" w:val="left"/>
        </w:tabs>
        <w:numPr>
          <w:ilvl w:val="0"/>
          <w:numId w:val="204"/>
        </w:numPr>
        <w:rPr>
          <w:rFonts w:ascii="Arial" w:cs="Arial" w:eastAsia="Arial" w:hAnsi="Arial"/>
          <w:sz w:val="16"/>
          <w:szCs w:val="16"/>
          <w:b w:val="1"/>
          <w:bCs w:val="1"/>
          <w:color w:val="auto"/>
        </w:rPr>
      </w:pPr>
      <w:r>
        <w:rPr>
          <w:rFonts w:ascii="Arial" w:cs="Arial" w:eastAsia="Arial" w:hAnsi="Arial"/>
          <w:sz w:val="16"/>
          <w:szCs w:val="16"/>
          <w:color w:val="auto"/>
        </w:rPr>
        <w:t>Ranked #1 Global Research, #1 Global Fixed Income Research and #1 Global Equity Research by Extel for the 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time in 5 years</w:t>
      </w:r>
    </w:p>
    <w:p>
      <w:pPr>
        <w:spacing w:after="0" w:line="4" w:lineRule="exact"/>
        <w:rPr>
          <w:rFonts w:ascii="Arial" w:cs="Arial" w:eastAsia="Arial" w:hAnsi="Arial"/>
          <w:sz w:val="16"/>
          <w:szCs w:val="16"/>
          <w:b w:val="1"/>
          <w:bCs w:val="1"/>
          <w:color w:val="auto"/>
        </w:rPr>
      </w:pPr>
    </w:p>
    <w:p>
      <w:pPr>
        <w:ind w:left="920" w:hanging="179"/>
        <w:spacing w:after="0"/>
        <w:tabs>
          <w:tab w:leader="none" w:pos="920" w:val="left"/>
        </w:tabs>
        <w:numPr>
          <w:ilvl w:val="0"/>
          <w:numId w:val="204"/>
        </w:numPr>
        <w:rPr>
          <w:rFonts w:ascii="Arial" w:cs="Arial" w:eastAsia="Arial" w:hAnsi="Arial"/>
          <w:sz w:val="16"/>
          <w:szCs w:val="16"/>
          <w:b w:val="1"/>
          <w:bCs w:val="1"/>
          <w:color w:val="auto"/>
        </w:rPr>
      </w:pPr>
      <w:r>
        <w:rPr>
          <w:rFonts w:ascii="Arial" w:cs="Arial" w:eastAsia="Arial" w:hAnsi="Arial"/>
          <w:sz w:val="16"/>
          <w:szCs w:val="16"/>
          <w:color w:val="auto"/>
        </w:rPr>
        <w:t>Awarded Best Global Corporate Bank consistently, per Coalition Greenwich Institutional Voice of Client 2025 Global Corporate Banking Study</w:t>
      </w:r>
    </w:p>
    <w:p>
      <w:pPr>
        <w:spacing w:after="0" w:line="273"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Risk, Controls &amp;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-115570</wp:posOffset>
            </wp:positionV>
            <wp:extent cx="163195" cy="10115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clrChange>
                        <a:clrFrom>
                          <a:srgbClr val="000000"/>
                        </a:clrFrom>
                        <a:clrTo>
                          <a:srgbClr val="000000">
                            <a:alpha val="0"/>
                          </a:srgbClr>
                        </a:clrTo>
                      </a:clrChange>
                      <a:extLst>
                        <a:ext uri="{28A0092B-C50C-407E-A947-70E740481C1C}"/>
                      </a:extLst>
                    </a:blip>
                    <a:srcRect/>
                    <a:stretch>
                      <a:fillRect/>
                    </a:stretch>
                  </pic:blipFill>
                  <pic:spPr bwMode="auto">
                    <a:xfrm>
                      <a:off x="0" y="0"/>
                      <a:ext cx="163195" cy="10115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163195" cy="10115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clrChange>
                        <a:clrFrom>
                          <a:srgbClr val="FFFFFF"/>
                        </a:clrFrom>
                        <a:clrTo>
                          <a:srgbClr val="FFFFFF">
                            <a:alpha val="0"/>
                          </a:srgbClr>
                        </a:clrTo>
                      </a:clrChange>
                      <a:extLst>
                        <a:ext uri="{28A0092B-C50C-407E-A947-70E740481C1C}"/>
                      </a:extLst>
                    </a:blip>
                    <a:srcRect/>
                    <a:stretch>
                      <a:fillRect/>
                    </a:stretch>
                  </pic:blipFill>
                  <pic:spPr bwMode="auto">
                    <a:xfrm>
                      <a:off x="0" y="0"/>
                      <a:ext cx="163195" cy="1011555"/>
                    </a:xfrm>
                    <a:prstGeom prst="rect">
                      <a:avLst/>
                    </a:prstGeom>
                    <a:noFill/>
                  </pic:spPr>
                </pic:pic>
              </a:graphicData>
            </a:graphic>
          </wp:anchor>
        </w:drawing>
      </w:r>
    </w:p>
    <w:p>
      <w:pPr>
        <w:spacing w:after="0" w:line="53" w:lineRule="exact"/>
        <w:rPr>
          <w:sz w:val="20"/>
          <w:szCs w:val="20"/>
          <w:color w:val="auto"/>
        </w:rPr>
      </w:pPr>
    </w:p>
    <w:p>
      <w:pPr>
        <w:ind w:left="940" w:right="260" w:hanging="199"/>
        <w:spacing w:after="0" w:line="281" w:lineRule="auto"/>
        <w:tabs>
          <w:tab w:leader="none" w:pos="924" w:val="left"/>
        </w:tabs>
        <w:numPr>
          <w:ilvl w:val="0"/>
          <w:numId w:val="205"/>
        </w:numPr>
        <w:rPr>
          <w:rFonts w:ascii="Arial" w:cs="Arial" w:eastAsia="Arial" w:hAnsi="Arial"/>
          <w:sz w:val="16"/>
          <w:szCs w:val="16"/>
          <w:b w:val="1"/>
          <w:bCs w:val="1"/>
          <w:color w:val="auto"/>
        </w:rPr>
      </w:pPr>
      <w:r>
        <w:rPr>
          <w:rFonts w:ascii="Arial" w:cs="Arial" w:eastAsia="Arial" w:hAnsi="Arial"/>
          <w:sz w:val="16"/>
          <w:szCs w:val="16"/>
          <w:color w:val="auto"/>
        </w:rPr>
        <w:t>Maintained a satisfactory risk and controls environment, with continued focus on the anticipation of risks and proactive reviews of operational resilience</w:t>
      </w:r>
    </w:p>
    <w:p>
      <w:pPr>
        <w:spacing w:after="0" w:line="1" w:lineRule="exact"/>
        <w:rPr>
          <w:rFonts w:ascii="Arial" w:cs="Arial" w:eastAsia="Arial" w:hAnsi="Arial"/>
          <w:sz w:val="16"/>
          <w:szCs w:val="16"/>
          <w:b w:val="1"/>
          <w:bCs w:val="1"/>
          <w:color w:val="auto"/>
        </w:rPr>
      </w:pPr>
    </w:p>
    <w:p>
      <w:pPr>
        <w:ind w:left="920" w:hanging="179"/>
        <w:spacing w:after="0"/>
        <w:tabs>
          <w:tab w:leader="none" w:pos="920" w:val="left"/>
        </w:tabs>
        <w:numPr>
          <w:ilvl w:val="0"/>
          <w:numId w:val="205"/>
        </w:numPr>
        <w:rPr>
          <w:rFonts w:ascii="Arial" w:cs="Arial" w:eastAsia="Arial" w:hAnsi="Arial"/>
          <w:sz w:val="16"/>
          <w:szCs w:val="16"/>
          <w:b w:val="1"/>
          <w:bCs w:val="1"/>
          <w:color w:val="auto"/>
        </w:rPr>
      </w:pPr>
      <w:r>
        <w:rPr>
          <w:rFonts w:ascii="Arial" w:cs="Arial" w:eastAsia="Arial" w:hAnsi="Arial"/>
          <w:sz w:val="16"/>
          <w:szCs w:val="16"/>
          <w:color w:val="auto"/>
        </w:rPr>
        <w:t>Demonstrated focus on driving accountability and the highest standards of culture and conduct consistent with the Firm’s Business Principles</w:t>
      </w:r>
    </w:p>
    <w:p>
      <w:pPr>
        <w:spacing w:after="0" w:line="45" w:lineRule="exact"/>
        <w:rPr>
          <w:rFonts w:ascii="Arial" w:cs="Arial" w:eastAsia="Arial" w:hAnsi="Arial"/>
          <w:sz w:val="16"/>
          <w:szCs w:val="16"/>
          <w:b w:val="1"/>
          <w:bCs w:val="1"/>
          <w:color w:val="auto"/>
        </w:rPr>
      </w:pPr>
    </w:p>
    <w:p>
      <w:pPr>
        <w:ind w:left="940" w:right="160" w:hanging="199"/>
        <w:spacing w:after="0" w:line="286" w:lineRule="auto"/>
        <w:tabs>
          <w:tab w:leader="none" w:pos="924" w:val="left"/>
        </w:tabs>
        <w:numPr>
          <w:ilvl w:val="0"/>
          <w:numId w:val="205"/>
        </w:numPr>
        <w:rPr>
          <w:rFonts w:ascii="Arial" w:cs="Arial" w:eastAsia="Arial" w:hAnsi="Arial"/>
          <w:sz w:val="16"/>
          <w:szCs w:val="16"/>
          <w:b w:val="1"/>
          <w:bCs w:val="1"/>
          <w:color w:val="auto"/>
        </w:rPr>
      </w:pPr>
      <w:r>
        <w:rPr>
          <w:rFonts w:ascii="Arial" w:cs="Arial" w:eastAsia="Arial" w:hAnsi="Arial"/>
          <w:sz w:val="16"/>
          <w:szCs w:val="16"/>
          <w:color w:val="auto"/>
        </w:rPr>
        <w:t>Drove significant progress on regulatory matters specific to the CIB, while continuing to lead the integration of controls and governance across heritage Corporate &amp; Investment Bank and Commercial Banking</w:t>
      </w:r>
    </w:p>
    <w:p>
      <w:pPr>
        <w:spacing w:after="0" w:line="38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Teamwork &amp;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-46990</wp:posOffset>
            </wp:positionV>
            <wp:extent cx="171450" cy="86550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71450" cy="865505"/>
                    </a:xfrm>
                    <a:prstGeom prst="rect">
                      <a:avLst/>
                    </a:prstGeom>
                    <a:noFill/>
                  </pic:spPr>
                </pic:pic>
              </a:graphicData>
            </a:graphic>
          </wp:anchor>
        </w:drawing>
      </w:r>
    </w:p>
    <w:p>
      <w:pPr>
        <w:spacing w:after="0" w:line="53" w:lineRule="exact"/>
        <w:rPr>
          <w:sz w:val="20"/>
          <w:szCs w:val="20"/>
          <w:color w:val="auto"/>
        </w:rPr>
      </w:pPr>
    </w:p>
    <w:p>
      <w:pPr>
        <w:ind w:left="920" w:hanging="179"/>
        <w:spacing w:after="0"/>
        <w:tabs>
          <w:tab w:leader="none" w:pos="920" w:val="left"/>
        </w:tabs>
        <w:numPr>
          <w:ilvl w:val="0"/>
          <w:numId w:val="206"/>
        </w:numPr>
        <w:rPr>
          <w:rFonts w:ascii="Arial" w:cs="Arial" w:eastAsia="Arial" w:hAnsi="Arial"/>
          <w:sz w:val="16"/>
          <w:szCs w:val="16"/>
          <w:b w:val="1"/>
          <w:bCs w:val="1"/>
          <w:color w:val="auto"/>
        </w:rPr>
      </w:pPr>
      <w:r>
        <w:rPr>
          <w:rFonts w:ascii="Arial" w:cs="Arial" w:eastAsia="Arial" w:hAnsi="Arial"/>
          <w:sz w:val="16"/>
          <w:szCs w:val="16"/>
          <w:color w:val="auto"/>
        </w:rPr>
        <w:t>Drove succession planning, retention and development of top talent through key appointments, focused training, and hiring efforts</w:t>
      </w:r>
    </w:p>
    <w:p>
      <w:pPr>
        <w:spacing w:after="0" w:line="59" w:lineRule="exact"/>
        <w:rPr>
          <w:rFonts w:ascii="Arial" w:cs="Arial" w:eastAsia="Arial" w:hAnsi="Arial"/>
          <w:sz w:val="16"/>
          <w:szCs w:val="16"/>
          <w:b w:val="1"/>
          <w:bCs w:val="1"/>
          <w:color w:val="auto"/>
        </w:rPr>
      </w:pPr>
    </w:p>
    <w:p>
      <w:pPr>
        <w:ind w:left="940" w:right="700" w:hanging="199"/>
        <w:spacing w:after="0" w:line="272" w:lineRule="auto"/>
        <w:tabs>
          <w:tab w:leader="none" w:pos="924" w:val="left"/>
        </w:tabs>
        <w:numPr>
          <w:ilvl w:val="0"/>
          <w:numId w:val="206"/>
        </w:numPr>
        <w:rPr>
          <w:rFonts w:ascii="Arial" w:cs="Arial" w:eastAsia="Arial" w:hAnsi="Arial"/>
          <w:sz w:val="16"/>
          <w:szCs w:val="16"/>
          <w:b w:val="1"/>
          <w:bCs w:val="1"/>
          <w:color w:val="auto"/>
        </w:rPr>
      </w:pPr>
      <w:r>
        <w:rPr>
          <w:rFonts w:ascii="Arial" w:cs="Arial" w:eastAsia="Arial" w:hAnsi="Arial"/>
          <w:sz w:val="16"/>
          <w:szCs w:val="16"/>
          <w:color w:val="auto"/>
        </w:rPr>
        <w:t>Prioritized strengthening connectivity and a culture of collaboration across an integrated CIB, driving accountability and delivery on key strategies to align client experience and enhance productivity</w:t>
      </w:r>
    </w:p>
    <w:p>
      <w:pPr>
        <w:spacing w:after="0" w:line="1" w:lineRule="exact"/>
        <w:rPr>
          <w:rFonts w:ascii="Arial" w:cs="Arial" w:eastAsia="Arial" w:hAnsi="Arial"/>
          <w:sz w:val="16"/>
          <w:szCs w:val="16"/>
          <w:b w:val="1"/>
          <w:bCs w:val="1"/>
          <w:color w:val="auto"/>
        </w:rPr>
      </w:pPr>
    </w:p>
    <w:p>
      <w:pPr>
        <w:ind w:left="940" w:right="560" w:hanging="199"/>
        <w:spacing w:after="0" w:line="286" w:lineRule="auto"/>
        <w:tabs>
          <w:tab w:leader="none" w:pos="924" w:val="left"/>
        </w:tabs>
        <w:numPr>
          <w:ilvl w:val="0"/>
          <w:numId w:val="206"/>
        </w:numPr>
        <w:rPr>
          <w:rFonts w:ascii="Arial" w:cs="Arial" w:eastAsia="Arial" w:hAnsi="Arial"/>
          <w:sz w:val="16"/>
          <w:szCs w:val="16"/>
          <w:b w:val="1"/>
          <w:bCs w:val="1"/>
          <w:color w:val="auto"/>
        </w:rPr>
      </w:pPr>
      <w:r>
        <w:rPr>
          <w:rFonts w:ascii="Arial" w:cs="Arial" w:eastAsia="Arial" w:hAnsi="Arial"/>
          <w:sz w:val="16"/>
          <w:szCs w:val="16"/>
          <w:color w:val="auto"/>
        </w:rPr>
        <w:t>Supported the Firm’s culture, continuing to engage broadly across the CIB organization to provide leadership and communicate strategic priorities</w:t>
      </w:r>
    </w:p>
    <w:p>
      <w:pPr>
        <w:spacing w:after="0" w:line="190" w:lineRule="exact"/>
        <w:rPr>
          <w:sz w:val="20"/>
          <w:szCs w:val="20"/>
          <w:color w:val="auto"/>
        </w:rPr>
      </w:pPr>
    </w:p>
    <w:p>
      <w:pPr>
        <w:ind w:left="200" w:hanging="192"/>
        <w:spacing w:after="0"/>
        <w:tabs>
          <w:tab w:leader="none" w:pos="200" w:val="left"/>
        </w:tabs>
        <w:numPr>
          <w:ilvl w:val="0"/>
          <w:numId w:val="207"/>
        </w:numPr>
        <w:rPr>
          <w:rFonts w:ascii="Arial" w:cs="Arial" w:eastAsia="Arial" w:hAnsi="Arial"/>
          <w:sz w:val="19"/>
          <w:szCs w:val="19"/>
          <w:color w:val="auto"/>
          <w:vertAlign w:val="superscript"/>
        </w:rPr>
      </w:pPr>
      <w:r>
        <w:rPr>
          <w:rFonts w:ascii="Arial" w:cs="Arial" w:eastAsia="Arial" w:hAnsi="Arial"/>
          <w:sz w:val="13"/>
          <w:szCs w:val="13"/>
          <w:color w:val="auto"/>
        </w:rPr>
        <w:t>The Firm reviews the results of the lines of business on a managed basis. Refer to Note 2, on page 103 for a definition of managed basis.</w:t>
      </w:r>
    </w:p>
    <w:p>
      <w:pPr>
        <w:ind w:left="200" w:hanging="192"/>
        <w:spacing w:after="0" w:line="182" w:lineRule="auto"/>
        <w:tabs>
          <w:tab w:leader="none" w:pos="200" w:val="left"/>
        </w:tabs>
        <w:numPr>
          <w:ilvl w:val="0"/>
          <w:numId w:val="208"/>
        </w:numPr>
        <w:rPr>
          <w:rFonts w:ascii="Arial" w:cs="Arial" w:eastAsia="Arial" w:hAnsi="Arial"/>
          <w:sz w:val="17"/>
          <w:szCs w:val="17"/>
          <w:color w:val="auto"/>
          <w:vertAlign w:val="superscript"/>
        </w:rPr>
      </w:pPr>
      <w:r>
        <w:rPr>
          <w:rFonts w:ascii="Arial" w:cs="Arial" w:eastAsia="Arial" w:hAnsi="Arial"/>
          <w:sz w:val="11"/>
          <w:szCs w:val="11"/>
          <w:color w:val="auto"/>
        </w:rPr>
        <w:t>Refer to Note 8 on page 2.</w:t>
      </w:r>
    </w:p>
    <w:p>
      <w:pPr>
        <w:ind w:left="200" w:hanging="192"/>
        <w:spacing w:after="0" w:line="182" w:lineRule="auto"/>
        <w:tabs>
          <w:tab w:leader="none" w:pos="200" w:val="left"/>
        </w:tabs>
        <w:numPr>
          <w:ilvl w:val="0"/>
          <w:numId w:val="209"/>
        </w:numPr>
        <w:rPr>
          <w:rFonts w:ascii="Arial" w:cs="Arial" w:eastAsia="Arial" w:hAnsi="Arial"/>
          <w:sz w:val="17"/>
          <w:szCs w:val="17"/>
          <w:color w:val="auto"/>
          <w:vertAlign w:val="superscript"/>
        </w:rPr>
      </w:pPr>
      <w:r>
        <w:rPr>
          <w:rFonts w:ascii="Arial" w:cs="Arial" w:eastAsia="Arial" w:hAnsi="Arial"/>
          <w:sz w:val="11"/>
          <w:szCs w:val="11"/>
          <w:color w:val="auto"/>
        </w:rPr>
        <w:t>Dealogic as of January 2, 2026.</w:t>
      </w:r>
    </w:p>
    <w:p>
      <w:pPr>
        <w:ind w:left="200" w:hanging="192"/>
        <w:spacing w:after="0" w:line="196" w:lineRule="auto"/>
        <w:tabs>
          <w:tab w:leader="none" w:pos="200" w:val="left"/>
        </w:tabs>
        <w:numPr>
          <w:ilvl w:val="0"/>
          <w:numId w:val="210"/>
        </w:numPr>
        <w:rPr>
          <w:rFonts w:ascii="Arial" w:cs="Arial" w:eastAsia="Arial" w:hAnsi="Arial"/>
          <w:sz w:val="19"/>
          <w:szCs w:val="19"/>
          <w:color w:val="auto"/>
          <w:vertAlign w:val="superscript"/>
        </w:rPr>
      </w:pPr>
      <w:r>
        <w:rPr>
          <w:rFonts w:ascii="Arial" w:cs="Arial" w:eastAsia="Arial" w:hAnsi="Arial"/>
          <w:sz w:val="13"/>
          <w:szCs w:val="13"/>
          <w:color w:val="auto"/>
        </w:rPr>
        <w:t>Refer to Note 9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386715</wp:posOffset>
            </wp:positionV>
            <wp:extent cx="651510" cy="8572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12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21"/>
          <w:szCs w:val="21"/>
          <w:color w:val="auto"/>
          <w:vertAlign w:val="superscript"/>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160" w:type="dxa"/>
            <w:vAlign w:val="bottom"/>
            <w:tcBorders>
              <w:top w:val="single" w:sz="8" w:color="auto"/>
              <w:left w:val="single" w:sz="8" w:color="030303"/>
            </w:tcBorders>
          </w:tcPr>
          <w:p>
            <w:pPr>
              <w:spacing w:after="0"/>
              <w:rPr>
                <w:sz w:val="24"/>
                <w:szCs w:val="24"/>
                <w:color w:val="auto"/>
              </w:rPr>
            </w:pPr>
          </w:p>
        </w:tc>
        <w:tc>
          <w:tcPr>
            <w:tcW w:w="26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8F5A39"/>
              </w:rPr>
              <w:t>How we think about pay decisions</w:t>
            </w:r>
          </w:p>
        </w:tc>
        <w:tc>
          <w:tcPr>
            <w:tcW w:w="400" w:type="dxa"/>
            <w:vAlign w:val="bottom"/>
            <w:tcBorders>
              <w:right w:val="single" w:sz="8" w:color="030303"/>
            </w:tcBorders>
          </w:tcPr>
          <w:p>
            <w:pPr>
              <w:spacing w:after="0"/>
              <w:rPr>
                <w:sz w:val="24"/>
                <w:szCs w:val="24"/>
                <w:color w:val="auto"/>
              </w:rPr>
            </w:pPr>
          </w:p>
        </w:tc>
        <w:tc>
          <w:tcPr>
            <w:tcW w:w="41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380" w:type="dxa"/>
            <w:vAlign w:val="bottom"/>
          </w:tcPr>
          <w:p>
            <w:pPr>
              <w:spacing w:after="0"/>
              <w:rPr>
                <w:sz w:val="24"/>
                <w:szCs w:val="24"/>
                <w:color w:val="auto"/>
              </w:rPr>
            </w:pPr>
          </w:p>
        </w:tc>
        <w:tc>
          <w:tcPr>
            <w:tcW w:w="3560" w:type="dxa"/>
            <w:vAlign w:val="bottom"/>
            <w:tcBorders>
              <w:top w:val="single" w:sz="8" w:color="A6D7F0"/>
              <w:bottom w:val="single" w:sz="8" w:color="A6D7F0"/>
            </w:tcBorders>
            <w:shd w:val="clear" w:color="auto" w:fill="A6D7F0"/>
          </w:tcPr>
          <w:p>
            <w:pPr>
              <w:ind w:left="380"/>
              <w:spacing w:after="0"/>
              <w:rPr>
                <w:sz w:val="20"/>
                <w:szCs w:val="20"/>
                <w:color w:val="auto"/>
              </w:rPr>
            </w:pPr>
            <w:r>
              <w:rPr>
                <w:rFonts w:ascii="Arial" w:cs="Arial" w:eastAsia="Arial" w:hAnsi="Arial"/>
                <w:sz w:val="14"/>
                <w:szCs w:val="14"/>
                <w:b w:val="1"/>
                <w:bCs w:val="1"/>
                <w:color w:val="auto"/>
              </w:rPr>
              <w:t>How performance determined pay in 2025</w:t>
            </w:r>
          </w:p>
        </w:tc>
      </w:tr>
      <w:tr>
        <w:trPr>
          <w:trHeight w:val="284"/>
        </w:trPr>
        <w:tc>
          <w:tcPr>
            <w:tcW w:w="160" w:type="dxa"/>
            <w:vAlign w:val="bottom"/>
            <w:tcBorders>
              <w:top w:val="single" w:sz="8" w:color="auto"/>
            </w:tcBorders>
          </w:tcPr>
          <w:p>
            <w:pPr>
              <w:spacing w:after="0"/>
              <w:rPr>
                <w:sz w:val="24"/>
                <w:szCs w:val="24"/>
                <w:color w:val="auto"/>
              </w:rPr>
            </w:pPr>
          </w:p>
        </w:tc>
        <w:tc>
          <w:tcPr>
            <w:tcW w:w="2640" w:type="dxa"/>
            <w:vAlign w:val="bottom"/>
            <w:tcBorders>
              <w:top w:val="single" w:sz="8" w:color="auto"/>
              <w:bottom w:val="single" w:sz="8" w:color="F4EFE7"/>
            </w:tcBorders>
          </w:tcPr>
          <w:p>
            <w:pPr>
              <w:spacing w:after="0"/>
              <w:rPr>
                <w:sz w:val="24"/>
                <w:szCs w:val="24"/>
                <w:color w:val="auto"/>
              </w:rPr>
            </w:pPr>
          </w:p>
        </w:tc>
        <w:tc>
          <w:tcPr>
            <w:tcW w:w="400" w:type="dxa"/>
            <w:vAlign w:val="bottom"/>
            <w:tcBorders>
              <w:bottom w:val="single" w:sz="8" w:color="F4EFE7"/>
            </w:tcBorders>
          </w:tcPr>
          <w:p>
            <w:pPr>
              <w:spacing w:after="0"/>
              <w:rPr>
                <w:sz w:val="24"/>
                <w:szCs w:val="24"/>
                <w:color w:val="auto"/>
              </w:rPr>
            </w:pPr>
          </w:p>
        </w:tc>
        <w:tc>
          <w:tcPr>
            <w:tcW w:w="4100" w:type="dxa"/>
            <w:vAlign w:val="bottom"/>
            <w:tcBorders>
              <w:top w:val="single" w:sz="8" w:color="auto"/>
              <w:bottom w:val="single" w:sz="8" w:color="F4EFE7"/>
            </w:tcBorders>
          </w:tcPr>
          <w:p>
            <w:pPr>
              <w:spacing w:after="0"/>
              <w:rPr>
                <w:sz w:val="24"/>
                <w:szCs w:val="24"/>
                <w:color w:val="auto"/>
              </w:rPr>
            </w:pPr>
          </w:p>
        </w:tc>
        <w:tc>
          <w:tcPr>
            <w:tcW w:w="380" w:type="dxa"/>
            <w:vAlign w:val="bottom"/>
            <w:tcBorders>
              <w:bottom w:val="single" w:sz="8" w:color="F4EFE7"/>
            </w:tcBorders>
          </w:tcPr>
          <w:p>
            <w:pPr>
              <w:spacing w:after="0"/>
              <w:rPr>
                <w:sz w:val="24"/>
                <w:szCs w:val="24"/>
                <w:color w:val="auto"/>
              </w:rPr>
            </w:pPr>
          </w:p>
        </w:tc>
        <w:tc>
          <w:tcPr>
            <w:tcW w:w="3560" w:type="dxa"/>
            <w:vAlign w:val="bottom"/>
            <w:tcBorders>
              <w:top w:val="single" w:sz="8" w:color="A6D7F0"/>
              <w:bottom w:val="single" w:sz="8" w:color="F4EFE7"/>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-393700</wp:posOffset>
            </wp:positionV>
            <wp:extent cx="120015" cy="9398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-393700</wp:posOffset>
            </wp:positionV>
            <wp:extent cx="120015" cy="9398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16586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pacing w:after="0" w:line="106" w:lineRule="exact"/>
        <w:rPr>
          <w:sz w:val="20"/>
          <w:szCs w:val="20"/>
          <w:color w:val="auto"/>
        </w:rPr>
      </w:pPr>
    </w:p>
    <w:p>
      <w:pPr>
        <w:ind w:left="2320"/>
        <w:spacing w:after="0"/>
        <w:rPr>
          <w:sz w:val="20"/>
          <w:szCs w:val="20"/>
          <w:color w:val="auto"/>
        </w:rPr>
      </w:pPr>
      <w:r>
        <w:rPr>
          <w:rFonts w:ascii="Arial" w:cs="Arial" w:eastAsia="Arial" w:hAnsi="Arial"/>
          <w:sz w:val="25"/>
          <w:szCs w:val="25"/>
          <w:color w:val="8F5A39"/>
        </w:rPr>
        <w:t>Douglas Petno</w:t>
      </w:r>
    </w:p>
    <w:p>
      <w:pPr>
        <w:spacing w:after="0" w:line="34"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Co-CEO, Commercial &amp; Investment Bank</w:t>
      </w:r>
    </w:p>
    <w:p>
      <w:pPr>
        <w:spacing w:after="0" w:line="124" w:lineRule="exact"/>
        <w:rPr>
          <w:sz w:val="20"/>
          <w:szCs w:val="20"/>
          <w:color w:val="auto"/>
        </w:rPr>
      </w:pPr>
    </w:p>
    <w:p>
      <w:pPr>
        <w:ind w:left="2320" w:right="3560"/>
        <w:spacing w:after="0" w:line="259" w:lineRule="auto"/>
        <w:rPr>
          <w:sz w:val="20"/>
          <w:szCs w:val="20"/>
          <w:color w:val="auto"/>
        </w:rPr>
      </w:pPr>
      <w:r>
        <w:rPr>
          <w:rFonts w:ascii="Arial" w:cs="Arial" w:eastAsia="Arial" w:hAnsi="Arial"/>
          <w:sz w:val="16"/>
          <w:szCs w:val="16"/>
          <w:color w:val="auto"/>
        </w:rPr>
        <w:t>Mr. Petno became Co-CEO of the Commercial &amp; Investment Bank in January 2025, after serving as Co-head of Global Banking from January 2024. Mr. Petno previously served as CEO of Commercial Banking starting in 2012.</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PERFORMANCE SUMMARY: </w:t>
      </w:r>
      <w:r>
        <w:rPr>
          <w:rFonts w:ascii="Arial" w:cs="Arial" w:eastAsia="Arial" w:hAnsi="Arial"/>
          <w:sz w:val="16"/>
          <w:szCs w:val="16"/>
          <w:color w:val="auto"/>
        </w:rPr>
        <w:t>Assessment of results against long-term strategic priorities and qualitative considerations</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2025 Business Results &amp; 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-115570</wp:posOffset>
            </wp:positionV>
            <wp:extent cx="7054850" cy="157734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054850" cy="1577340"/>
                    </a:xfrm>
                    <a:prstGeom prst="rect">
                      <a:avLst/>
                    </a:prstGeom>
                    <a:noFill/>
                  </pic:spPr>
                </pic:pic>
              </a:graphicData>
            </a:graphic>
          </wp:anchor>
        </w:drawing>
      </w:r>
    </w:p>
    <w:p>
      <w:pPr>
        <w:spacing w:after="0" w:line="26" w:lineRule="exact"/>
        <w:rPr>
          <w:sz w:val="20"/>
          <w:szCs w:val="20"/>
          <w:color w:val="auto"/>
        </w:rPr>
      </w:pPr>
    </w:p>
    <w:p>
      <w:pPr>
        <w:ind w:left="920" w:hanging="179"/>
        <w:spacing w:after="0"/>
        <w:tabs>
          <w:tab w:leader="none" w:pos="920"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CIB achieved net income of $27.8 billion on revenue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$78.5 billion, with an ROE of 18%</w:t>
      </w:r>
    </w:p>
    <w:p>
      <w:pPr>
        <w:spacing w:after="0" w:line="17" w:lineRule="exact"/>
        <w:rPr>
          <w:rFonts w:ascii="Arial" w:cs="Arial" w:eastAsia="Arial" w:hAnsi="Arial"/>
          <w:sz w:val="16"/>
          <w:szCs w:val="16"/>
          <w:b w:val="1"/>
          <w:bCs w:val="1"/>
          <w:color w:val="auto"/>
        </w:rPr>
      </w:pPr>
    </w:p>
    <w:p>
      <w:pPr>
        <w:ind w:left="940" w:right="280" w:hanging="199"/>
        <w:spacing w:after="0" w:line="265" w:lineRule="auto"/>
        <w:tabs>
          <w:tab w:leader="none" w:pos="924"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IB fees of $9.7 billion, up 7%; Payments revenue of $19.3 billion, up 7%; Fixed Income revenue of $22.5 billion, up 12%; Equities revenue of $13.3 billion, up 33%; and Securities Services revenue of $5.6 billion, up 10%</w:t>
      </w:r>
    </w:p>
    <w:p>
      <w:pPr>
        <w:spacing w:after="0" w:line="9" w:lineRule="exact"/>
        <w:rPr>
          <w:rFonts w:ascii="Arial" w:cs="Arial" w:eastAsia="Arial" w:hAnsi="Arial"/>
          <w:sz w:val="16"/>
          <w:szCs w:val="16"/>
          <w:b w:val="1"/>
          <w:bCs w:val="1"/>
          <w:color w:val="auto"/>
        </w:rPr>
      </w:pPr>
    </w:p>
    <w:p>
      <w:pPr>
        <w:ind w:left="920" w:hanging="179"/>
        <w:spacing w:after="0"/>
        <w:tabs>
          <w:tab w:leader="none" w:pos="920"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Ranked #1 in global IB fees for 17 consecutive years with wallet share of 8.4%</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in 2025</w:t>
      </w:r>
    </w:p>
    <w:p>
      <w:pPr>
        <w:spacing w:after="0" w:line="17" w:lineRule="exact"/>
        <w:rPr>
          <w:rFonts w:ascii="Arial" w:cs="Arial" w:eastAsia="Arial" w:hAnsi="Arial"/>
          <w:sz w:val="16"/>
          <w:szCs w:val="16"/>
          <w:b w:val="1"/>
          <w:bCs w:val="1"/>
          <w:color w:val="auto"/>
        </w:rPr>
      </w:pPr>
    </w:p>
    <w:p>
      <w:pPr>
        <w:ind w:left="920" w:hanging="179"/>
        <w:spacing w:after="0" w:line="228" w:lineRule="auto"/>
        <w:tabs>
          <w:tab w:leader="none" w:pos="920"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Participated in 5 of the top 10 fee paying deals</w:t>
      </w:r>
      <w:r>
        <w:rPr>
          <w:rFonts w:ascii="Arial" w:cs="Arial" w:eastAsia="Arial" w:hAnsi="Arial"/>
          <w:sz w:val="21"/>
          <w:szCs w:val="21"/>
          <w:color w:val="auto"/>
          <w:vertAlign w:val="superscript"/>
        </w:rPr>
        <w:t>3</w:t>
      </w:r>
    </w:p>
    <w:p>
      <w:pPr>
        <w:ind w:left="920" w:hanging="179"/>
        <w:spacing w:after="0"/>
        <w:tabs>
          <w:tab w:leader="none" w:pos="920"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Ranked #1 in Markets revenue with 11.8%</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wallet share (#1 in Fixed Income; Co-#1 in Equities)</w:t>
      </w:r>
    </w:p>
    <w:p>
      <w:pPr>
        <w:spacing w:after="0" w:line="1" w:lineRule="exact"/>
        <w:rPr>
          <w:rFonts w:ascii="Arial" w:cs="Arial" w:eastAsia="Arial" w:hAnsi="Arial"/>
          <w:sz w:val="16"/>
          <w:szCs w:val="16"/>
          <w:b w:val="1"/>
          <w:bCs w:val="1"/>
          <w:color w:val="auto"/>
        </w:rPr>
      </w:pPr>
    </w:p>
    <w:p>
      <w:pPr>
        <w:ind w:left="920" w:hanging="179"/>
        <w:spacing w:after="0"/>
        <w:tabs>
          <w:tab w:leader="none" w:pos="920"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Record revenue across Markets, Payments, and Securities Services</w:t>
      </w:r>
    </w:p>
    <w:p>
      <w:pPr>
        <w:spacing w:after="0" w:line="43" w:lineRule="exact"/>
        <w:rPr>
          <w:rFonts w:ascii="Arial" w:cs="Arial" w:eastAsia="Arial" w:hAnsi="Arial"/>
          <w:sz w:val="16"/>
          <w:szCs w:val="16"/>
          <w:b w:val="1"/>
          <w:bCs w:val="1"/>
          <w:color w:val="auto"/>
        </w:rPr>
      </w:pPr>
    </w:p>
    <w:p>
      <w:pPr>
        <w:ind w:left="940" w:right="60" w:hanging="199"/>
        <w:spacing w:after="0" w:line="286" w:lineRule="auto"/>
        <w:tabs>
          <w:tab w:leader="none" w:pos="924"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Continued to advance CIB's industry-leading positions and focus on integration, collaboration and modernization across the business to provide clients with high quality products and services, and deliver strong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-148590</wp:posOffset>
            </wp:positionV>
            <wp:extent cx="7054850" cy="37719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054850" cy="3771900"/>
                    </a:xfrm>
                    <a:prstGeom prst="rect">
                      <a:avLst/>
                    </a:prstGeom>
                    <a:noFill/>
                  </pic:spPr>
                </pic:pic>
              </a:graphicData>
            </a:graphic>
          </wp:anchor>
        </w:drawing>
      </w:r>
    </w:p>
    <w:p>
      <w:pPr>
        <w:spacing w:after="0" w:line="298"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Client/Customer/Stakeholder</w:t>
      </w:r>
    </w:p>
    <w:p>
      <w:pPr>
        <w:spacing w:after="0" w:line="73" w:lineRule="exact"/>
        <w:rPr>
          <w:sz w:val="20"/>
          <w:szCs w:val="20"/>
          <w:color w:val="auto"/>
        </w:rPr>
      </w:pPr>
    </w:p>
    <w:p>
      <w:pPr>
        <w:ind w:left="940" w:right="40" w:hanging="199"/>
        <w:spacing w:after="0" w:line="264" w:lineRule="auto"/>
        <w:tabs>
          <w:tab w:leader="none" w:pos="924" w:val="left"/>
        </w:tabs>
        <w:numPr>
          <w:ilvl w:val="0"/>
          <w:numId w:val="212"/>
        </w:numPr>
        <w:rPr>
          <w:rFonts w:ascii="Arial" w:cs="Arial" w:eastAsia="Arial" w:hAnsi="Arial"/>
          <w:sz w:val="16"/>
          <w:szCs w:val="16"/>
          <w:b w:val="1"/>
          <w:bCs w:val="1"/>
          <w:color w:val="auto"/>
        </w:rPr>
      </w:pPr>
      <w:r>
        <w:rPr>
          <w:rFonts w:ascii="Arial" w:cs="Arial" w:eastAsia="Arial" w:hAnsi="Arial"/>
          <w:sz w:val="16"/>
          <w:szCs w:val="16"/>
          <w:color w:val="auto"/>
        </w:rPr>
        <w:t>Continued focus on and investment in technologies, efficiency and modernization, implementing optimized client-focused solutions to meet their needs and gain market share globally, in addition to driving AI product maturity and adoption</w:t>
      </w:r>
    </w:p>
    <w:p>
      <w:pPr>
        <w:ind w:left="940" w:right="660" w:hanging="199"/>
        <w:spacing w:after="0" w:line="272" w:lineRule="auto"/>
        <w:tabs>
          <w:tab w:leader="none" w:pos="924" w:val="left"/>
        </w:tabs>
        <w:numPr>
          <w:ilvl w:val="0"/>
          <w:numId w:val="212"/>
        </w:numPr>
        <w:rPr>
          <w:rFonts w:ascii="Arial" w:cs="Arial" w:eastAsia="Arial" w:hAnsi="Arial"/>
          <w:sz w:val="16"/>
          <w:szCs w:val="16"/>
          <w:b w:val="1"/>
          <w:bCs w:val="1"/>
          <w:color w:val="auto"/>
        </w:rPr>
      </w:pPr>
      <w:r>
        <w:rPr>
          <w:rFonts w:ascii="Arial" w:cs="Arial" w:eastAsia="Arial" w:hAnsi="Arial"/>
          <w:sz w:val="16"/>
          <w:szCs w:val="16"/>
          <w:color w:val="auto"/>
        </w:rPr>
        <w:t>Maintained a commitment to our institutional, corporate, and sponsor clients across all regions and products through the participation in numerous client events throughout the year</w:t>
      </w:r>
    </w:p>
    <w:p>
      <w:pPr>
        <w:spacing w:after="0" w:line="1" w:lineRule="exact"/>
        <w:rPr>
          <w:rFonts w:ascii="Arial" w:cs="Arial" w:eastAsia="Arial" w:hAnsi="Arial"/>
          <w:sz w:val="16"/>
          <w:szCs w:val="16"/>
          <w:b w:val="1"/>
          <w:bCs w:val="1"/>
          <w:color w:val="auto"/>
        </w:rPr>
      </w:pPr>
    </w:p>
    <w:p>
      <w:pPr>
        <w:ind w:left="940" w:right="460" w:hanging="199"/>
        <w:spacing w:after="0" w:line="220" w:lineRule="auto"/>
        <w:tabs>
          <w:tab w:leader="none" w:pos="924" w:val="left"/>
        </w:tabs>
        <w:numPr>
          <w:ilvl w:val="0"/>
          <w:numId w:val="212"/>
        </w:numPr>
        <w:rPr>
          <w:rFonts w:ascii="Arial" w:cs="Arial" w:eastAsia="Arial" w:hAnsi="Arial"/>
          <w:sz w:val="16"/>
          <w:szCs w:val="16"/>
          <w:b w:val="1"/>
          <w:bCs w:val="1"/>
          <w:color w:val="auto"/>
        </w:rPr>
      </w:pPr>
      <w:r>
        <w:rPr>
          <w:rFonts w:ascii="Arial" w:cs="Arial" w:eastAsia="Arial" w:hAnsi="Arial"/>
          <w:sz w:val="16"/>
          <w:szCs w:val="16"/>
          <w:color w:val="auto"/>
        </w:rPr>
        <w:t>Ranked #1 for overall institutional client service quality for the 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consecutive year in Global Markets, per Coalition Greenwich Institutional Voice of Client 2025 Markets Study</w:t>
      </w:r>
    </w:p>
    <w:p>
      <w:pPr>
        <w:spacing w:after="0" w:line="14" w:lineRule="exact"/>
        <w:rPr>
          <w:rFonts w:ascii="Arial" w:cs="Arial" w:eastAsia="Arial" w:hAnsi="Arial"/>
          <w:sz w:val="16"/>
          <w:szCs w:val="16"/>
          <w:b w:val="1"/>
          <w:bCs w:val="1"/>
          <w:color w:val="auto"/>
        </w:rPr>
      </w:pPr>
    </w:p>
    <w:p>
      <w:pPr>
        <w:ind w:left="920" w:hanging="179"/>
        <w:spacing w:after="0"/>
        <w:tabs>
          <w:tab w:leader="none" w:pos="920" w:val="left"/>
        </w:tabs>
        <w:numPr>
          <w:ilvl w:val="0"/>
          <w:numId w:val="212"/>
        </w:numPr>
        <w:rPr>
          <w:rFonts w:ascii="Arial" w:cs="Arial" w:eastAsia="Arial" w:hAnsi="Arial"/>
          <w:sz w:val="16"/>
          <w:szCs w:val="16"/>
          <w:b w:val="1"/>
          <w:bCs w:val="1"/>
          <w:color w:val="auto"/>
        </w:rPr>
      </w:pPr>
      <w:r>
        <w:rPr>
          <w:rFonts w:ascii="Arial" w:cs="Arial" w:eastAsia="Arial" w:hAnsi="Arial"/>
          <w:sz w:val="16"/>
          <w:szCs w:val="16"/>
          <w:color w:val="auto"/>
        </w:rPr>
        <w:t>Ranked #1 Global Research, #1 Global Fixed Income Research and #1 Global Equity Research by Extel for the 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time in 5 years</w:t>
      </w:r>
    </w:p>
    <w:p>
      <w:pPr>
        <w:spacing w:after="0" w:line="4" w:lineRule="exact"/>
        <w:rPr>
          <w:rFonts w:ascii="Arial" w:cs="Arial" w:eastAsia="Arial" w:hAnsi="Arial"/>
          <w:sz w:val="16"/>
          <w:szCs w:val="16"/>
          <w:b w:val="1"/>
          <w:bCs w:val="1"/>
          <w:color w:val="auto"/>
        </w:rPr>
      </w:pPr>
    </w:p>
    <w:p>
      <w:pPr>
        <w:ind w:left="920" w:hanging="179"/>
        <w:spacing w:after="0"/>
        <w:tabs>
          <w:tab w:leader="none" w:pos="920" w:val="left"/>
        </w:tabs>
        <w:numPr>
          <w:ilvl w:val="0"/>
          <w:numId w:val="212"/>
        </w:numPr>
        <w:rPr>
          <w:rFonts w:ascii="Arial" w:cs="Arial" w:eastAsia="Arial" w:hAnsi="Arial"/>
          <w:sz w:val="16"/>
          <w:szCs w:val="16"/>
          <w:b w:val="1"/>
          <w:bCs w:val="1"/>
          <w:color w:val="auto"/>
        </w:rPr>
      </w:pPr>
      <w:r>
        <w:rPr>
          <w:rFonts w:ascii="Arial" w:cs="Arial" w:eastAsia="Arial" w:hAnsi="Arial"/>
          <w:sz w:val="16"/>
          <w:szCs w:val="16"/>
          <w:color w:val="auto"/>
        </w:rPr>
        <w:t>Awarded Best Global Corporate Bank consistently, per Coalition Greenwich Institutional Voice of Client 2025 Global Corporate Banking Study</w:t>
      </w:r>
    </w:p>
    <w:p>
      <w:pPr>
        <w:spacing w:after="0" w:line="273"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Risk, Controls &amp;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-115570</wp:posOffset>
            </wp:positionV>
            <wp:extent cx="163195" cy="10115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clrChange>
                        <a:clrFrom>
                          <a:srgbClr val="000000"/>
                        </a:clrFrom>
                        <a:clrTo>
                          <a:srgbClr val="000000">
                            <a:alpha val="0"/>
                          </a:srgbClr>
                        </a:clrTo>
                      </a:clrChange>
                      <a:extLst>
                        <a:ext uri="{28A0092B-C50C-407E-A947-70E740481C1C}"/>
                      </a:extLst>
                    </a:blip>
                    <a:srcRect/>
                    <a:stretch>
                      <a:fillRect/>
                    </a:stretch>
                  </pic:blipFill>
                  <pic:spPr bwMode="auto">
                    <a:xfrm>
                      <a:off x="0" y="0"/>
                      <a:ext cx="163195" cy="10115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163195" cy="10115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clrChange>
                        <a:clrFrom>
                          <a:srgbClr val="FFFFFF"/>
                        </a:clrFrom>
                        <a:clrTo>
                          <a:srgbClr val="FFFFFF">
                            <a:alpha val="0"/>
                          </a:srgbClr>
                        </a:clrTo>
                      </a:clrChange>
                      <a:extLst>
                        <a:ext uri="{28A0092B-C50C-407E-A947-70E740481C1C}"/>
                      </a:extLst>
                    </a:blip>
                    <a:srcRect/>
                    <a:stretch>
                      <a:fillRect/>
                    </a:stretch>
                  </pic:blipFill>
                  <pic:spPr bwMode="auto">
                    <a:xfrm>
                      <a:off x="0" y="0"/>
                      <a:ext cx="163195" cy="1011555"/>
                    </a:xfrm>
                    <a:prstGeom prst="rect">
                      <a:avLst/>
                    </a:prstGeom>
                    <a:noFill/>
                  </pic:spPr>
                </pic:pic>
              </a:graphicData>
            </a:graphic>
          </wp:anchor>
        </w:drawing>
      </w:r>
    </w:p>
    <w:p>
      <w:pPr>
        <w:spacing w:after="0" w:line="53" w:lineRule="exact"/>
        <w:rPr>
          <w:sz w:val="20"/>
          <w:szCs w:val="20"/>
          <w:color w:val="auto"/>
        </w:rPr>
      </w:pPr>
    </w:p>
    <w:p>
      <w:pPr>
        <w:ind w:left="940" w:right="260" w:hanging="199"/>
        <w:spacing w:after="0" w:line="281" w:lineRule="auto"/>
        <w:tabs>
          <w:tab w:leader="none" w:pos="924" w:val="left"/>
        </w:tabs>
        <w:numPr>
          <w:ilvl w:val="0"/>
          <w:numId w:val="213"/>
        </w:numPr>
        <w:rPr>
          <w:rFonts w:ascii="Arial" w:cs="Arial" w:eastAsia="Arial" w:hAnsi="Arial"/>
          <w:sz w:val="16"/>
          <w:szCs w:val="16"/>
          <w:b w:val="1"/>
          <w:bCs w:val="1"/>
          <w:color w:val="auto"/>
        </w:rPr>
      </w:pPr>
      <w:r>
        <w:rPr>
          <w:rFonts w:ascii="Arial" w:cs="Arial" w:eastAsia="Arial" w:hAnsi="Arial"/>
          <w:sz w:val="16"/>
          <w:szCs w:val="16"/>
          <w:color w:val="auto"/>
        </w:rPr>
        <w:t>Maintained a satisfactory risk and controls environment, with continued focus on the anticipation of risks and proactive reviews of operational resilience</w:t>
      </w:r>
    </w:p>
    <w:p>
      <w:pPr>
        <w:spacing w:after="0" w:line="1" w:lineRule="exact"/>
        <w:rPr>
          <w:rFonts w:ascii="Arial" w:cs="Arial" w:eastAsia="Arial" w:hAnsi="Arial"/>
          <w:sz w:val="16"/>
          <w:szCs w:val="16"/>
          <w:b w:val="1"/>
          <w:bCs w:val="1"/>
          <w:color w:val="auto"/>
        </w:rPr>
      </w:pPr>
    </w:p>
    <w:p>
      <w:pPr>
        <w:ind w:left="920" w:hanging="179"/>
        <w:spacing w:after="0"/>
        <w:tabs>
          <w:tab w:leader="none" w:pos="920" w:val="left"/>
        </w:tabs>
        <w:numPr>
          <w:ilvl w:val="0"/>
          <w:numId w:val="213"/>
        </w:numPr>
        <w:rPr>
          <w:rFonts w:ascii="Arial" w:cs="Arial" w:eastAsia="Arial" w:hAnsi="Arial"/>
          <w:sz w:val="16"/>
          <w:szCs w:val="16"/>
          <w:b w:val="1"/>
          <w:bCs w:val="1"/>
          <w:color w:val="auto"/>
        </w:rPr>
      </w:pPr>
      <w:r>
        <w:rPr>
          <w:rFonts w:ascii="Arial" w:cs="Arial" w:eastAsia="Arial" w:hAnsi="Arial"/>
          <w:sz w:val="16"/>
          <w:szCs w:val="16"/>
          <w:color w:val="auto"/>
        </w:rPr>
        <w:t>Demonstrated focus on driving accountability and the highest standards of culture and conduct consistent with the Firm’s Business Principles</w:t>
      </w:r>
    </w:p>
    <w:p>
      <w:pPr>
        <w:spacing w:after="0" w:line="45" w:lineRule="exact"/>
        <w:rPr>
          <w:rFonts w:ascii="Arial" w:cs="Arial" w:eastAsia="Arial" w:hAnsi="Arial"/>
          <w:sz w:val="16"/>
          <w:szCs w:val="16"/>
          <w:b w:val="1"/>
          <w:bCs w:val="1"/>
          <w:color w:val="auto"/>
        </w:rPr>
      </w:pPr>
    </w:p>
    <w:p>
      <w:pPr>
        <w:ind w:left="940" w:right="160" w:hanging="199"/>
        <w:spacing w:after="0" w:line="286" w:lineRule="auto"/>
        <w:tabs>
          <w:tab w:leader="none" w:pos="924" w:val="left"/>
        </w:tabs>
        <w:numPr>
          <w:ilvl w:val="0"/>
          <w:numId w:val="213"/>
        </w:numPr>
        <w:rPr>
          <w:rFonts w:ascii="Arial" w:cs="Arial" w:eastAsia="Arial" w:hAnsi="Arial"/>
          <w:sz w:val="16"/>
          <w:szCs w:val="16"/>
          <w:b w:val="1"/>
          <w:bCs w:val="1"/>
          <w:color w:val="auto"/>
        </w:rPr>
      </w:pPr>
      <w:r>
        <w:rPr>
          <w:rFonts w:ascii="Arial" w:cs="Arial" w:eastAsia="Arial" w:hAnsi="Arial"/>
          <w:sz w:val="16"/>
          <w:szCs w:val="16"/>
          <w:color w:val="auto"/>
        </w:rPr>
        <w:t>Drove significant progress on regulatory matters specific to the CIB, while continuing to lead the integration of controls and governance across heritage Corporate &amp; Investment Bank and Commercial Banking</w:t>
      </w:r>
    </w:p>
    <w:p>
      <w:pPr>
        <w:spacing w:after="0" w:line="38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Teamwork &amp;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-46990</wp:posOffset>
            </wp:positionV>
            <wp:extent cx="171450" cy="8661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71450" cy="866140"/>
                    </a:xfrm>
                    <a:prstGeom prst="rect">
                      <a:avLst/>
                    </a:prstGeom>
                    <a:noFill/>
                  </pic:spPr>
                </pic:pic>
              </a:graphicData>
            </a:graphic>
          </wp:anchor>
        </w:drawing>
      </w:r>
    </w:p>
    <w:p>
      <w:pPr>
        <w:spacing w:after="0" w:line="53" w:lineRule="exact"/>
        <w:rPr>
          <w:sz w:val="20"/>
          <w:szCs w:val="20"/>
          <w:color w:val="auto"/>
        </w:rPr>
      </w:pPr>
    </w:p>
    <w:p>
      <w:pPr>
        <w:ind w:left="920" w:hanging="179"/>
        <w:spacing w:after="0"/>
        <w:tabs>
          <w:tab w:leader="none" w:pos="920" w:val="left"/>
        </w:tabs>
        <w:numPr>
          <w:ilvl w:val="0"/>
          <w:numId w:val="214"/>
        </w:numPr>
        <w:rPr>
          <w:rFonts w:ascii="Arial" w:cs="Arial" w:eastAsia="Arial" w:hAnsi="Arial"/>
          <w:sz w:val="16"/>
          <w:szCs w:val="16"/>
          <w:b w:val="1"/>
          <w:bCs w:val="1"/>
          <w:color w:val="auto"/>
        </w:rPr>
      </w:pPr>
      <w:r>
        <w:rPr>
          <w:rFonts w:ascii="Arial" w:cs="Arial" w:eastAsia="Arial" w:hAnsi="Arial"/>
          <w:sz w:val="16"/>
          <w:szCs w:val="16"/>
          <w:color w:val="auto"/>
        </w:rPr>
        <w:t>Drove succession planning, retention and development of top talent through key appointments, focused training, and hiring efforts</w:t>
      </w:r>
    </w:p>
    <w:p>
      <w:pPr>
        <w:spacing w:after="0" w:line="59" w:lineRule="exact"/>
        <w:rPr>
          <w:rFonts w:ascii="Arial" w:cs="Arial" w:eastAsia="Arial" w:hAnsi="Arial"/>
          <w:sz w:val="16"/>
          <w:szCs w:val="16"/>
          <w:b w:val="1"/>
          <w:bCs w:val="1"/>
          <w:color w:val="auto"/>
        </w:rPr>
      </w:pPr>
    </w:p>
    <w:p>
      <w:pPr>
        <w:ind w:left="940" w:right="700" w:hanging="199"/>
        <w:spacing w:after="0" w:line="272" w:lineRule="auto"/>
        <w:tabs>
          <w:tab w:leader="none" w:pos="92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Prioritized strengthening connectivity and a culture of collaboration across an integrated CIB, driving accountability and delivery on key strategies to align client experience and enhance productivity</w:t>
      </w:r>
    </w:p>
    <w:p>
      <w:pPr>
        <w:spacing w:after="0" w:line="1" w:lineRule="exact"/>
        <w:rPr>
          <w:rFonts w:ascii="Arial" w:cs="Arial" w:eastAsia="Arial" w:hAnsi="Arial"/>
          <w:sz w:val="16"/>
          <w:szCs w:val="16"/>
          <w:color w:val="auto"/>
        </w:rPr>
      </w:pPr>
    </w:p>
    <w:p>
      <w:pPr>
        <w:ind w:left="940" w:right="580" w:hanging="199"/>
        <w:spacing w:after="0" w:line="286" w:lineRule="auto"/>
        <w:tabs>
          <w:tab w:leader="none" w:pos="924" w:val="left"/>
        </w:tabs>
        <w:numPr>
          <w:ilvl w:val="0"/>
          <w:numId w:val="214"/>
        </w:numPr>
        <w:rPr>
          <w:rFonts w:ascii="Arial" w:cs="Arial" w:eastAsia="Arial" w:hAnsi="Arial"/>
          <w:sz w:val="16"/>
          <w:szCs w:val="16"/>
          <w:b w:val="1"/>
          <w:bCs w:val="1"/>
          <w:color w:val="auto"/>
        </w:rPr>
      </w:pPr>
      <w:r>
        <w:rPr>
          <w:rFonts w:ascii="Arial" w:cs="Arial" w:eastAsia="Arial" w:hAnsi="Arial"/>
          <w:sz w:val="16"/>
          <w:szCs w:val="16"/>
          <w:color w:val="auto"/>
        </w:rPr>
        <w:t>Supported the Firm’s culture, connecting with and engaging broadly across the CIB organization to provide leadership and communicate strategic priorities</w:t>
      </w:r>
    </w:p>
    <w:p>
      <w:pPr>
        <w:spacing w:after="0" w:line="190" w:lineRule="exact"/>
        <w:rPr>
          <w:sz w:val="20"/>
          <w:szCs w:val="20"/>
          <w:color w:val="auto"/>
        </w:rPr>
      </w:pPr>
    </w:p>
    <w:p>
      <w:pPr>
        <w:ind w:left="200" w:hanging="192"/>
        <w:spacing w:after="0"/>
        <w:tabs>
          <w:tab w:leader="none" w:pos="200" w:val="left"/>
        </w:tabs>
        <w:numPr>
          <w:ilvl w:val="0"/>
          <w:numId w:val="215"/>
        </w:numPr>
        <w:rPr>
          <w:rFonts w:ascii="Arial" w:cs="Arial" w:eastAsia="Arial" w:hAnsi="Arial"/>
          <w:sz w:val="19"/>
          <w:szCs w:val="19"/>
          <w:color w:val="auto"/>
          <w:vertAlign w:val="superscript"/>
        </w:rPr>
      </w:pPr>
      <w:r>
        <w:rPr>
          <w:rFonts w:ascii="Arial" w:cs="Arial" w:eastAsia="Arial" w:hAnsi="Arial"/>
          <w:sz w:val="13"/>
          <w:szCs w:val="13"/>
          <w:color w:val="auto"/>
        </w:rPr>
        <w:t>The Firm reviews the results of the lines of business on a managed basis. Refer to Note 2, on page 103 for a definition of managed basis.</w:t>
      </w:r>
    </w:p>
    <w:p>
      <w:pPr>
        <w:ind w:left="200" w:hanging="192"/>
        <w:spacing w:after="0" w:line="182" w:lineRule="auto"/>
        <w:tabs>
          <w:tab w:leader="none" w:pos="200" w:val="left"/>
        </w:tabs>
        <w:numPr>
          <w:ilvl w:val="0"/>
          <w:numId w:val="216"/>
        </w:numPr>
        <w:rPr>
          <w:rFonts w:ascii="Arial" w:cs="Arial" w:eastAsia="Arial" w:hAnsi="Arial"/>
          <w:sz w:val="17"/>
          <w:szCs w:val="17"/>
          <w:color w:val="auto"/>
          <w:vertAlign w:val="superscript"/>
        </w:rPr>
      </w:pPr>
      <w:r>
        <w:rPr>
          <w:rFonts w:ascii="Arial" w:cs="Arial" w:eastAsia="Arial" w:hAnsi="Arial"/>
          <w:sz w:val="11"/>
          <w:szCs w:val="11"/>
          <w:color w:val="auto"/>
        </w:rPr>
        <w:t>Refer to Note 8 on page 2.</w:t>
      </w:r>
    </w:p>
    <w:p>
      <w:pPr>
        <w:ind w:left="200" w:hanging="192"/>
        <w:spacing w:after="0" w:line="182" w:lineRule="auto"/>
        <w:tabs>
          <w:tab w:leader="none" w:pos="200" w:val="left"/>
        </w:tabs>
        <w:numPr>
          <w:ilvl w:val="0"/>
          <w:numId w:val="217"/>
        </w:numPr>
        <w:rPr>
          <w:rFonts w:ascii="Arial" w:cs="Arial" w:eastAsia="Arial" w:hAnsi="Arial"/>
          <w:sz w:val="17"/>
          <w:szCs w:val="17"/>
          <w:color w:val="auto"/>
          <w:vertAlign w:val="superscript"/>
        </w:rPr>
      </w:pPr>
      <w:r>
        <w:rPr>
          <w:rFonts w:ascii="Arial" w:cs="Arial" w:eastAsia="Arial" w:hAnsi="Arial"/>
          <w:sz w:val="11"/>
          <w:szCs w:val="11"/>
          <w:color w:val="auto"/>
        </w:rPr>
        <w:t>Dealogic as of January 2, 2026.</w:t>
      </w:r>
    </w:p>
    <w:p>
      <w:pPr>
        <w:ind w:left="200" w:hanging="192"/>
        <w:spacing w:after="0" w:line="196" w:lineRule="auto"/>
        <w:tabs>
          <w:tab w:leader="none" w:pos="200" w:val="left"/>
        </w:tabs>
        <w:numPr>
          <w:ilvl w:val="0"/>
          <w:numId w:val="218"/>
        </w:numPr>
        <w:rPr>
          <w:rFonts w:ascii="Arial" w:cs="Arial" w:eastAsia="Arial" w:hAnsi="Arial"/>
          <w:sz w:val="19"/>
          <w:szCs w:val="19"/>
          <w:color w:val="auto"/>
          <w:vertAlign w:val="superscript"/>
        </w:rPr>
      </w:pPr>
      <w:r>
        <w:rPr>
          <w:rFonts w:ascii="Arial" w:cs="Arial" w:eastAsia="Arial" w:hAnsi="Arial"/>
          <w:sz w:val="13"/>
          <w:szCs w:val="13"/>
          <w:color w:val="auto"/>
        </w:rPr>
        <w:t>Refer to Note 9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309245</wp:posOffset>
            </wp:positionV>
            <wp:extent cx="651510" cy="8572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362"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60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Compensation discussion and analysis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160" w:type="dxa"/>
            <w:vAlign w:val="bottom"/>
            <w:tcBorders>
              <w:top w:val="single" w:sz="8" w:color="auto"/>
              <w:left w:val="single" w:sz="8" w:color="030303"/>
            </w:tcBorders>
          </w:tcPr>
          <w:p>
            <w:pPr>
              <w:spacing w:after="0"/>
              <w:rPr>
                <w:sz w:val="24"/>
                <w:szCs w:val="24"/>
                <w:color w:val="auto"/>
              </w:rPr>
            </w:pPr>
          </w:p>
        </w:tc>
        <w:tc>
          <w:tcPr>
            <w:tcW w:w="26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8F5A39"/>
              </w:rPr>
              <w:t>How we think about pay decisions</w:t>
            </w:r>
          </w:p>
        </w:tc>
        <w:tc>
          <w:tcPr>
            <w:tcW w:w="400" w:type="dxa"/>
            <w:vAlign w:val="bottom"/>
            <w:tcBorders>
              <w:right w:val="single" w:sz="8" w:color="030303"/>
            </w:tcBorders>
          </w:tcPr>
          <w:p>
            <w:pPr>
              <w:spacing w:after="0"/>
              <w:rPr>
                <w:sz w:val="24"/>
                <w:szCs w:val="24"/>
                <w:color w:val="auto"/>
              </w:rPr>
            </w:pPr>
          </w:p>
        </w:tc>
        <w:tc>
          <w:tcPr>
            <w:tcW w:w="41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4"/>
                <w:szCs w:val="14"/>
                <w:color w:val="8F5A39"/>
              </w:rPr>
              <w:t>How we performed against our business strategy</w:t>
            </w:r>
          </w:p>
        </w:tc>
        <w:tc>
          <w:tcPr>
            <w:tcW w:w="380" w:type="dxa"/>
            <w:vAlign w:val="bottom"/>
          </w:tcPr>
          <w:p>
            <w:pPr>
              <w:spacing w:after="0"/>
              <w:rPr>
                <w:sz w:val="24"/>
                <w:szCs w:val="24"/>
                <w:color w:val="auto"/>
              </w:rPr>
            </w:pPr>
          </w:p>
        </w:tc>
        <w:tc>
          <w:tcPr>
            <w:tcW w:w="3560" w:type="dxa"/>
            <w:vAlign w:val="bottom"/>
            <w:tcBorders>
              <w:top w:val="single" w:sz="8" w:color="A6D7F0"/>
              <w:bottom w:val="single" w:sz="8" w:color="A6D7F0"/>
            </w:tcBorders>
            <w:shd w:val="clear" w:color="auto" w:fill="A6D7F0"/>
          </w:tcPr>
          <w:p>
            <w:pPr>
              <w:ind w:left="380"/>
              <w:spacing w:after="0"/>
              <w:rPr>
                <w:sz w:val="20"/>
                <w:szCs w:val="20"/>
                <w:color w:val="auto"/>
              </w:rPr>
            </w:pPr>
            <w:r>
              <w:rPr>
                <w:rFonts w:ascii="Arial" w:cs="Arial" w:eastAsia="Arial" w:hAnsi="Arial"/>
                <w:sz w:val="14"/>
                <w:szCs w:val="14"/>
                <w:b w:val="1"/>
                <w:bCs w:val="1"/>
                <w:color w:val="auto"/>
              </w:rPr>
              <w:t>How performance determined pay in 2025</w:t>
            </w:r>
          </w:p>
        </w:tc>
      </w:tr>
      <w:tr>
        <w:trPr>
          <w:trHeight w:val="284"/>
        </w:trPr>
        <w:tc>
          <w:tcPr>
            <w:tcW w:w="160" w:type="dxa"/>
            <w:vAlign w:val="bottom"/>
            <w:tcBorders>
              <w:top w:val="single" w:sz="8" w:color="auto"/>
            </w:tcBorders>
          </w:tcPr>
          <w:p>
            <w:pPr>
              <w:spacing w:after="0"/>
              <w:rPr>
                <w:sz w:val="24"/>
                <w:szCs w:val="24"/>
                <w:color w:val="auto"/>
              </w:rPr>
            </w:pPr>
          </w:p>
        </w:tc>
        <w:tc>
          <w:tcPr>
            <w:tcW w:w="2640" w:type="dxa"/>
            <w:vAlign w:val="bottom"/>
            <w:tcBorders>
              <w:top w:val="single" w:sz="8" w:color="auto"/>
              <w:bottom w:val="single" w:sz="8" w:color="F4EFE7"/>
            </w:tcBorders>
          </w:tcPr>
          <w:p>
            <w:pPr>
              <w:spacing w:after="0"/>
              <w:rPr>
                <w:sz w:val="24"/>
                <w:szCs w:val="24"/>
                <w:color w:val="auto"/>
              </w:rPr>
            </w:pPr>
          </w:p>
        </w:tc>
        <w:tc>
          <w:tcPr>
            <w:tcW w:w="400" w:type="dxa"/>
            <w:vAlign w:val="bottom"/>
            <w:tcBorders>
              <w:bottom w:val="single" w:sz="8" w:color="F4EFE7"/>
            </w:tcBorders>
          </w:tcPr>
          <w:p>
            <w:pPr>
              <w:spacing w:after="0"/>
              <w:rPr>
                <w:sz w:val="24"/>
                <w:szCs w:val="24"/>
                <w:color w:val="auto"/>
              </w:rPr>
            </w:pPr>
          </w:p>
        </w:tc>
        <w:tc>
          <w:tcPr>
            <w:tcW w:w="4100" w:type="dxa"/>
            <w:vAlign w:val="bottom"/>
            <w:tcBorders>
              <w:top w:val="single" w:sz="8" w:color="auto"/>
              <w:bottom w:val="single" w:sz="8" w:color="F4EFE7"/>
            </w:tcBorders>
          </w:tcPr>
          <w:p>
            <w:pPr>
              <w:spacing w:after="0"/>
              <w:rPr>
                <w:sz w:val="24"/>
                <w:szCs w:val="24"/>
                <w:color w:val="auto"/>
              </w:rPr>
            </w:pPr>
          </w:p>
        </w:tc>
        <w:tc>
          <w:tcPr>
            <w:tcW w:w="380" w:type="dxa"/>
            <w:vAlign w:val="bottom"/>
            <w:tcBorders>
              <w:bottom w:val="single" w:sz="8" w:color="F4EFE7"/>
            </w:tcBorders>
          </w:tcPr>
          <w:p>
            <w:pPr>
              <w:spacing w:after="0"/>
              <w:rPr>
                <w:sz w:val="24"/>
                <w:szCs w:val="24"/>
                <w:color w:val="auto"/>
              </w:rPr>
            </w:pPr>
          </w:p>
        </w:tc>
        <w:tc>
          <w:tcPr>
            <w:tcW w:w="3560" w:type="dxa"/>
            <w:vAlign w:val="bottom"/>
            <w:tcBorders>
              <w:top w:val="single" w:sz="8" w:color="A6D7F0"/>
              <w:bottom w:val="single" w:sz="8" w:color="F4EFE7"/>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-393700</wp:posOffset>
            </wp:positionV>
            <wp:extent cx="120015" cy="9398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-393700</wp:posOffset>
            </wp:positionV>
            <wp:extent cx="120015" cy="9398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0015"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20015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60" w:lineRule="exact"/>
        <w:rPr>
          <w:sz w:val="20"/>
          <w:szCs w:val="20"/>
          <w:color w:val="auto"/>
        </w:rPr>
      </w:pPr>
    </w:p>
    <w:p>
      <w:pPr>
        <w:ind w:left="2320"/>
        <w:spacing w:after="0"/>
        <w:rPr>
          <w:sz w:val="20"/>
          <w:szCs w:val="20"/>
          <w:color w:val="auto"/>
        </w:rPr>
      </w:pPr>
      <w:r>
        <w:rPr>
          <w:rFonts w:ascii="Arial" w:cs="Arial" w:eastAsia="Arial" w:hAnsi="Arial"/>
          <w:sz w:val="25"/>
          <w:szCs w:val="25"/>
          <w:color w:val="8F5A39"/>
        </w:rPr>
        <w:t>Jeremy Barnum</w:t>
      </w:r>
    </w:p>
    <w:p>
      <w:pPr>
        <w:spacing w:after="0" w:line="34"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CFO</w:t>
      </w:r>
    </w:p>
    <w:p>
      <w:pPr>
        <w:spacing w:after="0" w:line="57"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Mr. Barnum was appointed as the CFO of the Firm in May 2021. Previously,</w:t>
      </w:r>
    </w:p>
    <w:p>
      <w:pPr>
        <w:spacing w:after="0" w:line="21" w:lineRule="exact"/>
        <w:rPr>
          <w:sz w:val="20"/>
          <w:szCs w:val="20"/>
          <w:color w:val="auto"/>
        </w:rPr>
      </w:pPr>
    </w:p>
    <w:p>
      <w:pPr>
        <w:ind w:left="2320" w:right="3980"/>
        <w:spacing w:after="0" w:line="237" w:lineRule="auto"/>
        <w:rPr>
          <w:sz w:val="20"/>
          <w:szCs w:val="20"/>
          <w:color w:val="auto"/>
        </w:rPr>
      </w:pPr>
      <w:r>
        <w:rPr>
          <w:rFonts w:ascii="Arial" w:cs="Arial" w:eastAsia="Arial" w:hAnsi="Arial"/>
          <w:sz w:val="16"/>
          <w:szCs w:val="16"/>
          <w:color w:val="auto"/>
        </w:rPr>
        <w:t>Mr. Barnum served as head of Global Research for the Corporate &amp; Investment Bank and prior to that, was CFO and Chief of Staff for the</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Corporate &amp; Investment Bank from 2013 through the beginning of 2021.</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PERFORMANCE SUMMARY: </w:t>
      </w:r>
      <w:r>
        <w:rPr>
          <w:rFonts w:ascii="Arial" w:cs="Arial" w:eastAsia="Arial" w:hAnsi="Arial"/>
          <w:sz w:val="16"/>
          <w:szCs w:val="16"/>
          <w:color w:val="auto"/>
        </w:rPr>
        <w:t>Assessment of results against long-term strategic priorities and qualitative considerations</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2025 Business Results &amp; Progress Against our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-115570</wp:posOffset>
            </wp:positionV>
            <wp:extent cx="7054850" cy="150876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054850" cy="1508760"/>
                    </a:xfrm>
                    <a:prstGeom prst="rect">
                      <a:avLst/>
                    </a:prstGeom>
                    <a:noFill/>
                  </pic:spPr>
                </pic:pic>
              </a:graphicData>
            </a:graphic>
          </wp:anchor>
        </w:drawing>
      </w:r>
    </w:p>
    <w:p>
      <w:pPr>
        <w:spacing w:after="0" w:line="26" w:lineRule="exact"/>
        <w:rPr>
          <w:sz w:val="20"/>
          <w:szCs w:val="20"/>
          <w:color w:val="auto"/>
        </w:rPr>
      </w:pPr>
    </w:p>
    <w:p>
      <w:pPr>
        <w:ind w:left="940" w:right="320" w:hanging="199"/>
        <w:spacing w:after="0" w:line="281" w:lineRule="auto"/>
        <w:tabs>
          <w:tab w:leader="none" w:pos="924"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Managed the Firm’s balance sheet, capital and liquidity position, interest rate risk and portfolio through an evolving economic and regulatory environment</w:t>
      </w:r>
    </w:p>
    <w:p>
      <w:pPr>
        <w:spacing w:after="0" w:line="1" w:lineRule="exact"/>
        <w:rPr>
          <w:rFonts w:ascii="Arial" w:cs="Arial" w:eastAsia="Arial" w:hAnsi="Arial"/>
          <w:sz w:val="16"/>
          <w:szCs w:val="16"/>
          <w:b w:val="1"/>
          <w:bCs w:val="1"/>
          <w:color w:val="auto"/>
        </w:rPr>
      </w:pPr>
    </w:p>
    <w:p>
      <w:pPr>
        <w:ind w:left="920" w:hanging="179"/>
        <w:spacing w:after="0"/>
        <w:tabs>
          <w:tab w:leader="none" w:pos="920"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Drove expense discipline and accountability across the Firm while balancing key commercial priorities</w:t>
      </w:r>
    </w:p>
    <w:p>
      <w:pPr>
        <w:spacing w:after="0" w:line="59" w:lineRule="exact"/>
        <w:rPr>
          <w:rFonts w:ascii="Arial" w:cs="Arial" w:eastAsia="Arial" w:hAnsi="Arial"/>
          <w:sz w:val="16"/>
          <w:szCs w:val="16"/>
          <w:b w:val="1"/>
          <w:bCs w:val="1"/>
          <w:color w:val="auto"/>
        </w:rPr>
      </w:pPr>
    </w:p>
    <w:p>
      <w:pPr>
        <w:ind w:left="940" w:right="1080" w:hanging="199"/>
        <w:spacing w:after="0" w:line="272" w:lineRule="auto"/>
        <w:tabs>
          <w:tab w:leader="none" w:pos="924"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Continued to deliver on core responsibilities, such as regulatory reporting and financial forecasting, while driving ongoing process improvements</w:t>
      </w:r>
    </w:p>
    <w:p>
      <w:pPr>
        <w:spacing w:after="0" w:line="1" w:lineRule="exact"/>
        <w:rPr>
          <w:rFonts w:ascii="Arial" w:cs="Arial" w:eastAsia="Arial" w:hAnsi="Arial"/>
          <w:sz w:val="16"/>
          <w:szCs w:val="16"/>
          <w:b w:val="1"/>
          <w:bCs w:val="1"/>
          <w:color w:val="auto"/>
        </w:rPr>
      </w:pPr>
    </w:p>
    <w:p>
      <w:pPr>
        <w:ind w:left="940" w:right="740" w:hanging="199"/>
        <w:spacing w:after="0" w:line="281" w:lineRule="auto"/>
        <w:tabs>
          <w:tab w:leader="none" w:pos="924"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Advanced the technology and data strategy across the Finance and Treasury organizations, achieving tangible progress on significant milestones</w:t>
      </w:r>
    </w:p>
    <w:p>
      <w:pPr>
        <w:spacing w:after="0" w:line="1" w:lineRule="exact"/>
        <w:rPr>
          <w:rFonts w:ascii="Arial" w:cs="Arial" w:eastAsia="Arial" w:hAnsi="Arial"/>
          <w:sz w:val="16"/>
          <w:szCs w:val="16"/>
          <w:b w:val="1"/>
          <w:bCs w:val="1"/>
          <w:color w:val="auto"/>
        </w:rPr>
      </w:pPr>
    </w:p>
    <w:p>
      <w:pPr>
        <w:ind w:left="940" w:right="600" w:hanging="199"/>
        <w:spacing w:after="0" w:line="286" w:lineRule="auto"/>
        <w:tabs>
          <w:tab w:leader="none" w:pos="924" w:val="left"/>
        </w:tabs>
        <w:numPr>
          <w:ilvl w:val="0"/>
          <w:numId w:val="219"/>
        </w:numPr>
        <w:rPr>
          <w:rFonts w:ascii="Arial" w:cs="Arial" w:eastAsia="Arial" w:hAnsi="Arial"/>
          <w:sz w:val="16"/>
          <w:szCs w:val="16"/>
          <w:b w:val="1"/>
          <w:bCs w:val="1"/>
          <w:color w:val="auto"/>
        </w:rPr>
      </w:pPr>
      <w:r>
        <w:rPr>
          <w:rFonts w:ascii="Arial" w:cs="Arial" w:eastAsia="Arial" w:hAnsi="Arial"/>
          <w:sz w:val="16"/>
          <w:szCs w:val="16"/>
          <w:color w:val="auto"/>
        </w:rPr>
        <w:t>Provided ongoing analysis, public messaging and advocacy efforts on key regulatory matters such as the Basel III Endgame and Global Systemically Important Bank (“GSIB”)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-80010</wp:posOffset>
            </wp:positionV>
            <wp:extent cx="7054850" cy="340296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054850" cy="3402965"/>
                    </a:xfrm>
                    <a:prstGeom prst="rect">
                      <a:avLst/>
                    </a:prstGeom>
                    <a:noFill/>
                  </pic:spPr>
                </pic:pic>
              </a:graphicData>
            </a:graphic>
          </wp:anchor>
        </w:drawing>
      </w:r>
    </w:p>
    <w:p>
      <w:pPr>
        <w:spacing w:after="0" w:line="35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Client/Customer/Stakeholder</w:t>
      </w:r>
    </w:p>
    <w:p>
      <w:pPr>
        <w:spacing w:after="0" w:line="86" w:lineRule="exact"/>
        <w:rPr>
          <w:sz w:val="20"/>
          <w:szCs w:val="20"/>
          <w:color w:val="auto"/>
        </w:rPr>
      </w:pPr>
    </w:p>
    <w:p>
      <w:pPr>
        <w:ind w:left="940" w:right="620" w:hanging="199"/>
        <w:spacing w:after="0" w:line="281" w:lineRule="auto"/>
        <w:tabs>
          <w:tab w:leader="none" w:pos="924" w:val="left"/>
        </w:tabs>
        <w:numPr>
          <w:ilvl w:val="0"/>
          <w:numId w:val="220"/>
        </w:numPr>
        <w:rPr>
          <w:rFonts w:ascii="Arial" w:cs="Arial" w:eastAsia="Arial" w:hAnsi="Arial"/>
          <w:sz w:val="16"/>
          <w:szCs w:val="16"/>
          <w:b w:val="1"/>
          <w:bCs w:val="1"/>
          <w:color w:val="auto"/>
        </w:rPr>
      </w:pPr>
      <w:r>
        <w:rPr>
          <w:rFonts w:ascii="Arial" w:cs="Arial" w:eastAsia="Arial" w:hAnsi="Arial"/>
          <w:sz w:val="16"/>
          <w:szCs w:val="16"/>
          <w:color w:val="auto"/>
        </w:rPr>
        <w:t>Continued to build and strengthen relationships with a broad range of stakeholders, including investors, analysts, regulators, clients and employees by participating in numerous internal and external engagements globally</w:t>
      </w:r>
    </w:p>
    <w:p>
      <w:pPr>
        <w:spacing w:after="0" w:line="1" w:lineRule="exact"/>
        <w:rPr>
          <w:rFonts w:ascii="Arial" w:cs="Arial" w:eastAsia="Arial" w:hAnsi="Arial"/>
          <w:sz w:val="16"/>
          <w:szCs w:val="16"/>
          <w:b w:val="1"/>
          <w:bCs w:val="1"/>
          <w:color w:val="auto"/>
        </w:rPr>
      </w:pPr>
    </w:p>
    <w:p>
      <w:pPr>
        <w:ind w:left="920" w:hanging="179"/>
        <w:spacing w:after="0"/>
        <w:tabs>
          <w:tab w:leader="none" w:pos="920" w:val="left"/>
        </w:tabs>
        <w:numPr>
          <w:ilvl w:val="0"/>
          <w:numId w:val="220"/>
        </w:numPr>
        <w:rPr>
          <w:rFonts w:ascii="Arial" w:cs="Arial" w:eastAsia="Arial" w:hAnsi="Arial"/>
          <w:sz w:val="16"/>
          <w:szCs w:val="16"/>
          <w:b w:val="1"/>
          <w:bCs w:val="1"/>
          <w:color w:val="auto"/>
        </w:rPr>
      </w:pPr>
      <w:r>
        <w:rPr>
          <w:rFonts w:ascii="Arial" w:cs="Arial" w:eastAsia="Arial" w:hAnsi="Arial"/>
          <w:sz w:val="16"/>
          <w:szCs w:val="16"/>
          <w:color w:val="auto"/>
        </w:rPr>
        <w:t>Participated in constructive engagement and advocacy with key regulators on matters important to the Financial Services industry</w:t>
      </w:r>
    </w:p>
    <w:p>
      <w:pPr>
        <w:spacing w:after="0" w:line="59" w:lineRule="exact"/>
        <w:rPr>
          <w:rFonts w:ascii="Arial" w:cs="Arial" w:eastAsia="Arial" w:hAnsi="Arial"/>
          <w:sz w:val="16"/>
          <w:szCs w:val="16"/>
          <w:b w:val="1"/>
          <w:bCs w:val="1"/>
          <w:color w:val="auto"/>
        </w:rPr>
      </w:pPr>
    </w:p>
    <w:p>
      <w:pPr>
        <w:ind w:left="920" w:hanging="179"/>
        <w:spacing w:after="0"/>
        <w:tabs>
          <w:tab w:leader="none" w:pos="920" w:val="left"/>
        </w:tabs>
        <w:numPr>
          <w:ilvl w:val="0"/>
          <w:numId w:val="220"/>
        </w:numPr>
        <w:rPr>
          <w:rFonts w:ascii="Arial" w:cs="Arial" w:eastAsia="Arial" w:hAnsi="Arial"/>
          <w:sz w:val="16"/>
          <w:szCs w:val="16"/>
          <w:b w:val="1"/>
          <w:bCs w:val="1"/>
          <w:color w:val="auto"/>
        </w:rPr>
      </w:pPr>
      <w:r>
        <w:rPr>
          <w:rFonts w:ascii="Arial" w:cs="Arial" w:eastAsia="Arial" w:hAnsi="Arial"/>
          <w:sz w:val="16"/>
          <w:szCs w:val="16"/>
          <w:color w:val="auto"/>
        </w:rPr>
        <w:t>Oversaw a strong Investor Relations team and continued to deliver on the strategy for best-in-class external communication</w:t>
      </w:r>
    </w:p>
    <w:p>
      <w:pPr>
        <w:spacing w:after="0" w:line="289"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Risk, Controls &amp;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-115570</wp:posOffset>
            </wp:positionV>
            <wp:extent cx="163195" cy="10115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clrChange>
                        <a:clrFrom>
                          <a:srgbClr val="000000"/>
                        </a:clrFrom>
                        <a:clrTo>
                          <a:srgbClr val="000000">
                            <a:alpha val="0"/>
                          </a:srgbClr>
                        </a:clrTo>
                      </a:clrChange>
                      <a:extLst>
                        <a:ext uri="{28A0092B-C50C-407E-A947-70E740481C1C}"/>
                      </a:extLst>
                    </a:blip>
                    <a:srcRect/>
                    <a:stretch>
                      <a:fillRect/>
                    </a:stretch>
                  </pic:blipFill>
                  <pic:spPr bwMode="auto">
                    <a:xfrm>
                      <a:off x="0" y="0"/>
                      <a:ext cx="163195" cy="10115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163195" cy="10115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clrChange>
                        <a:clrFrom>
                          <a:srgbClr val="FFFFFF"/>
                        </a:clrFrom>
                        <a:clrTo>
                          <a:srgbClr val="FFFFFF">
                            <a:alpha val="0"/>
                          </a:srgbClr>
                        </a:clrTo>
                      </a:clrChange>
                      <a:extLst>
                        <a:ext uri="{28A0092B-C50C-407E-A947-70E740481C1C}"/>
                      </a:extLst>
                    </a:blip>
                    <a:srcRect/>
                    <a:stretch>
                      <a:fillRect/>
                    </a:stretch>
                  </pic:blipFill>
                  <pic:spPr bwMode="auto">
                    <a:xfrm>
                      <a:off x="0" y="0"/>
                      <a:ext cx="163195" cy="1011555"/>
                    </a:xfrm>
                    <a:prstGeom prst="rect">
                      <a:avLst/>
                    </a:prstGeom>
                    <a:noFill/>
                  </pic:spPr>
                </pic:pic>
              </a:graphicData>
            </a:graphic>
          </wp:anchor>
        </w:drawing>
      </w:r>
    </w:p>
    <w:p>
      <w:pPr>
        <w:spacing w:after="0" w:line="66" w:lineRule="exact"/>
        <w:rPr>
          <w:sz w:val="20"/>
          <w:szCs w:val="20"/>
          <w:color w:val="auto"/>
        </w:rPr>
      </w:pPr>
    </w:p>
    <w:p>
      <w:pPr>
        <w:ind w:left="940" w:right="420" w:hanging="199"/>
        <w:spacing w:after="0" w:line="281" w:lineRule="auto"/>
        <w:tabs>
          <w:tab w:leader="none" w:pos="924"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Maintained a strong risk discipline across the organization as well as satisfactory risk and controls environment with active engagement on firmwide issues and participation in key forums</w:t>
      </w:r>
    </w:p>
    <w:p>
      <w:pPr>
        <w:spacing w:after="0" w:line="1" w:lineRule="exact"/>
        <w:rPr>
          <w:rFonts w:ascii="Arial" w:cs="Arial" w:eastAsia="Arial" w:hAnsi="Arial"/>
          <w:sz w:val="16"/>
          <w:szCs w:val="16"/>
          <w:b w:val="1"/>
          <w:bCs w:val="1"/>
          <w:color w:val="auto"/>
        </w:rPr>
      </w:pPr>
    </w:p>
    <w:p>
      <w:pPr>
        <w:ind w:left="920" w:hanging="179"/>
        <w:spacing w:after="0"/>
        <w:tabs>
          <w:tab w:leader="none" w:pos="920"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Set expectations for accountability and the highest standards of culture and conduct in alignment with the Firm’s Business Principles</w:t>
      </w:r>
    </w:p>
    <w:p>
      <w:pPr>
        <w:spacing w:after="0" w:line="59" w:lineRule="exact"/>
        <w:rPr>
          <w:rFonts w:ascii="Arial" w:cs="Arial" w:eastAsia="Arial" w:hAnsi="Arial"/>
          <w:sz w:val="16"/>
          <w:szCs w:val="16"/>
          <w:b w:val="1"/>
          <w:bCs w:val="1"/>
          <w:color w:val="auto"/>
        </w:rPr>
      </w:pPr>
    </w:p>
    <w:p>
      <w:pPr>
        <w:ind w:left="940" w:right="640" w:hanging="199"/>
        <w:spacing w:after="0" w:line="286" w:lineRule="auto"/>
        <w:tabs>
          <w:tab w:leader="none" w:pos="924" w:val="left"/>
        </w:tabs>
        <w:numPr>
          <w:ilvl w:val="0"/>
          <w:numId w:val="221"/>
        </w:numPr>
        <w:rPr>
          <w:rFonts w:ascii="Arial" w:cs="Arial" w:eastAsia="Arial" w:hAnsi="Arial"/>
          <w:sz w:val="16"/>
          <w:szCs w:val="16"/>
          <w:b w:val="1"/>
          <w:bCs w:val="1"/>
          <w:color w:val="auto"/>
        </w:rPr>
      </w:pPr>
      <w:r>
        <w:rPr>
          <w:rFonts w:ascii="Arial" w:cs="Arial" w:eastAsia="Arial" w:hAnsi="Arial"/>
          <w:sz w:val="16"/>
          <w:szCs w:val="16"/>
          <w:color w:val="auto"/>
        </w:rPr>
        <w:t>Focused on risk identification, mitigation and timely remediation efforts across capital, liquidity, external financial reporting and business resiliency while facilitating consistent and transparent regulatory engagement</w:t>
      </w:r>
    </w:p>
    <w:p>
      <w:pPr>
        <w:spacing w:after="0" w:line="358"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8F5A39"/>
        </w:rPr>
        <w:t>Teamwork &amp;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-46990</wp:posOffset>
            </wp:positionV>
            <wp:extent cx="171450" cy="101981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71450" cy="1019810"/>
                    </a:xfrm>
                    <a:prstGeom prst="rect">
                      <a:avLst/>
                    </a:prstGeom>
                    <a:noFill/>
                  </pic:spPr>
                </pic:pic>
              </a:graphicData>
            </a:graphic>
          </wp:anchor>
        </w:drawing>
      </w:r>
    </w:p>
    <w:p>
      <w:pPr>
        <w:spacing w:after="0" w:line="53" w:lineRule="exact"/>
        <w:rPr>
          <w:sz w:val="20"/>
          <w:szCs w:val="20"/>
          <w:color w:val="auto"/>
        </w:rPr>
      </w:pPr>
    </w:p>
    <w:p>
      <w:pPr>
        <w:ind w:left="940" w:right="80" w:hanging="199"/>
        <w:spacing w:after="0" w:line="281" w:lineRule="auto"/>
        <w:tabs>
          <w:tab w:leader="none" w:pos="924" w:val="left"/>
        </w:tabs>
        <w:numPr>
          <w:ilvl w:val="0"/>
          <w:numId w:val="222"/>
        </w:numPr>
        <w:rPr>
          <w:rFonts w:ascii="Arial" w:cs="Arial" w:eastAsia="Arial" w:hAnsi="Arial"/>
          <w:sz w:val="16"/>
          <w:szCs w:val="16"/>
          <w:b w:val="1"/>
          <w:bCs w:val="1"/>
          <w:color w:val="auto"/>
        </w:rPr>
      </w:pPr>
      <w:r>
        <w:rPr>
          <w:rFonts w:ascii="Arial" w:cs="Arial" w:eastAsia="Arial" w:hAnsi="Arial"/>
          <w:sz w:val="16"/>
          <w:szCs w:val="16"/>
          <w:color w:val="auto"/>
        </w:rPr>
        <w:t>Continued focus on succession planning, cultivating development opportunities for key senior leaders, and supporting key leaders in new roles, while building a strong talent pipeline</w:t>
      </w:r>
    </w:p>
    <w:p>
      <w:pPr>
        <w:spacing w:after="0" w:line="1" w:lineRule="exact"/>
        <w:rPr>
          <w:rFonts w:ascii="Arial" w:cs="Arial" w:eastAsia="Arial" w:hAnsi="Arial"/>
          <w:sz w:val="16"/>
          <w:szCs w:val="16"/>
          <w:b w:val="1"/>
          <w:bCs w:val="1"/>
          <w:color w:val="auto"/>
        </w:rPr>
      </w:pPr>
    </w:p>
    <w:p>
      <w:pPr>
        <w:ind w:left="920" w:hanging="179"/>
        <w:spacing w:after="0"/>
        <w:tabs>
          <w:tab w:leader="none" w:pos="920" w:val="left"/>
        </w:tabs>
        <w:numPr>
          <w:ilvl w:val="0"/>
          <w:numId w:val="222"/>
        </w:numPr>
        <w:rPr>
          <w:rFonts w:ascii="Arial" w:cs="Arial" w:eastAsia="Arial" w:hAnsi="Arial"/>
          <w:sz w:val="16"/>
          <w:szCs w:val="16"/>
          <w:b w:val="1"/>
          <w:bCs w:val="1"/>
          <w:color w:val="auto"/>
        </w:rPr>
      </w:pPr>
      <w:r>
        <w:rPr>
          <w:rFonts w:ascii="Arial" w:cs="Arial" w:eastAsia="Arial" w:hAnsi="Arial"/>
          <w:sz w:val="16"/>
          <w:szCs w:val="16"/>
          <w:color w:val="auto"/>
        </w:rPr>
        <w:t>Fostered a culture that values strategic innovation and process efficiency</w:t>
      </w:r>
    </w:p>
    <w:p>
      <w:pPr>
        <w:spacing w:after="0" w:line="45" w:lineRule="exact"/>
        <w:rPr>
          <w:rFonts w:ascii="Arial" w:cs="Arial" w:eastAsia="Arial" w:hAnsi="Arial"/>
          <w:sz w:val="16"/>
          <w:szCs w:val="16"/>
          <w:b w:val="1"/>
          <w:bCs w:val="1"/>
          <w:color w:val="auto"/>
        </w:rPr>
      </w:pPr>
    </w:p>
    <w:p>
      <w:pPr>
        <w:ind w:left="940" w:right="120" w:hanging="199"/>
        <w:spacing w:after="0" w:line="281" w:lineRule="auto"/>
        <w:tabs>
          <w:tab w:leader="none" w:pos="924" w:val="left"/>
        </w:tabs>
        <w:numPr>
          <w:ilvl w:val="0"/>
          <w:numId w:val="222"/>
        </w:numPr>
        <w:rPr>
          <w:rFonts w:ascii="Arial" w:cs="Arial" w:eastAsia="Arial" w:hAnsi="Arial"/>
          <w:sz w:val="16"/>
          <w:szCs w:val="16"/>
          <w:b w:val="1"/>
          <w:bCs w:val="1"/>
          <w:color w:val="auto"/>
        </w:rPr>
      </w:pPr>
      <w:r>
        <w:rPr>
          <w:rFonts w:ascii="Arial" w:cs="Arial" w:eastAsia="Arial" w:hAnsi="Arial"/>
          <w:sz w:val="16"/>
          <w:szCs w:val="16"/>
          <w:color w:val="auto"/>
        </w:rPr>
        <w:t>Drove connectivity across an organization comprised of a wide range of disciplines and professional expertise with a focus on delivering strong execution of core responsibilities</w:t>
      </w:r>
    </w:p>
    <w:p>
      <w:pPr>
        <w:spacing w:after="0" w:line="1" w:lineRule="exact"/>
        <w:rPr>
          <w:rFonts w:ascii="Arial" w:cs="Arial" w:eastAsia="Arial" w:hAnsi="Arial"/>
          <w:sz w:val="16"/>
          <w:szCs w:val="16"/>
          <w:b w:val="1"/>
          <w:bCs w:val="1"/>
          <w:color w:val="auto"/>
        </w:rPr>
      </w:pPr>
    </w:p>
    <w:p>
      <w:pPr>
        <w:ind w:left="920" w:hanging="179"/>
        <w:spacing w:after="0"/>
        <w:tabs>
          <w:tab w:leader="none" w:pos="920" w:val="left"/>
        </w:tabs>
        <w:numPr>
          <w:ilvl w:val="0"/>
          <w:numId w:val="222"/>
        </w:numPr>
        <w:rPr>
          <w:rFonts w:ascii="Arial" w:cs="Arial" w:eastAsia="Arial" w:hAnsi="Arial"/>
          <w:sz w:val="16"/>
          <w:szCs w:val="16"/>
          <w:b w:val="1"/>
          <w:bCs w:val="1"/>
          <w:color w:val="auto"/>
        </w:rPr>
      </w:pPr>
      <w:r>
        <w:rPr>
          <w:rFonts w:ascii="Arial" w:cs="Arial" w:eastAsia="Arial" w:hAnsi="Arial"/>
          <w:sz w:val="16"/>
          <w:szCs w:val="16"/>
          <w:color w:val="auto"/>
        </w:rPr>
        <w:t>Provided ongoing Firmwide leadership to deliver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509270</wp:posOffset>
            </wp:positionV>
            <wp:extent cx="651510" cy="8572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Compensation &amp; management development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color w:val="auto"/>
        </w:rPr>
        <w:t>Compensation &amp; Management Development Committee report</w:t>
      </w:r>
    </w:p>
    <w:p>
      <w:pPr>
        <w:spacing w:after="0" w:line="33" w:lineRule="exact"/>
        <w:rPr>
          <w:sz w:val="20"/>
          <w:szCs w:val="20"/>
          <w:color w:val="auto"/>
        </w:rPr>
      </w:pPr>
    </w:p>
    <w:p>
      <w:pPr>
        <w:ind w:right="280"/>
        <w:spacing w:after="0" w:line="300" w:lineRule="auto"/>
        <w:rPr>
          <w:sz w:val="20"/>
          <w:szCs w:val="20"/>
          <w:color w:val="auto"/>
        </w:rPr>
      </w:pPr>
      <w:r>
        <w:rPr>
          <w:rFonts w:ascii="Arial" w:cs="Arial" w:eastAsia="Arial" w:hAnsi="Arial"/>
          <w:sz w:val="16"/>
          <w:szCs w:val="16"/>
          <w:color w:val="auto"/>
        </w:rPr>
        <w:t>The Compensation &amp; Management Development Committee has reviewed the Compensation discussion and analysis and discussed that analysis with management.</w:t>
      </w:r>
    </w:p>
    <w:p>
      <w:pPr>
        <w:spacing w:after="0" w:line="9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Based on such review and discussion with management, the Compensation &amp; Management Development Committee recommended to the Board of Directors that the Compensation discussion and analysis be included in this proxy statement and our Annual Report on Form 10-K for the year ended December 31, 2025. This report is provided as of March 17, 2026, by the following independent directors, who comprise the Compensation &amp; Management Development Committee: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 xml:space="preserve">Stephen B. Burke </w:t>
      </w:r>
      <w:r>
        <w:rPr>
          <w:rFonts w:ascii="Arial" w:cs="Arial" w:eastAsia="Arial" w:hAnsi="Arial"/>
          <w:sz w:val="16"/>
          <w:szCs w:val="16"/>
          <w:color w:val="000000"/>
        </w:rPr>
        <w:t>(Chair)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Linda B. Bammann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Virginia M. Rometty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7029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96" w:lineRule="exact"/>
        <w:rPr>
          <w:sz w:val="20"/>
          <w:szCs w:val="20"/>
          <w:color w:val="auto"/>
        </w:rPr>
      </w:pPr>
    </w:p>
    <w:p>
      <w:pPr>
        <w:ind w:left="180" w:right="160"/>
        <w:spacing w:after="0" w:line="301" w:lineRule="auto"/>
        <w:rPr>
          <w:sz w:val="20"/>
          <w:szCs w:val="20"/>
          <w:color w:val="auto"/>
        </w:rPr>
      </w:pPr>
      <w:r>
        <w:rPr>
          <w:rFonts w:ascii="Arial" w:cs="Arial" w:eastAsia="Arial" w:hAnsi="Arial"/>
          <w:sz w:val="16"/>
          <w:szCs w:val="16"/>
          <w:color w:val="auto"/>
        </w:rPr>
        <w:t>The Compensation discussion and analysis is intended to describe our 2025 performance, the compensation decisions for our Named Executive Officers and the Firm’s philosophy and approach to compensation. The following tables and disclosures on pages 63-76 present additional information required in accordance with SEC rules, including the Summary compensation table and the 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554990</wp:posOffset>
            </wp:positionV>
            <wp:extent cx="651510" cy="8572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62</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57" w:right="47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7120"/>
        <w:spacing w:after="0"/>
        <w:rPr>
          <w:sz w:val="20"/>
          <w:szCs w:val="20"/>
          <w:color w:val="auto"/>
        </w:rPr>
      </w:pPr>
      <w:r>
        <w:rPr>
          <w:rFonts w:ascii="Arial" w:cs="Arial" w:eastAsia="Arial" w:hAnsi="Arial"/>
          <w:sz w:val="14"/>
          <w:szCs w:val="14"/>
          <w:color w:val="8F5A39"/>
        </w:rPr>
        <w:t xml:space="preserve">Executive compensation tables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color w:val="auto"/>
        </w:rPr>
        <w:t>Executive compensation tables</w:t>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auto"/>
        </w:rPr>
        <w:t>I. Summary compensation table (SCT)</w:t>
      </w:r>
    </w:p>
    <w:p>
      <w:pPr>
        <w:spacing w:after="0" w:line="4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following table and related notes present the compensation for our Named Executive Officers in the format specified by the SEC. The table below reflects equity awards made in 2025 for 2024 performance. The “NEO annual compensation table" on page 56 shows how the CMDC viewed compensation actions for 2025 performance.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20" w:type="dxa"/>
            <w:vAlign w:val="bottom"/>
            <w:shd w:val="clear" w:color="auto" w:fill="F4EFE7"/>
          </w:tcPr>
          <w:p>
            <w:pPr>
              <w:spacing w:after="0"/>
              <w:rPr>
                <w:sz w:val="13"/>
                <w:szCs w:val="13"/>
                <w:color w:val="auto"/>
              </w:rPr>
            </w:pPr>
          </w:p>
        </w:tc>
        <w:tc>
          <w:tcPr>
            <w:tcW w:w="960" w:type="dxa"/>
            <w:vAlign w:val="bottom"/>
            <w:shd w:val="clear" w:color="auto" w:fill="F4EFE7"/>
          </w:tcPr>
          <w:p>
            <w:pPr>
              <w:spacing w:after="0"/>
              <w:rPr>
                <w:sz w:val="13"/>
                <w:szCs w:val="13"/>
                <w:color w:val="auto"/>
              </w:rPr>
            </w:pPr>
          </w:p>
        </w:tc>
        <w:tc>
          <w:tcPr>
            <w:tcW w:w="860" w:type="dxa"/>
            <w:vAlign w:val="bottom"/>
            <w:shd w:val="clear" w:color="auto" w:fill="F4EFE7"/>
          </w:tcPr>
          <w:p>
            <w:pPr>
              <w:spacing w:after="0"/>
              <w:rPr>
                <w:sz w:val="13"/>
                <w:szCs w:val="13"/>
                <w:color w:val="auto"/>
              </w:rPr>
            </w:pPr>
          </w:p>
        </w:tc>
        <w:tc>
          <w:tcPr>
            <w:tcW w:w="280" w:type="dxa"/>
            <w:vAlign w:val="bottom"/>
            <w:shd w:val="clear" w:color="auto" w:fill="F4EFE7"/>
          </w:tcPr>
          <w:p>
            <w:pPr>
              <w:spacing w:after="0"/>
              <w:rPr>
                <w:sz w:val="13"/>
                <w:szCs w:val="13"/>
                <w:color w:val="auto"/>
              </w:rPr>
            </w:pPr>
          </w:p>
        </w:tc>
        <w:tc>
          <w:tcPr>
            <w:tcW w:w="960" w:type="dxa"/>
            <w:vAlign w:val="bottom"/>
            <w:shd w:val="clear" w:color="auto" w:fill="F4EFE7"/>
          </w:tcPr>
          <w:p>
            <w:pPr>
              <w:spacing w:after="0"/>
              <w:rPr>
                <w:sz w:val="13"/>
                <w:szCs w:val="13"/>
                <w:color w:val="auto"/>
              </w:rPr>
            </w:pPr>
          </w:p>
        </w:tc>
        <w:tc>
          <w:tcPr>
            <w:tcW w:w="320" w:type="dxa"/>
            <w:vAlign w:val="bottom"/>
            <w:shd w:val="clear" w:color="auto" w:fill="F4EFE7"/>
          </w:tcPr>
          <w:p>
            <w:pPr>
              <w:spacing w:after="0"/>
              <w:rPr>
                <w:sz w:val="13"/>
                <w:szCs w:val="13"/>
                <w:color w:val="auto"/>
              </w:rPr>
            </w:pPr>
          </w:p>
        </w:tc>
        <w:tc>
          <w:tcPr>
            <w:tcW w:w="1160" w:type="dxa"/>
            <w:vAlign w:val="bottom"/>
            <w:shd w:val="clear" w:color="auto" w:fill="F4EFE7"/>
          </w:tcPr>
          <w:p>
            <w:pPr>
              <w:spacing w:after="0"/>
              <w:rPr>
                <w:sz w:val="13"/>
                <w:szCs w:val="13"/>
                <w:color w:val="auto"/>
              </w:rPr>
            </w:pPr>
          </w:p>
        </w:tc>
        <w:tc>
          <w:tcPr>
            <w:tcW w:w="1780" w:type="dxa"/>
            <w:vAlign w:val="bottom"/>
            <w:gridSpan w:val="2"/>
            <w:shd w:val="clear" w:color="auto" w:fill="F4EFE7"/>
          </w:tcPr>
          <w:p>
            <w:pPr>
              <w:jc w:val="right"/>
              <w:ind w:right="130"/>
              <w:spacing w:after="0"/>
              <w:rPr>
                <w:sz w:val="20"/>
                <w:szCs w:val="20"/>
                <w:color w:val="auto"/>
              </w:rPr>
            </w:pPr>
            <w:r>
              <w:rPr>
                <w:rFonts w:ascii="Arial" w:cs="Arial" w:eastAsia="Arial" w:hAnsi="Arial"/>
                <w:sz w:val="13"/>
                <w:szCs w:val="13"/>
                <w:b w:val="1"/>
                <w:bCs w:val="1"/>
                <w:color w:val="8F5A39"/>
              </w:rPr>
              <w:t>Change in pension</w:t>
            </w:r>
          </w:p>
        </w:tc>
        <w:tc>
          <w:tcPr>
            <w:tcW w:w="400" w:type="dxa"/>
            <w:vAlign w:val="bottom"/>
            <w:shd w:val="clear" w:color="auto" w:fill="F4EFE7"/>
          </w:tcPr>
          <w:p>
            <w:pPr>
              <w:spacing w:after="0"/>
              <w:rPr>
                <w:sz w:val="13"/>
                <w:szCs w:val="13"/>
                <w:color w:val="auto"/>
              </w:rPr>
            </w:pPr>
          </w:p>
        </w:tc>
        <w:tc>
          <w:tcPr>
            <w:tcW w:w="800" w:type="dxa"/>
            <w:vAlign w:val="bottom"/>
            <w:shd w:val="clear" w:color="auto" w:fill="F4EFE7"/>
          </w:tcPr>
          <w:p>
            <w:pPr>
              <w:spacing w:after="0"/>
              <w:rPr>
                <w:sz w:val="13"/>
                <w:szCs w:val="13"/>
                <w:color w:val="auto"/>
              </w:rPr>
            </w:pPr>
          </w:p>
        </w:tc>
        <w:tc>
          <w:tcPr>
            <w:tcW w:w="340" w:type="dxa"/>
            <w:vAlign w:val="bottom"/>
            <w:shd w:val="clear" w:color="auto" w:fill="F4EFE7"/>
          </w:tcPr>
          <w:p>
            <w:pPr>
              <w:spacing w:after="0"/>
              <w:rPr>
                <w:sz w:val="13"/>
                <w:szCs w:val="13"/>
                <w:color w:val="auto"/>
              </w:rPr>
            </w:pPr>
          </w:p>
        </w:tc>
        <w:tc>
          <w:tcPr>
            <w:tcW w:w="320" w:type="dxa"/>
            <w:vAlign w:val="bottom"/>
            <w:shd w:val="clear" w:color="auto" w:fill="F4EFE7"/>
          </w:tcPr>
          <w:p>
            <w:pPr>
              <w:spacing w:after="0"/>
              <w:rPr>
                <w:sz w:val="13"/>
                <w:szCs w:val="13"/>
                <w:color w:val="auto"/>
              </w:rPr>
            </w:pPr>
          </w:p>
        </w:tc>
        <w:tc>
          <w:tcPr>
            <w:tcW w:w="940" w:type="dxa"/>
            <w:vAlign w:val="bottom"/>
            <w:shd w:val="clear" w:color="auto" w:fill="F4EFE7"/>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F4EFE7"/>
          </w:tcPr>
          <w:p>
            <w:pPr>
              <w:spacing w:after="0"/>
              <w:rPr>
                <w:sz w:val="12"/>
                <w:szCs w:val="12"/>
                <w:color w:val="auto"/>
              </w:rPr>
            </w:pPr>
          </w:p>
        </w:tc>
        <w:tc>
          <w:tcPr>
            <w:tcW w:w="960" w:type="dxa"/>
            <w:vAlign w:val="bottom"/>
            <w:shd w:val="clear" w:color="auto" w:fill="F4EFE7"/>
          </w:tcPr>
          <w:p>
            <w:pPr>
              <w:spacing w:after="0"/>
              <w:rPr>
                <w:sz w:val="12"/>
                <w:szCs w:val="12"/>
                <w:color w:val="auto"/>
              </w:rPr>
            </w:pPr>
          </w:p>
        </w:tc>
        <w:tc>
          <w:tcPr>
            <w:tcW w:w="860" w:type="dxa"/>
            <w:vAlign w:val="bottom"/>
            <w:shd w:val="clear" w:color="auto" w:fill="F4EFE7"/>
          </w:tcPr>
          <w:p>
            <w:pPr>
              <w:spacing w:after="0"/>
              <w:rPr>
                <w:sz w:val="12"/>
                <w:szCs w:val="12"/>
                <w:color w:val="auto"/>
              </w:rPr>
            </w:pPr>
          </w:p>
        </w:tc>
        <w:tc>
          <w:tcPr>
            <w:tcW w:w="280" w:type="dxa"/>
            <w:vAlign w:val="bottom"/>
            <w:shd w:val="clear" w:color="auto" w:fill="F4EFE7"/>
          </w:tcPr>
          <w:p>
            <w:pPr>
              <w:spacing w:after="0"/>
              <w:rPr>
                <w:sz w:val="12"/>
                <w:szCs w:val="12"/>
                <w:color w:val="auto"/>
              </w:rPr>
            </w:pPr>
          </w:p>
        </w:tc>
        <w:tc>
          <w:tcPr>
            <w:tcW w:w="960" w:type="dxa"/>
            <w:vAlign w:val="bottom"/>
            <w:shd w:val="clear" w:color="auto" w:fill="F4EFE7"/>
          </w:tcPr>
          <w:p>
            <w:pPr>
              <w:spacing w:after="0"/>
              <w:rPr>
                <w:sz w:val="12"/>
                <w:szCs w:val="12"/>
                <w:color w:val="auto"/>
              </w:rPr>
            </w:pPr>
          </w:p>
        </w:tc>
        <w:tc>
          <w:tcPr>
            <w:tcW w:w="320" w:type="dxa"/>
            <w:vAlign w:val="bottom"/>
            <w:shd w:val="clear" w:color="auto" w:fill="F4EFE7"/>
          </w:tcPr>
          <w:p>
            <w:pPr>
              <w:spacing w:after="0"/>
              <w:rPr>
                <w:sz w:val="12"/>
                <w:szCs w:val="12"/>
                <w:color w:val="auto"/>
              </w:rPr>
            </w:pPr>
          </w:p>
        </w:tc>
        <w:tc>
          <w:tcPr>
            <w:tcW w:w="1160" w:type="dxa"/>
            <w:vAlign w:val="bottom"/>
            <w:shd w:val="clear" w:color="auto" w:fill="F4EFE7"/>
          </w:tcPr>
          <w:p>
            <w:pPr>
              <w:spacing w:after="0"/>
              <w:rPr>
                <w:sz w:val="12"/>
                <w:szCs w:val="12"/>
                <w:color w:val="auto"/>
              </w:rPr>
            </w:pPr>
          </w:p>
        </w:tc>
        <w:tc>
          <w:tcPr>
            <w:tcW w:w="720" w:type="dxa"/>
            <w:vAlign w:val="bottom"/>
            <w:shd w:val="clear" w:color="auto" w:fill="F4EFE7"/>
          </w:tcPr>
          <w:p>
            <w:pPr>
              <w:spacing w:after="0"/>
              <w:rPr>
                <w:sz w:val="12"/>
                <w:szCs w:val="12"/>
                <w:color w:val="auto"/>
              </w:rPr>
            </w:pPr>
          </w:p>
        </w:tc>
        <w:tc>
          <w:tcPr>
            <w:tcW w:w="1060" w:type="dxa"/>
            <w:vAlign w:val="bottom"/>
            <w:shd w:val="clear" w:color="auto" w:fill="F4EFE7"/>
          </w:tcPr>
          <w:p>
            <w:pPr>
              <w:jc w:val="right"/>
              <w:ind w:right="130"/>
              <w:spacing w:after="0"/>
              <w:rPr>
                <w:sz w:val="20"/>
                <w:szCs w:val="20"/>
                <w:color w:val="auto"/>
              </w:rPr>
            </w:pPr>
            <w:r>
              <w:rPr>
                <w:rFonts w:ascii="Arial" w:cs="Arial" w:eastAsia="Arial" w:hAnsi="Arial"/>
                <w:sz w:val="13"/>
                <w:szCs w:val="13"/>
                <w:b w:val="1"/>
                <w:bCs w:val="1"/>
                <w:color w:val="8F5A39"/>
              </w:rPr>
              <w:t>value and</w:t>
            </w:r>
          </w:p>
        </w:tc>
        <w:tc>
          <w:tcPr>
            <w:tcW w:w="400" w:type="dxa"/>
            <w:vAlign w:val="bottom"/>
            <w:shd w:val="clear" w:color="auto" w:fill="F4EFE7"/>
          </w:tcPr>
          <w:p>
            <w:pPr>
              <w:spacing w:after="0"/>
              <w:rPr>
                <w:sz w:val="12"/>
                <w:szCs w:val="12"/>
                <w:color w:val="auto"/>
              </w:rPr>
            </w:pPr>
          </w:p>
        </w:tc>
        <w:tc>
          <w:tcPr>
            <w:tcW w:w="800" w:type="dxa"/>
            <w:vAlign w:val="bottom"/>
            <w:shd w:val="clear" w:color="auto" w:fill="F4EFE7"/>
          </w:tcPr>
          <w:p>
            <w:pPr>
              <w:spacing w:after="0"/>
              <w:rPr>
                <w:sz w:val="12"/>
                <w:szCs w:val="12"/>
                <w:color w:val="auto"/>
              </w:rPr>
            </w:pPr>
          </w:p>
        </w:tc>
        <w:tc>
          <w:tcPr>
            <w:tcW w:w="340" w:type="dxa"/>
            <w:vAlign w:val="bottom"/>
            <w:shd w:val="clear" w:color="auto" w:fill="F4EFE7"/>
          </w:tcPr>
          <w:p>
            <w:pPr>
              <w:spacing w:after="0"/>
              <w:rPr>
                <w:sz w:val="12"/>
                <w:szCs w:val="12"/>
                <w:color w:val="auto"/>
              </w:rPr>
            </w:pPr>
          </w:p>
        </w:tc>
        <w:tc>
          <w:tcPr>
            <w:tcW w:w="320" w:type="dxa"/>
            <w:vAlign w:val="bottom"/>
            <w:shd w:val="clear" w:color="auto" w:fill="F4EFE7"/>
          </w:tcPr>
          <w:p>
            <w:pPr>
              <w:spacing w:after="0"/>
              <w:rPr>
                <w:sz w:val="12"/>
                <w:szCs w:val="12"/>
                <w:color w:val="auto"/>
              </w:rPr>
            </w:pPr>
          </w:p>
        </w:tc>
        <w:tc>
          <w:tcPr>
            <w:tcW w:w="940" w:type="dxa"/>
            <w:vAlign w:val="bottom"/>
            <w:shd w:val="clear" w:color="auto" w:fill="F4EFE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F4EFE7"/>
          </w:tcPr>
          <w:p>
            <w:pPr>
              <w:spacing w:after="0"/>
              <w:rPr>
                <w:sz w:val="12"/>
                <w:szCs w:val="12"/>
                <w:color w:val="auto"/>
              </w:rPr>
            </w:pPr>
          </w:p>
        </w:tc>
        <w:tc>
          <w:tcPr>
            <w:tcW w:w="960" w:type="dxa"/>
            <w:vAlign w:val="bottom"/>
            <w:shd w:val="clear" w:color="auto" w:fill="F4EFE7"/>
          </w:tcPr>
          <w:p>
            <w:pPr>
              <w:spacing w:after="0"/>
              <w:rPr>
                <w:sz w:val="12"/>
                <w:szCs w:val="12"/>
                <w:color w:val="auto"/>
              </w:rPr>
            </w:pPr>
          </w:p>
        </w:tc>
        <w:tc>
          <w:tcPr>
            <w:tcW w:w="860" w:type="dxa"/>
            <w:vAlign w:val="bottom"/>
            <w:shd w:val="clear" w:color="auto" w:fill="F4EFE7"/>
          </w:tcPr>
          <w:p>
            <w:pPr>
              <w:spacing w:after="0"/>
              <w:rPr>
                <w:sz w:val="12"/>
                <w:szCs w:val="12"/>
                <w:color w:val="auto"/>
              </w:rPr>
            </w:pPr>
          </w:p>
        </w:tc>
        <w:tc>
          <w:tcPr>
            <w:tcW w:w="280" w:type="dxa"/>
            <w:vAlign w:val="bottom"/>
            <w:shd w:val="clear" w:color="auto" w:fill="F4EFE7"/>
          </w:tcPr>
          <w:p>
            <w:pPr>
              <w:spacing w:after="0"/>
              <w:rPr>
                <w:sz w:val="12"/>
                <w:szCs w:val="12"/>
                <w:color w:val="auto"/>
              </w:rPr>
            </w:pPr>
          </w:p>
        </w:tc>
        <w:tc>
          <w:tcPr>
            <w:tcW w:w="960" w:type="dxa"/>
            <w:vAlign w:val="bottom"/>
            <w:shd w:val="clear" w:color="auto" w:fill="F4EFE7"/>
          </w:tcPr>
          <w:p>
            <w:pPr>
              <w:spacing w:after="0"/>
              <w:rPr>
                <w:sz w:val="12"/>
                <w:szCs w:val="12"/>
                <w:color w:val="auto"/>
              </w:rPr>
            </w:pPr>
          </w:p>
        </w:tc>
        <w:tc>
          <w:tcPr>
            <w:tcW w:w="320" w:type="dxa"/>
            <w:vAlign w:val="bottom"/>
            <w:shd w:val="clear" w:color="auto" w:fill="F4EFE7"/>
          </w:tcPr>
          <w:p>
            <w:pPr>
              <w:spacing w:after="0"/>
              <w:rPr>
                <w:sz w:val="12"/>
                <w:szCs w:val="12"/>
                <w:color w:val="auto"/>
              </w:rPr>
            </w:pPr>
          </w:p>
        </w:tc>
        <w:tc>
          <w:tcPr>
            <w:tcW w:w="1160" w:type="dxa"/>
            <w:vAlign w:val="bottom"/>
            <w:shd w:val="clear" w:color="auto" w:fill="F4EFE7"/>
          </w:tcPr>
          <w:p>
            <w:pPr>
              <w:spacing w:after="0"/>
              <w:rPr>
                <w:sz w:val="12"/>
                <w:szCs w:val="12"/>
                <w:color w:val="auto"/>
              </w:rPr>
            </w:pPr>
          </w:p>
        </w:tc>
        <w:tc>
          <w:tcPr>
            <w:tcW w:w="1780" w:type="dxa"/>
            <w:vAlign w:val="bottom"/>
            <w:gridSpan w:val="2"/>
            <w:shd w:val="clear" w:color="auto" w:fill="F4EFE7"/>
          </w:tcPr>
          <w:p>
            <w:pPr>
              <w:jc w:val="right"/>
              <w:ind w:right="130"/>
              <w:spacing w:after="0"/>
              <w:rPr>
                <w:sz w:val="20"/>
                <w:szCs w:val="20"/>
                <w:color w:val="auto"/>
              </w:rPr>
            </w:pPr>
            <w:r>
              <w:rPr>
                <w:rFonts w:ascii="Arial" w:cs="Arial" w:eastAsia="Arial" w:hAnsi="Arial"/>
                <w:sz w:val="13"/>
                <w:szCs w:val="13"/>
                <w:b w:val="1"/>
                <w:bCs w:val="1"/>
                <w:color w:val="8F5A39"/>
              </w:rPr>
              <w:t>non-qualified deferred</w:t>
            </w:r>
          </w:p>
        </w:tc>
        <w:tc>
          <w:tcPr>
            <w:tcW w:w="400" w:type="dxa"/>
            <w:vAlign w:val="bottom"/>
            <w:shd w:val="clear" w:color="auto" w:fill="F4EFE7"/>
          </w:tcPr>
          <w:p>
            <w:pPr>
              <w:spacing w:after="0"/>
              <w:rPr>
                <w:sz w:val="12"/>
                <w:szCs w:val="12"/>
                <w:color w:val="auto"/>
              </w:rPr>
            </w:pPr>
          </w:p>
        </w:tc>
        <w:tc>
          <w:tcPr>
            <w:tcW w:w="1140" w:type="dxa"/>
            <w:vAlign w:val="bottom"/>
            <w:gridSpan w:val="2"/>
            <w:shd w:val="clear" w:color="auto" w:fill="F4EFE7"/>
          </w:tcPr>
          <w:p>
            <w:pPr>
              <w:jc w:val="right"/>
              <w:ind w:right="130"/>
              <w:spacing w:after="0"/>
              <w:rPr>
                <w:sz w:val="20"/>
                <w:szCs w:val="20"/>
                <w:color w:val="auto"/>
              </w:rPr>
            </w:pPr>
            <w:r>
              <w:rPr>
                <w:rFonts w:ascii="Arial" w:cs="Arial" w:eastAsia="Arial" w:hAnsi="Arial"/>
                <w:sz w:val="13"/>
                <w:szCs w:val="13"/>
                <w:b w:val="1"/>
                <w:bCs w:val="1"/>
                <w:color w:val="8F5A39"/>
              </w:rPr>
              <w:t>All other</w:t>
            </w:r>
          </w:p>
        </w:tc>
        <w:tc>
          <w:tcPr>
            <w:tcW w:w="320" w:type="dxa"/>
            <w:vAlign w:val="bottom"/>
            <w:shd w:val="clear" w:color="auto" w:fill="F4EFE7"/>
          </w:tcPr>
          <w:p>
            <w:pPr>
              <w:spacing w:after="0"/>
              <w:rPr>
                <w:sz w:val="12"/>
                <w:szCs w:val="12"/>
                <w:color w:val="auto"/>
              </w:rPr>
            </w:pPr>
          </w:p>
        </w:tc>
        <w:tc>
          <w:tcPr>
            <w:tcW w:w="940" w:type="dxa"/>
            <w:vAlign w:val="bottom"/>
            <w:shd w:val="clear" w:color="auto" w:fill="F4EFE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F4EFE7"/>
          </w:tcPr>
          <w:p>
            <w:pPr>
              <w:ind w:left="20"/>
              <w:spacing w:after="0"/>
              <w:rPr>
                <w:sz w:val="20"/>
                <w:szCs w:val="20"/>
                <w:color w:val="auto"/>
              </w:rPr>
            </w:pPr>
            <w:r>
              <w:rPr>
                <w:rFonts w:ascii="Arial" w:cs="Arial" w:eastAsia="Arial" w:hAnsi="Arial"/>
                <w:sz w:val="13"/>
                <w:szCs w:val="13"/>
                <w:b w:val="1"/>
                <w:bCs w:val="1"/>
                <w:color w:val="8F5A39"/>
              </w:rPr>
              <w:t>Name and</w:t>
            </w:r>
          </w:p>
        </w:tc>
        <w:tc>
          <w:tcPr>
            <w:tcW w:w="960" w:type="dxa"/>
            <w:vAlign w:val="bottom"/>
            <w:shd w:val="clear" w:color="auto" w:fill="F4EFE7"/>
          </w:tcPr>
          <w:p>
            <w:pPr>
              <w:spacing w:after="0"/>
              <w:rPr>
                <w:sz w:val="12"/>
                <w:szCs w:val="12"/>
                <w:color w:val="auto"/>
              </w:rPr>
            </w:pPr>
          </w:p>
        </w:tc>
        <w:tc>
          <w:tcPr>
            <w:tcW w:w="86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Salary</w:t>
            </w:r>
          </w:p>
        </w:tc>
        <w:tc>
          <w:tcPr>
            <w:tcW w:w="280" w:type="dxa"/>
            <w:vAlign w:val="bottom"/>
            <w:shd w:val="clear" w:color="auto" w:fill="F4EFE7"/>
          </w:tcPr>
          <w:p>
            <w:pPr>
              <w:spacing w:after="0"/>
              <w:rPr>
                <w:sz w:val="12"/>
                <w:szCs w:val="12"/>
                <w:color w:val="auto"/>
              </w:rPr>
            </w:pPr>
          </w:p>
        </w:tc>
        <w:tc>
          <w:tcPr>
            <w:tcW w:w="96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Bonus</w:t>
            </w:r>
          </w:p>
        </w:tc>
        <w:tc>
          <w:tcPr>
            <w:tcW w:w="320" w:type="dxa"/>
            <w:vAlign w:val="bottom"/>
            <w:shd w:val="clear" w:color="auto" w:fill="F4EFE7"/>
          </w:tcPr>
          <w:p>
            <w:pPr>
              <w:spacing w:after="0"/>
              <w:rPr>
                <w:sz w:val="12"/>
                <w:szCs w:val="12"/>
                <w:color w:val="auto"/>
              </w:rPr>
            </w:pPr>
          </w:p>
        </w:tc>
        <w:tc>
          <w:tcPr>
            <w:tcW w:w="1160" w:type="dxa"/>
            <w:vAlign w:val="bottom"/>
            <w:shd w:val="clear" w:color="auto" w:fill="F4EFE7"/>
          </w:tcPr>
          <w:p>
            <w:pPr>
              <w:jc w:val="right"/>
              <w:ind w:right="169"/>
              <w:spacing w:after="0"/>
              <w:rPr>
                <w:sz w:val="20"/>
                <w:szCs w:val="20"/>
                <w:color w:val="auto"/>
              </w:rPr>
            </w:pPr>
            <w:r>
              <w:rPr>
                <w:rFonts w:ascii="Arial" w:cs="Arial" w:eastAsia="Arial" w:hAnsi="Arial"/>
                <w:sz w:val="13"/>
                <w:szCs w:val="13"/>
                <w:b w:val="1"/>
                <w:bCs w:val="1"/>
                <w:color w:val="8F5A39"/>
              </w:rPr>
              <w:t>Stock</w:t>
            </w:r>
          </w:p>
        </w:tc>
        <w:tc>
          <w:tcPr>
            <w:tcW w:w="720" w:type="dxa"/>
            <w:vAlign w:val="bottom"/>
            <w:shd w:val="clear" w:color="auto" w:fill="F4EFE7"/>
          </w:tcPr>
          <w:p>
            <w:pPr>
              <w:spacing w:after="0"/>
              <w:rPr>
                <w:sz w:val="12"/>
                <w:szCs w:val="12"/>
                <w:color w:val="auto"/>
              </w:rPr>
            </w:pPr>
          </w:p>
        </w:tc>
        <w:tc>
          <w:tcPr>
            <w:tcW w:w="1060" w:type="dxa"/>
            <w:vAlign w:val="bottom"/>
            <w:shd w:val="clear" w:color="auto" w:fill="F4EFE7"/>
          </w:tcPr>
          <w:p>
            <w:pPr>
              <w:jc w:val="right"/>
              <w:ind w:right="130"/>
              <w:spacing w:after="0"/>
              <w:rPr>
                <w:sz w:val="20"/>
                <w:szCs w:val="20"/>
                <w:color w:val="auto"/>
              </w:rPr>
            </w:pPr>
            <w:r>
              <w:rPr>
                <w:rFonts w:ascii="Arial" w:cs="Arial" w:eastAsia="Arial" w:hAnsi="Arial"/>
                <w:sz w:val="13"/>
                <w:szCs w:val="13"/>
                <w:b w:val="1"/>
                <w:bCs w:val="1"/>
                <w:color w:val="8F5A39"/>
                <w:w w:val="95"/>
              </w:rPr>
              <w:t>compensation</w:t>
            </w:r>
          </w:p>
        </w:tc>
        <w:tc>
          <w:tcPr>
            <w:tcW w:w="400" w:type="dxa"/>
            <w:vAlign w:val="bottom"/>
            <w:shd w:val="clear" w:color="auto" w:fill="F4EFE7"/>
          </w:tcPr>
          <w:p>
            <w:pPr>
              <w:spacing w:after="0"/>
              <w:rPr>
                <w:sz w:val="12"/>
                <w:szCs w:val="12"/>
                <w:color w:val="auto"/>
              </w:rPr>
            </w:pPr>
          </w:p>
        </w:tc>
        <w:tc>
          <w:tcPr>
            <w:tcW w:w="1140" w:type="dxa"/>
            <w:vAlign w:val="bottom"/>
            <w:gridSpan w:val="2"/>
            <w:shd w:val="clear" w:color="auto" w:fill="F4EFE7"/>
          </w:tcPr>
          <w:p>
            <w:pPr>
              <w:jc w:val="right"/>
              <w:ind w:right="130"/>
              <w:spacing w:after="0"/>
              <w:rPr>
                <w:sz w:val="20"/>
                <w:szCs w:val="20"/>
                <w:color w:val="auto"/>
              </w:rPr>
            </w:pPr>
            <w:r>
              <w:rPr>
                <w:rFonts w:ascii="Arial" w:cs="Arial" w:eastAsia="Arial" w:hAnsi="Arial"/>
                <w:sz w:val="13"/>
                <w:szCs w:val="13"/>
                <w:b w:val="1"/>
                <w:bCs w:val="1"/>
                <w:color w:val="8F5A39"/>
              </w:rPr>
              <w:t>compensation</w:t>
            </w:r>
          </w:p>
        </w:tc>
        <w:tc>
          <w:tcPr>
            <w:tcW w:w="320" w:type="dxa"/>
            <w:vAlign w:val="bottom"/>
            <w:shd w:val="clear" w:color="auto" w:fill="F4EFE7"/>
          </w:tcPr>
          <w:p>
            <w:pPr>
              <w:spacing w:after="0"/>
              <w:rPr>
                <w:sz w:val="12"/>
                <w:szCs w:val="12"/>
                <w:color w:val="auto"/>
              </w:rPr>
            </w:pPr>
          </w:p>
        </w:tc>
        <w:tc>
          <w:tcPr>
            <w:tcW w:w="94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Total</w:t>
            </w:r>
          </w:p>
        </w:tc>
        <w:tc>
          <w:tcPr>
            <w:tcW w:w="0" w:type="dxa"/>
            <w:vAlign w:val="bottom"/>
          </w:tcPr>
          <w:p>
            <w:pPr>
              <w:spacing w:after="0"/>
              <w:rPr>
                <w:sz w:val="1"/>
                <w:szCs w:val="1"/>
                <w:color w:val="auto"/>
              </w:rPr>
            </w:pPr>
          </w:p>
        </w:tc>
      </w:tr>
      <w:tr>
        <w:trPr>
          <w:trHeight w:val="207"/>
        </w:trPr>
        <w:tc>
          <w:tcPr>
            <w:tcW w:w="212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3"/>
                <w:szCs w:val="13"/>
                <w:b w:val="1"/>
                <w:bCs w:val="1"/>
                <w:color w:val="8F5A39"/>
              </w:rPr>
              <w:t>principal position</w:t>
            </w:r>
          </w:p>
        </w:tc>
        <w:tc>
          <w:tcPr>
            <w:tcW w:w="960" w:type="dxa"/>
            <w:vAlign w:val="bottom"/>
            <w:tcBorders>
              <w:bottom w:val="single" w:sz="8" w:color="auto"/>
            </w:tcBorders>
            <w:shd w:val="clear" w:color="auto" w:fill="F4EFE7"/>
          </w:tcPr>
          <w:p>
            <w:pPr>
              <w:jc w:val="right"/>
              <w:ind w:right="369"/>
              <w:spacing w:after="0"/>
              <w:rPr>
                <w:sz w:val="20"/>
                <w:szCs w:val="20"/>
                <w:color w:val="auto"/>
              </w:rPr>
            </w:pPr>
            <w:r>
              <w:rPr>
                <w:rFonts w:ascii="Arial" w:cs="Arial" w:eastAsia="Arial" w:hAnsi="Arial"/>
                <w:sz w:val="13"/>
                <w:szCs w:val="13"/>
                <w:b w:val="1"/>
                <w:bCs w:val="1"/>
                <w:color w:val="8F5A39"/>
              </w:rPr>
              <w:t>Year</w:t>
            </w:r>
          </w:p>
        </w:tc>
        <w:tc>
          <w:tcPr>
            <w:tcW w:w="86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3"/>
                <w:szCs w:val="13"/>
                <w:b w:val="1"/>
                <w:bCs w:val="1"/>
                <w:color w:val="8F5A39"/>
              </w:rPr>
              <w:t>($)</w:t>
            </w:r>
            <w:r>
              <w:rPr>
                <w:rFonts w:ascii="Arial" w:cs="Arial" w:eastAsia="Arial" w:hAnsi="Arial"/>
                <w:sz w:val="16"/>
                <w:szCs w:val="16"/>
                <w:b w:val="1"/>
                <w:bCs w:val="1"/>
                <w:color w:val="8F5A39"/>
                <w:vertAlign w:val="superscript"/>
              </w:rPr>
              <w:t>1</w:t>
            </w:r>
          </w:p>
        </w:tc>
        <w:tc>
          <w:tcPr>
            <w:tcW w:w="280" w:type="dxa"/>
            <w:vAlign w:val="bottom"/>
            <w:tcBorders>
              <w:bottom w:val="single" w:sz="8" w:color="auto"/>
            </w:tcBorders>
            <w:shd w:val="clear" w:color="auto" w:fill="F4EFE7"/>
          </w:tcPr>
          <w:p>
            <w:pPr>
              <w:spacing w:after="0"/>
              <w:rPr>
                <w:sz w:val="18"/>
                <w:szCs w:val="18"/>
                <w:color w:val="auto"/>
              </w:rPr>
            </w:pPr>
          </w:p>
        </w:tc>
        <w:tc>
          <w:tcPr>
            <w:tcW w:w="96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3"/>
                <w:szCs w:val="13"/>
                <w:b w:val="1"/>
                <w:bCs w:val="1"/>
                <w:color w:val="8F5A39"/>
              </w:rPr>
              <w:t>($)</w:t>
            </w:r>
            <w:r>
              <w:rPr>
                <w:rFonts w:ascii="Arial" w:cs="Arial" w:eastAsia="Arial" w:hAnsi="Arial"/>
                <w:sz w:val="16"/>
                <w:szCs w:val="16"/>
                <w:b w:val="1"/>
                <w:bCs w:val="1"/>
                <w:color w:val="8F5A39"/>
                <w:vertAlign w:val="superscript"/>
              </w:rPr>
              <w:t>2</w:t>
            </w:r>
          </w:p>
        </w:tc>
        <w:tc>
          <w:tcPr>
            <w:tcW w:w="320" w:type="dxa"/>
            <w:vAlign w:val="bottom"/>
            <w:tcBorders>
              <w:bottom w:val="single" w:sz="8" w:color="auto"/>
            </w:tcBorders>
            <w:shd w:val="clear" w:color="auto" w:fill="F4EFE7"/>
          </w:tcPr>
          <w:p>
            <w:pPr>
              <w:spacing w:after="0"/>
              <w:rPr>
                <w:sz w:val="18"/>
                <w:szCs w:val="18"/>
                <w:color w:val="auto"/>
              </w:rPr>
            </w:pPr>
          </w:p>
        </w:tc>
        <w:tc>
          <w:tcPr>
            <w:tcW w:w="1160" w:type="dxa"/>
            <w:vAlign w:val="bottom"/>
            <w:tcBorders>
              <w:bottom w:val="single" w:sz="8" w:color="auto"/>
            </w:tcBorders>
            <w:shd w:val="clear" w:color="auto" w:fill="F4EFE7"/>
          </w:tcPr>
          <w:p>
            <w:pPr>
              <w:jc w:val="right"/>
              <w:ind w:right="169"/>
              <w:spacing w:after="0"/>
              <w:rPr>
                <w:sz w:val="20"/>
                <w:szCs w:val="20"/>
                <w:color w:val="auto"/>
              </w:rPr>
            </w:pPr>
            <w:r>
              <w:rPr>
                <w:rFonts w:ascii="Arial" w:cs="Arial" w:eastAsia="Arial" w:hAnsi="Arial"/>
                <w:sz w:val="13"/>
                <w:szCs w:val="13"/>
                <w:b w:val="1"/>
                <w:bCs w:val="1"/>
                <w:color w:val="8F5A39"/>
              </w:rPr>
              <w:t>awards ($)</w:t>
            </w:r>
            <w:r>
              <w:rPr>
                <w:rFonts w:ascii="Arial" w:cs="Arial" w:eastAsia="Arial" w:hAnsi="Arial"/>
                <w:sz w:val="16"/>
                <w:szCs w:val="16"/>
                <w:b w:val="1"/>
                <w:bCs w:val="1"/>
                <w:color w:val="8F5A39"/>
                <w:vertAlign w:val="superscript"/>
              </w:rPr>
              <w:t>3</w:t>
            </w:r>
          </w:p>
        </w:tc>
        <w:tc>
          <w:tcPr>
            <w:tcW w:w="720" w:type="dxa"/>
            <w:vAlign w:val="bottom"/>
            <w:tcBorders>
              <w:bottom w:val="single" w:sz="8" w:color="auto"/>
            </w:tcBorders>
            <w:shd w:val="clear" w:color="auto" w:fill="F4EFE7"/>
          </w:tcPr>
          <w:p>
            <w:pPr>
              <w:spacing w:after="0"/>
              <w:rPr>
                <w:sz w:val="18"/>
                <w:szCs w:val="18"/>
                <w:color w:val="auto"/>
              </w:rPr>
            </w:pPr>
          </w:p>
        </w:tc>
        <w:tc>
          <w:tcPr>
            <w:tcW w:w="1060" w:type="dxa"/>
            <w:vAlign w:val="bottom"/>
            <w:tcBorders>
              <w:bottom w:val="single" w:sz="8" w:color="auto"/>
            </w:tcBorders>
            <w:shd w:val="clear" w:color="auto" w:fill="F4EFE7"/>
          </w:tcPr>
          <w:p>
            <w:pPr>
              <w:jc w:val="right"/>
              <w:ind w:right="130"/>
              <w:spacing w:after="0"/>
              <w:rPr>
                <w:sz w:val="20"/>
                <w:szCs w:val="20"/>
                <w:color w:val="auto"/>
              </w:rPr>
            </w:pPr>
            <w:r>
              <w:rPr>
                <w:rFonts w:ascii="Arial" w:cs="Arial" w:eastAsia="Arial" w:hAnsi="Arial"/>
                <w:sz w:val="13"/>
                <w:szCs w:val="13"/>
                <w:b w:val="1"/>
                <w:bCs w:val="1"/>
                <w:color w:val="8F5A39"/>
              </w:rPr>
              <w:t>earnings ($)</w:t>
            </w:r>
            <w:r>
              <w:rPr>
                <w:rFonts w:ascii="Arial" w:cs="Arial" w:eastAsia="Arial" w:hAnsi="Arial"/>
                <w:sz w:val="16"/>
                <w:szCs w:val="16"/>
                <w:b w:val="1"/>
                <w:bCs w:val="1"/>
                <w:color w:val="8F5A39"/>
                <w:vertAlign w:val="superscript"/>
              </w:rPr>
              <w:t>4</w:t>
            </w:r>
          </w:p>
        </w:tc>
        <w:tc>
          <w:tcPr>
            <w:tcW w:w="400" w:type="dxa"/>
            <w:vAlign w:val="bottom"/>
            <w:tcBorders>
              <w:bottom w:val="single" w:sz="8" w:color="auto"/>
            </w:tcBorders>
            <w:shd w:val="clear" w:color="auto" w:fill="F4EFE7"/>
          </w:tcPr>
          <w:p>
            <w:pPr>
              <w:spacing w:after="0"/>
              <w:rPr>
                <w:sz w:val="18"/>
                <w:szCs w:val="18"/>
                <w:color w:val="auto"/>
              </w:rPr>
            </w:pPr>
          </w:p>
        </w:tc>
        <w:tc>
          <w:tcPr>
            <w:tcW w:w="800" w:type="dxa"/>
            <w:vAlign w:val="bottom"/>
            <w:tcBorders>
              <w:bottom w:val="single" w:sz="8" w:color="auto"/>
            </w:tcBorders>
            <w:shd w:val="clear" w:color="auto" w:fill="F4EFE7"/>
          </w:tcPr>
          <w:p>
            <w:pPr>
              <w:spacing w:after="0"/>
              <w:rPr>
                <w:sz w:val="18"/>
                <w:szCs w:val="18"/>
                <w:color w:val="auto"/>
              </w:rPr>
            </w:pPr>
          </w:p>
        </w:tc>
        <w:tc>
          <w:tcPr>
            <w:tcW w:w="340" w:type="dxa"/>
            <w:vAlign w:val="bottom"/>
            <w:tcBorders>
              <w:bottom w:val="single" w:sz="8" w:color="auto"/>
            </w:tcBorders>
            <w:shd w:val="clear" w:color="auto" w:fill="F4EFE7"/>
          </w:tcPr>
          <w:p>
            <w:pPr>
              <w:jc w:val="right"/>
              <w:ind w:right="50"/>
              <w:spacing w:after="0"/>
              <w:rPr>
                <w:sz w:val="20"/>
                <w:szCs w:val="20"/>
                <w:color w:val="auto"/>
              </w:rPr>
            </w:pPr>
            <w:r>
              <w:rPr>
                <w:rFonts w:ascii="Arial" w:cs="Arial" w:eastAsia="Arial" w:hAnsi="Arial"/>
                <w:sz w:val="13"/>
                <w:szCs w:val="13"/>
                <w:b w:val="1"/>
                <w:bCs w:val="1"/>
                <w:color w:val="8F5A39"/>
              </w:rPr>
              <w:t>($)</w:t>
            </w:r>
            <w:r>
              <w:rPr>
                <w:rFonts w:ascii="Arial" w:cs="Arial" w:eastAsia="Arial" w:hAnsi="Arial"/>
                <w:sz w:val="16"/>
                <w:szCs w:val="16"/>
                <w:b w:val="1"/>
                <w:bCs w:val="1"/>
                <w:color w:val="8F5A39"/>
                <w:vertAlign w:val="superscript"/>
              </w:rPr>
              <w:t>5</w:t>
            </w:r>
          </w:p>
        </w:tc>
        <w:tc>
          <w:tcPr>
            <w:tcW w:w="320" w:type="dxa"/>
            <w:vAlign w:val="bottom"/>
            <w:tcBorders>
              <w:bottom w:val="single" w:sz="8" w:color="auto"/>
            </w:tcBorders>
            <w:shd w:val="clear" w:color="auto" w:fill="F4EFE7"/>
          </w:tcPr>
          <w:p>
            <w:pPr>
              <w:spacing w:after="0"/>
              <w:rPr>
                <w:sz w:val="18"/>
                <w:szCs w:val="18"/>
                <w:color w:val="auto"/>
              </w:rPr>
            </w:pPr>
          </w:p>
        </w:tc>
        <w:tc>
          <w:tcPr>
            <w:tcW w:w="94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3"/>
                <w:szCs w:val="13"/>
                <w:b w:val="1"/>
                <w:bCs w:val="1"/>
                <w:color w:val="8F5A39"/>
              </w:rPr>
              <w:t>($)</w:t>
            </w:r>
          </w:p>
        </w:tc>
        <w:tc>
          <w:tcPr>
            <w:tcW w:w="0" w:type="dxa"/>
            <w:vAlign w:val="bottom"/>
          </w:tcPr>
          <w:p>
            <w:pPr>
              <w:spacing w:after="0"/>
              <w:rPr>
                <w:sz w:val="1"/>
                <w:szCs w:val="1"/>
                <w:color w:val="auto"/>
              </w:rPr>
            </w:pPr>
          </w:p>
        </w:tc>
      </w:tr>
      <w:tr>
        <w:trPr>
          <w:trHeight w:val="173"/>
        </w:trPr>
        <w:tc>
          <w:tcPr>
            <w:tcW w:w="2120" w:type="dxa"/>
            <w:vAlign w:val="bottom"/>
          </w:tcPr>
          <w:p>
            <w:pPr>
              <w:ind w:left="20"/>
              <w:spacing w:after="0"/>
              <w:rPr>
                <w:sz w:val="20"/>
                <w:szCs w:val="20"/>
                <w:color w:val="auto"/>
              </w:rPr>
            </w:pPr>
            <w:r>
              <w:rPr>
                <w:rFonts w:ascii="Arial" w:cs="Arial" w:eastAsia="Arial" w:hAnsi="Arial"/>
                <w:sz w:val="14"/>
                <w:szCs w:val="14"/>
                <w:b w:val="1"/>
                <w:bCs w:val="1"/>
                <w:color w:val="8F5A39"/>
              </w:rPr>
              <w:t>James Dimon</w:t>
            </w: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2025</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9"/>
                <w:szCs w:val="9"/>
                <w:color w:val="auto"/>
              </w:rPr>
              <w:t>6</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20" w:type="dxa"/>
            <w:vAlign w:val="bottom"/>
          </w:tcPr>
          <w:p>
            <w:pPr>
              <w:ind w:left="20"/>
              <w:spacing w:after="0"/>
              <w:rPr>
                <w:sz w:val="20"/>
                <w:szCs w:val="20"/>
                <w:color w:val="auto"/>
              </w:rPr>
            </w:pPr>
            <w:r>
              <w:rPr>
                <w:rFonts w:ascii="Arial" w:cs="Arial" w:eastAsia="Arial" w:hAnsi="Arial"/>
                <w:sz w:val="14"/>
                <w:szCs w:val="14"/>
                <w:color w:val="auto"/>
              </w:rPr>
              <w:t>Chairman and CEO</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1,500,000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5,000,000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9"/>
              <w:spacing w:after="0"/>
              <w:rPr>
                <w:sz w:val="20"/>
                <w:szCs w:val="20"/>
                <w:color w:val="auto"/>
              </w:rPr>
            </w:pPr>
            <w:r>
              <w:rPr>
                <w:rFonts w:ascii="Arial" w:cs="Arial" w:eastAsia="Arial" w:hAnsi="Arial"/>
                <w:sz w:val="14"/>
                <w:szCs w:val="14"/>
                <w:color w:val="auto"/>
              </w:rPr>
              <w:t>32,500,000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90"/>
              <w:spacing w:after="0"/>
              <w:rPr>
                <w:sz w:val="20"/>
                <w:szCs w:val="20"/>
                <w:color w:val="auto"/>
              </w:rPr>
            </w:pPr>
            <w:r>
              <w:rPr>
                <w:rFonts w:ascii="Arial" w:cs="Arial" w:eastAsia="Arial" w:hAnsi="Arial"/>
                <w:sz w:val="14"/>
                <w:szCs w:val="14"/>
                <w:color w:val="auto"/>
              </w:rPr>
              <w:t>44,872</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1,587,852</w:t>
            </w:r>
          </w:p>
        </w:tc>
        <w:tc>
          <w:tcPr>
            <w:tcW w:w="340" w:type="dxa"/>
            <w:vAlign w:val="bottom"/>
            <w:vMerge w:val="continue"/>
          </w:tcPr>
          <w:p>
            <w:pPr>
              <w:spacing w:after="0"/>
              <w:rPr>
                <w:sz w:val="18"/>
                <w:szCs w:val="18"/>
                <w:color w:val="auto"/>
              </w:rPr>
            </w:pP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40,632,724</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1,500,000</w:t>
            </w:r>
          </w:p>
        </w:tc>
        <w:tc>
          <w:tcPr>
            <w:tcW w:w="280" w:type="dxa"/>
            <w:vAlign w:val="bottom"/>
          </w:tcPr>
          <w:p>
            <w:pPr>
              <w:spacing w:after="0"/>
              <w:rPr>
                <w:sz w:val="18"/>
                <w:szCs w:val="18"/>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5,000,000</w:t>
            </w:r>
          </w:p>
        </w:tc>
        <w:tc>
          <w:tcPr>
            <w:tcW w:w="320" w:type="dxa"/>
            <w:vAlign w:val="bottom"/>
          </w:tcPr>
          <w:p>
            <w:pPr>
              <w:spacing w:after="0"/>
              <w:rPr>
                <w:sz w:val="18"/>
                <w:szCs w:val="18"/>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29,500,000</w:t>
            </w:r>
          </w:p>
        </w:tc>
        <w:tc>
          <w:tcPr>
            <w:tcW w:w="720" w:type="dxa"/>
            <w:vAlign w:val="bottom"/>
          </w:tcPr>
          <w:p>
            <w:pPr>
              <w:spacing w:after="0"/>
              <w:rPr>
                <w:sz w:val="18"/>
                <w:szCs w:val="18"/>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50,826</w:t>
            </w:r>
          </w:p>
        </w:tc>
        <w:tc>
          <w:tcPr>
            <w:tcW w:w="4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1,632,636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37,683,462</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2023</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1,500,000</w:t>
            </w:r>
          </w:p>
        </w:tc>
        <w:tc>
          <w:tcPr>
            <w:tcW w:w="280" w:type="dxa"/>
            <w:vAlign w:val="bottom"/>
          </w:tcPr>
          <w:p>
            <w:pPr>
              <w:spacing w:after="0"/>
              <w:rPr>
                <w:sz w:val="21"/>
                <w:szCs w:val="2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5,000,000</w:t>
            </w:r>
          </w:p>
        </w:tc>
        <w:tc>
          <w:tcPr>
            <w:tcW w:w="320" w:type="dxa"/>
            <w:vAlign w:val="bottom"/>
          </w:tcPr>
          <w:p>
            <w:pPr>
              <w:spacing w:after="0"/>
              <w:rPr>
                <w:sz w:val="21"/>
                <w:szCs w:val="21"/>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28,000,000</w:t>
            </w:r>
          </w:p>
        </w:tc>
        <w:tc>
          <w:tcPr>
            <w:tcW w:w="720" w:type="dxa"/>
            <w:vAlign w:val="bottom"/>
          </w:tcPr>
          <w:p>
            <w:pPr>
              <w:spacing w:after="0"/>
              <w:rPr>
                <w:sz w:val="21"/>
                <w:szCs w:val="21"/>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40,185</w:t>
            </w:r>
          </w:p>
        </w:tc>
        <w:tc>
          <w:tcPr>
            <w:tcW w:w="40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1,420,074</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35,960,259</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8F5A39"/>
              </w:rPr>
              <w:t>Mary Callahan Erdoes</w:t>
            </w:r>
          </w:p>
        </w:tc>
        <w:tc>
          <w:tcPr>
            <w:tcW w:w="960" w:type="dxa"/>
            <w:vAlign w:val="bottom"/>
            <w:tcBorders>
              <w:bottom w:val="single" w:sz="8" w:color="B2B2B2"/>
            </w:tcBorders>
          </w:tcPr>
          <w:p>
            <w:pPr>
              <w:spacing w:after="0" w:line="20" w:lineRule="exact"/>
              <w:rPr>
                <w:sz w:val="1"/>
                <w:szCs w:val="1"/>
                <w:color w:val="auto"/>
              </w:rPr>
            </w:pPr>
          </w:p>
        </w:tc>
        <w:tc>
          <w:tcPr>
            <w:tcW w:w="860" w:type="dxa"/>
            <w:vAlign w:val="bottom"/>
            <w:tcBorders>
              <w:bottom w:val="single" w:sz="8" w:color="B2B2B2"/>
            </w:tcBorders>
          </w:tcPr>
          <w:p>
            <w:pPr>
              <w:spacing w:after="0" w:line="20" w:lineRule="exact"/>
              <w:rPr>
                <w:sz w:val="1"/>
                <w:szCs w:val="1"/>
                <w:color w:val="auto"/>
              </w:rPr>
            </w:pPr>
          </w:p>
        </w:tc>
        <w:tc>
          <w:tcPr>
            <w:tcW w:w="280" w:type="dxa"/>
            <w:vAlign w:val="bottom"/>
            <w:tcBorders>
              <w:bottom w:val="single" w:sz="8" w:color="B2B2B2"/>
            </w:tcBorders>
          </w:tcPr>
          <w:p>
            <w:pPr>
              <w:spacing w:after="0" w:line="20" w:lineRule="exact"/>
              <w:rPr>
                <w:sz w:val="1"/>
                <w:szCs w:val="1"/>
                <w:color w:val="auto"/>
              </w:rPr>
            </w:pPr>
          </w:p>
        </w:tc>
        <w:tc>
          <w:tcPr>
            <w:tcW w:w="96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1160" w:type="dxa"/>
            <w:vAlign w:val="bottom"/>
            <w:tcBorders>
              <w:bottom w:val="single" w:sz="8" w:color="B2B2B2"/>
            </w:tcBorders>
          </w:tcPr>
          <w:p>
            <w:pPr>
              <w:spacing w:after="0" w:line="20" w:lineRule="exact"/>
              <w:rPr>
                <w:sz w:val="1"/>
                <w:szCs w:val="1"/>
                <w:color w:val="auto"/>
              </w:rPr>
            </w:pPr>
          </w:p>
        </w:tc>
        <w:tc>
          <w:tcPr>
            <w:tcW w:w="72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120" w:type="dxa"/>
            <w:vAlign w:val="bottom"/>
            <w:vMerge w:val="continue"/>
          </w:tcPr>
          <w:p>
            <w:pPr>
              <w:spacing w:after="0"/>
              <w:rPr>
                <w:sz w:val="15"/>
                <w:szCs w:val="15"/>
                <w:color w:val="auto"/>
              </w:rPr>
            </w:pP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2025</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5"/>
                <w:szCs w:val="15"/>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12,000,000</w:t>
            </w:r>
          </w:p>
        </w:tc>
        <w:tc>
          <w:tcPr>
            <w:tcW w:w="320" w:type="dxa"/>
            <w:vAlign w:val="bottom"/>
          </w:tcPr>
          <w:p>
            <w:pPr>
              <w:spacing w:after="0"/>
              <w:rPr>
                <w:sz w:val="15"/>
                <w:szCs w:val="15"/>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16,500,000</w:t>
            </w:r>
          </w:p>
        </w:tc>
        <w:tc>
          <w:tcPr>
            <w:tcW w:w="720" w:type="dxa"/>
            <w:vAlign w:val="bottom"/>
          </w:tcPr>
          <w:p>
            <w:pPr>
              <w:spacing w:after="0"/>
              <w:rPr>
                <w:sz w:val="15"/>
                <w:szCs w:val="15"/>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28,934</w:t>
            </w:r>
          </w:p>
        </w:tc>
        <w:tc>
          <w:tcPr>
            <w:tcW w:w="4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29,528,934</w:t>
            </w: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Arial" w:cs="Arial" w:eastAsia="Arial" w:hAnsi="Arial"/>
                <w:sz w:val="14"/>
                <w:szCs w:val="14"/>
                <w:color w:val="auto"/>
              </w:rPr>
              <w:t>CEO, AWM</w:t>
            </w:r>
          </w:p>
        </w:tc>
        <w:tc>
          <w:tcPr>
            <w:tcW w:w="9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21"/>
                <w:szCs w:val="2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11,000,000</w:t>
            </w:r>
          </w:p>
        </w:tc>
        <w:tc>
          <w:tcPr>
            <w:tcW w:w="320" w:type="dxa"/>
            <w:vAlign w:val="bottom"/>
          </w:tcPr>
          <w:p>
            <w:pPr>
              <w:spacing w:after="0"/>
              <w:rPr>
                <w:sz w:val="21"/>
                <w:szCs w:val="21"/>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15,750,000</w:t>
            </w:r>
          </w:p>
        </w:tc>
        <w:tc>
          <w:tcPr>
            <w:tcW w:w="720" w:type="dxa"/>
            <w:vAlign w:val="bottom"/>
          </w:tcPr>
          <w:p>
            <w:pPr>
              <w:spacing w:after="0"/>
              <w:rPr>
                <w:sz w:val="21"/>
                <w:szCs w:val="21"/>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19,779</w:t>
            </w:r>
          </w:p>
        </w:tc>
        <w:tc>
          <w:tcPr>
            <w:tcW w:w="40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37,181</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27,806,960</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2023</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750,000</w:t>
            </w:r>
          </w:p>
        </w:tc>
        <w:tc>
          <w:tcPr>
            <w:tcW w:w="280" w:type="dxa"/>
            <w:vAlign w:val="bottom"/>
          </w:tcPr>
          <w:p>
            <w:pPr>
              <w:spacing w:after="0"/>
              <w:rPr>
                <w:sz w:val="21"/>
                <w:szCs w:val="2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10,500,000</w:t>
            </w:r>
          </w:p>
        </w:tc>
        <w:tc>
          <w:tcPr>
            <w:tcW w:w="320" w:type="dxa"/>
            <w:vAlign w:val="bottom"/>
          </w:tcPr>
          <w:p>
            <w:pPr>
              <w:spacing w:after="0"/>
              <w:rPr>
                <w:sz w:val="21"/>
                <w:szCs w:val="21"/>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14,850,000</w:t>
            </w:r>
          </w:p>
        </w:tc>
        <w:tc>
          <w:tcPr>
            <w:tcW w:w="720" w:type="dxa"/>
            <w:vAlign w:val="bottom"/>
          </w:tcPr>
          <w:p>
            <w:pPr>
              <w:spacing w:after="0"/>
              <w:rPr>
                <w:sz w:val="21"/>
                <w:szCs w:val="21"/>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29,183</w:t>
            </w:r>
          </w:p>
        </w:tc>
        <w:tc>
          <w:tcPr>
            <w:tcW w:w="40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26,134,183</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8F5A39"/>
              </w:rPr>
              <w:t>Troy Rohrbaugh</w:t>
            </w:r>
            <w:r>
              <w:rPr>
                <w:rFonts w:ascii="Arial" w:cs="Arial" w:eastAsia="Arial" w:hAnsi="Arial"/>
                <w:sz w:val="18"/>
                <w:szCs w:val="18"/>
                <w:b w:val="1"/>
                <w:bCs w:val="1"/>
                <w:color w:val="8F5A39"/>
                <w:vertAlign w:val="superscript"/>
              </w:rPr>
              <w:t>7</w:t>
            </w:r>
          </w:p>
        </w:tc>
        <w:tc>
          <w:tcPr>
            <w:tcW w:w="960" w:type="dxa"/>
            <w:vAlign w:val="bottom"/>
            <w:tcBorders>
              <w:bottom w:val="single" w:sz="8" w:color="B2B2B2"/>
            </w:tcBorders>
          </w:tcPr>
          <w:p>
            <w:pPr>
              <w:spacing w:after="0" w:line="20" w:lineRule="exact"/>
              <w:rPr>
                <w:sz w:val="1"/>
                <w:szCs w:val="1"/>
                <w:color w:val="auto"/>
              </w:rPr>
            </w:pPr>
          </w:p>
        </w:tc>
        <w:tc>
          <w:tcPr>
            <w:tcW w:w="860" w:type="dxa"/>
            <w:vAlign w:val="bottom"/>
            <w:tcBorders>
              <w:bottom w:val="single" w:sz="8" w:color="B2B2B2"/>
            </w:tcBorders>
          </w:tcPr>
          <w:p>
            <w:pPr>
              <w:spacing w:after="0" w:line="20" w:lineRule="exact"/>
              <w:rPr>
                <w:sz w:val="1"/>
                <w:szCs w:val="1"/>
                <w:color w:val="auto"/>
              </w:rPr>
            </w:pPr>
          </w:p>
        </w:tc>
        <w:tc>
          <w:tcPr>
            <w:tcW w:w="280" w:type="dxa"/>
            <w:vAlign w:val="bottom"/>
            <w:tcBorders>
              <w:bottom w:val="single" w:sz="8" w:color="B2B2B2"/>
            </w:tcBorders>
          </w:tcPr>
          <w:p>
            <w:pPr>
              <w:spacing w:after="0" w:line="20" w:lineRule="exact"/>
              <w:rPr>
                <w:sz w:val="1"/>
                <w:szCs w:val="1"/>
                <w:color w:val="auto"/>
              </w:rPr>
            </w:pPr>
          </w:p>
        </w:tc>
        <w:tc>
          <w:tcPr>
            <w:tcW w:w="96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1160" w:type="dxa"/>
            <w:vAlign w:val="bottom"/>
            <w:tcBorders>
              <w:bottom w:val="single" w:sz="8" w:color="B2B2B2"/>
            </w:tcBorders>
          </w:tcPr>
          <w:p>
            <w:pPr>
              <w:spacing w:after="0" w:line="20" w:lineRule="exact"/>
              <w:rPr>
                <w:sz w:val="1"/>
                <w:szCs w:val="1"/>
                <w:color w:val="auto"/>
              </w:rPr>
            </w:pPr>
          </w:p>
        </w:tc>
        <w:tc>
          <w:tcPr>
            <w:tcW w:w="72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120" w:type="dxa"/>
            <w:vAlign w:val="bottom"/>
            <w:vMerge w:val="continue"/>
          </w:tcPr>
          <w:p>
            <w:pPr>
              <w:spacing w:after="0"/>
              <w:rPr>
                <w:sz w:val="15"/>
                <w:szCs w:val="15"/>
                <w:color w:val="auto"/>
              </w:rPr>
            </w:pP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2025</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9"/>
                <w:szCs w:val="9"/>
                <w:color w:val="auto"/>
              </w:rPr>
              <w:t>8</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Arial" w:cs="Arial" w:eastAsia="Arial" w:hAnsi="Arial"/>
                <w:sz w:val="14"/>
                <w:szCs w:val="14"/>
                <w:color w:val="auto"/>
              </w:rPr>
              <w:t>Co-CEO, CIB</w:t>
            </w:r>
          </w:p>
        </w:tc>
        <w:tc>
          <w:tcPr>
            <w:tcW w:w="96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6"/>
                <w:szCs w:val="16"/>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10,600,000</w:t>
            </w:r>
          </w:p>
        </w:tc>
        <w:tc>
          <w:tcPr>
            <w:tcW w:w="320" w:type="dxa"/>
            <w:vAlign w:val="bottom"/>
          </w:tcPr>
          <w:p>
            <w:pPr>
              <w:spacing w:after="0"/>
              <w:rPr>
                <w:sz w:val="16"/>
                <w:szCs w:val="16"/>
                <w:color w:val="auto"/>
              </w:rPr>
            </w:pPr>
          </w:p>
        </w:tc>
        <w:tc>
          <w:tcPr>
            <w:tcW w:w="1160" w:type="dxa"/>
            <w:vAlign w:val="bottom"/>
          </w:tcPr>
          <w:p>
            <w:pPr>
              <w:jc w:val="right"/>
              <w:ind w:right="209"/>
              <w:spacing w:after="0"/>
              <w:rPr>
                <w:sz w:val="20"/>
                <w:szCs w:val="20"/>
                <w:color w:val="auto"/>
              </w:rPr>
            </w:pPr>
            <w:r>
              <w:rPr>
                <w:rFonts w:ascii="Arial" w:cs="Arial" w:eastAsia="Arial" w:hAnsi="Arial"/>
                <w:sz w:val="14"/>
                <w:szCs w:val="14"/>
                <w:color w:val="auto"/>
              </w:rPr>
              <w:t>13,800,000</w:t>
            </w:r>
          </w:p>
        </w:tc>
        <w:tc>
          <w:tcPr>
            <w:tcW w:w="720" w:type="dxa"/>
            <w:vAlign w:val="bottom"/>
          </w:tcPr>
          <w:p>
            <w:pPr>
              <w:spacing w:after="0"/>
              <w:rPr>
                <w:sz w:val="16"/>
                <w:szCs w:val="16"/>
                <w:color w:val="auto"/>
              </w:rPr>
            </w:pPr>
          </w:p>
        </w:tc>
        <w:tc>
          <w:tcPr>
            <w:tcW w:w="1060" w:type="dxa"/>
            <w:vAlign w:val="bottom"/>
          </w:tcPr>
          <w:p>
            <w:pPr>
              <w:jc w:val="right"/>
              <w:ind w:right="190"/>
              <w:spacing w:after="0"/>
              <w:rPr>
                <w:sz w:val="20"/>
                <w:szCs w:val="20"/>
                <w:color w:val="auto"/>
              </w:rPr>
            </w:pPr>
            <w:r>
              <w:rPr>
                <w:rFonts w:ascii="Arial" w:cs="Arial" w:eastAsia="Arial" w:hAnsi="Arial"/>
                <w:sz w:val="14"/>
                <w:szCs w:val="14"/>
                <w:color w:val="auto"/>
              </w:rPr>
              <w:t>7,218</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8,676</w:t>
            </w:r>
          </w:p>
        </w:tc>
        <w:tc>
          <w:tcPr>
            <w:tcW w:w="3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25,415,894</w:t>
            </w: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21"/>
                <w:szCs w:val="2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9,200,000</w:t>
            </w:r>
          </w:p>
        </w:tc>
        <w:tc>
          <w:tcPr>
            <w:tcW w:w="320" w:type="dxa"/>
            <w:vAlign w:val="bottom"/>
          </w:tcPr>
          <w:p>
            <w:pPr>
              <w:spacing w:after="0"/>
              <w:rPr>
                <w:sz w:val="21"/>
                <w:szCs w:val="21"/>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13,350,000</w:t>
            </w:r>
          </w:p>
        </w:tc>
        <w:tc>
          <w:tcPr>
            <w:tcW w:w="720" w:type="dxa"/>
            <w:vAlign w:val="bottom"/>
          </w:tcPr>
          <w:p>
            <w:pPr>
              <w:spacing w:after="0"/>
              <w:rPr>
                <w:sz w:val="21"/>
                <w:szCs w:val="21"/>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4,530</w:t>
            </w:r>
          </w:p>
        </w:tc>
        <w:tc>
          <w:tcPr>
            <w:tcW w:w="40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5,373</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23,559,903</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20" w:type="dxa"/>
            <w:vAlign w:val="bottom"/>
            <w:tcBorders>
              <w:bottom w:val="single" w:sz="8" w:color="B2B2B2"/>
            </w:tcBorders>
          </w:tcPr>
          <w:p>
            <w:pPr>
              <w:spacing w:after="0" w:line="20" w:lineRule="exact"/>
              <w:rPr>
                <w:sz w:val="1"/>
                <w:szCs w:val="1"/>
                <w:color w:val="auto"/>
              </w:rPr>
            </w:pPr>
          </w:p>
        </w:tc>
        <w:tc>
          <w:tcPr>
            <w:tcW w:w="960" w:type="dxa"/>
            <w:vAlign w:val="bottom"/>
            <w:tcBorders>
              <w:bottom w:val="single" w:sz="8" w:color="B2B2B2"/>
            </w:tcBorders>
          </w:tcPr>
          <w:p>
            <w:pPr>
              <w:spacing w:after="0" w:line="20" w:lineRule="exact"/>
              <w:rPr>
                <w:sz w:val="1"/>
                <w:szCs w:val="1"/>
                <w:color w:val="auto"/>
              </w:rPr>
            </w:pPr>
          </w:p>
        </w:tc>
        <w:tc>
          <w:tcPr>
            <w:tcW w:w="860" w:type="dxa"/>
            <w:vAlign w:val="bottom"/>
            <w:tcBorders>
              <w:bottom w:val="single" w:sz="8" w:color="B2B2B2"/>
            </w:tcBorders>
          </w:tcPr>
          <w:p>
            <w:pPr>
              <w:spacing w:after="0" w:line="20" w:lineRule="exact"/>
              <w:rPr>
                <w:sz w:val="1"/>
                <w:szCs w:val="1"/>
                <w:color w:val="auto"/>
              </w:rPr>
            </w:pPr>
          </w:p>
        </w:tc>
        <w:tc>
          <w:tcPr>
            <w:tcW w:w="280" w:type="dxa"/>
            <w:vAlign w:val="bottom"/>
            <w:tcBorders>
              <w:bottom w:val="single" w:sz="8" w:color="B2B2B2"/>
            </w:tcBorders>
          </w:tcPr>
          <w:p>
            <w:pPr>
              <w:spacing w:after="0" w:line="20" w:lineRule="exact"/>
              <w:rPr>
                <w:sz w:val="1"/>
                <w:szCs w:val="1"/>
                <w:color w:val="auto"/>
              </w:rPr>
            </w:pPr>
          </w:p>
        </w:tc>
        <w:tc>
          <w:tcPr>
            <w:tcW w:w="96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1160" w:type="dxa"/>
            <w:vAlign w:val="bottom"/>
            <w:tcBorders>
              <w:bottom w:val="single" w:sz="8" w:color="B2B2B2"/>
            </w:tcBorders>
          </w:tcPr>
          <w:p>
            <w:pPr>
              <w:spacing w:after="0" w:line="20" w:lineRule="exact"/>
              <w:rPr>
                <w:sz w:val="1"/>
                <w:szCs w:val="1"/>
                <w:color w:val="auto"/>
              </w:rPr>
            </w:pPr>
          </w:p>
        </w:tc>
        <w:tc>
          <w:tcPr>
            <w:tcW w:w="72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20" w:type="dxa"/>
            <w:vAlign w:val="bottom"/>
          </w:tcPr>
          <w:p>
            <w:pPr>
              <w:ind w:left="20"/>
              <w:spacing w:after="0" w:line="187" w:lineRule="exact"/>
              <w:rPr>
                <w:sz w:val="20"/>
                <w:szCs w:val="20"/>
                <w:color w:val="auto"/>
              </w:rPr>
            </w:pPr>
            <w:r>
              <w:rPr>
                <w:rFonts w:ascii="Arial" w:cs="Arial" w:eastAsia="Arial" w:hAnsi="Arial"/>
                <w:sz w:val="14"/>
                <w:szCs w:val="14"/>
                <w:b w:val="1"/>
                <w:bCs w:val="1"/>
                <w:color w:val="8F5A39"/>
              </w:rPr>
              <w:t>Douglas Petno</w:t>
            </w:r>
            <w:r>
              <w:rPr>
                <w:rFonts w:ascii="Arial" w:cs="Arial" w:eastAsia="Arial" w:hAnsi="Arial"/>
                <w:sz w:val="18"/>
                <w:szCs w:val="18"/>
                <w:b w:val="1"/>
                <w:bCs w:val="1"/>
                <w:color w:val="8F5A39"/>
                <w:vertAlign w:val="superscript"/>
              </w:rPr>
              <w:t>9</w:t>
            </w: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2025</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6"/>
                <w:szCs w:val="16"/>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10,600,000</w:t>
            </w:r>
          </w:p>
        </w:tc>
        <w:tc>
          <w:tcPr>
            <w:tcW w:w="320" w:type="dxa"/>
            <w:vAlign w:val="bottom"/>
          </w:tcPr>
          <w:p>
            <w:pPr>
              <w:spacing w:after="0"/>
              <w:rPr>
                <w:sz w:val="16"/>
                <w:szCs w:val="16"/>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11,400,000</w:t>
            </w:r>
          </w:p>
        </w:tc>
        <w:tc>
          <w:tcPr>
            <w:tcW w:w="720" w:type="dxa"/>
            <w:vAlign w:val="bottom"/>
          </w:tcPr>
          <w:p>
            <w:pPr>
              <w:spacing w:after="0"/>
              <w:rPr>
                <w:sz w:val="16"/>
                <w:szCs w:val="16"/>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41,597</w:t>
            </w:r>
          </w:p>
        </w:tc>
        <w:tc>
          <w:tcPr>
            <w:tcW w:w="4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31,825</w:t>
            </w:r>
          </w:p>
        </w:tc>
        <w:tc>
          <w:tcPr>
            <w:tcW w:w="340" w:type="dxa"/>
            <w:vAlign w:val="bottom"/>
            <w:vMerge w:val="restart"/>
          </w:tcPr>
          <w:p>
            <w:pPr>
              <w:ind w:left="60"/>
              <w:spacing w:after="0"/>
              <w:rPr>
                <w:sz w:val="20"/>
                <w:szCs w:val="20"/>
                <w:color w:val="auto"/>
              </w:rPr>
            </w:pPr>
            <w:r>
              <w:rPr>
                <w:rFonts w:ascii="Arial" w:cs="Arial" w:eastAsia="Arial" w:hAnsi="Arial"/>
                <w:sz w:val="9"/>
                <w:szCs w:val="9"/>
                <w:color w:val="auto"/>
              </w:rPr>
              <w:t>10</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23,073,422</w:t>
            </w: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Arial" w:cs="Arial" w:eastAsia="Arial" w:hAnsi="Arial"/>
                <w:sz w:val="14"/>
                <w:szCs w:val="14"/>
                <w:color w:val="auto"/>
              </w:rPr>
              <w:t>Co-CEO, CIB</w:t>
            </w:r>
          </w:p>
        </w:tc>
        <w:tc>
          <w:tcPr>
            <w:tcW w:w="9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120" w:type="dxa"/>
            <w:vAlign w:val="bottom"/>
            <w:tcBorders>
              <w:bottom w:val="single" w:sz="8" w:color="B2B2B2"/>
            </w:tcBorders>
          </w:tcPr>
          <w:p>
            <w:pPr>
              <w:spacing w:after="0"/>
              <w:rPr>
                <w:sz w:val="24"/>
                <w:szCs w:val="24"/>
                <w:color w:val="auto"/>
              </w:rPr>
            </w:pPr>
          </w:p>
        </w:tc>
        <w:tc>
          <w:tcPr>
            <w:tcW w:w="960" w:type="dxa"/>
            <w:vAlign w:val="bottom"/>
            <w:tcBorders>
              <w:bottom w:val="single" w:sz="8" w:color="B2B2B2"/>
            </w:tcBorders>
          </w:tcPr>
          <w:p>
            <w:pPr>
              <w:spacing w:after="0"/>
              <w:rPr>
                <w:sz w:val="24"/>
                <w:szCs w:val="24"/>
                <w:color w:val="auto"/>
              </w:rPr>
            </w:pPr>
          </w:p>
        </w:tc>
        <w:tc>
          <w:tcPr>
            <w:tcW w:w="860" w:type="dxa"/>
            <w:vAlign w:val="bottom"/>
            <w:tcBorders>
              <w:bottom w:val="single" w:sz="8" w:color="B2B2B2"/>
            </w:tcBorders>
          </w:tcPr>
          <w:p>
            <w:pPr>
              <w:spacing w:after="0"/>
              <w:rPr>
                <w:sz w:val="24"/>
                <w:szCs w:val="24"/>
                <w:color w:val="auto"/>
              </w:rPr>
            </w:pPr>
          </w:p>
        </w:tc>
        <w:tc>
          <w:tcPr>
            <w:tcW w:w="280" w:type="dxa"/>
            <w:vAlign w:val="bottom"/>
            <w:tcBorders>
              <w:bottom w:val="single" w:sz="8" w:color="B2B2B2"/>
            </w:tcBorders>
          </w:tcPr>
          <w:p>
            <w:pPr>
              <w:spacing w:after="0"/>
              <w:rPr>
                <w:sz w:val="24"/>
                <w:szCs w:val="24"/>
                <w:color w:val="auto"/>
              </w:rPr>
            </w:pPr>
          </w:p>
        </w:tc>
        <w:tc>
          <w:tcPr>
            <w:tcW w:w="960" w:type="dxa"/>
            <w:vAlign w:val="bottom"/>
            <w:tcBorders>
              <w:bottom w:val="single" w:sz="8" w:color="B2B2B2"/>
            </w:tcBorders>
          </w:tcPr>
          <w:p>
            <w:pPr>
              <w:spacing w:after="0"/>
              <w:rPr>
                <w:sz w:val="24"/>
                <w:szCs w:val="24"/>
                <w:color w:val="auto"/>
              </w:rPr>
            </w:pPr>
          </w:p>
        </w:tc>
        <w:tc>
          <w:tcPr>
            <w:tcW w:w="320" w:type="dxa"/>
            <w:vAlign w:val="bottom"/>
            <w:tcBorders>
              <w:bottom w:val="single" w:sz="8" w:color="B2B2B2"/>
            </w:tcBorders>
          </w:tcPr>
          <w:p>
            <w:pPr>
              <w:spacing w:after="0"/>
              <w:rPr>
                <w:sz w:val="24"/>
                <w:szCs w:val="24"/>
                <w:color w:val="auto"/>
              </w:rPr>
            </w:pPr>
          </w:p>
        </w:tc>
        <w:tc>
          <w:tcPr>
            <w:tcW w:w="1160" w:type="dxa"/>
            <w:vAlign w:val="bottom"/>
            <w:tcBorders>
              <w:bottom w:val="single" w:sz="8" w:color="B2B2B2"/>
            </w:tcBorders>
          </w:tcPr>
          <w:p>
            <w:pPr>
              <w:spacing w:after="0"/>
              <w:rPr>
                <w:sz w:val="24"/>
                <w:szCs w:val="24"/>
                <w:color w:val="auto"/>
              </w:rPr>
            </w:pPr>
          </w:p>
        </w:tc>
        <w:tc>
          <w:tcPr>
            <w:tcW w:w="720" w:type="dxa"/>
            <w:vAlign w:val="bottom"/>
            <w:tcBorders>
              <w:bottom w:val="single" w:sz="8" w:color="B2B2B2"/>
            </w:tcBorders>
          </w:tcPr>
          <w:p>
            <w:pPr>
              <w:spacing w:after="0"/>
              <w:rPr>
                <w:sz w:val="24"/>
                <w:szCs w:val="24"/>
                <w:color w:val="auto"/>
              </w:rPr>
            </w:pPr>
          </w:p>
        </w:tc>
        <w:tc>
          <w:tcPr>
            <w:tcW w:w="1060" w:type="dxa"/>
            <w:vAlign w:val="bottom"/>
            <w:tcBorders>
              <w:bottom w:val="single" w:sz="8" w:color="B2B2B2"/>
            </w:tcBorders>
          </w:tcPr>
          <w:p>
            <w:pPr>
              <w:spacing w:after="0"/>
              <w:rPr>
                <w:sz w:val="24"/>
                <w:szCs w:val="24"/>
                <w:color w:val="auto"/>
              </w:rPr>
            </w:pPr>
          </w:p>
        </w:tc>
        <w:tc>
          <w:tcPr>
            <w:tcW w:w="400" w:type="dxa"/>
            <w:vAlign w:val="bottom"/>
            <w:tcBorders>
              <w:bottom w:val="single" w:sz="8" w:color="B2B2B2"/>
            </w:tcBorders>
          </w:tcPr>
          <w:p>
            <w:pPr>
              <w:spacing w:after="0"/>
              <w:rPr>
                <w:sz w:val="24"/>
                <w:szCs w:val="24"/>
                <w:color w:val="auto"/>
              </w:rPr>
            </w:pPr>
          </w:p>
        </w:tc>
        <w:tc>
          <w:tcPr>
            <w:tcW w:w="800" w:type="dxa"/>
            <w:vAlign w:val="bottom"/>
            <w:tcBorders>
              <w:bottom w:val="single" w:sz="8" w:color="B2B2B2"/>
            </w:tcBorders>
          </w:tcPr>
          <w:p>
            <w:pPr>
              <w:spacing w:after="0"/>
              <w:rPr>
                <w:sz w:val="24"/>
                <w:szCs w:val="24"/>
                <w:color w:val="auto"/>
              </w:rPr>
            </w:pPr>
          </w:p>
        </w:tc>
        <w:tc>
          <w:tcPr>
            <w:tcW w:w="340" w:type="dxa"/>
            <w:vAlign w:val="bottom"/>
            <w:tcBorders>
              <w:bottom w:val="single" w:sz="8" w:color="B2B2B2"/>
            </w:tcBorders>
          </w:tcPr>
          <w:p>
            <w:pPr>
              <w:spacing w:after="0"/>
              <w:rPr>
                <w:sz w:val="24"/>
                <w:szCs w:val="24"/>
                <w:color w:val="auto"/>
              </w:rPr>
            </w:pPr>
          </w:p>
        </w:tc>
        <w:tc>
          <w:tcPr>
            <w:tcW w:w="320" w:type="dxa"/>
            <w:vAlign w:val="bottom"/>
            <w:tcBorders>
              <w:bottom w:val="single" w:sz="8" w:color="B2B2B2"/>
            </w:tcBorders>
          </w:tcPr>
          <w:p>
            <w:pPr>
              <w:spacing w:after="0"/>
              <w:rPr>
                <w:sz w:val="24"/>
                <w:szCs w:val="24"/>
                <w:color w:val="auto"/>
              </w:rPr>
            </w:pPr>
          </w:p>
        </w:tc>
        <w:tc>
          <w:tcPr>
            <w:tcW w:w="940" w:type="dxa"/>
            <w:vAlign w:val="bottom"/>
            <w:tcBorders>
              <w:bottom w:val="single" w:sz="8" w:color="B2B2B2"/>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120" w:type="dxa"/>
            <w:vAlign w:val="bottom"/>
          </w:tcPr>
          <w:p>
            <w:pPr>
              <w:ind w:left="20"/>
              <w:spacing w:after="0"/>
              <w:rPr>
                <w:sz w:val="20"/>
                <w:szCs w:val="20"/>
                <w:color w:val="auto"/>
              </w:rPr>
            </w:pPr>
            <w:r>
              <w:rPr>
                <w:rFonts w:ascii="Arial" w:cs="Arial" w:eastAsia="Arial" w:hAnsi="Arial"/>
                <w:sz w:val="14"/>
                <w:szCs w:val="14"/>
                <w:b w:val="1"/>
                <w:bCs w:val="1"/>
                <w:color w:val="8F5A39"/>
              </w:rPr>
              <w:t>Jeremy Barnum</w:t>
            </w: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2025</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6"/>
                <w:szCs w:val="16"/>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7,400,000</w:t>
            </w:r>
          </w:p>
        </w:tc>
        <w:tc>
          <w:tcPr>
            <w:tcW w:w="320" w:type="dxa"/>
            <w:vAlign w:val="bottom"/>
          </w:tcPr>
          <w:p>
            <w:pPr>
              <w:spacing w:after="0"/>
              <w:rPr>
                <w:sz w:val="16"/>
                <w:szCs w:val="16"/>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9,795,000</w:t>
            </w:r>
          </w:p>
        </w:tc>
        <w:tc>
          <w:tcPr>
            <w:tcW w:w="720" w:type="dxa"/>
            <w:vAlign w:val="bottom"/>
          </w:tcPr>
          <w:p>
            <w:pPr>
              <w:spacing w:after="0"/>
              <w:rPr>
                <w:sz w:val="16"/>
                <w:szCs w:val="16"/>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17,926</w:t>
            </w:r>
          </w:p>
        </w:tc>
        <w:tc>
          <w:tcPr>
            <w:tcW w:w="4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18,212,926</w:t>
            </w: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9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9"/>
                <w:szCs w:val="19"/>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6,530,000</w:t>
            </w:r>
          </w:p>
        </w:tc>
        <w:tc>
          <w:tcPr>
            <w:tcW w:w="320" w:type="dxa"/>
            <w:vAlign w:val="bottom"/>
          </w:tcPr>
          <w:p>
            <w:pPr>
              <w:spacing w:after="0"/>
              <w:rPr>
                <w:sz w:val="19"/>
                <w:szCs w:val="19"/>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8,550,000</w:t>
            </w:r>
          </w:p>
        </w:tc>
        <w:tc>
          <w:tcPr>
            <w:tcW w:w="720" w:type="dxa"/>
            <w:vAlign w:val="bottom"/>
          </w:tcPr>
          <w:p>
            <w:pPr>
              <w:spacing w:after="0"/>
              <w:rPr>
                <w:sz w:val="19"/>
                <w:szCs w:val="19"/>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10,582</w:t>
            </w:r>
          </w:p>
        </w:tc>
        <w:tc>
          <w:tcPr>
            <w:tcW w:w="40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16,095,582</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2023</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750,000</w:t>
            </w:r>
          </w:p>
        </w:tc>
        <w:tc>
          <w:tcPr>
            <w:tcW w:w="280" w:type="dxa"/>
            <w:vAlign w:val="bottom"/>
          </w:tcPr>
          <w:p>
            <w:pPr>
              <w:spacing w:after="0"/>
              <w:rPr>
                <w:sz w:val="21"/>
                <w:szCs w:val="2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5,700,000</w:t>
            </w:r>
          </w:p>
        </w:tc>
        <w:tc>
          <w:tcPr>
            <w:tcW w:w="320" w:type="dxa"/>
            <w:vAlign w:val="bottom"/>
          </w:tcPr>
          <w:p>
            <w:pPr>
              <w:spacing w:after="0"/>
              <w:rPr>
                <w:sz w:val="21"/>
                <w:szCs w:val="21"/>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6,750,000</w:t>
            </w:r>
          </w:p>
        </w:tc>
        <w:tc>
          <w:tcPr>
            <w:tcW w:w="720" w:type="dxa"/>
            <w:vAlign w:val="bottom"/>
          </w:tcPr>
          <w:p>
            <w:pPr>
              <w:spacing w:after="0"/>
              <w:rPr>
                <w:sz w:val="21"/>
                <w:szCs w:val="21"/>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16,257</w:t>
            </w:r>
          </w:p>
        </w:tc>
        <w:tc>
          <w:tcPr>
            <w:tcW w:w="40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13,221,257</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8F5A39"/>
              </w:rPr>
              <w:t>Daniel Pinto</w:t>
            </w:r>
            <w:r>
              <w:rPr>
                <w:rFonts w:ascii="Arial" w:cs="Arial" w:eastAsia="Arial" w:hAnsi="Arial"/>
                <w:sz w:val="18"/>
                <w:szCs w:val="18"/>
                <w:b w:val="1"/>
                <w:bCs w:val="1"/>
                <w:color w:val="8F5A39"/>
                <w:vertAlign w:val="superscript"/>
              </w:rPr>
              <w:t>11</w:t>
            </w:r>
          </w:p>
        </w:tc>
        <w:tc>
          <w:tcPr>
            <w:tcW w:w="960" w:type="dxa"/>
            <w:vAlign w:val="bottom"/>
            <w:tcBorders>
              <w:bottom w:val="single" w:sz="8" w:color="B2B2B2"/>
            </w:tcBorders>
          </w:tcPr>
          <w:p>
            <w:pPr>
              <w:spacing w:after="0" w:line="20" w:lineRule="exact"/>
              <w:rPr>
                <w:sz w:val="1"/>
                <w:szCs w:val="1"/>
                <w:color w:val="auto"/>
              </w:rPr>
            </w:pPr>
          </w:p>
        </w:tc>
        <w:tc>
          <w:tcPr>
            <w:tcW w:w="860" w:type="dxa"/>
            <w:vAlign w:val="bottom"/>
            <w:tcBorders>
              <w:bottom w:val="single" w:sz="8" w:color="B2B2B2"/>
            </w:tcBorders>
          </w:tcPr>
          <w:p>
            <w:pPr>
              <w:spacing w:after="0" w:line="20" w:lineRule="exact"/>
              <w:rPr>
                <w:sz w:val="1"/>
                <w:szCs w:val="1"/>
                <w:color w:val="auto"/>
              </w:rPr>
            </w:pPr>
          </w:p>
        </w:tc>
        <w:tc>
          <w:tcPr>
            <w:tcW w:w="280" w:type="dxa"/>
            <w:vAlign w:val="bottom"/>
            <w:tcBorders>
              <w:bottom w:val="single" w:sz="8" w:color="B2B2B2"/>
            </w:tcBorders>
          </w:tcPr>
          <w:p>
            <w:pPr>
              <w:spacing w:after="0" w:line="20" w:lineRule="exact"/>
              <w:rPr>
                <w:sz w:val="1"/>
                <w:szCs w:val="1"/>
                <w:color w:val="auto"/>
              </w:rPr>
            </w:pPr>
          </w:p>
        </w:tc>
        <w:tc>
          <w:tcPr>
            <w:tcW w:w="96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1160" w:type="dxa"/>
            <w:vAlign w:val="bottom"/>
            <w:tcBorders>
              <w:bottom w:val="single" w:sz="8" w:color="B2B2B2"/>
            </w:tcBorders>
          </w:tcPr>
          <w:p>
            <w:pPr>
              <w:spacing w:after="0" w:line="20" w:lineRule="exact"/>
              <w:rPr>
                <w:sz w:val="1"/>
                <w:szCs w:val="1"/>
                <w:color w:val="auto"/>
              </w:rPr>
            </w:pPr>
          </w:p>
        </w:tc>
        <w:tc>
          <w:tcPr>
            <w:tcW w:w="72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20" w:type="dxa"/>
            <w:vAlign w:val="bottom"/>
            <w:vMerge w:val="continue"/>
          </w:tcPr>
          <w:p>
            <w:pPr>
              <w:spacing w:after="0"/>
              <w:rPr>
                <w:sz w:val="16"/>
                <w:szCs w:val="16"/>
                <w:color w:val="auto"/>
              </w:rPr>
            </w:pP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2025</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1,500,000</w:t>
            </w:r>
          </w:p>
        </w:tc>
        <w:tc>
          <w:tcPr>
            <w:tcW w:w="280" w:type="dxa"/>
            <w:vAlign w:val="bottom"/>
          </w:tcPr>
          <w:p>
            <w:pPr>
              <w:spacing w:after="0"/>
              <w:rPr>
                <w:sz w:val="16"/>
                <w:szCs w:val="16"/>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5,000,000</w:t>
            </w:r>
          </w:p>
        </w:tc>
        <w:tc>
          <w:tcPr>
            <w:tcW w:w="320" w:type="dxa"/>
            <w:vAlign w:val="bottom"/>
          </w:tcPr>
          <w:p>
            <w:pPr>
              <w:spacing w:after="0"/>
              <w:rPr>
                <w:sz w:val="16"/>
                <w:szCs w:val="16"/>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25,000,000</w:t>
            </w:r>
          </w:p>
        </w:tc>
        <w:tc>
          <w:tcPr>
            <w:tcW w:w="720" w:type="dxa"/>
            <w:vAlign w:val="bottom"/>
          </w:tcPr>
          <w:p>
            <w:pPr>
              <w:spacing w:after="0"/>
              <w:rPr>
                <w:sz w:val="16"/>
                <w:szCs w:val="16"/>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116,871</w:t>
            </w:r>
          </w:p>
        </w:tc>
        <w:tc>
          <w:tcPr>
            <w:tcW w:w="340" w:type="dxa"/>
            <w:vAlign w:val="bottom"/>
            <w:vMerge w:val="restart"/>
          </w:tcPr>
          <w:p>
            <w:pPr>
              <w:jc w:val="right"/>
              <w:ind w:right="70"/>
              <w:spacing w:after="0"/>
              <w:rPr>
                <w:sz w:val="20"/>
                <w:szCs w:val="20"/>
                <w:color w:val="auto"/>
              </w:rPr>
            </w:pPr>
            <w:r>
              <w:rPr>
                <w:rFonts w:ascii="Arial" w:cs="Arial" w:eastAsia="Arial" w:hAnsi="Arial"/>
                <w:sz w:val="9"/>
                <w:szCs w:val="9"/>
                <w:color w:val="auto"/>
              </w:rPr>
              <w:t>12</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31,616,871</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Vice Chair; Former President</w:t>
            </w:r>
          </w:p>
        </w:tc>
        <w:tc>
          <w:tcPr>
            <w:tcW w:w="9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120" w:type="dxa"/>
            <w:vAlign w:val="bottom"/>
          </w:tcPr>
          <w:p>
            <w:pPr>
              <w:ind w:left="20"/>
              <w:spacing w:after="0"/>
              <w:rPr>
                <w:sz w:val="20"/>
                <w:szCs w:val="20"/>
                <w:color w:val="auto"/>
              </w:rPr>
            </w:pPr>
            <w:r>
              <w:rPr>
                <w:rFonts w:ascii="Arial" w:cs="Arial" w:eastAsia="Arial" w:hAnsi="Arial"/>
                <w:sz w:val="14"/>
                <w:szCs w:val="14"/>
                <w:color w:val="auto"/>
              </w:rPr>
              <w:t>and COO</w:t>
            </w: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1,500,000</w:t>
            </w:r>
          </w:p>
        </w:tc>
        <w:tc>
          <w:tcPr>
            <w:tcW w:w="280" w:type="dxa"/>
            <w:vAlign w:val="bottom"/>
          </w:tcPr>
          <w:p>
            <w:pPr>
              <w:spacing w:after="0"/>
              <w:rPr>
                <w:sz w:val="20"/>
                <w:szCs w:val="20"/>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5,000,000</w:t>
            </w:r>
          </w:p>
        </w:tc>
        <w:tc>
          <w:tcPr>
            <w:tcW w:w="320" w:type="dxa"/>
            <w:vAlign w:val="bottom"/>
          </w:tcPr>
          <w:p>
            <w:pPr>
              <w:spacing w:after="0"/>
              <w:rPr>
                <w:sz w:val="20"/>
                <w:szCs w:val="20"/>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23,500,000</w:t>
            </w:r>
          </w:p>
        </w:tc>
        <w:tc>
          <w:tcPr>
            <w:tcW w:w="720" w:type="dxa"/>
            <w:vAlign w:val="bottom"/>
          </w:tcPr>
          <w:p>
            <w:pPr>
              <w:spacing w:after="0"/>
              <w:rPr>
                <w:sz w:val="20"/>
                <w:szCs w:val="20"/>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72,089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30,072,089</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960" w:type="dxa"/>
            <w:vAlign w:val="bottom"/>
          </w:tcPr>
          <w:p>
            <w:pPr>
              <w:jc w:val="right"/>
              <w:ind w:right="369"/>
              <w:spacing w:after="0"/>
              <w:rPr>
                <w:sz w:val="20"/>
                <w:szCs w:val="20"/>
                <w:color w:val="auto"/>
              </w:rPr>
            </w:pPr>
            <w:r>
              <w:rPr>
                <w:rFonts w:ascii="Arial" w:cs="Arial" w:eastAsia="Arial" w:hAnsi="Arial"/>
                <w:sz w:val="14"/>
                <w:szCs w:val="14"/>
                <w:color w:val="auto"/>
              </w:rPr>
              <w:t>2023</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1,500,000</w:t>
            </w:r>
          </w:p>
        </w:tc>
        <w:tc>
          <w:tcPr>
            <w:tcW w:w="280" w:type="dxa"/>
            <w:vAlign w:val="bottom"/>
          </w:tcPr>
          <w:p>
            <w:pPr>
              <w:spacing w:after="0"/>
              <w:rPr>
                <w:sz w:val="21"/>
                <w:szCs w:val="2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5,000,000</w:t>
            </w:r>
          </w:p>
        </w:tc>
        <w:tc>
          <w:tcPr>
            <w:tcW w:w="320" w:type="dxa"/>
            <w:vAlign w:val="bottom"/>
          </w:tcPr>
          <w:p>
            <w:pPr>
              <w:spacing w:after="0"/>
              <w:rPr>
                <w:sz w:val="21"/>
                <w:szCs w:val="21"/>
                <w:color w:val="auto"/>
              </w:rPr>
            </w:pPr>
          </w:p>
        </w:tc>
        <w:tc>
          <w:tcPr>
            <w:tcW w:w="1160" w:type="dxa"/>
            <w:vAlign w:val="bottom"/>
            <w:vMerge w:val="restart"/>
          </w:tcPr>
          <w:p>
            <w:pPr>
              <w:jc w:val="right"/>
              <w:ind w:right="209"/>
              <w:spacing w:after="0"/>
              <w:rPr>
                <w:sz w:val="20"/>
                <w:szCs w:val="20"/>
                <w:color w:val="auto"/>
              </w:rPr>
            </w:pPr>
            <w:r>
              <w:rPr>
                <w:rFonts w:ascii="Arial" w:cs="Arial" w:eastAsia="Arial" w:hAnsi="Arial"/>
                <w:sz w:val="14"/>
                <w:szCs w:val="14"/>
                <w:color w:val="auto"/>
              </w:rPr>
              <w:t>22,000,000</w:t>
            </w:r>
          </w:p>
        </w:tc>
        <w:tc>
          <w:tcPr>
            <w:tcW w:w="720" w:type="dxa"/>
            <w:vAlign w:val="bottom"/>
          </w:tcPr>
          <w:p>
            <w:pPr>
              <w:spacing w:after="0"/>
              <w:rPr>
                <w:sz w:val="21"/>
                <w:szCs w:val="21"/>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97,037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28,597,037</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00" w:hanging="192"/>
        <w:spacing w:after="0"/>
        <w:tabs>
          <w:tab w:leader="none" w:pos="200" w:val="left"/>
        </w:tabs>
        <w:numPr>
          <w:ilvl w:val="0"/>
          <w:numId w:val="223"/>
        </w:numPr>
        <w:rPr>
          <w:rFonts w:ascii="Arial" w:cs="Arial" w:eastAsia="Arial" w:hAnsi="Arial"/>
          <w:sz w:val="19"/>
          <w:szCs w:val="19"/>
          <w:color w:val="auto"/>
          <w:vertAlign w:val="superscript"/>
        </w:rPr>
      </w:pPr>
      <w:r>
        <w:rPr>
          <w:rFonts w:ascii="Arial" w:cs="Arial" w:eastAsia="Arial" w:hAnsi="Arial"/>
          <w:sz w:val="13"/>
          <w:szCs w:val="13"/>
          <w:color w:val="auto"/>
        </w:rPr>
        <w:t>Salary reflects the actual amount paid in each year.</w:t>
      </w:r>
    </w:p>
    <w:p>
      <w:pPr>
        <w:ind w:left="200" w:hanging="192"/>
        <w:spacing w:after="0" w:line="200" w:lineRule="auto"/>
        <w:tabs>
          <w:tab w:leader="none" w:pos="200" w:val="left"/>
        </w:tabs>
        <w:numPr>
          <w:ilvl w:val="0"/>
          <w:numId w:val="224"/>
        </w:numPr>
        <w:rPr>
          <w:rFonts w:ascii="Arial" w:cs="Arial" w:eastAsia="Arial" w:hAnsi="Arial"/>
          <w:sz w:val="18"/>
          <w:szCs w:val="18"/>
          <w:color w:val="auto"/>
          <w:vertAlign w:val="superscript"/>
        </w:rPr>
      </w:pPr>
      <w:r>
        <w:rPr>
          <w:rFonts w:ascii="Arial" w:cs="Arial" w:eastAsia="Arial" w:hAnsi="Arial"/>
          <w:sz w:val="12"/>
          <w:szCs w:val="12"/>
          <w:color w:val="auto"/>
        </w:rPr>
        <w:t>Includes amounts awarded, whether paid or deferred. Cash incentive compensation reflects compensation earned in connection with the performance year shown, which was awarded in January of</w:t>
      </w:r>
    </w:p>
    <w:p>
      <w:pPr>
        <w:ind w:left="200"/>
        <w:spacing w:after="0" w:line="221" w:lineRule="auto"/>
        <w:rPr>
          <w:sz w:val="20"/>
          <w:szCs w:val="20"/>
          <w:color w:val="auto"/>
        </w:rPr>
      </w:pPr>
      <w:r>
        <w:rPr>
          <w:rFonts w:ascii="Arial" w:cs="Arial" w:eastAsia="Arial" w:hAnsi="Arial"/>
          <w:sz w:val="13"/>
          <w:szCs w:val="13"/>
          <w:color w:val="auto"/>
        </w:rPr>
        <w:t>the following year.</w:t>
      </w:r>
    </w:p>
    <w:p>
      <w:pPr>
        <w:ind w:left="200" w:hanging="192"/>
        <w:spacing w:after="0" w:line="239" w:lineRule="auto"/>
        <w:tabs>
          <w:tab w:leader="none" w:pos="193" w:val="left"/>
        </w:tabs>
        <w:numPr>
          <w:ilvl w:val="0"/>
          <w:numId w:val="225"/>
        </w:numPr>
        <w:rPr>
          <w:rFonts w:ascii="Arial" w:cs="Arial" w:eastAsia="Arial" w:hAnsi="Arial"/>
          <w:sz w:val="18"/>
          <w:szCs w:val="18"/>
          <w:color w:val="auto"/>
          <w:vertAlign w:val="superscript"/>
        </w:rPr>
      </w:pPr>
      <w:r>
        <w:rPr>
          <w:rFonts w:ascii="Arial" w:cs="Arial" w:eastAsia="Arial" w:hAnsi="Arial"/>
          <w:sz w:val="12"/>
          <w:szCs w:val="12"/>
          <w:color w:val="auto"/>
        </w:rPr>
        <w:t>Includes amounts awarded during the year shown. Amounts are the fair value on the grant date in accordance with applicable accounting guidance. Actual amounts of PSUs received by NEOs upon vesting may range from 0% to 150% of the target shares (excluding accrued dividends), depending upon the Firm’s performance. At the maximum level of performance, the value of PSUs awarded in 2025 would be: $48,750,000 for Mr. Dimon; $12,375,000 for Ms. Erdoes; $10,350,000 for Mr. Rohrbaugh; $8,550,000 for Mr. Petno, $7,346,250 for Mr. Barnum; and $37,500,000 for Mr. Pinto. The Firm’s accounting for employee stock-based incentives is described in Note 9 to the Firm’s Consolidated Financial Statements in the 2025 Annual Report on pages 226 - 227 which may be accessed</w:t>
      </w:r>
    </w:p>
    <w:p>
      <w:pPr>
        <w:ind w:left="200"/>
        <w:spacing w:after="0" w:line="220" w:lineRule="auto"/>
        <w:rPr>
          <w:sz w:val="20"/>
          <w:szCs w:val="20"/>
          <w:color w:val="auto"/>
        </w:rPr>
      </w:pPr>
      <w:r>
        <w:rPr>
          <w:rFonts w:ascii="Arial" w:cs="Arial" w:eastAsia="Arial" w:hAnsi="Arial"/>
          <w:sz w:val="13"/>
          <w:szCs w:val="13"/>
          <w:color w:val="auto"/>
        </w:rPr>
        <w:t>on our website at jpmorganchase.com, under Investor Relations.</w:t>
      </w:r>
    </w:p>
    <w:p>
      <w:pPr>
        <w:spacing w:after="0" w:line="1" w:lineRule="exact"/>
        <w:rPr>
          <w:sz w:val="20"/>
          <w:szCs w:val="20"/>
          <w:color w:val="auto"/>
        </w:rPr>
      </w:pPr>
    </w:p>
    <w:p>
      <w:pPr>
        <w:jc w:val="both"/>
        <w:ind w:left="200" w:right="120" w:hanging="192"/>
        <w:spacing w:after="0" w:line="223" w:lineRule="auto"/>
        <w:tabs>
          <w:tab w:leader="none" w:pos="193" w:val="left"/>
        </w:tabs>
        <w:numPr>
          <w:ilvl w:val="0"/>
          <w:numId w:val="226"/>
        </w:numPr>
        <w:rPr>
          <w:rFonts w:ascii="Arial" w:cs="Arial" w:eastAsia="Arial" w:hAnsi="Arial"/>
          <w:sz w:val="18"/>
          <w:szCs w:val="18"/>
          <w:color w:val="auto"/>
          <w:vertAlign w:val="superscript"/>
        </w:rPr>
      </w:pPr>
      <w:r>
        <w:rPr>
          <w:rFonts w:ascii="Arial" w:cs="Arial" w:eastAsia="Arial" w:hAnsi="Arial"/>
          <w:sz w:val="12"/>
          <w:szCs w:val="12"/>
          <w:color w:val="auto"/>
        </w:rPr>
        <w:t>Amounts for years 2025, 2024 and 2023 are the aggregate change in the actuarial present value of the accumulated benefits under all defined benefit pension plans (including supplemental plans). No NEOs had earnings in excess of 120% of the applicable federal rate on deferred compensation balances where the rate of return is not calculated in the same or in a similar manner as earnings</w:t>
      </w:r>
    </w:p>
    <w:p>
      <w:pPr>
        <w:ind w:left="200"/>
        <w:spacing w:after="0" w:line="217" w:lineRule="auto"/>
        <w:rPr>
          <w:sz w:val="20"/>
          <w:szCs w:val="20"/>
          <w:color w:val="auto"/>
        </w:rPr>
      </w:pPr>
      <w:r>
        <w:rPr>
          <w:rFonts w:ascii="Arial" w:cs="Arial" w:eastAsia="Arial" w:hAnsi="Arial"/>
          <w:sz w:val="12"/>
          <w:szCs w:val="12"/>
          <w:color w:val="auto"/>
        </w:rPr>
        <w:t>on hypothetical investments under the Firm’s qualified plans. The amount of earnings in excess of 120% of the applicable federal rate included in this column is $0 for each of 2025, 2024 and 2023.</w:t>
      </w:r>
    </w:p>
    <w:p>
      <w:pPr>
        <w:spacing w:after="0" w:line="13" w:lineRule="exact"/>
        <w:rPr>
          <w:sz w:val="20"/>
          <w:szCs w:val="20"/>
          <w:color w:val="auto"/>
        </w:rPr>
      </w:pPr>
    </w:p>
    <w:p>
      <w:pPr>
        <w:ind w:left="200" w:right="200" w:hanging="192"/>
        <w:spacing w:after="0" w:line="194" w:lineRule="auto"/>
        <w:tabs>
          <w:tab w:leader="none" w:pos="193" w:val="left"/>
        </w:tabs>
        <w:numPr>
          <w:ilvl w:val="0"/>
          <w:numId w:val="227"/>
        </w:numPr>
        <w:rPr>
          <w:rFonts w:ascii="Arial" w:cs="Arial" w:eastAsia="Arial" w:hAnsi="Arial"/>
          <w:sz w:val="19"/>
          <w:szCs w:val="19"/>
          <w:color w:val="auto"/>
          <w:vertAlign w:val="superscript"/>
        </w:rPr>
      </w:pPr>
      <w:r>
        <w:rPr>
          <w:rFonts w:ascii="Arial" w:cs="Arial" w:eastAsia="Arial" w:hAnsi="Arial"/>
          <w:sz w:val="13"/>
          <w:szCs w:val="13"/>
          <w:color w:val="auto"/>
        </w:rPr>
        <w:t>“All other compensation” includes the cost, if any, for a NEO’s immediate family member to attend business-related events where familial attendance is expected or customary. This did not exceed the greater of $25,000 or 10% of the NEO’s total perquisites and personal benefits except as specifically noted in the footnotes that follow.</w:t>
      </w:r>
    </w:p>
    <w:p>
      <w:pPr>
        <w:ind w:left="200" w:right="200" w:hanging="192"/>
        <w:spacing w:after="0" w:line="209" w:lineRule="auto"/>
        <w:tabs>
          <w:tab w:leader="none" w:pos="193" w:val="left"/>
        </w:tabs>
        <w:numPr>
          <w:ilvl w:val="0"/>
          <w:numId w:val="228"/>
        </w:numPr>
        <w:rPr>
          <w:rFonts w:ascii="Arial" w:cs="Arial" w:eastAsia="Arial" w:hAnsi="Arial"/>
          <w:sz w:val="19"/>
          <w:szCs w:val="19"/>
          <w:color w:val="auto"/>
          <w:vertAlign w:val="superscript"/>
        </w:rPr>
      </w:pPr>
      <w:r>
        <w:rPr>
          <w:rFonts w:ascii="Arial" w:cs="Arial" w:eastAsia="Arial" w:hAnsi="Arial"/>
          <w:sz w:val="13"/>
          <w:szCs w:val="13"/>
          <w:color w:val="auto"/>
        </w:rPr>
        <w:t>The “All other compensation” amount for Mr. Dimon includes: $260,926 for personal use of corporate aircraft; $85,312 for personal use of corporate cars; and $1,241,474 for the cost of residential, personal travel, and related security paid by the Firm.</w:t>
      </w:r>
    </w:p>
    <w:p>
      <w:pPr>
        <w:spacing w:after="0" w:line="1" w:lineRule="exact"/>
        <w:rPr>
          <w:rFonts w:ascii="Arial" w:cs="Arial" w:eastAsia="Arial" w:hAnsi="Arial"/>
          <w:sz w:val="19"/>
          <w:szCs w:val="19"/>
          <w:color w:val="auto"/>
          <w:vertAlign w:val="superscript"/>
        </w:rPr>
      </w:pPr>
    </w:p>
    <w:p>
      <w:pPr>
        <w:ind w:left="600" w:right="260" w:hanging="203"/>
        <w:spacing w:after="0" w:line="193" w:lineRule="auto"/>
        <w:tabs>
          <w:tab w:leader="none" w:pos="614" w:val="left"/>
        </w:tabs>
        <w:numPr>
          <w:ilvl w:val="1"/>
          <w:numId w:val="228"/>
        </w:numPr>
        <w:rPr>
          <w:rFonts w:ascii="Arial" w:cs="Arial" w:eastAsia="Arial" w:hAnsi="Arial"/>
          <w:sz w:val="19"/>
          <w:szCs w:val="19"/>
          <w:color w:val="auto"/>
          <w:vertAlign w:val="superscript"/>
        </w:rPr>
      </w:pPr>
      <w:r>
        <w:rPr>
          <w:rFonts w:ascii="Arial" w:cs="Arial" w:eastAsia="Arial" w:hAnsi="Arial"/>
          <w:sz w:val="13"/>
          <w:szCs w:val="13"/>
          <w:color w:val="auto"/>
        </w:rPr>
        <w:t>Aircraft: operating cost per flight hour for the aircraft type used, developed by an independent reference source, including fuel, fuel additives and lubricants; landing and parking fees; crew expenses; small supplies and catering; maintenance, labor and parts; engine restoration costs; and a maintenance service plan.</w:t>
      </w:r>
    </w:p>
    <w:p>
      <w:pPr>
        <w:spacing w:after="0" w:line="1" w:lineRule="exact"/>
        <w:rPr>
          <w:rFonts w:ascii="Arial" w:cs="Arial" w:eastAsia="Arial" w:hAnsi="Arial"/>
          <w:sz w:val="19"/>
          <w:szCs w:val="19"/>
          <w:color w:val="auto"/>
          <w:vertAlign w:val="superscript"/>
        </w:rPr>
      </w:pPr>
    </w:p>
    <w:p>
      <w:pPr>
        <w:ind w:left="600" w:right="220" w:hanging="203"/>
        <w:spacing w:after="0" w:line="193" w:lineRule="auto"/>
        <w:tabs>
          <w:tab w:leader="none" w:pos="601" w:val="left"/>
        </w:tabs>
        <w:numPr>
          <w:ilvl w:val="1"/>
          <w:numId w:val="228"/>
        </w:numPr>
        <w:rPr>
          <w:rFonts w:ascii="Arial" w:cs="Arial" w:eastAsia="Arial" w:hAnsi="Arial"/>
          <w:sz w:val="19"/>
          <w:szCs w:val="19"/>
          <w:color w:val="auto"/>
          <w:vertAlign w:val="superscript"/>
        </w:rPr>
      </w:pPr>
      <w:r>
        <w:rPr>
          <w:rFonts w:ascii="Arial" w:cs="Arial" w:eastAsia="Arial" w:hAnsi="Arial"/>
          <w:sz w:val="13"/>
          <w:szCs w:val="13"/>
          <w:color w:val="auto"/>
        </w:rPr>
        <w:t>Cars: annual lease valuation of the cars; annual insurance premiums; fuel expense; annual maintenance; other miscellaneous expense; and annual drivers’ compensation, including salary, benefits and bonus. The resulting total is allocated between personal and business use based on mileage.</w:t>
      </w:r>
    </w:p>
    <w:p>
      <w:pPr>
        <w:spacing w:after="0" w:line="1" w:lineRule="exact"/>
        <w:rPr>
          <w:rFonts w:ascii="Arial" w:cs="Arial" w:eastAsia="Arial" w:hAnsi="Arial"/>
          <w:sz w:val="19"/>
          <w:szCs w:val="19"/>
          <w:color w:val="auto"/>
          <w:vertAlign w:val="superscript"/>
        </w:rPr>
      </w:pPr>
    </w:p>
    <w:p>
      <w:pPr>
        <w:ind w:left="600" w:right="240" w:hanging="203"/>
        <w:spacing w:after="0" w:line="206" w:lineRule="auto"/>
        <w:tabs>
          <w:tab w:leader="none" w:pos="601" w:val="left"/>
        </w:tabs>
        <w:numPr>
          <w:ilvl w:val="1"/>
          <w:numId w:val="228"/>
        </w:numPr>
        <w:rPr>
          <w:rFonts w:ascii="Arial" w:cs="Arial" w:eastAsia="Arial" w:hAnsi="Arial"/>
          <w:sz w:val="19"/>
          <w:szCs w:val="19"/>
          <w:color w:val="auto"/>
          <w:vertAlign w:val="superscript"/>
        </w:rPr>
      </w:pPr>
      <w:r>
        <w:rPr>
          <w:rFonts w:ascii="Arial" w:cs="Arial" w:eastAsia="Arial" w:hAnsi="Arial"/>
          <w:sz w:val="13"/>
          <w:szCs w:val="13"/>
          <w:color w:val="auto"/>
        </w:rPr>
        <w:t>Security: annual employee compensation, including salary, benefits and bonus, allocated between personal and business based on time; direct costs of third-party vendors and equipment; and ancillary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292100</wp:posOffset>
            </wp:positionV>
            <wp:extent cx="651510" cy="8572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912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21"/>
          <w:szCs w:val="21"/>
          <w:color w:val="auto"/>
          <w:vertAlign w:val="superscript"/>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left="200" w:hanging="192"/>
        <w:spacing w:after="0"/>
        <w:tabs>
          <w:tab w:leader="none" w:pos="200" w:val="left"/>
        </w:tabs>
        <w:numPr>
          <w:ilvl w:val="0"/>
          <w:numId w:val="229"/>
        </w:numPr>
        <w:rPr>
          <w:rFonts w:ascii="Arial" w:cs="Arial" w:eastAsia="Arial" w:hAnsi="Arial"/>
          <w:sz w:val="19"/>
          <w:szCs w:val="19"/>
          <w:color w:val="auto"/>
          <w:vertAlign w:val="superscript"/>
        </w:rPr>
      </w:pPr>
      <w:r>
        <w:rPr>
          <w:rFonts w:ascii="Arial" w:cs="Arial" w:eastAsia="Arial" w:hAnsi="Arial"/>
          <w:sz w:val="13"/>
          <w:szCs w:val="13"/>
          <w:color w:val="auto"/>
        </w:rPr>
        <w:t>Mr. Rohrbaugh was not a NEO in 2023. Mr. Rohrbaugh's 2024 and 2025 salary of $1,000,000 includes a fee of £150,000 for his service on the J.P. Morgan Securities plc Board.</w:t>
      </w:r>
    </w:p>
    <w:p>
      <w:pPr>
        <w:spacing w:after="0" w:line="13" w:lineRule="exact"/>
        <w:rPr>
          <w:sz w:val="20"/>
          <w:szCs w:val="20"/>
          <w:color w:val="auto"/>
        </w:rPr>
      </w:pPr>
    </w:p>
    <w:p>
      <w:pPr>
        <w:ind w:left="200" w:right="120" w:hanging="192"/>
        <w:spacing w:after="0" w:line="194" w:lineRule="auto"/>
        <w:tabs>
          <w:tab w:leader="none" w:pos="193" w:val="left"/>
        </w:tabs>
        <w:numPr>
          <w:ilvl w:val="0"/>
          <w:numId w:val="230"/>
        </w:numPr>
        <w:rPr>
          <w:rFonts w:ascii="Arial" w:cs="Arial" w:eastAsia="Arial" w:hAnsi="Arial"/>
          <w:sz w:val="19"/>
          <w:szCs w:val="19"/>
          <w:color w:val="auto"/>
          <w:vertAlign w:val="superscript"/>
        </w:rPr>
      </w:pPr>
      <w:r>
        <w:rPr>
          <w:rFonts w:ascii="Arial" w:cs="Arial" w:eastAsia="Arial" w:hAnsi="Arial"/>
          <w:sz w:val="13"/>
          <w:szCs w:val="13"/>
          <w:color w:val="auto"/>
        </w:rPr>
        <w:t>The "All other compensation" amount for Mr. Rohrbaugh includes $8,676 in tax gross-up payments made on behalf of Mr. Rohrbaugh in connection with tax compliance related to his prior relocation and his current director role on the J.P. Morgan Securities plc Board, at the Firm's request.</w:t>
      </w:r>
    </w:p>
    <w:p>
      <w:pPr>
        <w:ind w:left="200" w:hanging="192"/>
        <w:spacing w:after="0" w:line="182" w:lineRule="auto"/>
        <w:tabs>
          <w:tab w:leader="none" w:pos="200" w:val="left"/>
        </w:tabs>
        <w:numPr>
          <w:ilvl w:val="0"/>
          <w:numId w:val="231"/>
        </w:numPr>
        <w:rPr>
          <w:rFonts w:ascii="Arial" w:cs="Arial" w:eastAsia="Arial" w:hAnsi="Arial"/>
          <w:sz w:val="17"/>
          <w:szCs w:val="17"/>
          <w:color w:val="auto"/>
          <w:vertAlign w:val="superscript"/>
        </w:rPr>
      </w:pPr>
      <w:r>
        <w:rPr>
          <w:rFonts w:ascii="Arial" w:cs="Arial" w:eastAsia="Arial" w:hAnsi="Arial"/>
          <w:sz w:val="11"/>
          <w:szCs w:val="11"/>
          <w:color w:val="auto"/>
        </w:rPr>
        <w:t>Mr. Petno was not a NEO in 2023 or 2024.</w:t>
      </w:r>
    </w:p>
    <w:p>
      <w:pPr>
        <w:spacing w:after="0" w:line="13" w:lineRule="exact"/>
        <w:rPr>
          <w:sz w:val="20"/>
          <w:szCs w:val="20"/>
          <w:color w:val="auto"/>
        </w:rPr>
      </w:pPr>
    </w:p>
    <w:p>
      <w:pPr>
        <w:ind w:left="200" w:right="460" w:hanging="192"/>
        <w:spacing w:after="0" w:line="201" w:lineRule="auto"/>
        <w:tabs>
          <w:tab w:leader="none" w:pos="204" w:val="left"/>
        </w:tabs>
        <w:numPr>
          <w:ilvl w:val="0"/>
          <w:numId w:val="232"/>
        </w:numPr>
        <w:rPr>
          <w:rFonts w:ascii="Arial" w:cs="Arial" w:eastAsia="Arial" w:hAnsi="Arial"/>
          <w:sz w:val="19"/>
          <w:szCs w:val="19"/>
          <w:color w:val="auto"/>
          <w:vertAlign w:val="superscript"/>
        </w:rPr>
      </w:pPr>
      <w:r>
        <w:rPr>
          <w:rFonts w:ascii="Arial" w:cs="Arial" w:eastAsia="Arial" w:hAnsi="Arial"/>
          <w:sz w:val="13"/>
          <w:szCs w:val="13"/>
          <w:color w:val="auto"/>
        </w:rPr>
        <w:t>The “All other compensation” amount for Mr. Petno includes $31,825 for filing fee and related professional services fees relating to Mr. Petno’s compliance with the Hart-Scott-Rodino Antitrust Improvements Act of 1976.</w:t>
      </w:r>
    </w:p>
    <w:p>
      <w:pPr>
        <w:ind w:left="200" w:right="280" w:hanging="192"/>
        <w:spacing w:after="0" w:line="197" w:lineRule="auto"/>
        <w:tabs>
          <w:tab w:leader="none" w:pos="224" w:val="left"/>
        </w:tabs>
        <w:numPr>
          <w:ilvl w:val="0"/>
          <w:numId w:val="232"/>
        </w:numPr>
        <w:rPr>
          <w:rFonts w:ascii="Arial" w:cs="Arial" w:eastAsia="Arial" w:hAnsi="Arial"/>
          <w:sz w:val="19"/>
          <w:szCs w:val="19"/>
          <w:color w:val="auto"/>
          <w:vertAlign w:val="superscript"/>
        </w:rPr>
      </w:pPr>
      <w:r>
        <w:rPr>
          <w:rFonts w:ascii="Arial" w:cs="Arial" w:eastAsia="Arial" w:hAnsi="Arial"/>
          <w:sz w:val="13"/>
          <w:szCs w:val="13"/>
          <w:color w:val="auto"/>
        </w:rPr>
        <w:t>Mr. Pinto served as President &amp; COO of the Firm until June 2025, after which he ceased to be an Executive Officer, and is now serving as a Vice Chair through December 2026. Mr. Pinto’s 2023 salary of $1,500,000 includes a fee of £96,164 for his service on the J.P. Morgan Securities plc Board.</w:t>
      </w:r>
    </w:p>
    <w:p>
      <w:pPr>
        <w:ind w:left="200" w:hanging="192"/>
        <w:spacing w:after="0" w:line="187" w:lineRule="auto"/>
        <w:tabs>
          <w:tab w:leader="none" w:pos="200" w:val="left"/>
        </w:tabs>
        <w:numPr>
          <w:ilvl w:val="0"/>
          <w:numId w:val="232"/>
        </w:numPr>
        <w:rPr>
          <w:rFonts w:ascii="Arial" w:cs="Arial" w:eastAsia="Arial" w:hAnsi="Arial"/>
          <w:sz w:val="18"/>
          <w:szCs w:val="18"/>
          <w:color w:val="auto"/>
          <w:vertAlign w:val="superscript"/>
        </w:rPr>
      </w:pPr>
      <w:r>
        <w:rPr>
          <w:rFonts w:ascii="Arial" w:cs="Arial" w:eastAsia="Arial" w:hAnsi="Arial"/>
          <w:sz w:val="12"/>
          <w:szCs w:val="12"/>
          <w:color w:val="auto"/>
        </w:rPr>
        <w:t>The “All other compensation” amount for Mr. Pinto includes $105,679 in tax compliance assistance for business travel and relocation at the Firm’s request.</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color w:val="auto"/>
        </w:rPr>
        <w:t>II. 2025 Grants of plan-based awards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grants of plan-based awards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made in 2025. No awards of options or SARs were granted to NEOs in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80" w:type="dxa"/>
            <w:vAlign w:val="bottom"/>
            <w:shd w:val="clear" w:color="auto" w:fill="F4EFE7"/>
          </w:tcPr>
          <w:p>
            <w:pPr>
              <w:spacing w:after="0"/>
              <w:rPr>
                <w:sz w:val="16"/>
                <w:szCs w:val="16"/>
                <w:color w:val="auto"/>
              </w:rPr>
            </w:pPr>
          </w:p>
        </w:tc>
        <w:tc>
          <w:tcPr>
            <w:tcW w:w="1240" w:type="dxa"/>
            <w:vAlign w:val="bottom"/>
            <w:shd w:val="clear" w:color="auto" w:fill="F4EFE7"/>
          </w:tcPr>
          <w:p>
            <w:pPr>
              <w:spacing w:after="0"/>
              <w:rPr>
                <w:sz w:val="16"/>
                <w:szCs w:val="16"/>
                <w:color w:val="auto"/>
              </w:rPr>
            </w:pPr>
          </w:p>
        </w:tc>
        <w:tc>
          <w:tcPr>
            <w:tcW w:w="3540" w:type="dxa"/>
            <w:vAlign w:val="bottom"/>
            <w:gridSpan w:val="4"/>
            <w:shd w:val="clear" w:color="auto" w:fill="F4EFE7"/>
          </w:tcPr>
          <w:p>
            <w:pPr>
              <w:ind w:left="400"/>
              <w:spacing w:after="0"/>
              <w:rPr>
                <w:sz w:val="20"/>
                <w:szCs w:val="20"/>
                <w:color w:val="auto"/>
              </w:rPr>
            </w:pPr>
            <w:r>
              <w:rPr>
                <w:rFonts w:ascii="Arial" w:cs="Arial" w:eastAsia="Arial" w:hAnsi="Arial"/>
                <w:sz w:val="14"/>
                <w:szCs w:val="14"/>
                <w:b w:val="1"/>
                <w:bCs w:val="1"/>
                <w:color w:val="8F5A39"/>
              </w:rPr>
              <w:t>Estimated Future Payout Under Equity</w:t>
            </w:r>
          </w:p>
        </w:tc>
        <w:tc>
          <w:tcPr>
            <w:tcW w:w="1780" w:type="dxa"/>
            <w:vAlign w:val="bottom"/>
            <w:shd w:val="clear" w:color="auto" w:fill="F4EFE7"/>
          </w:tcPr>
          <w:p>
            <w:pPr>
              <w:jc w:val="right"/>
              <w:ind w:right="348"/>
              <w:spacing w:after="0"/>
              <w:rPr>
                <w:sz w:val="20"/>
                <w:szCs w:val="20"/>
                <w:color w:val="auto"/>
              </w:rPr>
            </w:pPr>
            <w:r>
              <w:rPr>
                <w:rFonts w:ascii="Arial" w:cs="Arial" w:eastAsia="Arial" w:hAnsi="Arial"/>
                <w:sz w:val="14"/>
                <w:szCs w:val="14"/>
                <w:b w:val="1"/>
                <w:bCs w:val="1"/>
                <w:color w:val="8F5A39"/>
              </w:rPr>
              <w:t>Stock awards</w:t>
            </w:r>
          </w:p>
        </w:tc>
        <w:tc>
          <w:tcPr>
            <w:tcW w:w="580" w:type="dxa"/>
            <w:vAlign w:val="bottom"/>
            <w:shd w:val="clear" w:color="auto" w:fill="F4EFE7"/>
          </w:tcPr>
          <w:p>
            <w:pPr>
              <w:spacing w:after="0"/>
              <w:rPr>
                <w:sz w:val="16"/>
                <w:szCs w:val="16"/>
                <w:color w:val="auto"/>
              </w:rPr>
            </w:pPr>
          </w:p>
        </w:tc>
        <w:tc>
          <w:tcPr>
            <w:tcW w:w="1020" w:type="dxa"/>
            <w:vAlign w:val="bottom"/>
            <w:shd w:val="clear" w:color="auto" w:fill="F4EFE7"/>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80" w:type="dxa"/>
            <w:vAlign w:val="bottom"/>
            <w:shd w:val="clear" w:color="auto" w:fill="F4EFE7"/>
          </w:tcPr>
          <w:p>
            <w:pPr>
              <w:spacing w:after="0"/>
              <w:rPr>
                <w:sz w:val="18"/>
                <w:szCs w:val="18"/>
                <w:color w:val="auto"/>
              </w:rPr>
            </w:pPr>
          </w:p>
        </w:tc>
        <w:tc>
          <w:tcPr>
            <w:tcW w:w="1240" w:type="dxa"/>
            <w:vAlign w:val="bottom"/>
            <w:shd w:val="clear" w:color="auto" w:fill="F4EFE7"/>
          </w:tcPr>
          <w:p>
            <w:pPr>
              <w:spacing w:after="0"/>
              <w:rPr>
                <w:sz w:val="18"/>
                <w:szCs w:val="18"/>
                <w:color w:val="auto"/>
              </w:rPr>
            </w:pPr>
          </w:p>
        </w:tc>
        <w:tc>
          <w:tcPr>
            <w:tcW w:w="3540" w:type="dxa"/>
            <w:vAlign w:val="bottom"/>
            <w:gridSpan w:val="4"/>
            <w:shd w:val="clear" w:color="auto" w:fill="F4EFE7"/>
          </w:tcPr>
          <w:p>
            <w:pPr>
              <w:ind w:left="680"/>
              <w:spacing w:after="0"/>
              <w:rPr>
                <w:sz w:val="20"/>
                <w:szCs w:val="20"/>
                <w:color w:val="auto"/>
              </w:rPr>
            </w:pPr>
            <w:r>
              <w:rPr>
                <w:rFonts w:ascii="Arial" w:cs="Arial" w:eastAsia="Arial" w:hAnsi="Arial"/>
                <w:sz w:val="14"/>
                <w:szCs w:val="14"/>
                <w:b w:val="1"/>
                <w:bCs w:val="1"/>
                <w:color w:val="8F5A39"/>
              </w:rPr>
              <w:t>Incentive Plan Awards (PSUs)</w:t>
            </w:r>
            <w:r>
              <w:rPr>
                <w:rFonts w:ascii="Arial" w:cs="Arial" w:eastAsia="Arial" w:hAnsi="Arial"/>
                <w:sz w:val="18"/>
                <w:szCs w:val="18"/>
                <w:b w:val="1"/>
                <w:bCs w:val="1"/>
                <w:color w:val="8F5A39"/>
                <w:vertAlign w:val="superscript"/>
              </w:rPr>
              <w:t>2</w:t>
            </w:r>
          </w:p>
        </w:tc>
        <w:tc>
          <w:tcPr>
            <w:tcW w:w="1780" w:type="dxa"/>
            <w:vAlign w:val="bottom"/>
            <w:shd w:val="clear" w:color="auto" w:fill="F4EFE7"/>
          </w:tcPr>
          <w:p>
            <w:pPr>
              <w:jc w:val="right"/>
              <w:ind w:right="548"/>
              <w:spacing w:after="0"/>
              <w:rPr>
                <w:sz w:val="20"/>
                <w:szCs w:val="20"/>
                <w:color w:val="auto"/>
              </w:rPr>
            </w:pPr>
            <w:r>
              <w:rPr>
                <w:rFonts w:ascii="Arial" w:cs="Arial" w:eastAsia="Arial" w:hAnsi="Arial"/>
                <w:sz w:val="14"/>
                <w:szCs w:val="14"/>
                <w:b w:val="1"/>
                <w:bCs w:val="1"/>
                <w:color w:val="8F5A39"/>
              </w:rPr>
              <w:t>(RSUs)</w:t>
            </w:r>
            <w:r>
              <w:rPr>
                <w:rFonts w:ascii="Arial" w:cs="Arial" w:eastAsia="Arial" w:hAnsi="Arial"/>
                <w:sz w:val="18"/>
                <w:szCs w:val="18"/>
                <w:b w:val="1"/>
                <w:bCs w:val="1"/>
                <w:color w:val="8F5A39"/>
                <w:vertAlign w:val="superscript"/>
              </w:rPr>
              <w:t>3</w:t>
            </w:r>
          </w:p>
        </w:tc>
        <w:tc>
          <w:tcPr>
            <w:tcW w:w="580" w:type="dxa"/>
            <w:vAlign w:val="bottom"/>
            <w:shd w:val="clear" w:color="auto" w:fill="F4EFE7"/>
          </w:tcPr>
          <w:p>
            <w:pPr>
              <w:spacing w:after="0"/>
              <w:rPr>
                <w:sz w:val="18"/>
                <w:szCs w:val="18"/>
                <w:color w:val="auto"/>
              </w:rPr>
            </w:pPr>
          </w:p>
        </w:tc>
        <w:tc>
          <w:tcPr>
            <w:tcW w:w="1020" w:type="dxa"/>
            <w:vAlign w:val="bottom"/>
            <w:shd w:val="clear" w:color="auto" w:fill="F4EFE7"/>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080" w:type="dxa"/>
            <w:vAlign w:val="bottom"/>
            <w:tcBorders>
              <w:top w:val="single" w:sz="8" w:color="F4EFE7"/>
            </w:tcBorders>
            <w:shd w:val="clear" w:color="auto" w:fill="F4EFE7"/>
          </w:tcPr>
          <w:p>
            <w:pPr>
              <w:spacing w:after="0"/>
              <w:rPr>
                <w:sz w:val="16"/>
                <w:szCs w:val="16"/>
                <w:color w:val="auto"/>
              </w:rPr>
            </w:pPr>
          </w:p>
        </w:tc>
        <w:tc>
          <w:tcPr>
            <w:tcW w:w="1240" w:type="dxa"/>
            <w:vAlign w:val="bottom"/>
            <w:tcBorders>
              <w:top w:val="single" w:sz="8" w:color="F4EFE7"/>
            </w:tcBorders>
            <w:shd w:val="clear" w:color="auto" w:fill="F4EFE7"/>
          </w:tcPr>
          <w:p>
            <w:pPr>
              <w:spacing w:after="0"/>
              <w:rPr>
                <w:sz w:val="16"/>
                <w:szCs w:val="16"/>
                <w:color w:val="auto"/>
              </w:rPr>
            </w:pPr>
          </w:p>
        </w:tc>
        <w:tc>
          <w:tcPr>
            <w:tcW w:w="1420" w:type="dxa"/>
            <w:vAlign w:val="bottom"/>
            <w:tcBorders>
              <w:top w:val="single" w:sz="8" w:color="auto"/>
            </w:tcBorders>
            <w:shd w:val="clear" w:color="auto" w:fill="F4EFE7"/>
          </w:tcPr>
          <w:p>
            <w:pPr>
              <w:spacing w:after="0"/>
              <w:rPr>
                <w:sz w:val="16"/>
                <w:szCs w:val="16"/>
                <w:color w:val="auto"/>
              </w:rPr>
            </w:pPr>
          </w:p>
        </w:tc>
        <w:tc>
          <w:tcPr>
            <w:tcW w:w="1080" w:type="dxa"/>
            <w:vAlign w:val="bottom"/>
            <w:tcBorders>
              <w:top w:val="single" w:sz="8" w:color="auto"/>
            </w:tcBorders>
            <w:shd w:val="clear" w:color="auto" w:fill="F4EFE7"/>
          </w:tcPr>
          <w:p>
            <w:pPr>
              <w:spacing w:after="0"/>
              <w:rPr>
                <w:sz w:val="16"/>
                <w:szCs w:val="16"/>
                <w:color w:val="auto"/>
              </w:rPr>
            </w:pPr>
          </w:p>
        </w:tc>
        <w:tc>
          <w:tcPr>
            <w:tcW w:w="940" w:type="dxa"/>
            <w:vAlign w:val="bottom"/>
            <w:tcBorders>
              <w:top w:val="single" w:sz="8" w:color="auto"/>
            </w:tcBorders>
            <w:shd w:val="clear" w:color="auto" w:fill="F4EFE7"/>
          </w:tcPr>
          <w:p>
            <w:pPr>
              <w:spacing w:after="0"/>
              <w:rPr>
                <w:sz w:val="16"/>
                <w:szCs w:val="16"/>
                <w:color w:val="auto"/>
              </w:rPr>
            </w:pPr>
          </w:p>
        </w:tc>
        <w:tc>
          <w:tcPr>
            <w:tcW w:w="100" w:type="dxa"/>
            <w:vAlign w:val="bottom"/>
            <w:tcBorders>
              <w:top w:val="single" w:sz="8" w:color="F4EFE7"/>
            </w:tcBorders>
            <w:shd w:val="clear" w:color="auto" w:fill="F4EFE7"/>
          </w:tcPr>
          <w:p>
            <w:pPr>
              <w:spacing w:after="0"/>
              <w:rPr>
                <w:sz w:val="16"/>
                <w:szCs w:val="16"/>
                <w:color w:val="auto"/>
              </w:rPr>
            </w:pPr>
          </w:p>
        </w:tc>
        <w:tc>
          <w:tcPr>
            <w:tcW w:w="1780" w:type="dxa"/>
            <w:vAlign w:val="bottom"/>
            <w:tcBorders>
              <w:top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Number of shares</w:t>
            </w:r>
          </w:p>
        </w:tc>
        <w:tc>
          <w:tcPr>
            <w:tcW w:w="580" w:type="dxa"/>
            <w:vAlign w:val="bottom"/>
            <w:tcBorders>
              <w:top w:val="single" w:sz="8" w:color="F4EFE7"/>
            </w:tcBorders>
            <w:shd w:val="clear" w:color="auto" w:fill="F4EFE7"/>
          </w:tcPr>
          <w:p>
            <w:pPr>
              <w:spacing w:after="0"/>
              <w:rPr>
                <w:sz w:val="16"/>
                <w:szCs w:val="16"/>
                <w:color w:val="auto"/>
              </w:rPr>
            </w:pPr>
          </w:p>
        </w:tc>
        <w:tc>
          <w:tcPr>
            <w:tcW w:w="1020" w:type="dxa"/>
            <w:vAlign w:val="bottom"/>
            <w:tcBorders>
              <w:top w:val="single" w:sz="8" w:color="F4EFE7"/>
            </w:tcBorders>
            <w:shd w:val="clear" w:color="auto" w:fill="F4EFE7"/>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F4EFE7"/>
          </w:tcPr>
          <w:p>
            <w:pPr>
              <w:spacing w:after="0"/>
              <w:rPr>
                <w:sz w:val="15"/>
                <w:szCs w:val="15"/>
                <w:color w:val="auto"/>
              </w:rPr>
            </w:pPr>
          </w:p>
        </w:tc>
        <w:tc>
          <w:tcPr>
            <w:tcW w:w="1240" w:type="dxa"/>
            <w:vAlign w:val="bottom"/>
            <w:shd w:val="clear" w:color="auto" w:fill="F4EFE7"/>
          </w:tcPr>
          <w:p>
            <w:pPr>
              <w:spacing w:after="0"/>
              <w:rPr>
                <w:sz w:val="15"/>
                <w:szCs w:val="15"/>
                <w:color w:val="auto"/>
              </w:rPr>
            </w:pPr>
          </w:p>
        </w:tc>
        <w:tc>
          <w:tcPr>
            <w:tcW w:w="1420" w:type="dxa"/>
            <w:vAlign w:val="bottom"/>
            <w:vMerge w:val="restart"/>
            <w:shd w:val="clear" w:color="auto" w:fill="F4EFE7"/>
          </w:tcPr>
          <w:p>
            <w:pPr>
              <w:ind w:left="480"/>
              <w:spacing w:after="0"/>
              <w:rPr>
                <w:sz w:val="20"/>
                <w:szCs w:val="20"/>
                <w:color w:val="auto"/>
              </w:rPr>
            </w:pPr>
            <w:r>
              <w:rPr>
                <w:rFonts w:ascii="Arial" w:cs="Arial" w:eastAsia="Arial" w:hAnsi="Arial"/>
                <w:sz w:val="14"/>
                <w:szCs w:val="14"/>
                <w:b w:val="1"/>
                <w:bCs w:val="1"/>
                <w:color w:val="8F5A39"/>
              </w:rPr>
              <w:t>Threshold</w:t>
            </w:r>
          </w:p>
        </w:tc>
        <w:tc>
          <w:tcPr>
            <w:tcW w:w="1080" w:type="dxa"/>
            <w:vAlign w:val="bottom"/>
            <w:vMerge w:val="restart"/>
            <w:shd w:val="clear" w:color="auto" w:fill="F4EFE7"/>
          </w:tcPr>
          <w:p>
            <w:pPr>
              <w:jc w:val="right"/>
              <w:ind w:right="188"/>
              <w:spacing w:after="0"/>
              <w:rPr>
                <w:sz w:val="20"/>
                <w:szCs w:val="20"/>
                <w:color w:val="auto"/>
              </w:rPr>
            </w:pPr>
            <w:r>
              <w:rPr>
                <w:rFonts w:ascii="Arial" w:cs="Arial" w:eastAsia="Arial" w:hAnsi="Arial"/>
                <w:sz w:val="14"/>
                <w:szCs w:val="14"/>
                <w:b w:val="1"/>
                <w:bCs w:val="1"/>
                <w:color w:val="8F5A39"/>
              </w:rPr>
              <w:t>Target</w:t>
            </w:r>
          </w:p>
        </w:tc>
        <w:tc>
          <w:tcPr>
            <w:tcW w:w="1040" w:type="dxa"/>
            <w:vAlign w:val="bottom"/>
            <w:gridSpan w:val="2"/>
            <w:vMerge w:val="restart"/>
            <w:shd w:val="clear" w:color="auto" w:fill="F4EFE7"/>
          </w:tcPr>
          <w:p>
            <w:pPr>
              <w:jc w:val="right"/>
              <w:ind w:right="120"/>
              <w:spacing w:after="0"/>
              <w:rPr>
                <w:sz w:val="20"/>
                <w:szCs w:val="20"/>
                <w:color w:val="auto"/>
              </w:rPr>
            </w:pPr>
            <w:r>
              <w:rPr>
                <w:rFonts w:ascii="Arial" w:cs="Arial" w:eastAsia="Arial" w:hAnsi="Arial"/>
                <w:sz w:val="14"/>
                <w:szCs w:val="14"/>
                <w:b w:val="1"/>
                <w:bCs w:val="1"/>
                <w:color w:val="8F5A39"/>
              </w:rPr>
              <w:t>Maximum</w:t>
            </w:r>
          </w:p>
        </w:tc>
        <w:tc>
          <w:tcPr>
            <w:tcW w:w="178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of restricted</w:t>
            </w:r>
          </w:p>
        </w:tc>
        <w:tc>
          <w:tcPr>
            <w:tcW w:w="580" w:type="dxa"/>
            <w:vAlign w:val="bottom"/>
            <w:shd w:val="clear" w:color="auto" w:fill="F4EFE7"/>
          </w:tcPr>
          <w:p>
            <w:pPr>
              <w:spacing w:after="0"/>
              <w:rPr>
                <w:sz w:val="15"/>
                <w:szCs w:val="15"/>
                <w:color w:val="auto"/>
              </w:rPr>
            </w:pPr>
          </w:p>
        </w:tc>
        <w:tc>
          <w:tcPr>
            <w:tcW w:w="102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Grant date</w:t>
            </w:r>
          </w:p>
        </w:tc>
        <w:tc>
          <w:tcPr>
            <w:tcW w:w="0" w:type="dxa"/>
            <w:vAlign w:val="bottom"/>
          </w:tcPr>
          <w:p>
            <w:pPr>
              <w:spacing w:after="0"/>
              <w:rPr>
                <w:sz w:val="1"/>
                <w:szCs w:val="1"/>
                <w:color w:val="auto"/>
              </w:rPr>
            </w:pPr>
          </w:p>
        </w:tc>
      </w:tr>
      <w:tr>
        <w:trPr>
          <w:trHeight w:val="162"/>
        </w:trPr>
        <w:tc>
          <w:tcPr>
            <w:tcW w:w="3080" w:type="dxa"/>
            <w:vAlign w:val="bottom"/>
            <w:shd w:val="clear" w:color="auto" w:fill="F4EFE7"/>
          </w:tcPr>
          <w:p>
            <w:pPr>
              <w:spacing w:after="0"/>
              <w:rPr>
                <w:sz w:val="14"/>
                <w:szCs w:val="14"/>
                <w:color w:val="auto"/>
              </w:rPr>
            </w:pPr>
          </w:p>
        </w:tc>
        <w:tc>
          <w:tcPr>
            <w:tcW w:w="1240" w:type="dxa"/>
            <w:vAlign w:val="bottom"/>
            <w:shd w:val="clear" w:color="auto" w:fill="F4EFE7"/>
          </w:tcPr>
          <w:p>
            <w:pPr>
              <w:spacing w:after="0"/>
              <w:rPr>
                <w:sz w:val="14"/>
                <w:szCs w:val="14"/>
                <w:color w:val="auto"/>
              </w:rPr>
            </w:pPr>
          </w:p>
        </w:tc>
        <w:tc>
          <w:tcPr>
            <w:tcW w:w="1420" w:type="dxa"/>
            <w:vAlign w:val="bottom"/>
            <w:vMerge w:val="continue"/>
            <w:shd w:val="clear" w:color="auto" w:fill="F4EFE7"/>
          </w:tcPr>
          <w:p>
            <w:pPr>
              <w:spacing w:after="0"/>
              <w:rPr>
                <w:sz w:val="14"/>
                <w:szCs w:val="14"/>
                <w:color w:val="auto"/>
              </w:rPr>
            </w:pPr>
          </w:p>
        </w:tc>
        <w:tc>
          <w:tcPr>
            <w:tcW w:w="1080" w:type="dxa"/>
            <w:vAlign w:val="bottom"/>
            <w:vMerge w:val="continue"/>
            <w:shd w:val="clear" w:color="auto" w:fill="F4EFE7"/>
          </w:tcPr>
          <w:p>
            <w:pPr>
              <w:spacing w:after="0"/>
              <w:rPr>
                <w:sz w:val="14"/>
                <w:szCs w:val="14"/>
                <w:color w:val="auto"/>
              </w:rPr>
            </w:pPr>
          </w:p>
        </w:tc>
        <w:tc>
          <w:tcPr>
            <w:tcW w:w="1040" w:type="dxa"/>
            <w:vAlign w:val="bottom"/>
            <w:gridSpan w:val="2"/>
            <w:vMerge w:val="continue"/>
            <w:shd w:val="clear" w:color="auto" w:fill="F4EFE7"/>
          </w:tcPr>
          <w:p>
            <w:pPr>
              <w:spacing w:after="0"/>
              <w:rPr>
                <w:sz w:val="14"/>
                <w:szCs w:val="14"/>
                <w:color w:val="auto"/>
              </w:rPr>
            </w:pPr>
          </w:p>
        </w:tc>
        <w:tc>
          <w:tcPr>
            <w:tcW w:w="178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stock or units</w:t>
            </w:r>
          </w:p>
        </w:tc>
        <w:tc>
          <w:tcPr>
            <w:tcW w:w="580" w:type="dxa"/>
            <w:vAlign w:val="bottom"/>
            <w:shd w:val="clear" w:color="auto" w:fill="F4EFE7"/>
          </w:tcPr>
          <w:p>
            <w:pPr>
              <w:spacing w:after="0"/>
              <w:rPr>
                <w:sz w:val="14"/>
                <w:szCs w:val="14"/>
                <w:color w:val="auto"/>
              </w:rPr>
            </w:pPr>
          </w:p>
        </w:tc>
        <w:tc>
          <w:tcPr>
            <w:tcW w:w="102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fair value</w:t>
            </w:r>
          </w:p>
        </w:tc>
        <w:tc>
          <w:tcPr>
            <w:tcW w:w="0" w:type="dxa"/>
            <w:vAlign w:val="bottom"/>
          </w:tcPr>
          <w:p>
            <w:pPr>
              <w:spacing w:after="0"/>
              <w:rPr>
                <w:sz w:val="1"/>
                <w:szCs w:val="1"/>
                <w:color w:val="auto"/>
              </w:rPr>
            </w:pPr>
          </w:p>
        </w:tc>
      </w:tr>
      <w:tr>
        <w:trPr>
          <w:trHeight w:val="212"/>
        </w:trPr>
        <w:tc>
          <w:tcPr>
            <w:tcW w:w="308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Name</w:t>
            </w:r>
          </w:p>
        </w:tc>
        <w:tc>
          <w:tcPr>
            <w:tcW w:w="1240" w:type="dxa"/>
            <w:vAlign w:val="bottom"/>
            <w:tcBorders>
              <w:bottom w:val="single" w:sz="8" w:color="auto"/>
            </w:tcBorders>
            <w:shd w:val="clear" w:color="auto" w:fill="F4EFE7"/>
          </w:tcPr>
          <w:p>
            <w:pPr>
              <w:jc w:val="center"/>
              <w:ind w:right="48"/>
              <w:spacing w:after="0"/>
              <w:rPr>
                <w:sz w:val="20"/>
                <w:szCs w:val="20"/>
                <w:color w:val="auto"/>
              </w:rPr>
            </w:pPr>
            <w:r>
              <w:rPr>
                <w:rFonts w:ascii="Arial" w:cs="Arial" w:eastAsia="Arial" w:hAnsi="Arial"/>
                <w:sz w:val="14"/>
                <w:szCs w:val="14"/>
                <w:b w:val="1"/>
                <w:bCs w:val="1"/>
                <w:color w:val="8F5A39"/>
              </w:rPr>
              <w:t>Grant date</w:t>
            </w:r>
          </w:p>
        </w:tc>
        <w:tc>
          <w:tcPr>
            <w:tcW w:w="1420" w:type="dxa"/>
            <w:vAlign w:val="bottom"/>
            <w:tcBorders>
              <w:bottom w:val="single" w:sz="8" w:color="auto"/>
            </w:tcBorders>
            <w:shd w:val="clear" w:color="auto" w:fill="F4EFE7"/>
          </w:tcPr>
          <w:p>
            <w:pPr>
              <w:ind w:left="1000"/>
              <w:spacing w:after="0"/>
              <w:rPr>
                <w:sz w:val="20"/>
                <w:szCs w:val="20"/>
                <w:color w:val="auto"/>
              </w:rPr>
            </w:pPr>
            <w:r>
              <w:rPr>
                <w:rFonts w:ascii="Arial" w:cs="Arial" w:eastAsia="Arial" w:hAnsi="Arial"/>
                <w:sz w:val="14"/>
                <w:szCs w:val="14"/>
                <w:b w:val="1"/>
                <w:bCs w:val="1"/>
                <w:color w:val="8F5A39"/>
              </w:rPr>
              <w:t>(#)</w:t>
            </w:r>
          </w:p>
        </w:tc>
        <w:tc>
          <w:tcPr>
            <w:tcW w:w="1080" w:type="dxa"/>
            <w:vAlign w:val="bottom"/>
            <w:tcBorders>
              <w:bottom w:val="single" w:sz="8" w:color="auto"/>
            </w:tcBorders>
            <w:shd w:val="clear" w:color="auto" w:fill="F4EFE7"/>
          </w:tcPr>
          <w:p>
            <w:pPr>
              <w:jc w:val="right"/>
              <w:ind w:right="188"/>
              <w:spacing w:after="0"/>
              <w:rPr>
                <w:sz w:val="20"/>
                <w:szCs w:val="20"/>
                <w:color w:val="auto"/>
              </w:rPr>
            </w:pPr>
            <w:r>
              <w:rPr>
                <w:rFonts w:ascii="Arial" w:cs="Arial" w:eastAsia="Arial" w:hAnsi="Arial"/>
                <w:sz w:val="14"/>
                <w:szCs w:val="14"/>
                <w:b w:val="1"/>
                <w:bCs w:val="1"/>
                <w:color w:val="8F5A39"/>
              </w:rPr>
              <w:t>(#)</w:t>
            </w:r>
          </w:p>
        </w:tc>
        <w:tc>
          <w:tcPr>
            <w:tcW w:w="94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w:t>
            </w:r>
          </w:p>
        </w:tc>
        <w:tc>
          <w:tcPr>
            <w:tcW w:w="100" w:type="dxa"/>
            <w:vAlign w:val="bottom"/>
            <w:tcBorders>
              <w:bottom w:val="single" w:sz="8" w:color="auto"/>
            </w:tcBorders>
            <w:shd w:val="clear" w:color="auto" w:fill="F4EFE7"/>
          </w:tcPr>
          <w:p>
            <w:pPr>
              <w:spacing w:after="0"/>
              <w:rPr>
                <w:sz w:val="18"/>
                <w:szCs w:val="18"/>
                <w:color w:val="auto"/>
              </w:rPr>
            </w:pPr>
          </w:p>
        </w:tc>
        <w:tc>
          <w:tcPr>
            <w:tcW w:w="178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w:t>
            </w:r>
          </w:p>
        </w:tc>
        <w:tc>
          <w:tcPr>
            <w:tcW w:w="580" w:type="dxa"/>
            <w:vAlign w:val="bottom"/>
            <w:tcBorders>
              <w:bottom w:val="single" w:sz="8" w:color="auto"/>
            </w:tcBorders>
            <w:shd w:val="clear" w:color="auto" w:fill="F4EFE7"/>
          </w:tcPr>
          <w:p>
            <w:pPr>
              <w:spacing w:after="0"/>
              <w:rPr>
                <w:sz w:val="18"/>
                <w:szCs w:val="18"/>
                <w:color w:val="auto"/>
              </w:rPr>
            </w:pPr>
          </w:p>
        </w:tc>
        <w:tc>
          <w:tcPr>
            <w:tcW w:w="102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w:t>
            </w:r>
            <w:r>
              <w:rPr>
                <w:rFonts w:ascii="Arial" w:cs="Arial" w:eastAsia="Arial" w:hAnsi="Arial"/>
                <w:sz w:val="18"/>
                <w:szCs w:val="18"/>
                <w:b w:val="1"/>
                <w:bCs w:val="1"/>
                <w:color w:val="8F5A39"/>
                <w:vertAlign w:val="superscript"/>
              </w:rPr>
              <w:t>4</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James Dimon</w:t>
            </w:r>
          </w:p>
        </w:tc>
        <w:tc>
          <w:tcPr>
            <w:tcW w:w="1240" w:type="dxa"/>
            <w:vAlign w:val="bottom"/>
            <w:tcBorders>
              <w:bottom w:val="single" w:sz="8" w:color="B2B2B2"/>
            </w:tcBorders>
          </w:tcPr>
          <w:p>
            <w:pPr>
              <w:jc w:val="center"/>
              <w:ind w:right="48"/>
              <w:spacing w:after="0"/>
              <w:rPr>
                <w:sz w:val="20"/>
                <w:szCs w:val="20"/>
                <w:color w:val="auto"/>
              </w:rPr>
            </w:pPr>
            <w:r>
              <w:rPr>
                <w:rFonts w:ascii="Arial" w:cs="Arial" w:eastAsia="Arial" w:hAnsi="Arial"/>
                <w:sz w:val="14"/>
                <w:szCs w:val="14"/>
                <w:color w:val="auto"/>
              </w:rPr>
              <w:t>1/21/2025</w:t>
            </w:r>
          </w:p>
        </w:tc>
        <w:tc>
          <w:tcPr>
            <w:tcW w:w="1420" w:type="dxa"/>
            <w:vAlign w:val="bottom"/>
            <w:tcBorders>
              <w:bottom w:val="single" w:sz="8" w:color="B2B2B2"/>
            </w:tcBorders>
          </w:tcPr>
          <w:p>
            <w:pPr>
              <w:ind w:left="9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2B2B2"/>
            </w:tcBorders>
          </w:tcPr>
          <w:p>
            <w:pPr>
              <w:jc w:val="right"/>
              <w:ind w:right="248"/>
              <w:spacing w:after="0"/>
              <w:rPr>
                <w:sz w:val="20"/>
                <w:szCs w:val="20"/>
                <w:color w:val="auto"/>
              </w:rPr>
            </w:pPr>
            <w:r>
              <w:rPr>
                <w:rFonts w:ascii="Arial" w:cs="Arial" w:eastAsia="Arial" w:hAnsi="Arial"/>
                <w:sz w:val="14"/>
                <w:szCs w:val="14"/>
                <w:color w:val="auto"/>
              </w:rPr>
              <w:t>124,105</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186,157</w:t>
            </w:r>
          </w:p>
        </w:tc>
        <w:tc>
          <w:tcPr>
            <w:tcW w:w="100" w:type="dxa"/>
            <w:vAlign w:val="bottom"/>
            <w:tcBorders>
              <w:bottom w:val="single" w:sz="8" w:color="B2B2B2"/>
            </w:tcBorders>
          </w:tcPr>
          <w:p>
            <w:pPr>
              <w:spacing w:after="0"/>
              <w:rPr>
                <w:sz w:val="18"/>
                <w:szCs w:val="18"/>
                <w:color w:val="auto"/>
              </w:rPr>
            </w:pPr>
          </w:p>
        </w:tc>
        <w:tc>
          <w:tcPr>
            <w:tcW w:w="17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B2B2B2"/>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32,500,000</w:t>
            </w:r>
          </w:p>
        </w:tc>
        <w:tc>
          <w:tcPr>
            <w:tcW w:w="0" w:type="dxa"/>
            <w:vAlign w:val="bottom"/>
          </w:tcPr>
          <w:p>
            <w:pPr>
              <w:spacing w:after="0"/>
              <w:rPr>
                <w:sz w:val="1"/>
                <w:szCs w:val="1"/>
                <w:color w:val="auto"/>
              </w:rPr>
            </w:pPr>
          </w:p>
        </w:tc>
      </w:tr>
      <w:tr>
        <w:trPr>
          <w:trHeight w:val="235"/>
        </w:trPr>
        <w:tc>
          <w:tcPr>
            <w:tcW w:w="3080" w:type="dxa"/>
            <w:vAlign w:val="bottom"/>
          </w:tcPr>
          <w:p>
            <w:pPr>
              <w:ind w:left="20"/>
              <w:spacing w:after="0"/>
              <w:rPr>
                <w:sz w:val="20"/>
                <w:szCs w:val="20"/>
                <w:color w:val="auto"/>
              </w:rPr>
            </w:pPr>
            <w:r>
              <w:rPr>
                <w:rFonts w:ascii="Arial" w:cs="Arial" w:eastAsia="Arial" w:hAnsi="Arial"/>
                <w:sz w:val="14"/>
                <w:szCs w:val="14"/>
                <w:b w:val="1"/>
                <w:bCs w:val="1"/>
                <w:color w:val="8F5A39"/>
              </w:rPr>
              <w:t>Mary Callahan Erdoes</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1/21/2025</w:t>
            </w:r>
          </w:p>
        </w:tc>
        <w:tc>
          <w:tcPr>
            <w:tcW w:w="1420" w:type="dxa"/>
            <w:vAlign w:val="bottom"/>
          </w:tcPr>
          <w:p>
            <w:pPr>
              <w:ind w:left="9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31,504</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8,250,000</w:t>
            </w: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1420" w:type="dxa"/>
            <w:vAlign w:val="bottom"/>
            <w:tcBorders>
              <w:bottom w:val="single" w:sz="8" w:color="B2B2B2"/>
            </w:tcBorders>
          </w:tcPr>
          <w:p>
            <w:pPr>
              <w:spacing w:after="0" w:line="20" w:lineRule="exact"/>
              <w:rPr>
                <w:sz w:val="1"/>
                <w:szCs w:val="1"/>
                <w:color w:val="auto"/>
              </w:rPr>
            </w:pPr>
          </w:p>
        </w:tc>
        <w:tc>
          <w:tcPr>
            <w:tcW w:w="108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780" w:type="dxa"/>
            <w:vAlign w:val="bottom"/>
            <w:tcBorders>
              <w:bottom w:val="single" w:sz="8" w:color="B2B2B2"/>
            </w:tcBorders>
          </w:tcPr>
          <w:p>
            <w:pPr>
              <w:spacing w:after="0" w:line="20" w:lineRule="exact"/>
              <w:rPr>
                <w:sz w:val="1"/>
                <w:szCs w:val="1"/>
                <w:color w:val="auto"/>
              </w:rPr>
            </w:pPr>
          </w:p>
        </w:tc>
        <w:tc>
          <w:tcPr>
            <w:tcW w:w="580" w:type="dxa"/>
            <w:vAlign w:val="bottom"/>
            <w:tcBorders>
              <w:bottom w:val="single" w:sz="8" w:color="B2B2B2"/>
            </w:tcBorders>
          </w:tcPr>
          <w:p>
            <w:pPr>
              <w:spacing w:after="0" w:line="20" w:lineRule="exact"/>
              <w:rPr>
                <w:sz w:val="1"/>
                <w:szCs w:val="1"/>
                <w:color w:val="auto"/>
              </w:rPr>
            </w:pPr>
          </w:p>
        </w:tc>
        <w:tc>
          <w:tcPr>
            <w:tcW w:w="102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19"/>
                <w:szCs w:val="19"/>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1/21/2025</w:t>
            </w:r>
          </w:p>
        </w:tc>
        <w:tc>
          <w:tcPr>
            <w:tcW w:w="1420" w:type="dxa"/>
            <w:vAlign w:val="bottom"/>
          </w:tcPr>
          <w:p>
            <w:pPr>
              <w:ind w:left="9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31,504</w:t>
            </w:r>
          </w:p>
        </w:tc>
        <w:tc>
          <w:tcPr>
            <w:tcW w:w="940" w:type="dxa"/>
            <w:vAlign w:val="bottom"/>
          </w:tcPr>
          <w:p>
            <w:pPr>
              <w:jc w:val="right"/>
              <w:spacing w:after="0"/>
              <w:rPr>
                <w:sz w:val="20"/>
                <w:szCs w:val="20"/>
                <w:color w:val="auto"/>
              </w:rPr>
            </w:pPr>
            <w:r>
              <w:rPr>
                <w:rFonts w:ascii="Arial" w:cs="Arial" w:eastAsia="Arial" w:hAnsi="Arial"/>
                <w:sz w:val="14"/>
                <w:szCs w:val="14"/>
                <w:color w:val="auto"/>
              </w:rPr>
              <w:t>47,256</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8,250,000</w:t>
            </w:r>
          </w:p>
        </w:tc>
        <w:tc>
          <w:tcPr>
            <w:tcW w:w="0" w:type="dxa"/>
            <w:vAlign w:val="bottom"/>
          </w:tcPr>
          <w:p>
            <w:pPr>
              <w:spacing w:after="0"/>
              <w:rPr>
                <w:sz w:val="1"/>
                <w:szCs w:val="1"/>
                <w:color w:val="auto"/>
              </w:rPr>
            </w:pPr>
          </w:p>
        </w:tc>
      </w:tr>
      <w:tr>
        <w:trPr>
          <w:trHeight w:val="22"/>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8F5A39"/>
              </w:rPr>
              <w:t>Troy Rohrbaugh</w:t>
            </w:r>
          </w:p>
        </w:tc>
        <w:tc>
          <w:tcPr>
            <w:tcW w:w="1240" w:type="dxa"/>
            <w:vAlign w:val="bottom"/>
            <w:tcBorders>
              <w:bottom w:val="single" w:sz="8" w:color="B2B2B2"/>
            </w:tcBorders>
          </w:tcPr>
          <w:p>
            <w:pPr>
              <w:spacing w:after="0" w:line="20" w:lineRule="exact"/>
              <w:rPr>
                <w:sz w:val="1"/>
                <w:szCs w:val="1"/>
                <w:color w:val="auto"/>
              </w:rPr>
            </w:pPr>
          </w:p>
        </w:tc>
        <w:tc>
          <w:tcPr>
            <w:tcW w:w="1420" w:type="dxa"/>
            <w:vAlign w:val="bottom"/>
            <w:tcBorders>
              <w:bottom w:val="single" w:sz="8" w:color="B2B2B2"/>
            </w:tcBorders>
          </w:tcPr>
          <w:p>
            <w:pPr>
              <w:spacing w:after="0" w:line="20" w:lineRule="exact"/>
              <w:rPr>
                <w:sz w:val="1"/>
                <w:szCs w:val="1"/>
                <w:color w:val="auto"/>
              </w:rPr>
            </w:pPr>
          </w:p>
        </w:tc>
        <w:tc>
          <w:tcPr>
            <w:tcW w:w="108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780" w:type="dxa"/>
            <w:vAlign w:val="bottom"/>
            <w:tcBorders>
              <w:bottom w:val="single" w:sz="8" w:color="B2B2B2"/>
            </w:tcBorders>
          </w:tcPr>
          <w:p>
            <w:pPr>
              <w:spacing w:after="0" w:line="20" w:lineRule="exact"/>
              <w:rPr>
                <w:sz w:val="1"/>
                <w:szCs w:val="1"/>
                <w:color w:val="auto"/>
              </w:rPr>
            </w:pPr>
          </w:p>
        </w:tc>
        <w:tc>
          <w:tcPr>
            <w:tcW w:w="580" w:type="dxa"/>
            <w:vAlign w:val="bottom"/>
            <w:tcBorders>
              <w:bottom w:val="single" w:sz="8" w:color="B2B2B2"/>
            </w:tcBorders>
          </w:tcPr>
          <w:p>
            <w:pPr>
              <w:spacing w:after="0" w:line="20" w:lineRule="exact"/>
              <w:rPr>
                <w:sz w:val="1"/>
                <w:szCs w:val="1"/>
                <w:color w:val="auto"/>
              </w:rPr>
            </w:pPr>
          </w:p>
        </w:tc>
        <w:tc>
          <w:tcPr>
            <w:tcW w:w="102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080" w:type="dxa"/>
            <w:vAlign w:val="bottom"/>
            <w:vMerge w:val="continue"/>
          </w:tcPr>
          <w:p>
            <w:pPr>
              <w:spacing w:after="0"/>
              <w:rPr>
                <w:sz w:val="19"/>
                <w:szCs w:val="19"/>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1/21/2025</w:t>
            </w:r>
          </w:p>
        </w:tc>
        <w:tc>
          <w:tcPr>
            <w:tcW w:w="1420" w:type="dxa"/>
            <w:vAlign w:val="bottom"/>
          </w:tcPr>
          <w:p>
            <w:pPr>
              <w:ind w:left="9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26,349</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1420" w:type="dxa"/>
            <w:vAlign w:val="bottom"/>
            <w:tcBorders>
              <w:bottom w:val="single" w:sz="8" w:color="B2B2B2"/>
            </w:tcBorders>
          </w:tcPr>
          <w:p>
            <w:pPr>
              <w:spacing w:after="0" w:line="20" w:lineRule="exact"/>
              <w:rPr>
                <w:sz w:val="1"/>
                <w:szCs w:val="1"/>
                <w:color w:val="auto"/>
              </w:rPr>
            </w:pPr>
          </w:p>
        </w:tc>
        <w:tc>
          <w:tcPr>
            <w:tcW w:w="108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780" w:type="dxa"/>
            <w:vAlign w:val="bottom"/>
            <w:tcBorders>
              <w:bottom w:val="single" w:sz="8" w:color="B2B2B2"/>
            </w:tcBorders>
          </w:tcPr>
          <w:p>
            <w:pPr>
              <w:spacing w:after="0" w:line="20" w:lineRule="exact"/>
              <w:rPr>
                <w:sz w:val="1"/>
                <w:szCs w:val="1"/>
                <w:color w:val="auto"/>
              </w:rPr>
            </w:pPr>
          </w:p>
        </w:tc>
        <w:tc>
          <w:tcPr>
            <w:tcW w:w="580" w:type="dxa"/>
            <w:vAlign w:val="bottom"/>
            <w:tcBorders>
              <w:bottom w:val="single" w:sz="8" w:color="B2B2B2"/>
            </w:tcBorders>
          </w:tcPr>
          <w:p>
            <w:pPr>
              <w:spacing w:after="0" w:line="20" w:lineRule="exact"/>
              <w:rPr>
                <w:sz w:val="1"/>
                <w:szCs w:val="1"/>
                <w:color w:val="auto"/>
              </w:rPr>
            </w:pPr>
          </w:p>
        </w:tc>
        <w:tc>
          <w:tcPr>
            <w:tcW w:w="102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19"/>
                <w:szCs w:val="19"/>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1/21/2025</w:t>
            </w:r>
          </w:p>
        </w:tc>
        <w:tc>
          <w:tcPr>
            <w:tcW w:w="1420" w:type="dxa"/>
            <w:vAlign w:val="bottom"/>
          </w:tcPr>
          <w:p>
            <w:pPr>
              <w:ind w:left="9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26,349</w:t>
            </w:r>
          </w:p>
        </w:tc>
        <w:tc>
          <w:tcPr>
            <w:tcW w:w="940" w:type="dxa"/>
            <w:vAlign w:val="bottom"/>
          </w:tcPr>
          <w:p>
            <w:pPr>
              <w:jc w:val="right"/>
              <w:spacing w:after="0"/>
              <w:rPr>
                <w:sz w:val="20"/>
                <w:szCs w:val="20"/>
                <w:color w:val="auto"/>
              </w:rPr>
            </w:pPr>
            <w:r>
              <w:rPr>
                <w:rFonts w:ascii="Arial" w:cs="Arial" w:eastAsia="Arial" w:hAnsi="Arial"/>
                <w:sz w:val="14"/>
                <w:szCs w:val="14"/>
                <w:color w:val="auto"/>
              </w:rPr>
              <w:t>39,523</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22"/>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8F5A39"/>
              </w:rPr>
              <w:t>Douglas Petno</w:t>
            </w:r>
          </w:p>
        </w:tc>
        <w:tc>
          <w:tcPr>
            <w:tcW w:w="1240" w:type="dxa"/>
            <w:vAlign w:val="bottom"/>
            <w:tcBorders>
              <w:bottom w:val="single" w:sz="8" w:color="B2B2B2"/>
            </w:tcBorders>
          </w:tcPr>
          <w:p>
            <w:pPr>
              <w:spacing w:after="0" w:line="20" w:lineRule="exact"/>
              <w:rPr>
                <w:sz w:val="1"/>
                <w:szCs w:val="1"/>
                <w:color w:val="auto"/>
              </w:rPr>
            </w:pPr>
          </w:p>
        </w:tc>
        <w:tc>
          <w:tcPr>
            <w:tcW w:w="1420" w:type="dxa"/>
            <w:vAlign w:val="bottom"/>
            <w:tcBorders>
              <w:bottom w:val="single" w:sz="8" w:color="B2B2B2"/>
            </w:tcBorders>
          </w:tcPr>
          <w:p>
            <w:pPr>
              <w:spacing w:after="0" w:line="20" w:lineRule="exact"/>
              <w:rPr>
                <w:sz w:val="1"/>
                <w:szCs w:val="1"/>
                <w:color w:val="auto"/>
              </w:rPr>
            </w:pPr>
          </w:p>
        </w:tc>
        <w:tc>
          <w:tcPr>
            <w:tcW w:w="108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780" w:type="dxa"/>
            <w:vAlign w:val="bottom"/>
            <w:tcBorders>
              <w:bottom w:val="single" w:sz="8" w:color="B2B2B2"/>
            </w:tcBorders>
          </w:tcPr>
          <w:p>
            <w:pPr>
              <w:spacing w:after="0" w:line="20" w:lineRule="exact"/>
              <w:rPr>
                <w:sz w:val="1"/>
                <w:szCs w:val="1"/>
                <w:color w:val="auto"/>
              </w:rPr>
            </w:pPr>
          </w:p>
        </w:tc>
        <w:tc>
          <w:tcPr>
            <w:tcW w:w="580" w:type="dxa"/>
            <w:vAlign w:val="bottom"/>
            <w:tcBorders>
              <w:bottom w:val="single" w:sz="8" w:color="B2B2B2"/>
            </w:tcBorders>
          </w:tcPr>
          <w:p>
            <w:pPr>
              <w:spacing w:after="0" w:line="20" w:lineRule="exact"/>
              <w:rPr>
                <w:sz w:val="1"/>
                <w:szCs w:val="1"/>
                <w:color w:val="auto"/>
              </w:rPr>
            </w:pPr>
          </w:p>
        </w:tc>
        <w:tc>
          <w:tcPr>
            <w:tcW w:w="102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080" w:type="dxa"/>
            <w:vAlign w:val="bottom"/>
            <w:vMerge w:val="continue"/>
          </w:tcPr>
          <w:p>
            <w:pPr>
              <w:spacing w:after="0"/>
              <w:rPr>
                <w:sz w:val="19"/>
                <w:szCs w:val="19"/>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1/21/2025</w:t>
            </w:r>
          </w:p>
        </w:tc>
        <w:tc>
          <w:tcPr>
            <w:tcW w:w="1420" w:type="dxa"/>
            <w:vAlign w:val="bottom"/>
          </w:tcPr>
          <w:p>
            <w:pPr>
              <w:ind w:left="9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21,766</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5,700,000</w:t>
            </w: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1420" w:type="dxa"/>
            <w:vAlign w:val="bottom"/>
            <w:tcBorders>
              <w:bottom w:val="single" w:sz="8" w:color="B2B2B2"/>
            </w:tcBorders>
          </w:tcPr>
          <w:p>
            <w:pPr>
              <w:spacing w:after="0" w:line="20" w:lineRule="exact"/>
              <w:rPr>
                <w:sz w:val="1"/>
                <w:szCs w:val="1"/>
                <w:color w:val="auto"/>
              </w:rPr>
            </w:pPr>
          </w:p>
        </w:tc>
        <w:tc>
          <w:tcPr>
            <w:tcW w:w="108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780" w:type="dxa"/>
            <w:vAlign w:val="bottom"/>
            <w:tcBorders>
              <w:bottom w:val="single" w:sz="8" w:color="B2B2B2"/>
            </w:tcBorders>
          </w:tcPr>
          <w:p>
            <w:pPr>
              <w:spacing w:after="0" w:line="20" w:lineRule="exact"/>
              <w:rPr>
                <w:sz w:val="1"/>
                <w:szCs w:val="1"/>
                <w:color w:val="auto"/>
              </w:rPr>
            </w:pPr>
          </w:p>
        </w:tc>
        <w:tc>
          <w:tcPr>
            <w:tcW w:w="580" w:type="dxa"/>
            <w:vAlign w:val="bottom"/>
            <w:tcBorders>
              <w:bottom w:val="single" w:sz="8" w:color="B2B2B2"/>
            </w:tcBorders>
          </w:tcPr>
          <w:p>
            <w:pPr>
              <w:spacing w:after="0" w:line="20" w:lineRule="exact"/>
              <w:rPr>
                <w:sz w:val="1"/>
                <w:szCs w:val="1"/>
                <w:color w:val="auto"/>
              </w:rPr>
            </w:pPr>
          </w:p>
        </w:tc>
        <w:tc>
          <w:tcPr>
            <w:tcW w:w="102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19"/>
                <w:szCs w:val="19"/>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1/21/2025</w:t>
            </w:r>
          </w:p>
        </w:tc>
        <w:tc>
          <w:tcPr>
            <w:tcW w:w="1420" w:type="dxa"/>
            <w:vAlign w:val="bottom"/>
          </w:tcPr>
          <w:p>
            <w:pPr>
              <w:ind w:left="9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21,766</w:t>
            </w:r>
          </w:p>
        </w:tc>
        <w:tc>
          <w:tcPr>
            <w:tcW w:w="940" w:type="dxa"/>
            <w:vAlign w:val="bottom"/>
          </w:tcPr>
          <w:p>
            <w:pPr>
              <w:jc w:val="right"/>
              <w:spacing w:after="0"/>
              <w:rPr>
                <w:sz w:val="20"/>
                <w:szCs w:val="20"/>
                <w:color w:val="auto"/>
              </w:rPr>
            </w:pPr>
            <w:r>
              <w:rPr>
                <w:rFonts w:ascii="Arial" w:cs="Arial" w:eastAsia="Arial" w:hAnsi="Arial"/>
                <w:sz w:val="14"/>
                <w:szCs w:val="14"/>
                <w:color w:val="auto"/>
              </w:rPr>
              <w:t>32,649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5,700,000</w:t>
            </w:r>
          </w:p>
        </w:tc>
        <w:tc>
          <w:tcPr>
            <w:tcW w:w="0" w:type="dxa"/>
            <w:vAlign w:val="bottom"/>
          </w:tcPr>
          <w:p>
            <w:pPr>
              <w:spacing w:after="0"/>
              <w:rPr>
                <w:sz w:val="1"/>
                <w:szCs w:val="1"/>
                <w:color w:val="auto"/>
              </w:rPr>
            </w:pPr>
          </w:p>
        </w:tc>
      </w:tr>
      <w:tr>
        <w:trPr>
          <w:trHeight w:val="22"/>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8F5A39"/>
              </w:rPr>
              <w:t>Jeremy Barnum</w:t>
            </w:r>
          </w:p>
        </w:tc>
        <w:tc>
          <w:tcPr>
            <w:tcW w:w="1240" w:type="dxa"/>
            <w:vAlign w:val="bottom"/>
            <w:tcBorders>
              <w:bottom w:val="single" w:sz="8" w:color="B2B2B2"/>
            </w:tcBorders>
          </w:tcPr>
          <w:p>
            <w:pPr>
              <w:spacing w:after="0" w:line="20" w:lineRule="exact"/>
              <w:rPr>
                <w:sz w:val="1"/>
                <w:szCs w:val="1"/>
                <w:color w:val="auto"/>
              </w:rPr>
            </w:pPr>
          </w:p>
        </w:tc>
        <w:tc>
          <w:tcPr>
            <w:tcW w:w="1420" w:type="dxa"/>
            <w:vAlign w:val="bottom"/>
            <w:tcBorders>
              <w:bottom w:val="single" w:sz="8" w:color="B2B2B2"/>
            </w:tcBorders>
          </w:tcPr>
          <w:p>
            <w:pPr>
              <w:spacing w:after="0" w:line="20" w:lineRule="exact"/>
              <w:rPr>
                <w:sz w:val="1"/>
                <w:szCs w:val="1"/>
                <w:color w:val="auto"/>
              </w:rPr>
            </w:pPr>
          </w:p>
        </w:tc>
        <w:tc>
          <w:tcPr>
            <w:tcW w:w="108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780" w:type="dxa"/>
            <w:vAlign w:val="bottom"/>
            <w:tcBorders>
              <w:bottom w:val="single" w:sz="8" w:color="B2B2B2"/>
            </w:tcBorders>
          </w:tcPr>
          <w:p>
            <w:pPr>
              <w:spacing w:after="0" w:line="20" w:lineRule="exact"/>
              <w:rPr>
                <w:sz w:val="1"/>
                <w:szCs w:val="1"/>
                <w:color w:val="auto"/>
              </w:rPr>
            </w:pPr>
          </w:p>
        </w:tc>
        <w:tc>
          <w:tcPr>
            <w:tcW w:w="580" w:type="dxa"/>
            <w:vAlign w:val="bottom"/>
            <w:tcBorders>
              <w:bottom w:val="single" w:sz="8" w:color="B2B2B2"/>
            </w:tcBorders>
          </w:tcPr>
          <w:p>
            <w:pPr>
              <w:spacing w:after="0" w:line="20" w:lineRule="exact"/>
              <w:rPr>
                <w:sz w:val="1"/>
                <w:szCs w:val="1"/>
                <w:color w:val="auto"/>
              </w:rPr>
            </w:pPr>
          </w:p>
        </w:tc>
        <w:tc>
          <w:tcPr>
            <w:tcW w:w="102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080" w:type="dxa"/>
            <w:vAlign w:val="bottom"/>
            <w:vMerge w:val="continue"/>
          </w:tcPr>
          <w:p>
            <w:pPr>
              <w:spacing w:after="0"/>
              <w:rPr>
                <w:sz w:val="19"/>
                <w:szCs w:val="19"/>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1/21/2025</w:t>
            </w:r>
          </w:p>
        </w:tc>
        <w:tc>
          <w:tcPr>
            <w:tcW w:w="1420" w:type="dxa"/>
            <w:vAlign w:val="bottom"/>
          </w:tcPr>
          <w:p>
            <w:pPr>
              <w:ind w:left="9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18,702</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4,897,500</w:t>
            </w: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1420" w:type="dxa"/>
            <w:vAlign w:val="bottom"/>
            <w:tcBorders>
              <w:bottom w:val="single" w:sz="8" w:color="B2B2B2"/>
            </w:tcBorders>
          </w:tcPr>
          <w:p>
            <w:pPr>
              <w:spacing w:after="0" w:line="20" w:lineRule="exact"/>
              <w:rPr>
                <w:sz w:val="1"/>
                <w:szCs w:val="1"/>
                <w:color w:val="auto"/>
              </w:rPr>
            </w:pPr>
          </w:p>
        </w:tc>
        <w:tc>
          <w:tcPr>
            <w:tcW w:w="108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780" w:type="dxa"/>
            <w:vAlign w:val="bottom"/>
            <w:tcBorders>
              <w:bottom w:val="single" w:sz="8" w:color="B2B2B2"/>
            </w:tcBorders>
          </w:tcPr>
          <w:p>
            <w:pPr>
              <w:spacing w:after="0" w:line="20" w:lineRule="exact"/>
              <w:rPr>
                <w:sz w:val="1"/>
                <w:szCs w:val="1"/>
                <w:color w:val="auto"/>
              </w:rPr>
            </w:pPr>
          </w:p>
        </w:tc>
        <w:tc>
          <w:tcPr>
            <w:tcW w:w="580" w:type="dxa"/>
            <w:vAlign w:val="bottom"/>
            <w:tcBorders>
              <w:bottom w:val="single" w:sz="8" w:color="B2B2B2"/>
            </w:tcBorders>
          </w:tcPr>
          <w:p>
            <w:pPr>
              <w:spacing w:after="0" w:line="20" w:lineRule="exact"/>
              <w:rPr>
                <w:sz w:val="1"/>
                <w:szCs w:val="1"/>
                <w:color w:val="auto"/>
              </w:rPr>
            </w:pPr>
          </w:p>
        </w:tc>
        <w:tc>
          <w:tcPr>
            <w:tcW w:w="102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080" w:type="dxa"/>
            <w:vAlign w:val="bottom"/>
          </w:tcPr>
          <w:p>
            <w:pPr>
              <w:spacing w:after="0"/>
              <w:rPr>
                <w:sz w:val="19"/>
                <w:szCs w:val="19"/>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color w:val="auto"/>
              </w:rPr>
              <w:t>1/21/2025</w:t>
            </w:r>
          </w:p>
        </w:tc>
        <w:tc>
          <w:tcPr>
            <w:tcW w:w="1420" w:type="dxa"/>
            <w:vAlign w:val="bottom"/>
          </w:tcPr>
          <w:p>
            <w:pPr>
              <w:ind w:left="9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18,702</w:t>
            </w:r>
          </w:p>
        </w:tc>
        <w:tc>
          <w:tcPr>
            <w:tcW w:w="940" w:type="dxa"/>
            <w:vAlign w:val="bottom"/>
          </w:tcPr>
          <w:p>
            <w:pPr>
              <w:jc w:val="right"/>
              <w:spacing w:after="0"/>
              <w:rPr>
                <w:sz w:val="20"/>
                <w:szCs w:val="20"/>
                <w:color w:val="auto"/>
              </w:rPr>
            </w:pPr>
            <w:r>
              <w:rPr>
                <w:rFonts w:ascii="Arial" w:cs="Arial" w:eastAsia="Arial" w:hAnsi="Arial"/>
                <w:sz w:val="14"/>
                <w:szCs w:val="14"/>
                <w:color w:val="auto"/>
              </w:rPr>
              <w:t>28,053</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4,897,500</w:t>
            </w:r>
          </w:p>
        </w:tc>
        <w:tc>
          <w:tcPr>
            <w:tcW w:w="0" w:type="dxa"/>
            <w:vAlign w:val="bottom"/>
          </w:tcPr>
          <w:p>
            <w:pPr>
              <w:spacing w:after="0"/>
              <w:rPr>
                <w:sz w:val="1"/>
                <w:szCs w:val="1"/>
                <w:color w:val="auto"/>
              </w:rPr>
            </w:pPr>
          </w:p>
        </w:tc>
      </w:tr>
      <w:tr>
        <w:trPr>
          <w:trHeight w:val="22"/>
        </w:trPr>
        <w:tc>
          <w:tcPr>
            <w:tcW w:w="3080" w:type="dxa"/>
            <w:vAlign w:val="bottom"/>
            <w:tcBorders>
              <w:bottom w:val="single" w:sz="8" w:color="B2B2B2"/>
            </w:tcBorders>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1420" w:type="dxa"/>
            <w:vAlign w:val="bottom"/>
            <w:tcBorders>
              <w:bottom w:val="single" w:sz="8" w:color="B2B2B2"/>
            </w:tcBorders>
          </w:tcPr>
          <w:p>
            <w:pPr>
              <w:spacing w:after="0" w:line="20" w:lineRule="exact"/>
              <w:rPr>
                <w:sz w:val="1"/>
                <w:szCs w:val="1"/>
                <w:color w:val="auto"/>
              </w:rPr>
            </w:pPr>
          </w:p>
        </w:tc>
        <w:tc>
          <w:tcPr>
            <w:tcW w:w="108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780" w:type="dxa"/>
            <w:vAlign w:val="bottom"/>
            <w:tcBorders>
              <w:bottom w:val="single" w:sz="8" w:color="B2B2B2"/>
            </w:tcBorders>
          </w:tcPr>
          <w:p>
            <w:pPr>
              <w:spacing w:after="0" w:line="20" w:lineRule="exact"/>
              <w:rPr>
                <w:sz w:val="1"/>
                <w:szCs w:val="1"/>
                <w:color w:val="auto"/>
              </w:rPr>
            </w:pPr>
          </w:p>
        </w:tc>
        <w:tc>
          <w:tcPr>
            <w:tcW w:w="580" w:type="dxa"/>
            <w:vAlign w:val="bottom"/>
            <w:tcBorders>
              <w:bottom w:val="single" w:sz="8" w:color="B2B2B2"/>
            </w:tcBorders>
          </w:tcPr>
          <w:p>
            <w:pPr>
              <w:spacing w:after="0" w:line="20" w:lineRule="exact"/>
              <w:rPr>
                <w:sz w:val="1"/>
                <w:szCs w:val="1"/>
                <w:color w:val="auto"/>
              </w:rPr>
            </w:pPr>
          </w:p>
        </w:tc>
        <w:tc>
          <w:tcPr>
            <w:tcW w:w="102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8F5A39"/>
              </w:rPr>
              <w:t>Daniel Pinto</w:t>
            </w: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1/21/2025</w:t>
            </w:r>
          </w:p>
        </w:tc>
        <w:tc>
          <w:tcPr>
            <w:tcW w:w="142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95,465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143,197</w:t>
            </w: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25,000,000</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200" w:right="400" w:hanging="192"/>
        <w:spacing w:after="0" w:line="224" w:lineRule="auto"/>
        <w:tabs>
          <w:tab w:leader="none" w:pos="206" w:val="left"/>
        </w:tabs>
        <w:numPr>
          <w:ilvl w:val="0"/>
          <w:numId w:val="233"/>
        </w:numPr>
        <w:rPr>
          <w:rFonts w:ascii="Arial" w:cs="Arial" w:eastAsia="Arial" w:hAnsi="Arial"/>
          <w:sz w:val="18"/>
          <w:szCs w:val="18"/>
          <w:color w:val="auto"/>
          <w:vertAlign w:val="superscript"/>
        </w:rPr>
      </w:pPr>
      <w:r>
        <w:rPr>
          <w:rFonts w:ascii="Arial" w:cs="Arial" w:eastAsia="Arial" w:hAnsi="Arial"/>
          <w:sz w:val="12"/>
          <w:szCs w:val="12"/>
          <w:color w:val="auto"/>
        </w:rPr>
        <w:t>Equity grants are awarded as part of the annual compensation process and as part of employment offers for new hires. Grants made as part of the annual incentive compensation process are generally awarded in January after fourth quarter earnings are released. RSUs and PSUs carry no voting rights. On January 20, 2026, the Firm awarded RSU and PSU awards as part of 2025</w:t>
      </w:r>
    </w:p>
    <w:p>
      <w:pPr>
        <w:spacing w:after="0" w:line="1" w:lineRule="exact"/>
        <w:rPr>
          <w:sz w:val="20"/>
          <w:szCs w:val="20"/>
          <w:color w:val="auto"/>
        </w:rPr>
      </w:pPr>
    </w:p>
    <w:p>
      <w:pPr>
        <w:ind w:left="200" w:right="240"/>
        <w:spacing w:after="0" w:line="218" w:lineRule="auto"/>
        <w:rPr>
          <w:sz w:val="20"/>
          <w:szCs w:val="20"/>
          <w:color w:val="auto"/>
        </w:rPr>
      </w:pPr>
      <w:r>
        <w:rPr>
          <w:rFonts w:ascii="Arial" w:cs="Arial" w:eastAsia="Arial" w:hAnsi="Arial"/>
          <w:sz w:val="13"/>
          <w:szCs w:val="13"/>
          <w:color w:val="auto"/>
        </w:rPr>
        <w:t>annual incentive compensation. Because these awards were granted in 2026, they do not appear in this table, which is required to include only equity awards actually granted during 2025. These 2026 awards are however reflected in the “NEO annual compensation table" on page 56.</w:t>
      </w:r>
    </w:p>
    <w:p>
      <w:pPr>
        <w:spacing w:after="0" w:line="13" w:lineRule="exact"/>
        <w:rPr>
          <w:sz w:val="20"/>
          <w:szCs w:val="20"/>
          <w:color w:val="auto"/>
        </w:rPr>
      </w:pPr>
    </w:p>
    <w:p>
      <w:pPr>
        <w:ind w:left="200" w:right="80" w:hanging="192"/>
        <w:spacing w:after="0" w:line="230" w:lineRule="auto"/>
        <w:tabs>
          <w:tab w:leader="none" w:pos="193" w:val="left"/>
        </w:tabs>
        <w:numPr>
          <w:ilvl w:val="0"/>
          <w:numId w:val="234"/>
        </w:numPr>
        <w:rPr>
          <w:rFonts w:ascii="Arial" w:cs="Arial" w:eastAsia="Arial" w:hAnsi="Arial"/>
          <w:sz w:val="18"/>
          <w:szCs w:val="18"/>
          <w:color w:val="auto"/>
          <w:vertAlign w:val="superscript"/>
        </w:rPr>
      </w:pPr>
      <w:r>
        <w:rPr>
          <w:rFonts w:ascii="Arial" w:cs="Arial" w:eastAsia="Arial" w:hAnsi="Arial"/>
          <w:sz w:val="12"/>
          <w:szCs w:val="12"/>
          <w:color w:val="auto"/>
        </w:rPr>
        <w:t>PSUs vest on March 25, 2028, and are subject to a two-year holding period post-vesting. Each PSU represents the right to receive one share of common stock on the vesting date. The ultimate number of PSUs that will vest will be determined by the Firm’s performance over the three-year performance period and will include any accumulated reinvested dividend equivalent shares. The dividend equivalent shares, if any, will be based on: (1) the number of PSUs earned at vesting; and (2) dividends that would have been paid on the Firm’s common stock during the vesting period as</w:t>
      </w:r>
    </w:p>
    <w:p>
      <w:pPr>
        <w:ind w:left="200"/>
        <w:spacing w:after="0" w:line="211" w:lineRule="auto"/>
        <w:rPr>
          <w:sz w:val="20"/>
          <w:szCs w:val="20"/>
          <w:color w:val="auto"/>
        </w:rPr>
      </w:pPr>
      <w:r>
        <w:rPr>
          <w:rFonts w:ascii="Arial" w:cs="Arial" w:eastAsia="Arial" w:hAnsi="Arial"/>
          <w:sz w:val="13"/>
          <w:szCs w:val="13"/>
          <w:color w:val="auto"/>
        </w:rPr>
        <w:t>of each dividend payment date, if any.</w:t>
      </w:r>
    </w:p>
    <w:p>
      <w:pPr>
        <w:ind w:left="200" w:hanging="192"/>
        <w:spacing w:after="0" w:line="190" w:lineRule="auto"/>
        <w:tabs>
          <w:tab w:leader="none" w:pos="200" w:val="left"/>
        </w:tabs>
        <w:numPr>
          <w:ilvl w:val="0"/>
          <w:numId w:val="235"/>
        </w:numPr>
        <w:rPr>
          <w:rFonts w:ascii="Arial" w:cs="Arial" w:eastAsia="Arial" w:hAnsi="Arial"/>
          <w:sz w:val="19"/>
          <w:szCs w:val="19"/>
          <w:color w:val="auto"/>
          <w:vertAlign w:val="superscript"/>
        </w:rPr>
      </w:pPr>
      <w:r>
        <w:rPr>
          <w:rFonts w:ascii="Arial" w:cs="Arial" w:eastAsia="Arial" w:hAnsi="Arial"/>
          <w:sz w:val="13"/>
          <w:szCs w:val="13"/>
          <w:color w:val="auto"/>
        </w:rPr>
        <w:t>RSUs vest in two equal installments on January 13, 2027 and 2028. Each RSU represents the right to receive one share of common stock on the vesting date and non-preferential dividend</w:t>
      </w:r>
    </w:p>
    <w:p>
      <w:pPr>
        <w:ind w:left="200"/>
        <w:spacing w:after="0" w:line="200" w:lineRule="auto"/>
        <w:rPr>
          <w:sz w:val="20"/>
          <w:szCs w:val="20"/>
          <w:color w:val="auto"/>
        </w:rPr>
      </w:pPr>
      <w:r>
        <w:rPr>
          <w:rFonts w:ascii="Arial" w:cs="Arial" w:eastAsia="Arial" w:hAnsi="Arial"/>
          <w:sz w:val="13"/>
          <w:szCs w:val="13"/>
          <w:color w:val="auto"/>
        </w:rPr>
        <w:t>equivalents, payable in cash, equal to any dividends paid on the Firm’s common stock during the vesting period.</w:t>
      </w:r>
    </w:p>
    <w:p>
      <w:pPr>
        <w:spacing w:after="0" w:line="13" w:lineRule="exact"/>
        <w:rPr>
          <w:sz w:val="20"/>
          <w:szCs w:val="20"/>
          <w:color w:val="auto"/>
        </w:rPr>
      </w:pPr>
    </w:p>
    <w:p>
      <w:pPr>
        <w:ind w:left="200" w:right="220" w:hanging="192"/>
        <w:spacing w:after="0" w:line="205" w:lineRule="auto"/>
        <w:tabs>
          <w:tab w:leader="none" w:pos="193" w:val="left"/>
        </w:tabs>
        <w:numPr>
          <w:ilvl w:val="0"/>
          <w:numId w:val="236"/>
        </w:numPr>
        <w:rPr>
          <w:rFonts w:ascii="Arial" w:cs="Arial" w:eastAsia="Arial" w:hAnsi="Arial"/>
          <w:sz w:val="19"/>
          <w:szCs w:val="19"/>
          <w:color w:val="auto"/>
          <w:vertAlign w:val="superscript"/>
        </w:rPr>
      </w:pPr>
      <w:r>
        <w:rPr>
          <w:rFonts w:ascii="Arial" w:cs="Arial" w:eastAsia="Arial" w:hAnsi="Arial"/>
          <w:sz w:val="13"/>
          <w:szCs w:val="13"/>
          <w:color w:val="auto"/>
        </w:rPr>
        <w:t>The grant date fair value for RSUs and PSUs is based on the average of the high and the low prices of JPMorganChase common stock on the grant date multiplied by the number of units granted (for RSUs) or 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412115</wp:posOffset>
            </wp:positionV>
            <wp:extent cx="651510" cy="8572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64</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7120"/>
        <w:spacing w:after="0"/>
        <w:rPr>
          <w:sz w:val="20"/>
          <w:szCs w:val="20"/>
          <w:color w:val="auto"/>
        </w:rPr>
      </w:pPr>
      <w:r>
        <w:rPr>
          <w:rFonts w:ascii="Arial" w:cs="Arial" w:eastAsia="Arial" w:hAnsi="Arial"/>
          <w:sz w:val="14"/>
          <w:szCs w:val="14"/>
          <w:color w:val="8F5A39"/>
        </w:rPr>
        <w:t xml:space="preserve">Executive compensation tables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color w:val="auto"/>
        </w:rPr>
        <w:t>III. Outstanding equity awards at fiscal year-end 2025</w:t>
      </w:r>
    </w:p>
    <w:p>
      <w:pPr>
        <w:spacing w:after="0" w:line="45"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The following table shows the number of shares of the Firm’s common stock underlying (i) SARs and (ii) RSUs and PSUs that had not yet vested held by the Firm’s Named Executive Officers on December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40" w:type="dxa"/>
            <w:vAlign w:val="bottom"/>
            <w:tcBorders>
              <w:bottom w:val="single" w:sz="8" w:color="F4EFE7"/>
            </w:tcBorders>
            <w:shd w:val="clear" w:color="auto" w:fill="F4EFE7"/>
          </w:tcPr>
          <w:p>
            <w:pPr>
              <w:spacing w:after="0"/>
              <w:rPr>
                <w:sz w:val="17"/>
                <w:szCs w:val="17"/>
                <w:color w:val="auto"/>
              </w:rPr>
            </w:pPr>
          </w:p>
        </w:tc>
        <w:tc>
          <w:tcPr>
            <w:tcW w:w="1220" w:type="dxa"/>
            <w:vAlign w:val="bottom"/>
            <w:tcBorders>
              <w:bottom w:val="single" w:sz="8" w:color="F4EFE7"/>
            </w:tcBorders>
            <w:shd w:val="clear" w:color="auto" w:fill="F4EFE7"/>
          </w:tcPr>
          <w:p>
            <w:pPr>
              <w:spacing w:after="0"/>
              <w:rPr>
                <w:sz w:val="17"/>
                <w:szCs w:val="17"/>
                <w:color w:val="auto"/>
              </w:rPr>
            </w:pPr>
          </w:p>
        </w:tc>
        <w:tc>
          <w:tcPr>
            <w:tcW w:w="880" w:type="dxa"/>
            <w:vAlign w:val="bottom"/>
            <w:tcBorders>
              <w:bottom w:val="single" w:sz="8" w:color="auto"/>
            </w:tcBorders>
            <w:shd w:val="clear" w:color="auto" w:fill="F4EFE7"/>
          </w:tcPr>
          <w:p>
            <w:pPr>
              <w:spacing w:after="0"/>
              <w:rPr>
                <w:sz w:val="17"/>
                <w:szCs w:val="17"/>
                <w:color w:val="auto"/>
              </w:rPr>
            </w:pPr>
          </w:p>
        </w:tc>
        <w:tc>
          <w:tcPr>
            <w:tcW w:w="460" w:type="dxa"/>
            <w:vAlign w:val="bottom"/>
            <w:tcBorders>
              <w:bottom w:val="single" w:sz="8" w:color="auto"/>
            </w:tcBorders>
            <w:shd w:val="clear" w:color="auto" w:fill="F4EFE7"/>
          </w:tcPr>
          <w:p>
            <w:pPr>
              <w:spacing w:after="0"/>
              <w:rPr>
                <w:sz w:val="17"/>
                <w:szCs w:val="17"/>
                <w:color w:val="auto"/>
              </w:rPr>
            </w:pPr>
          </w:p>
        </w:tc>
        <w:tc>
          <w:tcPr>
            <w:tcW w:w="360" w:type="dxa"/>
            <w:vAlign w:val="bottom"/>
            <w:tcBorders>
              <w:bottom w:val="single" w:sz="8" w:color="auto"/>
            </w:tcBorders>
            <w:shd w:val="clear" w:color="auto" w:fill="F4EFE7"/>
          </w:tcPr>
          <w:p>
            <w:pPr>
              <w:spacing w:after="0"/>
              <w:rPr>
                <w:sz w:val="17"/>
                <w:szCs w:val="17"/>
                <w:color w:val="auto"/>
              </w:rPr>
            </w:pPr>
          </w:p>
        </w:tc>
        <w:tc>
          <w:tcPr>
            <w:tcW w:w="1580" w:type="dxa"/>
            <w:vAlign w:val="bottom"/>
            <w:tcBorders>
              <w:bottom w:val="single" w:sz="8" w:color="auto"/>
            </w:tcBorders>
            <w:gridSpan w:val="2"/>
            <w:shd w:val="clear" w:color="auto" w:fill="F4EFE7"/>
          </w:tcPr>
          <w:p>
            <w:pPr>
              <w:ind w:left="420"/>
              <w:spacing w:after="0"/>
              <w:rPr>
                <w:sz w:val="20"/>
                <w:szCs w:val="20"/>
                <w:color w:val="auto"/>
              </w:rPr>
            </w:pPr>
            <w:r>
              <w:rPr>
                <w:rFonts w:ascii="Arial" w:cs="Arial" w:eastAsia="Arial" w:hAnsi="Arial"/>
                <w:sz w:val="13"/>
                <w:szCs w:val="13"/>
                <w:b w:val="1"/>
                <w:bCs w:val="1"/>
                <w:color w:val="8F5A39"/>
              </w:rPr>
              <w:t>Option awards</w:t>
            </w:r>
          </w:p>
        </w:tc>
        <w:tc>
          <w:tcPr>
            <w:tcW w:w="900" w:type="dxa"/>
            <w:vAlign w:val="bottom"/>
            <w:tcBorders>
              <w:bottom w:val="single" w:sz="8" w:color="auto"/>
            </w:tcBorders>
            <w:shd w:val="clear" w:color="auto" w:fill="F4EFE7"/>
          </w:tcPr>
          <w:p>
            <w:pPr>
              <w:spacing w:after="0"/>
              <w:rPr>
                <w:sz w:val="17"/>
                <w:szCs w:val="17"/>
                <w:color w:val="auto"/>
              </w:rPr>
            </w:pPr>
          </w:p>
        </w:tc>
        <w:tc>
          <w:tcPr>
            <w:tcW w:w="940" w:type="dxa"/>
            <w:vAlign w:val="bottom"/>
            <w:tcBorders>
              <w:bottom w:val="single" w:sz="8" w:color="auto"/>
            </w:tcBorders>
            <w:shd w:val="clear" w:color="auto" w:fill="F4EFE7"/>
          </w:tcPr>
          <w:p>
            <w:pPr>
              <w:spacing w:after="0"/>
              <w:rPr>
                <w:sz w:val="17"/>
                <w:szCs w:val="17"/>
                <w:color w:val="auto"/>
              </w:rPr>
            </w:pPr>
          </w:p>
        </w:tc>
        <w:tc>
          <w:tcPr>
            <w:tcW w:w="100" w:type="dxa"/>
            <w:vAlign w:val="bottom"/>
            <w:tcBorders>
              <w:bottom w:val="single" w:sz="8" w:color="F4EFE7"/>
            </w:tcBorders>
            <w:shd w:val="clear" w:color="auto" w:fill="F4EFE7"/>
          </w:tcPr>
          <w:p>
            <w:pPr>
              <w:spacing w:after="0"/>
              <w:rPr>
                <w:sz w:val="17"/>
                <w:szCs w:val="17"/>
                <w:color w:val="auto"/>
              </w:rPr>
            </w:pPr>
          </w:p>
        </w:tc>
        <w:tc>
          <w:tcPr>
            <w:tcW w:w="320" w:type="dxa"/>
            <w:vAlign w:val="bottom"/>
            <w:tcBorders>
              <w:bottom w:val="single" w:sz="8" w:color="auto"/>
            </w:tcBorders>
            <w:shd w:val="clear" w:color="auto" w:fill="F4EFE7"/>
          </w:tcPr>
          <w:p>
            <w:pPr>
              <w:spacing w:after="0"/>
              <w:rPr>
                <w:sz w:val="17"/>
                <w:szCs w:val="17"/>
                <w:color w:val="auto"/>
              </w:rPr>
            </w:pPr>
          </w:p>
        </w:tc>
        <w:tc>
          <w:tcPr>
            <w:tcW w:w="1800" w:type="dxa"/>
            <w:vAlign w:val="bottom"/>
            <w:tcBorders>
              <w:bottom w:val="single" w:sz="8" w:color="auto"/>
            </w:tcBorders>
            <w:gridSpan w:val="2"/>
            <w:shd w:val="clear" w:color="auto" w:fill="F4EFE7"/>
          </w:tcPr>
          <w:p>
            <w:pPr>
              <w:jc w:val="right"/>
              <w:ind w:right="27"/>
              <w:spacing w:after="0"/>
              <w:rPr>
                <w:sz w:val="20"/>
                <w:szCs w:val="20"/>
                <w:color w:val="auto"/>
              </w:rPr>
            </w:pPr>
            <w:r>
              <w:rPr>
                <w:rFonts w:ascii="Arial" w:cs="Arial" w:eastAsia="Arial" w:hAnsi="Arial"/>
                <w:sz w:val="13"/>
                <w:szCs w:val="13"/>
                <w:b w:val="1"/>
                <w:bCs w:val="1"/>
                <w:color w:val="8F5A39"/>
              </w:rPr>
              <w:t>Stock awards</w:t>
            </w:r>
          </w:p>
        </w:tc>
        <w:tc>
          <w:tcPr>
            <w:tcW w:w="940" w:type="dxa"/>
            <w:vAlign w:val="bottom"/>
            <w:tcBorders>
              <w:bottom w:val="single" w:sz="8" w:color="auto"/>
            </w:tcBorders>
            <w:shd w:val="clear" w:color="auto" w:fill="F4EFE7"/>
          </w:tcPr>
          <w:p>
            <w:pPr>
              <w:spacing w:after="0"/>
              <w:rPr>
                <w:sz w:val="17"/>
                <w:szCs w:val="17"/>
                <w:color w:val="auto"/>
              </w:rPr>
            </w:pPr>
          </w:p>
        </w:tc>
        <w:tc>
          <w:tcPr>
            <w:tcW w:w="200" w:type="dxa"/>
            <w:vAlign w:val="bottom"/>
            <w:tcBorders>
              <w:bottom w:val="single" w:sz="8" w:color="auto"/>
            </w:tcBorders>
            <w:shd w:val="clear" w:color="auto" w:fill="F4EFE7"/>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540" w:type="dxa"/>
            <w:vAlign w:val="bottom"/>
            <w:shd w:val="clear" w:color="auto" w:fill="F4EFE7"/>
          </w:tcPr>
          <w:p>
            <w:pPr>
              <w:spacing w:after="0"/>
              <w:rPr>
                <w:sz w:val="13"/>
                <w:szCs w:val="13"/>
                <w:color w:val="auto"/>
              </w:rPr>
            </w:pPr>
          </w:p>
        </w:tc>
        <w:tc>
          <w:tcPr>
            <w:tcW w:w="1220" w:type="dxa"/>
            <w:vAlign w:val="bottom"/>
            <w:shd w:val="clear" w:color="auto" w:fill="F4EFE7"/>
          </w:tcPr>
          <w:p>
            <w:pPr>
              <w:spacing w:after="0"/>
              <w:rPr>
                <w:sz w:val="13"/>
                <w:szCs w:val="13"/>
                <w:color w:val="auto"/>
              </w:rPr>
            </w:pPr>
          </w:p>
        </w:tc>
        <w:tc>
          <w:tcPr>
            <w:tcW w:w="880" w:type="dxa"/>
            <w:vAlign w:val="bottom"/>
            <w:shd w:val="clear" w:color="auto" w:fill="F4EFE7"/>
          </w:tcPr>
          <w:p>
            <w:pPr>
              <w:spacing w:after="0"/>
              <w:rPr>
                <w:sz w:val="13"/>
                <w:szCs w:val="13"/>
                <w:color w:val="auto"/>
              </w:rPr>
            </w:pPr>
          </w:p>
        </w:tc>
        <w:tc>
          <w:tcPr>
            <w:tcW w:w="460" w:type="dxa"/>
            <w:vAlign w:val="bottom"/>
            <w:shd w:val="clear" w:color="auto" w:fill="F4EFE7"/>
          </w:tcPr>
          <w:p>
            <w:pPr>
              <w:spacing w:after="0"/>
              <w:rPr>
                <w:sz w:val="13"/>
                <w:szCs w:val="13"/>
                <w:color w:val="auto"/>
              </w:rPr>
            </w:pPr>
          </w:p>
        </w:tc>
        <w:tc>
          <w:tcPr>
            <w:tcW w:w="360" w:type="dxa"/>
            <w:vAlign w:val="bottom"/>
            <w:shd w:val="clear" w:color="auto" w:fill="F4EFE7"/>
          </w:tcPr>
          <w:p>
            <w:pPr>
              <w:spacing w:after="0"/>
              <w:rPr>
                <w:sz w:val="13"/>
                <w:szCs w:val="13"/>
                <w:color w:val="auto"/>
              </w:rPr>
            </w:pPr>
          </w:p>
        </w:tc>
        <w:tc>
          <w:tcPr>
            <w:tcW w:w="1060" w:type="dxa"/>
            <w:vAlign w:val="bottom"/>
            <w:shd w:val="clear" w:color="auto" w:fill="F4EFE7"/>
          </w:tcPr>
          <w:p>
            <w:pPr>
              <w:spacing w:after="0"/>
              <w:rPr>
                <w:sz w:val="13"/>
                <w:szCs w:val="13"/>
                <w:color w:val="auto"/>
              </w:rPr>
            </w:pPr>
          </w:p>
        </w:tc>
        <w:tc>
          <w:tcPr>
            <w:tcW w:w="520" w:type="dxa"/>
            <w:vAlign w:val="bottom"/>
            <w:shd w:val="clear" w:color="auto" w:fill="F4EFE7"/>
          </w:tcPr>
          <w:p>
            <w:pPr>
              <w:spacing w:after="0"/>
              <w:rPr>
                <w:sz w:val="13"/>
                <w:szCs w:val="13"/>
                <w:color w:val="auto"/>
              </w:rPr>
            </w:pPr>
          </w:p>
        </w:tc>
        <w:tc>
          <w:tcPr>
            <w:tcW w:w="900" w:type="dxa"/>
            <w:vAlign w:val="bottom"/>
            <w:shd w:val="clear" w:color="auto" w:fill="F4EFE7"/>
          </w:tcPr>
          <w:p>
            <w:pPr>
              <w:spacing w:after="0"/>
              <w:rPr>
                <w:sz w:val="13"/>
                <w:szCs w:val="13"/>
                <w:color w:val="auto"/>
              </w:rPr>
            </w:pPr>
          </w:p>
        </w:tc>
        <w:tc>
          <w:tcPr>
            <w:tcW w:w="940" w:type="dxa"/>
            <w:vAlign w:val="bottom"/>
            <w:shd w:val="clear" w:color="auto" w:fill="F4EFE7"/>
          </w:tcPr>
          <w:p>
            <w:pPr>
              <w:spacing w:after="0"/>
              <w:rPr>
                <w:sz w:val="13"/>
                <w:szCs w:val="13"/>
                <w:color w:val="auto"/>
              </w:rPr>
            </w:pPr>
          </w:p>
        </w:tc>
        <w:tc>
          <w:tcPr>
            <w:tcW w:w="100" w:type="dxa"/>
            <w:vAlign w:val="bottom"/>
            <w:shd w:val="clear" w:color="auto" w:fill="F4EFE7"/>
          </w:tcPr>
          <w:p>
            <w:pPr>
              <w:spacing w:after="0"/>
              <w:rPr>
                <w:sz w:val="13"/>
                <w:szCs w:val="13"/>
                <w:color w:val="auto"/>
              </w:rPr>
            </w:pPr>
          </w:p>
        </w:tc>
        <w:tc>
          <w:tcPr>
            <w:tcW w:w="320" w:type="dxa"/>
            <w:vAlign w:val="bottom"/>
            <w:shd w:val="clear" w:color="auto" w:fill="F4EFE7"/>
          </w:tcPr>
          <w:p>
            <w:pPr>
              <w:spacing w:after="0"/>
              <w:rPr>
                <w:sz w:val="13"/>
                <w:szCs w:val="13"/>
                <w:color w:val="auto"/>
              </w:rPr>
            </w:pPr>
          </w:p>
        </w:tc>
        <w:tc>
          <w:tcPr>
            <w:tcW w:w="980" w:type="dxa"/>
            <w:vAlign w:val="bottom"/>
            <w:shd w:val="clear" w:color="auto" w:fill="F4EFE7"/>
          </w:tcPr>
          <w:p>
            <w:pPr>
              <w:spacing w:after="0"/>
              <w:rPr>
                <w:sz w:val="13"/>
                <w:szCs w:val="13"/>
                <w:color w:val="auto"/>
              </w:rPr>
            </w:pPr>
          </w:p>
        </w:tc>
        <w:tc>
          <w:tcPr>
            <w:tcW w:w="820" w:type="dxa"/>
            <w:vAlign w:val="bottom"/>
            <w:shd w:val="clear" w:color="auto" w:fill="F4EFE7"/>
          </w:tcPr>
          <w:p>
            <w:pPr>
              <w:spacing w:after="0"/>
              <w:rPr>
                <w:sz w:val="13"/>
                <w:szCs w:val="13"/>
                <w:color w:val="auto"/>
              </w:rPr>
            </w:pPr>
          </w:p>
        </w:tc>
        <w:tc>
          <w:tcPr>
            <w:tcW w:w="1140" w:type="dxa"/>
            <w:vAlign w:val="bottom"/>
            <w:gridSpan w:val="2"/>
            <w:shd w:val="clear" w:color="auto" w:fill="F4EFE7"/>
          </w:tcPr>
          <w:p>
            <w:pPr>
              <w:jc w:val="right"/>
              <w:spacing w:after="0"/>
              <w:rPr>
                <w:sz w:val="20"/>
                <w:szCs w:val="20"/>
                <w:color w:val="auto"/>
              </w:rPr>
            </w:pPr>
            <w:r>
              <w:rPr>
                <w:rFonts w:ascii="Arial" w:cs="Arial" w:eastAsia="Arial" w:hAnsi="Arial"/>
                <w:sz w:val="13"/>
                <w:szCs w:val="13"/>
                <w:b w:val="1"/>
                <w:bCs w:val="1"/>
                <w:color w:val="8F5A39"/>
              </w:rPr>
              <w:t>Number of</w:t>
            </w:r>
          </w:p>
        </w:tc>
        <w:tc>
          <w:tcPr>
            <w:tcW w:w="0" w:type="dxa"/>
            <w:vAlign w:val="bottom"/>
          </w:tcPr>
          <w:p>
            <w:pPr>
              <w:spacing w:after="0"/>
              <w:rPr>
                <w:sz w:val="1"/>
                <w:szCs w:val="1"/>
                <w:color w:val="auto"/>
              </w:rPr>
            </w:pPr>
          </w:p>
        </w:tc>
      </w:tr>
      <w:tr>
        <w:trPr>
          <w:trHeight w:val="148"/>
        </w:trPr>
        <w:tc>
          <w:tcPr>
            <w:tcW w:w="1540" w:type="dxa"/>
            <w:vAlign w:val="bottom"/>
            <w:shd w:val="clear" w:color="auto" w:fill="F4EFE7"/>
          </w:tcPr>
          <w:p>
            <w:pPr>
              <w:spacing w:after="0"/>
              <w:rPr>
                <w:sz w:val="12"/>
                <w:szCs w:val="12"/>
                <w:color w:val="auto"/>
              </w:rPr>
            </w:pPr>
          </w:p>
        </w:tc>
        <w:tc>
          <w:tcPr>
            <w:tcW w:w="1220" w:type="dxa"/>
            <w:vAlign w:val="bottom"/>
            <w:shd w:val="clear" w:color="auto" w:fill="F4EFE7"/>
          </w:tcPr>
          <w:p>
            <w:pPr>
              <w:spacing w:after="0"/>
              <w:rPr>
                <w:sz w:val="12"/>
                <w:szCs w:val="12"/>
                <w:color w:val="auto"/>
              </w:rPr>
            </w:pPr>
          </w:p>
        </w:tc>
        <w:tc>
          <w:tcPr>
            <w:tcW w:w="1340" w:type="dxa"/>
            <w:vAlign w:val="bottom"/>
            <w:gridSpan w:val="2"/>
            <w:shd w:val="clear" w:color="auto" w:fill="F4EFE7"/>
          </w:tcPr>
          <w:p>
            <w:pPr>
              <w:jc w:val="right"/>
              <w:ind w:right="128"/>
              <w:spacing w:after="0"/>
              <w:rPr>
                <w:sz w:val="20"/>
                <w:szCs w:val="20"/>
                <w:color w:val="auto"/>
              </w:rPr>
            </w:pPr>
            <w:r>
              <w:rPr>
                <w:rFonts w:ascii="Arial" w:cs="Arial" w:eastAsia="Arial" w:hAnsi="Arial"/>
                <w:sz w:val="13"/>
                <w:szCs w:val="13"/>
                <w:b w:val="1"/>
                <w:bCs w:val="1"/>
                <w:color w:val="8F5A39"/>
              </w:rPr>
              <w:t>Number of</w:t>
            </w:r>
          </w:p>
        </w:tc>
        <w:tc>
          <w:tcPr>
            <w:tcW w:w="360" w:type="dxa"/>
            <w:vAlign w:val="bottom"/>
            <w:shd w:val="clear" w:color="auto" w:fill="F4EFE7"/>
          </w:tcPr>
          <w:p>
            <w:pPr>
              <w:spacing w:after="0"/>
              <w:rPr>
                <w:sz w:val="12"/>
                <w:szCs w:val="12"/>
                <w:color w:val="auto"/>
              </w:rPr>
            </w:pPr>
          </w:p>
        </w:tc>
        <w:tc>
          <w:tcPr>
            <w:tcW w:w="106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Number of</w:t>
            </w:r>
          </w:p>
        </w:tc>
        <w:tc>
          <w:tcPr>
            <w:tcW w:w="520" w:type="dxa"/>
            <w:vAlign w:val="bottom"/>
            <w:shd w:val="clear" w:color="auto" w:fill="F4EFE7"/>
          </w:tcPr>
          <w:p>
            <w:pPr>
              <w:spacing w:after="0"/>
              <w:rPr>
                <w:sz w:val="12"/>
                <w:szCs w:val="12"/>
                <w:color w:val="auto"/>
              </w:rPr>
            </w:pPr>
          </w:p>
        </w:tc>
        <w:tc>
          <w:tcPr>
            <w:tcW w:w="900" w:type="dxa"/>
            <w:vAlign w:val="bottom"/>
            <w:shd w:val="clear" w:color="auto" w:fill="F4EFE7"/>
          </w:tcPr>
          <w:p>
            <w:pPr>
              <w:spacing w:after="0"/>
              <w:rPr>
                <w:sz w:val="12"/>
                <w:szCs w:val="12"/>
                <w:color w:val="auto"/>
              </w:rPr>
            </w:pPr>
          </w:p>
        </w:tc>
        <w:tc>
          <w:tcPr>
            <w:tcW w:w="940" w:type="dxa"/>
            <w:vAlign w:val="bottom"/>
            <w:shd w:val="clear" w:color="auto" w:fill="F4EFE7"/>
          </w:tcPr>
          <w:p>
            <w:pPr>
              <w:spacing w:after="0"/>
              <w:rPr>
                <w:sz w:val="12"/>
                <w:szCs w:val="12"/>
                <w:color w:val="auto"/>
              </w:rPr>
            </w:pPr>
          </w:p>
        </w:tc>
        <w:tc>
          <w:tcPr>
            <w:tcW w:w="100" w:type="dxa"/>
            <w:vAlign w:val="bottom"/>
            <w:shd w:val="clear" w:color="auto" w:fill="F4EFE7"/>
          </w:tcPr>
          <w:p>
            <w:pPr>
              <w:spacing w:after="0"/>
              <w:rPr>
                <w:sz w:val="12"/>
                <w:szCs w:val="12"/>
                <w:color w:val="auto"/>
              </w:rPr>
            </w:pPr>
          </w:p>
        </w:tc>
        <w:tc>
          <w:tcPr>
            <w:tcW w:w="32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Number of</w:t>
            </w:r>
          </w:p>
        </w:tc>
        <w:tc>
          <w:tcPr>
            <w:tcW w:w="820" w:type="dxa"/>
            <w:vAlign w:val="bottom"/>
            <w:shd w:val="clear" w:color="auto" w:fill="F4EFE7"/>
          </w:tcPr>
          <w:p>
            <w:pPr>
              <w:spacing w:after="0"/>
              <w:rPr>
                <w:sz w:val="12"/>
                <w:szCs w:val="12"/>
                <w:color w:val="auto"/>
              </w:rPr>
            </w:pPr>
          </w:p>
        </w:tc>
        <w:tc>
          <w:tcPr>
            <w:tcW w:w="1140" w:type="dxa"/>
            <w:vAlign w:val="bottom"/>
            <w:gridSpan w:val="2"/>
            <w:shd w:val="clear" w:color="auto" w:fill="F4EFE7"/>
          </w:tcPr>
          <w:p>
            <w:pPr>
              <w:jc w:val="right"/>
              <w:spacing w:after="0"/>
              <w:rPr>
                <w:sz w:val="20"/>
                <w:szCs w:val="20"/>
                <w:color w:val="auto"/>
              </w:rPr>
            </w:pPr>
            <w:r>
              <w:rPr>
                <w:rFonts w:ascii="Arial" w:cs="Arial" w:eastAsia="Arial" w:hAnsi="Arial"/>
                <w:sz w:val="13"/>
                <w:szCs w:val="13"/>
                <w:b w:val="1"/>
                <w:bCs w:val="1"/>
                <w:color w:val="8F5A39"/>
              </w:rPr>
              <w:t>unearned</w:t>
            </w:r>
          </w:p>
        </w:tc>
        <w:tc>
          <w:tcPr>
            <w:tcW w:w="0" w:type="dxa"/>
            <w:vAlign w:val="bottom"/>
          </w:tcPr>
          <w:p>
            <w:pPr>
              <w:spacing w:after="0"/>
              <w:rPr>
                <w:sz w:val="1"/>
                <w:szCs w:val="1"/>
                <w:color w:val="auto"/>
              </w:rPr>
            </w:pPr>
          </w:p>
        </w:tc>
      </w:tr>
      <w:tr>
        <w:trPr>
          <w:trHeight w:val="149"/>
        </w:trPr>
        <w:tc>
          <w:tcPr>
            <w:tcW w:w="1540" w:type="dxa"/>
            <w:vAlign w:val="bottom"/>
            <w:shd w:val="clear" w:color="auto" w:fill="F4EFE7"/>
          </w:tcPr>
          <w:p>
            <w:pPr>
              <w:spacing w:after="0"/>
              <w:rPr>
                <w:sz w:val="12"/>
                <w:szCs w:val="12"/>
                <w:color w:val="auto"/>
              </w:rPr>
            </w:pPr>
          </w:p>
        </w:tc>
        <w:tc>
          <w:tcPr>
            <w:tcW w:w="1220" w:type="dxa"/>
            <w:vAlign w:val="bottom"/>
            <w:shd w:val="clear" w:color="auto" w:fill="F4EFE7"/>
          </w:tcPr>
          <w:p>
            <w:pPr>
              <w:spacing w:after="0"/>
              <w:rPr>
                <w:sz w:val="12"/>
                <w:szCs w:val="12"/>
                <w:color w:val="auto"/>
              </w:rPr>
            </w:pPr>
          </w:p>
        </w:tc>
        <w:tc>
          <w:tcPr>
            <w:tcW w:w="1340" w:type="dxa"/>
            <w:vAlign w:val="bottom"/>
            <w:gridSpan w:val="2"/>
            <w:shd w:val="clear" w:color="auto" w:fill="F4EFE7"/>
          </w:tcPr>
          <w:p>
            <w:pPr>
              <w:jc w:val="right"/>
              <w:ind w:right="128"/>
              <w:spacing w:after="0"/>
              <w:rPr>
                <w:sz w:val="20"/>
                <w:szCs w:val="20"/>
                <w:color w:val="auto"/>
              </w:rPr>
            </w:pPr>
            <w:r>
              <w:rPr>
                <w:rFonts w:ascii="Arial" w:cs="Arial" w:eastAsia="Arial" w:hAnsi="Arial"/>
                <w:sz w:val="13"/>
                <w:szCs w:val="13"/>
                <w:b w:val="1"/>
                <w:bCs w:val="1"/>
                <w:color w:val="8F5A39"/>
              </w:rPr>
              <w:t>securities</w:t>
            </w:r>
          </w:p>
        </w:tc>
        <w:tc>
          <w:tcPr>
            <w:tcW w:w="360" w:type="dxa"/>
            <w:vAlign w:val="bottom"/>
            <w:shd w:val="clear" w:color="auto" w:fill="F4EFE7"/>
          </w:tcPr>
          <w:p>
            <w:pPr>
              <w:spacing w:after="0"/>
              <w:rPr>
                <w:sz w:val="12"/>
                <w:szCs w:val="12"/>
                <w:color w:val="auto"/>
              </w:rPr>
            </w:pPr>
          </w:p>
        </w:tc>
        <w:tc>
          <w:tcPr>
            <w:tcW w:w="106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securities</w:t>
            </w:r>
          </w:p>
        </w:tc>
        <w:tc>
          <w:tcPr>
            <w:tcW w:w="520" w:type="dxa"/>
            <w:vAlign w:val="bottom"/>
            <w:shd w:val="clear" w:color="auto" w:fill="F4EFE7"/>
          </w:tcPr>
          <w:p>
            <w:pPr>
              <w:spacing w:after="0"/>
              <w:rPr>
                <w:sz w:val="12"/>
                <w:szCs w:val="12"/>
                <w:color w:val="auto"/>
              </w:rPr>
            </w:pPr>
          </w:p>
        </w:tc>
        <w:tc>
          <w:tcPr>
            <w:tcW w:w="900" w:type="dxa"/>
            <w:vAlign w:val="bottom"/>
            <w:shd w:val="clear" w:color="auto" w:fill="F4EFE7"/>
          </w:tcPr>
          <w:p>
            <w:pPr>
              <w:spacing w:after="0"/>
              <w:rPr>
                <w:sz w:val="12"/>
                <w:szCs w:val="12"/>
                <w:color w:val="auto"/>
              </w:rPr>
            </w:pPr>
          </w:p>
        </w:tc>
        <w:tc>
          <w:tcPr>
            <w:tcW w:w="940" w:type="dxa"/>
            <w:vAlign w:val="bottom"/>
            <w:shd w:val="clear" w:color="auto" w:fill="F4EFE7"/>
          </w:tcPr>
          <w:p>
            <w:pPr>
              <w:spacing w:after="0"/>
              <w:rPr>
                <w:sz w:val="12"/>
                <w:szCs w:val="12"/>
                <w:color w:val="auto"/>
              </w:rPr>
            </w:pPr>
          </w:p>
        </w:tc>
        <w:tc>
          <w:tcPr>
            <w:tcW w:w="100" w:type="dxa"/>
            <w:vAlign w:val="bottom"/>
            <w:shd w:val="clear" w:color="auto" w:fill="F4EFE7"/>
          </w:tcPr>
          <w:p>
            <w:pPr>
              <w:spacing w:after="0"/>
              <w:rPr>
                <w:sz w:val="12"/>
                <w:szCs w:val="12"/>
                <w:color w:val="auto"/>
              </w:rPr>
            </w:pPr>
          </w:p>
        </w:tc>
        <w:tc>
          <w:tcPr>
            <w:tcW w:w="32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shares or</w:t>
            </w:r>
          </w:p>
        </w:tc>
        <w:tc>
          <w:tcPr>
            <w:tcW w:w="820" w:type="dxa"/>
            <w:vAlign w:val="bottom"/>
            <w:shd w:val="clear" w:color="auto" w:fill="F4EFE7"/>
          </w:tcPr>
          <w:p>
            <w:pPr>
              <w:spacing w:after="0"/>
              <w:rPr>
                <w:sz w:val="12"/>
                <w:szCs w:val="12"/>
                <w:color w:val="auto"/>
              </w:rPr>
            </w:pPr>
          </w:p>
        </w:tc>
        <w:tc>
          <w:tcPr>
            <w:tcW w:w="1140" w:type="dxa"/>
            <w:vAlign w:val="bottom"/>
            <w:gridSpan w:val="2"/>
            <w:shd w:val="clear" w:color="auto" w:fill="F4EFE7"/>
          </w:tcPr>
          <w:p>
            <w:pPr>
              <w:jc w:val="right"/>
              <w:spacing w:after="0"/>
              <w:rPr>
                <w:sz w:val="20"/>
                <w:szCs w:val="20"/>
                <w:color w:val="auto"/>
              </w:rPr>
            </w:pPr>
            <w:r>
              <w:rPr>
                <w:rFonts w:ascii="Arial" w:cs="Arial" w:eastAsia="Arial" w:hAnsi="Arial"/>
                <w:sz w:val="13"/>
                <w:szCs w:val="13"/>
                <w:b w:val="1"/>
                <w:bCs w:val="1"/>
                <w:color w:val="8F5A39"/>
              </w:rPr>
              <w:t>performance</w:t>
            </w:r>
          </w:p>
        </w:tc>
        <w:tc>
          <w:tcPr>
            <w:tcW w:w="0" w:type="dxa"/>
            <w:vAlign w:val="bottom"/>
          </w:tcPr>
          <w:p>
            <w:pPr>
              <w:spacing w:after="0"/>
              <w:rPr>
                <w:sz w:val="1"/>
                <w:szCs w:val="1"/>
                <w:color w:val="auto"/>
              </w:rPr>
            </w:pPr>
          </w:p>
        </w:tc>
      </w:tr>
      <w:tr>
        <w:trPr>
          <w:trHeight w:val="148"/>
        </w:trPr>
        <w:tc>
          <w:tcPr>
            <w:tcW w:w="1540" w:type="dxa"/>
            <w:vAlign w:val="bottom"/>
            <w:shd w:val="clear" w:color="auto" w:fill="F4EFE7"/>
          </w:tcPr>
          <w:p>
            <w:pPr>
              <w:spacing w:after="0"/>
              <w:rPr>
                <w:sz w:val="12"/>
                <w:szCs w:val="12"/>
                <w:color w:val="auto"/>
              </w:rPr>
            </w:pPr>
          </w:p>
        </w:tc>
        <w:tc>
          <w:tcPr>
            <w:tcW w:w="1220" w:type="dxa"/>
            <w:vAlign w:val="bottom"/>
            <w:shd w:val="clear" w:color="auto" w:fill="F4EFE7"/>
          </w:tcPr>
          <w:p>
            <w:pPr>
              <w:spacing w:after="0"/>
              <w:rPr>
                <w:sz w:val="12"/>
                <w:szCs w:val="12"/>
                <w:color w:val="auto"/>
              </w:rPr>
            </w:pPr>
          </w:p>
        </w:tc>
        <w:tc>
          <w:tcPr>
            <w:tcW w:w="1340" w:type="dxa"/>
            <w:vAlign w:val="bottom"/>
            <w:gridSpan w:val="2"/>
            <w:shd w:val="clear" w:color="auto" w:fill="F4EFE7"/>
          </w:tcPr>
          <w:p>
            <w:pPr>
              <w:jc w:val="right"/>
              <w:ind w:right="128"/>
              <w:spacing w:after="0"/>
              <w:rPr>
                <w:sz w:val="20"/>
                <w:szCs w:val="20"/>
                <w:color w:val="auto"/>
              </w:rPr>
            </w:pPr>
            <w:r>
              <w:rPr>
                <w:rFonts w:ascii="Arial" w:cs="Arial" w:eastAsia="Arial" w:hAnsi="Arial"/>
                <w:sz w:val="13"/>
                <w:szCs w:val="13"/>
                <w:b w:val="1"/>
                <w:bCs w:val="1"/>
                <w:color w:val="8F5A39"/>
              </w:rPr>
              <w:t>underlying</w:t>
            </w:r>
          </w:p>
        </w:tc>
        <w:tc>
          <w:tcPr>
            <w:tcW w:w="360" w:type="dxa"/>
            <w:vAlign w:val="bottom"/>
            <w:shd w:val="clear" w:color="auto" w:fill="F4EFE7"/>
          </w:tcPr>
          <w:p>
            <w:pPr>
              <w:spacing w:after="0"/>
              <w:rPr>
                <w:sz w:val="12"/>
                <w:szCs w:val="12"/>
                <w:color w:val="auto"/>
              </w:rPr>
            </w:pPr>
          </w:p>
        </w:tc>
        <w:tc>
          <w:tcPr>
            <w:tcW w:w="106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underlying</w:t>
            </w:r>
          </w:p>
        </w:tc>
        <w:tc>
          <w:tcPr>
            <w:tcW w:w="520" w:type="dxa"/>
            <w:vAlign w:val="bottom"/>
            <w:shd w:val="clear" w:color="auto" w:fill="F4EFE7"/>
          </w:tcPr>
          <w:p>
            <w:pPr>
              <w:spacing w:after="0"/>
              <w:rPr>
                <w:sz w:val="12"/>
                <w:szCs w:val="12"/>
                <w:color w:val="auto"/>
              </w:rPr>
            </w:pPr>
          </w:p>
        </w:tc>
        <w:tc>
          <w:tcPr>
            <w:tcW w:w="900" w:type="dxa"/>
            <w:vAlign w:val="bottom"/>
            <w:shd w:val="clear" w:color="auto" w:fill="F4EFE7"/>
          </w:tcPr>
          <w:p>
            <w:pPr>
              <w:spacing w:after="0"/>
              <w:rPr>
                <w:sz w:val="12"/>
                <w:szCs w:val="12"/>
                <w:color w:val="auto"/>
              </w:rPr>
            </w:pPr>
          </w:p>
        </w:tc>
        <w:tc>
          <w:tcPr>
            <w:tcW w:w="940" w:type="dxa"/>
            <w:vAlign w:val="bottom"/>
            <w:shd w:val="clear" w:color="auto" w:fill="F4EFE7"/>
          </w:tcPr>
          <w:p>
            <w:pPr>
              <w:spacing w:after="0"/>
              <w:rPr>
                <w:sz w:val="12"/>
                <w:szCs w:val="12"/>
                <w:color w:val="auto"/>
              </w:rPr>
            </w:pPr>
          </w:p>
        </w:tc>
        <w:tc>
          <w:tcPr>
            <w:tcW w:w="100" w:type="dxa"/>
            <w:vAlign w:val="bottom"/>
            <w:shd w:val="clear" w:color="auto" w:fill="F4EFE7"/>
          </w:tcPr>
          <w:p>
            <w:pPr>
              <w:spacing w:after="0"/>
              <w:rPr>
                <w:sz w:val="12"/>
                <w:szCs w:val="12"/>
                <w:color w:val="auto"/>
              </w:rPr>
            </w:pPr>
          </w:p>
        </w:tc>
        <w:tc>
          <w:tcPr>
            <w:tcW w:w="32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units</w:t>
            </w:r>
          </w:p>
        </w:tc>
        <w:tc>
          <w:tcPr>
            <w:tcW w:w="820" w:type="dxa"/>
            <w:vAlign w:val="bottom"/>
            <w:shd w:val="clear" w:color="auto" w:fill="F4EFE7"/>
          </w:tcPr>
          <w:p>
            <w:pPr>
              <w:spacing w:after="0"/>
              <w:rPr>
                <w:sz w:val="12"/>
                <w:szCs w:val="12"/>
                <w:color w:val="auto"/>
              </w:rPr>
            </w:pPr>
          </w:p>
        </w:tc>
        <w:tc>
          <w:tcPr>
            <w:tcW w:w="1140" w:type="dxa"/>
            <w:vAlign w:val="bottom"/>
            <w:gridSpan w:val="2"/>
            <w:shd w:val="clear" w:color="auto" w:fill="F4EFE7"/>
          </w:tcPr>
          <w:p>
            <w:pPr>
              <w:jc w:val="right"/>
              <w:spacing w:after="0"/>
              <w:rPr>
                <w:sz w:val="20"/>
                <w:szCs w:val="20"/>
                <w:color w:val="auto"/>
              </w:rPr>
            </w:pPr>
            <w:r>
              <w:rPr>
                <w:rFonts w:ascii="Arial" w:cs="Arial" w:eastAsia="Arial" w:hAnsi="Arial"/>
                <w:sz w:val="13"/>
                <w:szCs w:val="13"/>
                <w:b w:val="1"/>
                <w:bCs w:val="1"/>
                <w:color w:val="8F5A39"/>
              </w:rPr>
              <w:t>shares or units</w:t>
            </w:r>
          </w:p>
        </w:tc>
        <w:tc>
          <w:tcPr>
            <w:tcW w:w="0" w:type="dxa"/>
            <w:vAlign w:val="bottom"/>
          </w:tcPr>
          <w:p>
            <w:pPr>
              <w:spacing w:after="0"/>
              <w:rPr>
                <w:sz w:val="1"/>
                <w:szCs w:val="1"/>
                <w:color w:val="auto"/>
              </w:rPr>
            </w:pPr>
          </w:p>
        </w:tc>
      </w:tr>
      <w:tr>
        <w:trPr>
          <w:trHeight w:val="148"/>
        </w:trPr>
        <w:tc>
          <w:tcPr>
            <w:tcW w:w="1540" w:type="dxa"/>
            <w:vAlign w:val="bottom"/>
            <w:shd w:val="clear" w:color="auto" w:fill="F4EFE7"/>
          </w:tcPr>
          <w:p>
            <w:pPr>
              <w:spacing w:after="0"/>
              <w:rPr>
                <w:sz w:val="12"/>
                <w:szCs w:val="12"/>
                <w:color w:val="auto"/>
              </w:rPr>
            </w:pPr>
          </w:p>
        </w:tc>
        <w:tc>
          <w:tcPr>
            <w:tcW w:w="1220" w:type="dxa"/>
            <w:vAlign w:val="bottom"/>
            <w:shd w:val="clear" w:color="auto" w:fill="F4EFE7"/>
          </w:tcPr>
          <w:p>
            <w:pPr>
              <w:jc w:val="right"/>
              <w:ind w:right="129"/>
              <w:spacing w:after="0"/>
              <w:rPr>
                <w:sz w:val="20"/>
                <w:szCs w:val="20"/>
                <w:color w:val="auto"/>
              </w:rPr>
            </w:pPr>
            <w:r>
              <w:rPr>
                <w:rFonts w:ascii="Arial" w:cs="Arial" w:eastAsia="Arial" w:hAnsi="Arial"/>
                <w:sz w:val="13"/>
                <w:szCs w:val="13"/>
                <w:b w:val="1"/>
                <w:bCs w:val="1"/>
                <w:color w:val="8F5A39"/>
              </w:rPr>
              <w:t>Option/</w:t>
            </w:r>
          </w:p>
        </w:tc>
        <w:tc>
          <w:tcPr>
            <w:tcW w:w="1340" w:type="dxa"/>
            <w:vAlign w:val="bottom"/>
            <w:gridSpan w:val="2"/>
            <w:shd w:val="clear" w:color="auto" w:fill="F4EFE7"/>
          </w:tcPr>
          <w:p>
            <w:pPr>
              <w:jc w:val="right"/>
              <w:ind w:right="128"/>
              <w:spacing w:after="0"/>
              <w:rPr>
                <w:sz w:val="20"/>
                <w:szCs w:val="20"/>
                <w:color w:val="auto"/>
              </w:rPr>
            </w:pPr>
            <w:r>
              <w:rPr>
                <w:rFonts w:ascii="Arial" w:cs="Arial" w:eastAsia="Arial" w:hAnsi="Arial"/>
                <w:sz w:val="13"/>
                <w:szCs w:val="13"/>
                <w:b w:val="1"/>
                <w:bCs w:val="1"/>
                <w:color w:val="8F5A39"/>
              </w:rPr>
              <w:t>unexercised</w:t>
            </w:r>
          </w:p>
        </w:tc>
        <w:tc>
          <w:tcPr>
            <w:tcW w:w="360" w:type="dxa"/>
            <w:vAlign w:val="bottom"/>
            <w:shd w:val="clear" w:color="auto" w:fill="F4EFE7"/>
          </w:tcPr>
          <w:p>
            <w:pPr>
              <w:spacing w:after="0"/>
              <w:rPr>
                <w:sz w:val="12"/>
                <w:szCs w:val="12"/>
                <w:color w:val="auto"/>
              </w:rPr>
            </w:pPr>
          </w:p>
        </w:tc>
        <w:tc>
          <w:tcPr>
            <w:tcW w:w="106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unexercised</w:t>
            </w:r>
          </w:p>
        </w:tc>
        <w:tc>
          <w:tcPr>
            <w:tcW w:w="520" w:type="dxa"/>
            <w:vAlign w:val="bottom"/>
            <w:shd w:val="clear" w:color="auto" w:fill="F4EFE7"/>
          </w:tcPr>
          <w:p>
            <w:pPr>
              <w:spacing w:after="0"/>
              <w:rPr>
                <w:sz w:val="12"/>
                <w:szCs w:val="12"/>
                <w:color w:val="auto"/>
              </w:rPr>
            </w:pPr>
          </w:p>
        </w:tc>
        <w:tc>
          <w:tcPr>
            <w:tcW w:w="900" w:type="dxa"/>
            <w:vAlign w:val="bottom"/>
            <w:shd w:val="clear" w:color="auto" w:fill="F4EFE7"/>
          </w:tcPr>
          <w:p>
            <w:pPr>
              <w:jc w:val="right"/>
              <w:ind w:right="49"/>
              <w:spacing w:after="0"/>
              <w:rPr>
                <w:sz w:val="20"/>
                <w:szCs w:val="20"/>
                <w:color w:val="auto"/>
              </w:rPr>
            </w:pPr>
            <w:r>
              <w:rPr>
                <w:rFonts w:ascii="Arial" w:cs="Arial" w:eastAsia="Arial" w:hAnsi="Arial"/>
                <w:sz w:val="13"/>
                <w:szCs w:val="13"/>
                <w:b w:val="1"/>
                <w:bCs w:val="1"/>
                <w:color w:val="8F5A39"/>
              </w:rPr>
              <w:t>Option</w:t>
            </w:r>
          </w:p>
        </w:tc>
        <w:tc>
          <w:tcPr>
            <w:tcW w:w="1360" w:type="dxa"/>
            <w:vAlign w:val="bottom"/>
            <w:gridSpan w:val="3"/>
            <w:shd w:val="clear" w:color="auto" w:fill="F4EFE7"/>
          </w:tcPr>
          <w:p>
            <w:pPr>
              <w:jc w:val="right"/>
              <w:ind w:right="440"/>
              <w:spacing w:after="0"/>
              <w:rPr>
                <w:sz w:val="20"/>
                <w:szCs w:val="20"/>
                <w:color w:val="auto"/>
              </w:rPr>
            </w:pPr>
            <w:r>
              <w:rPr>
                <w:rFonts w:ascii="Arial" w:cs="Arial" w:eastAsia="Arial" w:hAnsi="Arial"/>
                <w:sz w:val="13"/>
                <w:szCs w:val="13"/>
                <w:b w:val="1"/>
                <w:bCs w:val="1"/>
                <w:color w:val="8F5A39"/>
              </w:rPr>
              <w:t>Option</w:t>
            </w: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of stock that</w:t>
            </w:r>
          </w:p>
        </w:tc>
        <w:tc>
          <w:tcPr>
            <w:tcW w:w="820" w:type="dxa"/>
            <w:vAlign w:val="bottom"/>
            <w:shd w:val="clear" w:color="auto" w:fill="F4EFE7"/>
          </w:tcPr>
          <w:p>
            <w:pPr>
              <w:spacing w:after="0"/>
              <w:rPr>
                <w:sz w:val="12"/>
                <w:szCs w:val="12"/>
                <w:color w:val="auto"/>
              </w:rPr>
            </w:pPr>
          </w:p>
        </w:tc>
        <w:tc>
          <w:tcPr>
            <w:tcW w:w="1140" w:type="dxa"/>
            <w:vAlign w:val="bottom"/>
            <w:gridSpan w:val="2"/>
            <w:shd w:val="clear" w:color="auto" w:fill="F4EFE7"/>
          </w:tcPr>
          <w:p>
            <w:pPr>
              <w:jc w:val="right"/>
              <w:spacing w:after="0"/>
              <w:rPr>
                <w:sz w:val="20"/>
                <w:szCs w:val="20"/>
                <w:color w:val="auto"/>
              </w:rPr>
            </w:pPr>
            <w:r>
              <w:rPr>
                <w:rFonts w:ascii="Arial" w:cs="Arial" w:eastAsia="Arial" w:hAnsi="Arial"/>
                <w:sz w:val="13"/>
                <w:szCs w:val="13"/>
                <w:b w:val="1"/>
                <w:bCs w:val="1"/>
                <w:color w:val="8F5A39"/>
              </w:rPr>
              <w:t>of stock that</w:t>
            </w:r>
          </w:p>
        </w:tc>
        <w:tc>
          <w:tcPr>
            <w:tcW w:w="0" w:type="dxa"/>
            <w:vAlign w:val="bottom"/>
          </w:tcPr>
          <w:p>
            <w:pPr>
              <w:spacing w:after="0"/>
              <w:rPr>
                <w:sz w:val="1"/>
                <w:szCs w:val="1"/>
                <w:color w:val="auto"/>
              </w:rPr>
            </w:pPr>
          </w:p>
        </w:tc>
      </w:tr>
      <w:tr>
        <w:trPr>
          <w:trHeight w:val="148"/>
        </w:trPr>
        <w:tc>
          <w:tcPr>
            <w:tcW w:w="1540" w:type="dxa"/>
            <w:vAlign w:val="bottom"/>
            <w:shd w:val="clear" w:color="auto" w:fill="F4EFE7"/>
          </w:tcPr>
          <w:p>
            <w:pPr>
              <w:spacing w:after="0"/>
              <w:rPr>
                <w:sz w:val="12"/>
                <w:szCs w:val="12"/>
                <w:color w:val="auto"/>
              </w:rPr>
            </w:pPr>
          </w:p>
        </w:tc>
        <w:tc>
          <w:tcPr>
            <w:tcW w:w="1220" w:type="dxa"/>
            <w:vAlign w:val="bottom"/>
            <w:shd w:val="clear" w:color="auto" w:fill="F4EFE7"/>
          </w:tcPr>
          <w:p>
            <w:pPr>
              <w:jc w:val="right"/>
              <w:ind w:right="129"/>
              <w:spacing w:after="0"/>
              <w:rPr>
                <w:sz w:val="20"/>
                <w:szCs w:val="20"/>
                <w:color w:val="auto"/>
              </w:rPr>
            </w:pPr>
            <w:r>
              <w:rPr>
                <w:rFonts w:ascii="Arial" w:cs="Arial" w:eastAsia="Arial" w:hAnsi="Arial"/>
                <w:sz w:val="13"/>
                <w:szCs w:val="13"/>
                <w:b w:val="1"/>
                <w:bCs w:val="1"/>
                <w:color w:val="8F5A39"/>
              </w:rPr>
              <w:t>stock award</w:t>
            </w:r>
          </w:p>
        </w:tc>
        <w:tc>
          <w:tcPr>
            <w:tcW w:w="1340" w:type="dxa"/>
            <w:vAlign w:val="bottom"/>
            <w:gridSpan w:val="2"/>
            <w:shd w:val="clear" w:color="auto" w:fill="F4EFE7"/>
          </w:tcPr>
          <w:p>
            <w:pPr>
              <w:jc w:val="right"/>
              <w:ind w:right="128"/>
              <w:spacing w:after="0"/>
              <w:rPr>
                <w:sz w:val="20"/>
                <w:szCs w:val="20"/>
                <w:color w:val="auto"/>
              </w:rPr>
            </w:pPr>
            <w:r>
              <w:rPr>
                <w:rFonts w:ascii="Arial" w:cs="Arial" w:eastAsia="Arial" w:hAnsi="Arial"/>
                <w:sz w:val="13"/>
                <w:szCs w:val="13"/>
                <w:b w:val="1"/>
                <w:bCs w:val="1"/>
                <w:color w:val="8F5A39"/>
              </w:rPr>
              <w:t>options: #</w:t>
            </w:r>
          </w:p>
        </w:tc>
        <w:tc>
          <w:tcPr>
            <w:tcW w:w="360" w:type="dxa"/>
            <w:vAlign w:val="bottom"/>
            <w:shd w:val="clear" w:color="auto" w:fill="F4EFE7"/>
          </w:tcPr>
          <w:p>
            <w:pPr>
              <w:spacing w:after="0"/>
              <w:rPr>
                <w:sz w:val="12"/>
                <w:szCs w:val="12"/>
                <w:color w:val="auto"/>
              </w:rPr>
            </w:pPr>
          </w:p>
        </w:tc>
        <w:tc>
          <w:tcPr>
            <w:tcW w:w="106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options: #</w:t>
            </w:r>
          </w:p>
        </w:tc>
        <w:tc>
          <w:tcPr>
            <w:tcW w:w="520" w:type="dxa"/>
            <w:vAlign w:val="bottom"/>
            <w:shd w:val="clear" w:color="auto" w:fill="F4EFE7"/>
          </w:tcPr>
          <w:p>
            <w:pPr>
              <w:spacing w:after="0"/>
              <w:rPr>
                <w:sz w:val="12"/>
                <w:szCs w:val="12"/>
                <w:color w:val="auto"/>
              </w:rPr>
            </w:pPr>
          </w:p>
        </w:tc>
        <w:tc>
          <w:tcPr>
            <w:tcW w:w="900" w:type="dxa"/>
            <w:vAlign w:val="bottom"/>
            <w:shd w:val="clear" w:color="auto" w:fill="F4EFE7"/>
          </w:tcPr>
          <w:p>
            <w:pPr>
              <w:jc w:val="right"/>
              <w:ind w:right="49"/>
              <w:spacing w:after="0"/>
              <w:rPr>
                <w:sz w:val="20"/>
                <w:szCs w:val="20"/>
                <w:color w:val="auto"/>
              </w:rPr>
            </w:pPr>
            <w:r>
              <w:rPr>
                <w:rFonts w:ascii="Arial" w:cs="Arial" w:eastAsia="Arial" w:hAnsi="Arial"/>
                <w:sz w:val="13"/>
                <w:szCs w:val="13"/>
                <w:b w:val="1"/>
                <w:bCs w:val="1"/>
                <w:color w:val="8F5A39"/>
              </w:rPr>
              <w:t>exercise</w:t>
            </w:r>
          </w:p>
        </w:tc>
        <w:tc>
          <w:tcPr>
            <w:tcW w:w="1360" w:type="dxa"/>
            <w:vAlign w:val="bottom"/>
            <w:gridSpan w:val="3"/>
            <w:shd w:val="clear" w:color="auto" w:fill="F4EFE7"/>
          </w:tcPr>
          <w:p>
            <w:pPr>
              <w:jc w:val="right"/>
              <w:ind w:right="440"/>
              <w:spacing w:after="0"/>
              <w:rPr>
                <w:sz w:val="20"/>
                <w:szCs w:val="20"/>
                <w:color w:val="auto"/>
              </w:rPr>
            </w:pPr>
            <w:r>
              <w:rPr>
                <w:rFonts w:ascii="Arial" w:cs="Arial" w:eastAsia="Arial" w:hAnsi="Arial"/>
                <w:sz w:val="13"/>
                <w:szCs w:val="13"/>
                <w:b w:val="1"/>
                <w:bCs w:val="1"/>
                <w:color w:val="8F5A39"/>
              </w:rPr>
              <w:t>expiration</w:t>
            </w: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have not</w:t>
            </w:r>
          </w:p>
        </w:tc>
        <w:tc>
          <w:tcPr>
            <w:tcW w:w="820" w:type="dxa"/>
            <w:vAlign w:val="bottom"/>
            <w:shd w:val="clear" w:color="auto" w:fill="F4EFE7"/>
          </w:tcPr>
          <w:p>
            <w:pPr>
              <w:spacing w:after="0"/>
              <w:rPr>
                <w:sz w:val="12"/>
                <w:szCs w:val="12"/>
                <w:color w:val="auto"/>
              </w:rPr>
            </w:pPr>
          </w:p>
        </w:tc>
        <w:tc>
          <w:tcPr>
            <w:tcW w:w="1140" w:type="dxa"/>
            <w:vAlign w:val="bottom"/>
            <w:gridSpan w:val="2"/>
            <w:shd w:val="clear" w:color="auto" w:fill="F4EFE7"/>
          </w:tcPr>
          <w:p>
            <w:pPr>
              <w:jc w:val="right"/>
              <w:spacing w:after="0"/>
              <w:rPr>
                <w:sz w:val="20"/>
                <w:szCs w:val="20"/>
                <w:color w:val="auto"/>
              </w:rPr>
            </w:pPr>
            <w:r>
              <w:rPr>
                <w:rFonts w:ascii="Arial" w:cs="Arial" w:eastAsia="Arial" w:hAnsi="Arial"/>
                <w:sz w:val="13"/>
                <w:szCs w:val="13"/>
                <w:b w:val="1"/>
                <w:bCs w:val="1"/>
                <w:color w:val="8F5A39"/>
              </w:rPr>
              <w:t>have not</w:t>
            </w:r>
          </w:p>
        </w:tc>
        <w:tc>
          <w:tcPr>
            <w:tcW w:w="0" w:type="dxa"/>
            <w:vAlign w:val="bottom"/>
          </w:tcPr>
          <w:p>
            <w:pPr>
              <w:spacing w:after="0"/>
              <w:rPr>
                <w:sz w:val="1"/>
                <w:szCs w:val="1"/>
                <w:color w:val="auto"/>
              </w:rPr>
            </w:pPr>
          </w:p>
        </w:tc>
      </w:tr>
      <w:tr>
        <w:trPr>
          <w:trHeight w:val="207"/>
        </w:trPr>
        <w:tc>
          <w:tcPr>
            <w:tcW w:w="154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3"/>
                <w:szCs w:val="13"/>
                <w:b w:val="1"/>
                <w:bCs w:val="1"/>
                <w:color w:val="8F5A39"/>
              </w:rPr>
              <w:t>Name</w:t>
            </w:r>
          </w:p>
        </w:tc>
        <w:tc>
          <w:tcPr>
            <w:tcW w:w="1220" w:type="dxa"/>
            <w:vAlign w:val="bottom"/>
            <w:tcBorders>
              <w:bottom w:val="single" w:sz="8" w:color="auto"/>
            </w:tcBorders>
            <w:shd w:val="clear" w:color="auto" w:fill="F4EFE7"/>
          </w:tcPr>
          <w:p>
            <w:pPr>
              <w:jc w:val="right"/>
              <w:ind w:right="129"/>
              <w:spacing w:after="0"/>
              <w:rPr>
                <w:sz w:val="20"/>
                <w:szCs w:val="20"/>
                <w:color w:val="auto"/>
              </w:rPr>
            </w:pPr>
            <w:r>
              <w:rPr>
                <w:rFonts w:ascii="Arial" w:cs="Arial" w:eastAsia="Arial" w:hAnsi="Arial"/>
                <w:sz w:val="13"/>
                <w:szCs w:val="13"/>
                <w:b w:val="1"/>
                <w:bCs w:val="1"/>
                <w:color w:val="8F5A39"/>
              </w:rPr>
              <w:t>grant date</w:t>
            </w:r>
            <w:r>
              <w:rPr>
                <w:rFonts w:ascii="Arial" w:cs="Arial" w:eastAsia="Arial" w:hAnsi="Arial"/>
                <w:sz w:val="16"/>
                <w:szCs w:val="16"/>
                <w:b w:val="1"/>
                <w:bCs w:val="1"/>
                <w:color w:val="8F5A39"/>
                <w:vertAlign w:val="superscript"/>
              </w:rPr>
              <w:t>1</w:t>
            </w:r>
          </w:p>
        </w:tc>
        <w:tc>
          <w:tcPr>
            <w:tcW w:w="1340" w:type="dxa"/>
            <w:vAlign w:val="bottom"/>
            <w:tcBorders>
              <w:bottom w:val="single" w:sz="8" w:color="auto"/>
            </w:tcBorders>
            <w:gridSpan w:val="2"/>
            <w:shd w:val="clear" w:color="auto" w:fill="F4EFE7"/>
          </w:tcPr>
          <w:p>
            <w:pPr>
              <w:jc w:val="right"/>
              <w:ind w:right="128"/>
              <w:spacing w:after="0"/>
              <w:rPr>
                <w:sz w:val="20"/>
                <w:szCs w:val="20"/>
                <w:color w:val="auto"/>
              </w:rPr>
            </w:pPr>
            <w:r>
              <w:rPr>
                <w:rFonts w:ascii="Arial" w:cs="Arial" w:eastAsia="Arial" w:hAnsi="Arial"/>
                <w:sz w:val="13"/>
                <w:szCs w:val="13"/>
                <w:b w:val="1"/>
                <w:bCs w:val="1"/>
                <w:color w:val="8F5A39"/>
              </w:rPr>
              <w:t>exercisable</w:t>
            </w:r>
            <w:r>
              <w:rPr>
                <w:rFonts w:ascii="Arial" w:cs="Arial" w:eastAsia="Arial" w:hAnsi="Arial"/>
                <w:sz w:val="16"/>
                <w:szCs w:val="16"/>
                <w:b w:val="1"/>
                <w:bCs w:val="1"/>
                <w:color w:val="8F5A39"/>
                <w:vertAlign w:val="superscript"/>
              </w:rPr>
              <w:t>1,2</w:t>
            </w:r>
          </w:p>
        </w:tc>
        <w:tc>
          <w:tcPr>
            <w:tcW w:w="360" w:type="dxa"/>
            <w:vAlign w:val="bottom"/>
            <w:tcBorders>
              <w:bottom w:val="single" w:sz="8" w:color="auto"/>
            </w:tcBorders>
            <w:shd w:val="clear" w:color="auto" w:fill="F4EFE7"/>
          </w:tcPr>
          <w:p>
            <w:pPr>
              <w:spacing w:after="0"/>
              <w:rPr>
                <w:sz w:val="18"/>
                <w:szCs w:val="18"/>
                <w:color w:val="auto"/>
              </w:rPr>
            </w:pPr>
          </w:p>
        </w:tc>
        <w:tc>
          <w:tcPr>
            <w:tcW w:w="106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3"/>
                <w:szCs w:val="13"/>
                <w:b w:val="1"/>
                <w:bCs w:val="1"/>
                <w:color w:val="8F5A39"/>
              </w:rPr>
              <w:t>unexercisable</w:t>
            </w:r>
            <w:r>
              <w:rPr>
                <w:rFonts w:ascii="Arial" w:cs="Arial" w:eastAsia="Arial" w:hAnsi="Arial"/>
                <w:sz w:val="16"/>
                <w:szCs w:val="16"/>
                <w:b w:val="1"/>
                <w:bCs w:val="1"/>
                <w:color w:val="8F5A39"/>
                <w:vertAlign w:val="superscript"/>
              </w:rPr>
              <w:t>1,2</w:t>
            </w:r>
          </w:p>
        </w:tc>
        <w:tc>
          <w:tcPr>
            <w:tcW w:w="520" w:type="dxa"/>
            <w:vAlign w:val="bottom"/>
            <w:tcBorders>
              <w:bottom w:val="single" w:sz="8" w:color="auto"/>
            </w:tcBorders>
            <w:shd w:val="clear" w:color="auto" w:fill="F4EFE7"/>
          </w:tcPr>
          <w:p>
            <w:pPr>
              <w:spacing w:after="0"/>
              <w:rPr>
                <w:sz w:val="18"/>
                <w:szCs w:val="18"/>
                <w:color w:val="auto"/>
              </w:rPr>
            </w:pPr>
          </w:p>
        </w:tc>
        <w:tc>
          <w:tcPr>
            <w:tcW w:w="900" w:type="dxa"/>
            <w:vAlign w:val="bottom"/>
            <w:tcBorders>
              <w:bottom w:val="single" w:sz="8" w:color="auto"/>
            </w:tcBorders>
            <w:shd w:val="clear" w:color="auto" w:fill="F4EFE7"/>
          </w:tcPr>
          <w:p>
            <w:pPr>
              <w:jc w:val="right"/>
              <w:ind w:right="49"/>
              <w:spacing w:after="0"/>
              <w:rPr>
                <w:sz w:val="20"/>
                <w:szCs w:val="20"/>
                <w:color w:val="auto"/>
              </w:rPr>
            </w:pPr>
            <w:r>
              <w:rPr>
                <w:rFonts w:ascii="Arial" w:cs="Arial" w:eastAsia="Arial" w:hAnsi="Arial"/>
                <w:sz w:val="13"/>
                <w:szCs w:val="13"/>
                <w:b w:val="1"/>
                <w:bCs w:val="1"/>
                <w:color w:val="8F5A39"/>
              </w:rPr>
              <w:t>price ($)</w:t>
            </w:r>
          </w:p>
        </w:tc>
        <w:tc>
          <w:tcPr>
            <w:tcW w:w="1360" w:type="dxa"/>
            <w:vAlign w:val="bottom"/>
            <w:tcBorders>
              <w:bottom w:val="single" w:sz="8" w:color="auto"/>
            </w:tcBorders>
            <w:gridSpan w:val="3"/>
            <w:shd w:val="clear" w:color="auto" w:fill="F4EFE7"/>
          </w:tcPr>
          <w:p>
            <w:pPr>
              <w:jc w:val="center"/>
              <w:ind w:left="149"/>
              <w:spacing w:after="0"/>
              <w:rPr>
                <w:sz w:val="20"/>
                <w:szCs w:val="20"/>
                <w:color w:val="auto"/>
              </w:rPr>
            </w:pPr>
            <w:r>
              <w:rPr>
                <w:rFonts w:ascii="Arial" w:cs="Arial" w:eastAsia="Arial" w:hAnsi="Arial"/>
                <w:sz w:val="13"/>
                <w:szCs w:val="13"/>
                <w:b w:val="1"/>
                <w:bCs w:val="1"/>
                <w:color w:val="8F5A39"/>
                <w:w w:val="97"/>
              </w:rPr>
              <w:t>date</w:t>
            </w:r>
          </w:p>
        </w:tc>
        <w:tc>
          <w:tcPr>
            <w:tcW w:w="98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3"/>
                <w:szCs w:val="13"/>
                <w:b w:val="1"/>
                <w:bCs w:val="1"/>
                <w:color w:val="8F5A39"/>
              </w:rPr>
              <w:t>vested</w:t>
            </w:r>
            <w:r>
              <w:rPr>
                <w:rFonts w:ascii="Arial" w:cs="Arial" w:eastAsia="Arial" w:hAnsi="Arial"/>
                <w:sz w:val="16"/>
                <w:szCs w:val="16"/>
                <w:b w:val="1"/>
                <w:bCs w:val="1"/>
                <w:color w:val="8F5A39"/>
                <w:vertAlign w:val="superscript"/>
              </w:rPr>
              <w:t>1,2,3</w:t>
            </w:r>
          </w:p>
        </w:tc>
        <w:tc>
          <w:tcPr>
            <w:tcW w:w="820" w:type="dxa"/>
            <w:vAlign w:val="bottom"/>
            <w:tcBorders>
              <w:bottom w:val="single" w:sz="8" w:color="auto"/>
            </w:tcBorders>
            <w:shd w:val="clear" w:color="auto" w:fill="F4EFE7"/>
          </w:tcPr>
          <w:p>
            <w:pPr>
              <w:spacing w:after="0"/>
              <w:rPr>
                <w:sz w:val="18"/>
                <w:szCs w:val="18"/>
                <w:color w:val="auto"/>
              </w:rPr>
            </w:pPr>
          </w:p>
        </w:tc>
        <w:tc>
          <w:tcPr>
            <w:tcW w:w="1140" w:type="dxa"/>
            <w:vAlign w:val="bottom"/>
            <w:tcBorders>
              <w:bottom w:val="single" w:sz="8" w:color="auto"/>
            </w:tcBorders>
            <w:gridSpan w:val="2"/>
            <w:shd w:val="clear" w:color="auto" w:fill="F4EFE7"/>
          </w:tcPr>
          <w:p>
            <w:pPr>
              <w:jc w:val="right"/>
              <w:spacing w:after="0"/>
              <w:rPr>
                <w:sz w:val="20"/>
                <w:szCs w:val="20"/>
                <w:color w:val="auto"/>
              </w:rPr>
            </w:pPr>
            <w:r>
              <w:rPr>
                <w:rFonts w:ascii="Arial" w:cs="Arial" w:eastAsia="Arial" w:hAnsi="Arial"/>
                <w:sz w:val="13"/>
                <w:szCs w:val="13"/>
                <w:b w:val="1"/>
                <w:bCs w:val="1"/>
                <w:color w:val="8F5A39"/>
              </w:rPr>
              <w:t>vested</w:t>
            </w:r>
            <w:r>
              <w:rPr>
                <w:rFonts w:ascii="Arial" w:cs="Arial" w:eastAsia="Arial" w:hAnsi="Arial"/>
                <w:sz w:val="16"/>
                <w:szCs w:val="16"/>
                <w:b w:val="1"/>
                <w:bCs w:val="1"/>
                <w:color w:val="8F5A39"/>
                <w:vertAlign w:val="superscript"/>
              </w:rPr>
              <w:t>1,2,3</w:t>
            </w:r>
          </w:p>
        </w:tc>
        <w:tc>
          <w:tcPr>
            <w:tcW w:w="0" w:type="dxa"/>
            <w:vAlign w:val="bottom"/>
          </w:tcPr>
          <w:p>
            <w:pPr>
              <w:spacing w:after="0"/>
              <w:rPr>
                <w:sz w:val="1"/>
                <w:szCs w:val="1"/>
                <w:color w:val="auto"/>
              </w:rPr>
            </w:pPr>
          </w:p>
        </w:tc>
      </w:tr>
      <w:tr>
        <w:trPr>
          <w:trHeight w:val="217"/>
        </w:trPr>
        <w:tc>
          <w:tcPr>
            <w:tcW w:w="154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James Dimon</w:t>
            </w:r>
          </w:p>
        </w:tc>
        <w:tc>
          <w:tcPr>
            <w:tcW w:w="1220" w:type="dxa"/>
            <w:vAlign w:val="bottom"/>
            <w:tcBorders>
              <w:bottom w:val="single" w:sz="8" w:color="B2B2B2"/>
            </w:tcBorders>
          </w:tcPr>
          <w:p>
            <w:pPr>
              <w:spacing w:after="0"/>
              <w:rPr>
                <w:sz w:val="18"/>
                <w:szCs w:val="18"/>
                <w:color w:val="auto"/>
              </w:rPr>
            </w:pPr>
          </w:p>
        </w:tc>
        <w:tc>
          <w:tcPr>
            <w:tcW w:w="880" w:type="dxa"/>
            <w:vAlign w:val="bottom"/>
            <w:tcBorders>
              <w:bottom w:val="single" w:sz="8" w:color="B2B2B2"/>
            </w:tcBorders>
          </w:tcPr>
          <w:p>
            <w:pPr>
              <w:spacing w:after="0"/>
              <w:rPr>
                <w:sz w:val="18"/>
                <w:szCs w:val="18"/>
                <w:color w:val="auto"/>
              </w:rPr>
            </w:pPr>
          </w:p>
        </w:tc>
        <w:tc>
          <w:tcPr>
            <w:tcW w:w="460" w:type="dxa"/>
            <w:vAlign w:val="bottom"/>
            <w:tcBorders>
              <w:bottom w:val="single" w:sz="8" w:color="B2B2B2"/>
            </w:tcBorders>
          </w:tcPr>
          <w:p>
            <w:pPr>
              <w:spacing w:after="0"/>
              <w:rPr>
                <w:sz w:val="18"/>
                <w:szCs w:val="18"/>
                <w:color w:val="auto"/>
              </w:rPr>
            </w:pPr>
          </w:p>
        </w:tc>
        <w:tc>
          <w:tcPr>
            <w:tcW w:w="360" w:type="dxa"/>
            <w:vAlign w:val="bottom"/>
            <w:tcBorders>
              <w:bottom w:val="single" w:sz="8" w:color="B2B2B2"/>
            </w:tcBorders>
          </w:tcPr>
          <w:p>
            <w:pPr>
              <w:spacing w:after="0"/>
              <w:rPr>
                <w:sz w:val="18"/>
                <w:szCs w:val="18"/>
                <w:color w:val="auto"/>
              </w:rPr>
            </w:pPr>
          </w:p>
        </w:tc>
        <w:tc>
          <w:tcPr>
            <w:tcW w:w="1060" w:type="dxa"/>
            <w:vAlign w:val="bottom"/>
            <w:tcBorders>
              <w:bottom w:val="single" w:sz="8" w:color="B2B2B2"/>
            </w:tcBorders>
          </w:tcPr>
          <w:p>
            <w:pPr>
              <w:spacing w:after="0"/>
              <w:rPr>
                <w:sz w:val="18"/>
                <w:szCs w:val="18"/>
                <w:color w:val="auto"/>
              </w:rPr>
            </w:pPr>
          </w:p>
        </w:tc>
        <w:tc>
          <w:tcPr>
            <w:tcW w:w="520" w:type="dxa"/>
            <w:vAlign w:val="bottom"/>
            <w:tcBorders>
              <w:bottom w:val="single" w:sz="8" w:color="B2B2B2"/>
            </w:tcBorders>
          </w:tcPr>
          <w:p>
            <w:pPr>
              <w:spacing w:after="0"/>
              <w:rPr>
                <w:sz w:val="18"/>
                <w:szCs w:val="18"/>
                <w:color w:val="auto"/>
              </w:rPr>
            </w:pPr>
          </w:p>
        </w:tc>
        <w:tc>
          <w:tcPr>
            <w:tcW w:w="900" w:type="dxa"/>
            <w:vAlign w:val="bottom"/>
            <w:tcBorders>
              <w:bottom w:val="single" w:sz="8" w:color="B2B2B2"/>
            </w:tcBorders>
          </w:tcPr>
          <w:p>
            <w:pPr>
              <w:spacing w:after="0"/>
              <w:rPr>
                <w:sz w:val="18"/>
                <w:szCs w:val="18"/>
                <w:color w:val="auto"/>
              </w:rPr>
            </w:pPr>
          </w:p>
        </w:tc>
        <w:tc>
          <w:tcPr>
            <w:tcW w:w="940" w:type="dxa"/>
            <w:vAlign w:val="bottom"/>
            <w:tcBorders>
              <w:bottom w:val="single" w:sz="8" w:color="B2B2B2"/>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320" w:type="dxa"/>
            <w:vAlign w:val="bottom"/>
            <w:tcBorders>
              <w:bottom w:val="single" w:sz="8" w:color="B2B2B2"/>
            </w:tcBorders>
          </w:tcPr>
          <w:p>
            <w:pPr>
              <w:spacing w:after="0"/>
              <w:rPr>
                <w:sz w:val="18"/>
                <w:szCs w:val="18"/>
                <w:color w:val="auto"/>
              </w:rPr>
            </w:pPr>
          </w:p>
        </w:tc>
        <w:tc>
          <w:tcPr>
            <w:tcW w:w="980" w:type="dxa"/>
            <w:vAlign w:val="bottom"/>
            <w:tcBorders>
              <w:bottom w:val="single" w:sz="8" w:color="B2B2B2"/>
            </w:tcBorders>
          </w:tcPr>
          <w:p>
            <w:pPr>
              <w:spacing w:after="0"/>
              <w:rPr>
                <w:sz w:val="18"/>
                <w:szCs w:val="18"/>
                <w:color w:val="auto"/>
              </w:rPr>
            </w:pPr>
          </w:p>
        </w:tc>
        <w:tc>
          <w:tcPr>
            <w:tcW w:w="820" w:type="dxa"/>
            <w:vAlign w:val="bottom"/>
            <w:tcBorders>
              <w:bottom w:val="single" w:sz="8" w:color="B2B2B2"/>
            </w:tcBorders>
          </w:tcPr>
          <w:p>
            <w:pPr>
              <w:spacing w:after="0"/>
              <w:rPr>
                <w:sz w:val="18"/>
                <w:szCs w:val="18"/>
                <w:color w:val="auto"/>
              </w:rPr>
            </w:pPr>
          </w:p>
        </w:tc>
        <w:tc>
          <w:tcPr>
            <w:tcW w:w="94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40" w:type="dxa"/>
            <w:vAlign w:val="bottom"/>
          </w:tcPr>
          <w:p>
            <w:pPr>
              <w:spacing w:after="0"/>
              <w:rPr>
                <w:sz w:val="18"/>
                <w:szCs w:val="18"/>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7/20/2021</w:t>
            </w:r>
          </w:p>
        </w:tc>
        <w:tc>
          <w:tcPr>
            <w:tcW w:w="88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1,500,000</w:t>
            </w:r>
          </w:p>
        </w:tc>
        <w:tc>
          <w:tcPr>
            <w:tcW w:w="520" w:type="dxa"/>
            <w:vAlign w:val="bottom"/>
          </w:tcPr>
          <w:p>
            <w:pPr>
              <w:ind w:left="20"/>
              <w:spacing w:after="0"/>
              <w:rPr>
                <w:sz w:val="20"/>
                <w:szCs w:val="20"/>
                <w:color w:val="auto"/>
              </w:rPr>
            </w:pPr>
            <w:r>
              <w:rPr>
                <w:rFonts w:ascii="Arial" w:cs="Arial" w:eastAsia="Arial" w:hAnsi="Arial"/>
                <w:sz w:val="9"/>
                <w:szCs w:val="9"/>
                <w:color w:val="auto"/>
              </w:rPr>
              <w:t>a</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148.73</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7/20/2031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220" w:type="dxa"/>
            <w:vAlign w:val="bottom"/>
            <w:tcBorders>
              <w:bottom w:val="single" w:sz="8" w:color="B2B2B2"/>
            </w:tcBorders>
          </w:tcPr>
          <w:p>
            <w:pPr>
              <w:jc w:val="center"/>
              <w:ind w:right="109"/>
              <w:spacing w:after="0"/>
              <w:rPr>
                <w:sz w:val="20"/>
                <w:szCs w:val="20"/>
                <w:color w:val="auto"/>
              </w:rPr>
            </w:pPr>
            <w:r>
              <w:rPr>
                <w:rFonts w:ascii="Arial" w:cs="Arial" w:eastAsia="Arial" w:hAnsi="Arial"/>
                <w:sz w:val="14"/>
                <w:szCs w:val="14"/>
                <w:color w:val="auto"/>
                <w:w w:val="98"/>
              </w:rPr>
              <w:t>1/17/2023</w:t>
            </w:r>
            <w:r>
              <w:rPr>
                <w:rFonts w:ascii="Arial" w:cs="Arial" w:eastAsia="Arial" w:hAnsi="Arial"/>
                <w:sz w:val="18"/>
                <w:szCs w:val="18"/>
                <w:color w:val="auto"/>
                <w:w w:val="98"/>
                <w:vertAlign w:val="superscript"/>
              </w:rPr>
              <w:t>4</w:t>
            </w:r>
          </w:p>
        </w:tc>
        <w:tc>
          <w:tcPr>
            <w:tcW w:w="880" w:type="dxa"/>
            <w:vAlign w:val="bottom"/>
            <w:tcBorders>
              <w:bottom w:val="single" w:sz="8" w:color="B2B2B2"/>
            </w:tcBorders>
          </w:tcPr>
          <w:p>
            <w:pPr>
              <w:spacing w:after="0"/>
              <w:rPr>
                <w:sz w:val="19"/>
                <w:szCs w:val="19"/>
                <w:color w:val="auto"/>
              </w:rPr>
            </w:pPr>
          </w:p>
        </w:tc>
        <w:tc>
          <w:tcPr>
            <w:tcW w:w="460" w:type="dxa"/>
            <w:vAlign w:val="bottom"/>
            <w:tcBorders>
              <w:bottom w:val="single" w:sz="8" w:color="B2B2B2"/>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2B2B2"/>
            </w:tcBorders>
          </w:tcPr>
          <w:p>
            <w:pPr>
              <w:spacing w:after="0"/>
              <w:rPr>
                <w:sz w:val="19"/>
                <w:szCs w:val="19"/>
                <w:color w:val="auto"/>
              </w:rPr>
            </w:pPr>
          </w:p>
        </w:tc>
        <w:tc>
          <w:tcPr>
            <w:tcW w:w="1060" w:type="dxa"/>
            <w:vAlign w:val="bottom"/>
            <w:tcBorders>
              <w:bottom w:val="single" w:sz="8" w:color="B2B2B2"/>
            </w:tcBorders>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2B2B2"/>
            </w:tcBorders>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318,906</w:t>
            </w:r>
          </w:p>
        </w:tc>
        <w:tc>
          <w:tcPr>
            <w:tcW w:w="820" w:type="dxa"/>
            <w:vAlign w:val="bottom"/>
            <w:tcBorders>
              <w:bottom w:val="single" w:sz="8" w:color="B2B2B2"/>
            </w:tcBorders>
          </w:tcPr>
          <w:p>
            <w:pPr>
              <w:ind w:left="20"/>
              <w:spacing w:after="0"/>
              <w:rPr>
                <w:sz w:val="20"/>
                <w:szCs w:val="20"/>
                <w:color w:val="auto"/>
              </w:rPr>
            </w:pPr>
            <w:r>
              <w:rPr>
                <w:rFonts w:ascii="Arial" w:cs="Arial" w:eastAsia="Arial" w:hAnsi="Arial"/>
                <w:sz w:val="9"/>
                <w:szCs w:val="9"/>
                <w:color w:val="auto"/>
              </w:rPr>
              <w:t>b</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1/16/2024</w:t>
            </w: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276,226</w:t>
            </w:r>
          </w:p>
        </w:tc>
        <w:tc>
          <w:tcPr>
            <w:tcW w:w="200" w:type="dxa"/>
            <w:vAlign w:val="bottom"/>
          </w:tcPr>
          <w:p>
            <w:pPr>
              <w:ind w:left="4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54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1/21/2025</w:t>
            </w: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189,024</w:t>
            </w:r>
          </w:p>
        </w:tc>
        <w:tc>
          <w:tcPr>
            <w:tcW w:w="200" w:type="dxa"/>
            <w:vAlign w:val="bottom"/>
          </w:tcPr>
          <w:p>
            <w:pPr>
              <w:ind w:left="4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40" w:type="dxa"/>
            <w:vAlign w:val="bottom"/>
            <w:vMerge w:val="restart"/>
          </w:tcPr>
          <w:p>
            <w:pPr>
              <w:ind w:left="20"/>
              <w:spacing w:after="0"/>
              <w:rPr>
                <w:sz w:val="20"/>
                <w:szCs w:val="20"/>
                <w:color w:val="auto"/>
              </w:rPr>
            </w:pPr>
            <w:r>
              <w:rPr>
                <w:rFonts w:ascii="Arial" w:cs="Arial" w:eastAsia="Arial" w:hAnsi="Arial"/>
                <w:sz w:val="14"/>
                <w:szCs w:val="14"/>
                <w:color w:val="auto"/>
              </w:rPr>
              <w:t>Total awards (#)</w:t>
            </w: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1,500,000</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318,906</w:t>
            </w:r>
          </w:p>
        </w:tc>
        <w:tc>
          <w:tcPr>
            <w:tcW w:w="8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465,250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40" w:type="dxa"/>
            <w:vAlign w:val="bottom"/>
            <w:tcBorders>
              <w:bottom w:val="single" w:sz="8" w:color="B2B2B2"/>
            </w:tcBorders>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Market value ($)</w:t>
            </w:r>
            <w:r>
              <w:rPr>
                <w:rFonts w:ascii="Arial" w:cs="Arial" w:eastAsia="Arial" w:hAnsi="Arial"/>
                <w:sz w:val="18"/>
                <w:szCs w:val="18"/>
                <w:color w:val="auto"/>
                <w:vertAlign w:val="superscript"/>
              </w:rPr>
              <w:t>5</w:t>
            </w:r>
          </w:p>
        </w:tc>
        <w:tc>
          <w:tcPr>
            <w:tcW w:w="12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tcBorders>
          </w:tcPr>
          <w:p>
            <w:pPr>
              <w:jc w:val="right"/>
              <w:ind w:right="3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B2B2B2"/>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2B2B2"/>
            </w:tcBorders>
          </w:tcPr>
          <w:p>
            <w:pPr>
              <w:jc w:val="right"/>
              <w:ind w:right="10"/>
              <w:spacing w:after="0"/>
              <w:rPr>
                <w:sz w:val="20"/>
                <w:szCs w:val="20"/>
                <w:color w:val="auto"/>
              </w:rPr>
            </w:pPr>
            <w:r>
              <w:rPr>
                <w:rFonts w:ascii="Arial" w:cs="Arial" w:eastAsia="Arial" w:hAnsi="Arial"/>
                <w:sz w:val="14"/>
                <w:szCs w:val="14"/>
                <w:color w:val="auto"/>
              </w:rPr>
              <w:t>260,235,000</w:t>
            </w:r>
          </w:p>
        </w:tc>
        <w:tc>
          <w:tcPr>
            <w:tcW w:w="52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spacing w:after="0"/>
              <w:rPr>
                <w:sz w:val="19"/>
                <w:szCs w:val="19"/>
                <w:color w:val="auto"/>
              </w:rPr>
            </w:pPr>
          </w:p>
        </w:tc>
        <w:tc>
          <w:tcPr>
            <w:tcW w:w="1360" w:type="dxa"/>
            <w:vAlign w:val="bottom"/>
            <w:tcBorders>
              <w:bottom w:val="single" w:sz="8" w:color="B2B2B2"/>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102,757,891</w:t>
            </w:r>
          </w:p>
        </w:tc>
        <w:tc>
          <w:tcPr>
            <w:tcW w:w="820" w:type="dxa"/>
            <w:vAlign w:val="bottom"/>
            <w:tcBorders>
              <w:bottom w:val="single" w:sz="8" w:color="B2B2B2"/>
            </w:tcBorders>
          </w:tcPr>
          <w:p>
            <w:pPr>
              <w:jc w:val="right"/>
              <w:ind w:right="2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149,912,855</w:t>
            </w:r>
          </w:p>
        </w:tc>
        <w:tc>
          <w:tcPr>
            <w:tcW w:w="20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54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Mary Callahan Erdoes</w:t>
            </w:r>
          </w:p>
        </w:tc>
        <w:tc>
          <w:tcPr>
            <w:tcW w:w="1220" w:type="dxa"/>
            <w:vAlign w:val="bottom"/>
            <w:tcBorders>
              <w:bottom w:val="single" w:sz="8" w:color="B2B2B2"/>
            </w:tcBorders>
          </w:tcPr>
          <w:p>
            <w:pPr>
              <w:spacing w:after="0"/>
              <w:rPr>
                <w:sz w:val="18"/>
                <w:szCs w:val="18"/>
                <w:color w:val="auto"/>
              </w:rPr>
            </w:pPr>
          </w:p>
        </w:tc>
        <w:tc>
          <w:tcPr>
            <w:tcW w:w="880" w:type="dxa"/>
            <w:vAlign w:val="bottom"/>
            <w:tcBorders>
              <w:bottom w:val="single" w:sz="8" w:color="B2B2B2"/>
            </w:tcBorders>
          </w:tcPr>
          <w:p>
            <w:pPr>
              <w:spacing w:after="0"/>
              <w:rPr>
                <w:sz w:val="18"/>
                <w:szCs w:val="18"/>
                <w:color w:val="auto"/>
              </w:rPr>
            </w:pPr>
          </w:p>
        </w:tc>
        <w:tc>
          <w:tcPr>
            <w:tcW w:w="460" w:type="dxa"/>
            <w:vAlign w:val="bottom"/>
            <w:tcBorders>
              <w:bottom w:val="single" w:sz="8" w:color="B2B2B2"/>
            </w:tcBorders>
          </w:tcPr>
          <w:p>
            <w:pPr>
              <w:spacing w:after="0"/>
              <w:rPr>
                <w:sz w:val="18"/>
                <w:szCs w:val="18"/>
                <w:color w:val="auto"/>
              </w:rPr>
            </w:pPr>
          </w:p>
        </w:tc>
        <w:tc>
          <w:tcPr>
            <w:tcW w:w="360" w:type="dxa"/>
            <w:vAlign w:val="bottom"/>
            <w:tcBorders>
              <w:bottom w:val="single" w:sz="8" w:color="B2B2B2"/>
            </w:tcBorders>
          </w:tcPr>
          <w:p>
            <w:pPr>
              <w:spacing w:after="0"/>
              <w:rPr>
                <w:sz w:val="18"/>
                <w:szCs w:val="18"/>
                <w:color w:val="auto"/>
              </w:rPr>
            </w:pPr>
          </w:p>
        </w:tc>
        <w:tc>
          <w:tcPr>
            <w:tcW w:w="1060" w:type="dxa"/>
            <w:vAlign w:val="bottom"/>
            <w:tcBorders>
              <w:bottom w:val="single" w:sz="8" w:color="B2B2B2"/>
            </w:tcBorders>
          </w:tcPr>
          <w:p>
            <w:pPr>
              <w:spacing w:after="0"/>
              <w:rPr>
                <w:sz w:val="18"/>
                <w:szCs w:val="18"/>
                <w:color w:val="auto"/>
              </w:rPr>
            </w:pPr>
          </w:p>
        </w:tc>
        <w:tc>
          <w:tcPr>
            <w:tcW w:w="520" w:type="dxa"/>
            <w:vAlign w:val="bottom"/>
            <w:tcBorders>
              <w:bottom w:val="single" w:sz="8" w:color="B2B2B2"/>
            </w:tcBorders>
          </w:tcPr>
          <w:p>
            <w:pPr>
              <w:spacing w:after="0"/>
              <w:rPr>
                <w:sz w:val="18"/>
                <w:szCs w:val="18"/>
                <w:color w:val="auto"/>
              </w:rPr>
            </w:pPr>
          </w:p>
        </w:tc>
        <w:tc>
          <w:tcPr>
            <w:tcW w:w="900" w:type="dxa"/>
            <w:vAlign w:val="bottom"/>
            <w:tcBorders>
              <w:bottom w:val="single" w:sz="8" w:color="B2B2B2"/>
            </w:tcBorders>
          </w:tcPr>
          <w:p>
            <w:pPr>
              <w:spacing w:after="0"/>
              <w:rPr>
                <w:sz w:val="18"/>
                <w:szCs w:val="18"/>
                <w:color w:val="auto"/>
              </w:rPr>
            </w:pPr>
          </w:p>
        </w:tc>
        <w:tc>
          <w:tcPr>
            <w:tcW w:w="940" w:type="dxa"/>
            <w:vAlign w:val="bottom"/>
            <w:tcBorders>
              <w:bottom w:val="single" w:sz="8" w:color="B2B2B2"/>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320" w:type="dxa"/>
            <w:vAlign w:val="bottom"/>
            <w:tcBorders>
              <w:bottom w:val="single" w:sz="8" w:color="B2B2B2"/>
            </w:tcBorders>
          </w:tcPr>
          <w:p>
            <w:pPr>
              <w:spacing w:after="0"/>
              <w:rPr>
                <w:sz w:val="18"/>
                <w:szCs w:val="18"/>
                <w:color w:val="auto"/>
              </w:rPr>
            </w:pPr>
          </w:p>
        </w:tc>
        <w:tc>
          <w:tcPr>
            <w:tcW w:w="980" w:type="dxa"/>
            <w:vAlign w:val="bottom"/>
            <w:tcBorders>
              <w:bottom w:val="single" w:sz="8" w:color="B2B2B2"/>
            </w:tcBorders>
          </w:tcPr>
          <w:p>
            <w:pPr>
              <w:spacing w:after="0"/>
              <w:rPr>
                <w:sz w:val="18"/>
                <w:szCs w:val="18"/>
                <w:color w:val="auto"/>
              </w:rPr>
            </w:pPr>
          </w:p>
        </w:tc>
        <w:tc>
          <w:tcPr>
            <w:tcW w:w="820" w:type="dxa"/>
            <w:vAlign w:val="bottom"/>
            <w:tcBorders>
              <w:bottom w:val="single" w:sz="8" w:color="B2B2B2"/>
            </w:tcBorders>
          </w:tcPr>
          <w:p>
            <w:pPr>
              <w:spacing w:after="0"/>
              <w:rPr>
                <w:sz w:val="18"/>
                <w:szCs w:val="18"/>
                <w:color w:val="auto"/>
              </w:rPr>
            </w:pPr>
          </w:p>
        </w:tc>
        <w:tc>
          <w:tcPr>
            <w:tcW w:w="94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220" w:type="dxa"/>
            <w:vAlign w:val="bottom"/>
            <w:tcBorders>
              <w:bottom w:val="single" w:sz="8" w:color="B2B2B2"/>
            </w:tcBorders>
          </w:tcPr>
          <w:p>
            <w:pPr>
              <w:jc w:val="center"/>
              <w:ind w:right="109"/>
              <w:spacing w:after="0"/>
              <w:rPr>
                <w:sz w:val="20"/>
                <w:szCs w:val="20"/>
                <w:color w:val="auto"/>
              </w:rPr>
            </w:pPr>
            <w:r>
              <w:rPr>
                <w:rFonts w:ascii="Arial" w:cs="Arial" w:eastAsia="Arial" w:hAnsi="Arial"/>
                <w:sz w:val="14"/>
                <w:szCs w:val="14"/>
                <w:color w:val="auto"/>
                <w:w w:val="98"/>
              </w:rPr>
              <w:t>1/17/2023</w:t>
            </w:r>
            <w:r>
              <w:rPr>
                <w:rFonts w:ascii="Arial" w:cs="Arial" w:eastAsia="Arial" w:hAnsi="Arial"/>
                <w:sz w:val="18"/>
                <w:szCs w:val="18"/>
                <w:color w:val="auto"/>
                <w:w w:val="98"/>
                <w:vertAlign w:val="superscript"/>
              </w:rPr>
              <w:t>4</w:t>
            </w:r>
          </w:p>
        </w:tc>
        <w:tc>
          <w:tcPr>
            <w:tcW w:w="880" w:type="dxa"/>
            <w:vAlign w:val="bottom"/>
            <w:tcBorders>
              <w:bottom w:val="single" w:sz="8" w:color="B2B2B2"/>
            </w:tcBorders>
          </w:tcPr>
          <w:p>
            <w:pPr>
              <w:spacing w:after="0"/>
              <w:rPr>
                <w:sz w:val="19"/>
                <w:szCs w:val="19"/>
                <w:color w:val="auto"/>
              </w:rPr>
            </w:pPr>
          </w:p>
        </w:tc>
        <w:tc>
          <w:tcPr>
            <w:tcW w:w="460" w:type="dxa"/>
            <w:vAlign w:val="bottom"/>
            <w:tcBorders>
              <w:bottom w:val="single" w:sz="8" w:color="B2B2B2"/>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2B2B2"/>
            </w:tcBorders>
          </w:tcPr>
          <w:p>
            <w:pPr>
              <w:spacing w:after="0"/>
              <w:rPr>
                <w:sz w:val="19"/>
                <w:szCs w:val="19"/>
                <w:color w:val="auto"/>
              </w:rPr>
            </w:pPr>
          </w:p>
        </w:tc>
        <w:tc>
          <w:tcPr>
            <w:tcW w:w="1060" w:type="dxa"/>
            <w:vAlign w:val="bottom"/>
            <w:tcBorders>
              <w:bottom w:val="single" w:sz="8" w:color="B2B2B2"/>
            </w:tcBorders>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2B2B2"/>
            </w:tcBorders>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84,567</w:t>
            </w:r>
          </w:p>
        </w:tc>
        <w:tc>
          <w:tcPr>
            <w:tcW w:w="820" w:type="dxa"/>
            <w:vAlign w:val="bottom"/>
            <w:tcBorders>
              <w:bottom w:val="single" w:sz="8" w:color="B2B2B2"/>
            </w:tcBorders>
          </w:tcPr>
          <w:p>
            <w:pPr>
              <w:ind w:left="20"/>
              <w:spacing w:after="0"/>
              <w:rPr>
                <w:sz w:val="20"/>
                <w:szCs w:val="20"/>
                <w:color w:val="auto"/>
              </w:rPr>
            </w:pPr>
            <w:r>
              <w:rPr>
                <w:rFonts w:ascii="Arial" w:cs="Arial" w:eastAsia="Arial" w:hAnsi="Arial"/>
                <w:sz w:val="9"/>
                <w:szCs w:val="9"/>
                <w:color w:val="auto"/>
              </w:rPr>
              <w:t>b</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54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1/17/2023</w:t>
            </w: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26,446</w:t>
            </w:r>
          </w:p>
        </w:tc>
        <w:tc>
          <w:tcPr>
            <w:tcW w:w="820" w:type="dxa"/>
            <w:vAlign w:val="bottom"/>
          </w:tcPr>
          <w:p>
            <w:pPr>
              <w:ind w:left="20"/>
              <w:spacing w:after="0"/>
              <w:rPr>
                <w:sz w:val="20"/>
                <w:szCs w:val="20"/>
                <w:color w:val="auto"/>
              </w:rPr>
            </w:pPr>
            <w:r>
              <w:rPr>
                <w:rFonts w:ascii="Arial" w:cs="Arial" w:eastAsia="Arial" w:hAnsi="Arial"/>
                <w:sz w:val="9"/>
                <w:szCs w:val="9"/>
                <w:color w:val="auto"/>
              </w:rPr>
              <w:t>c</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1/16/2024</w:t>
            </w: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47,385</w:t>
            </w:r>
          </w:p>
        </w:tc>
        <w:tc>
          <w:tcPr>
            <w:tcW w:w="820" w:type="dxa"/>
            <w:vAlign w:val="bottom"/>
          </w:tcPr>
          <w:p>
            <w:pPr>
              <w:ind w:left="20"/>
              <w:spacing w:after="0"/>
              <w:rPr>
                <w:sz w:val="20"/>
                <w:szCs w:val="20"/>
                <w:color w:val="auto"/>
              </w:rPr>
            </w:pPr>
            <w:r>
              <w:rPr>
                <w:rFonts w:ascii="Arial" w:cs="Arial" w:eastAsia="Arial" w:hAnsi="Arial"/>
                <w:sz w:val="9"/>
                <w:szCs w:val="9"/>
                <w:color w:val="auto"/>
              </w:rPr>
              <w:t>c</w:t>
            </w:r>
          </w:p>
        </w:tc>
        <w:tc>
          <w:tcPr>
            <w:tcW w:w="940" w:type="dxa"/>
            <w:vAlign w:val="bottom"/>
          </w:tcPr>
          <w:p>
            <w:pPr>
              <w:jc w:val="right"/>
              <w:spacing w:after="0"/>
              <w:rPr>
                <w:sz w:val="20"/>
                <w:szCs w:val="20"/>
                <w:color w:val="auto"/>
              </w:rPr>
            </w:pPr>
            <w:r>
              <w:rPr>
                <w:rFonts w:ascii="Arial" w:cs="Arial" w:eastAsia="Arial" w:hAnsi="Arial"/>
                <w:sz w:val="14"/>
                <w:szCs w:val="14"/>
                <w:color w:val="auto"/>
              </w:rPr>
              <w:t>73,739</w:t>
            </w:r>
          </w:p>
        </w:tc>
        <w:tc>
          <w:tcPr>
            <w:tcW w:w="200" w:type="dxa"/>
            <w:vAlign w:val="bottom"/>
          </w:tcPr>
          <w:p>
            <w:pPr>
              <w:ind w:left="4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54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1/21/2025</w:t>
            </w: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31,504</w:t>
            </w:r>
          </w:p>
        </w:tc>
        <w:tc>
          <w:tcPr>
            <w:tcW w:w="820" w:type="dxa"/>
            <w:vAlign w:val="bottom"/>
          </w:tcPr>
          <w:p>
            <w:pPr>
              <w:ind w:left="20"/>
              <w:spacing w:after="0"/>
              <w:rPr>
                <w:sz w:val="20"/>
                <w:szCs w:val="20"/>
                <w:color w:val="auto"/>
              </w:rPr>
            </w:pPr>
            <w:r>
              <w:rPr>
                <w:rFonts w:ascii="Arial" w:cs="Arial" w:eastAsia="Arial" w:hAnsi="Arial"/>
                <w:sz w:val="9"/>
                <w:szCs w:val="9"/>
                <w:color w:val="auto"/>
              </w:rPr>
              <w:t>c</w:t>
            </w:r>
          </w:p>
        </w:tc>
        <w:tc>
          <w:tcPr>
            <w:tcW w:w="940" w:type="dxa"/>
            <w:vAlign w:val="bottom"/>
          </w:tcPr>
          <w:p>
            <w:pPr>
              <w:jc w:val="right"/>
              <w:spacing w:after="0"/>
              <w:rPr>
                <w:sz w:val="20"/>
                <w:szCs w:val="20"/>
                <w:color w:val="auto"/>
              </w:rPr>
            </w:pPr>
            <w:r>
              <w:rPr>
                <w:rFonts w:ascii="Arial" w:cs="Arial" w:eastAsia="Arial" w:hAnsi="Arial"/>
                <w:sz w:val="14"/>
                <w:szCs w:val="14"/>
                <w:color w:val="auto"/>
              </w:rPr>
              <w:t>47,983</w:t>
            </w:r>
          </w:p>
        </w:tc>
        <w:tc>
          <w:tcPr>
            <w:tcW w:w="200" w:type="dxa"/>
            <w:vAlign w:val="bottom"/>
          </w:tcPr>
          <w:p>
            <w:pPr>
              <w:ind w:left="4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40" w:type="dxa"/>
            <w:vAlign w:val="bottom"/>
            <w:vMerge w:val="restart"/>
          </w:tcPr>
          <w:p>
            <w:pPr>
              <w:ind w:left="20"/>
              <w:spacing w:after="0"/>
              <w:rPr>
                <w:sz w:val="20"/>
                <w:szCs w:val="20"/>
                <w:color w:val="auto"/>
              </w:rPr>
            </w:pPr>
            <w:r>
              <w:rPr>
                <w:rFonts w:ascii="Arial" w:cs="Arial" w:eastAsia="Arial" w:hAnsi="Arial"/>
                <w:sz w:val="14"/>
                <w:szCs w:val="14"/>
                <w:color w:val="auto"/>
              </w:rPr>
              <w:t>Total awards (#)</w:t>
            </w: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189,902</w:t>
            </w:r>
          </w:p>
        </w:tc>
        <w:tc>
          <w:tcPr>
            <w:tcW w:w="8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121,722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40" w:type="dxa"/>
            <w:vAlign w:val="bottom"/>
            <w:tcBorders>
              <w:bottom w:val="single" w:sz="8" w:color="B2B2B2"/>
            </w:tcBorders>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Market value ($)</w:t>
            </w:r>
            <w:r>
              <w:rPr>
                <w:rFonts w:ascii="Arial" w:cs="Arial" w:eastAsia="Arial" w:hAnsi="Arial"/>
                <w:sz w:val="18"/>
                <w:szCs w:val="18"/>
                <w:color w:val="auto"/>
                <w:vertAlign w:val="superscript"/>
              </w:rPr>
              <w:t>5</w:t>
            </w:r>
          </w:p>
        </w:tc>
        <w:tc>
          <w:tcPr>
            <w:tcW w:w="12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tcBorders>
          </w:tcPr>
          <w:p>
            <w:pPr>
              <w:jc w:val="right"/>
              <w:ind w:right="3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B2B2B2"/>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2B2B2"/>
            </w:tcBorders>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spacing w:after="0"/>
              <w:rPr>
                <w:sz w:val="19"/>
                <w:szCs w:val="19"/>
                <w:color w:val="auto"/>
              </w:rPr>
            </w:pPr>
          </w:p>
        </w:tc>
        <w:tc>
          <w:tcPr>
            <w:tcW w:w="1360" w:type="dxa"/>
            <w:vAlign w:val="bottom"/>
            <w:tcBorders>
              <w:bottom w:val="single" w:sz="8" w:color="B2B2B2"/>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61,190,222</w:t>
            </w:r>
          </w:p>
        </w:tc>
        <w:tc>
          <w:tcPr>
            <w:tcW w:w="820" w:type="dxa"/>
            <w:vAlign w:val="bottom"/>
            <w:tcBorders>
              <w:bottom w:val="single" w:sz="8" w:color="B2B2B2"/>
            </w:tcBorders>
          </w:tcPr>
          <w:p>
            <w:pPr>
              <w:jc w:val="right"/>
              <w:ind w:right="2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39,221,263</w:t>
            </w:r>
          </w:p>
        </w:tc>
        <w:tc>
          <w:tcPr>
            <w:tcW w:w="20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Troy Rohrbaugh</w:t>
            </w:r>
          </w:p>
        </w:tc>
        <w:tc>
          <w:tcPr>
            <w:tcW w:w="1220" w:type="dxa"/>
            <w:vAlign w:val="bottom"/>
            <w:tcBorders>
              <w:bottom w:val="single" w:sz="8" w:color="B2B2B2"/>
            </w:tcBorders>
          </w:tcPr>
          <w:p>
            <w:pPr>
              <w:spacing w:after="0"/>
              <w:rPr>
                <w:sz w:val="18"/>
                <w:szCs w:val="18"/>
                <w:color w:val="auto"/>
              </w:rPr>
            </w:pPr>
          </w:p>
        </w:tc>
        <w:tc>
          <w:tcPr>
            <w:tcW w:w="880" w:type="dxa"/>
            <w:vAlign w:val="bottom"/>
            <w:tcBorders>
              <w:bottom w:val="single" w:sz="8" w:color="B2B2B2"/>
            </w:tcBorders>
          </w:tcPr>
          <w:p>
            <w:pPr>
              <w:spacing w:after="0"/>
              <w:rPr>
                <w:sz w:val="18"/>
                <w:szCs w:val="18"/>
                <w:color w:val="auto"/>
              </w:rPr>
            </w:pPr>
          </w:p>
        </w:tc>
        <w:tc>
          <w:tcPr>
            <w:tcW w:w="460" w:type="dxa"/>
            <w:vAlign w:val="bottom"/>
            <w:tcBorders>
              <w:bottom w:val="single" w:sz="8" w:color="B2B2B2"/>
            </w:tcBorders>
          </w:tcPr>
          <w:p>
            <w:pPr>
              <w:spacing w:after="0"/>
              <w:rPr>
                <w:sz w:val="18"/>
                <w:szCs w:val="18"/>
                <w:color w:val="auto"/>
              </w:rPr>
            </w:pPr>
          </w:p>
        </w:tc>
        <w:tc>
          <w:tcPr>
            <w:tcW w:w="360" w:type="dxa"/>
            <w:vAlign w:val="bottom"/>
            <w:tcBorders>
              <w:bottom w:val="single" w:sz="8" w:color="B2B2B2"/>
            </w:tcBorders>
          </w:tcPr>
          <w:p>
            <w:pPr>
              <w:spacing w:after="0"/>
              <w:rPr>
                <w:sz w:val="18"/>
                <w:szCs w:val="18"/>
                <w:color w:val="auto"/>
              </w:rPr>
            </w:pPr>
          </w:p>
        </w:tc>
        <w:tc>
          <w:tcPr>
            <w:tcW w:w="1060" w:type="dxa"/>
            <w:vAlign w:val="bottom"/>
            <w:tcBorders>
              <w:bottom w:val="single" w:sz="8" w:color="B2B2B2"/>
            </w:tcBorders>
          </w:tcPr>
          <w:p>
            <w:pPr>
              <w:spacing w:after="0"/>
              <w:rPr>
                <w:sz w:val="18"/>
                <w:szCs w:val="18"/>
                <w:color w:val="auto"/>
              </w:rPr>
            </w:pPr>
          </w:p>
        </w:tc>
        <w:tc>
          <w:tcPr>
            <w:tcW w:w="520" w:type="dxa"/>
            <w:vAlign w:val="bottom"/>
            <w:tcBorders>
              <w:bottom w:val="single" w:sz="8" w:color="B2B2B2"/>
            </w:tcBorders>
          </w:tcPr>
          <w:p>
            <w:pPr>
              <w:spacing w:after="0"/>
              <w:rPr>
                <w:sz w:val="18"/>
                <w:szCs w:val="18"/>
                <w:color w:val="auto"/>
              </w:rPr>
            </w:pPr>
          </w:p>
        </w:tc>
        <w:tc>
          <w:tcPr>
            <w:tcW w:w="900" w:type="dxa"/>
            <w:vAlign w:val="bottom"/>
            <w:tcBorders>
              <w:bottom w:val="single" w:sz="8" w:color="B2B2B2"/>
            </w:tcBorders>
          </w:tcPr>
          <w:p>
            <w:pPr>
              <w:spacing w:after="0"/>
              <w:rPr>
                <w:sz w:val="18"/>
                <w:szCs w:val="18"/>
                <w:color w:val="auto"/>
              </w:rPr>
            </w:pPr>
          </w:p>
        </w:tc>
        <w:tc>
          <w:tcPr>
            <w:tcW w:w="940" w:type="dxa"/>
            <w:vAlign w:val="bottom"/>
            <w:tcBorders>
              <w:bottom w:val="single" w:sz="8" w:color="B2B2B2"/>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320" w:type="dxa"/>
            <w:vAlign w:val="bottom"/>
            <w:tcBorders>
              <w:bottom w:val="single" w:sz="8" w:color="B2B2B2"/>
            </w:tcBorders>
          </w:tcPr>
          <w:p>
            <w:pPr>
              <w:spacing w:after="0"/>
              <w:rPr>
                <w:sz w:val="18"/>
                <w:szCs w:val="18"/>
                <w:color w:val="auto"/>
              </w:rPr>
            </w:pPr>
          </w:p>
        </w:tc>
        <w:tc>
          <w:tcPr>
            <w:tcW w:w="980" w:type="dxa"/>
            <w:vAlign w:val="bottom"/>
            <w:tcBorders>
              <w:bottom w:val="single" w:sz="8" w:color="B2B2B2"/>
            </w:tcBorders>
          </w:tcPr>
          <w:p>
            <w:pPr>
              <w:spacing w:after="0"/>
              <w:rPr>
                <w:sz w:val="18"/>
                <w:szCs w:val="18"/>
                <w:color w:val="auto"/>
              </w:rPr>
            </w:pPr>
          </w:p>
        </w:tc>
        <w:tc>
          <w:tcPr>
            <w:tcW w:w="820" w:type="dxa"/>
            <w:vAlign w:val="bottom"/>
            <w:tcBorders>
              <w:bottom w:val="single" w:sz="8" w:color="B2B2B2"/>
            </w:tcBorders>
          </w:tcPr>
          <w:p>
            <w:pPr>
              <w:spacing w:after="0"/>
              <w:rPr>
                <w:sz w:val="18"/>
                <w:szCs w:val="18"/>
                <w:color w:val="auto"/>
              </w:rPr>
            </w:pPr>
          </w:p>
        </w:tc>
        <w:tc>
          <w:tcPr>
            <w:tcW w:w="94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220" w:type="dxa"/>
            <w:vAlign w:val="bottom"/>
            <w:tcBorders>
              <w:bottom w:val="single" w:sz="8" w:color="B2B2B2"/>
            </w:tcBorders>
          </w:tcPr>
          <w:p>
            <w:pPr>
              <w:jc w:val="center"/>
              <w:ind w:right="109"/>
              <w:spacing w:after="0"/>
              <w:rPr>
                <w:sz w:val="20"/>
                <w:szCs w:val="20"/>
                <w:color w:val="auto"/>
              </w:rPr>
            </w:pPr>
            <w:r>
              <w:rPr>
                <w:rFonts w:ascii="Arial" w:cs="Arial" w:eastAsia="Arial" w:hAnsi="Arial"/>
                <w:sz w:val="14"/>
                <w:szCs w:val="14"/>
                <w:color w:val="auto"/>
                <w:w w:val="98"/>
              </w:rPr>
              <w:t>1/17/2023</w:t>
            </w:r>
            <w:r>
              <w:rPr>
                <w:rFonts w:ascii="Arial" w:cs="Arial" w:eastAsia="Arial" w:hAnsi="Arial"/>
                <w:sz w:val="18"/>
                <w:szCs w:val="18"/>
                <w:color w:val="auto"/>
                <w:w w:val="98"/>
                <w:vertAlign w:val="superscript"/>
              </w:rPr>
              <w:t>4</w:t>
            </w:r>
          </w:p>
        </w:tc>
        <w:tc>
          <w:tcPr>
            <w:tcW w:w="880" w:type="dxa"/>
            <w:vAlign w:val="bottom"/>
            <w:tcBorders>
              <w:bottom w:val="single" w:sz="8" w:color="B2B2B2"/>
            </w:tcBorders>
          </w:tcPr>
          <w:p>
            <w:pPr>
              <w:spacing w:after="0"/>
              <w:rPr>
                <w:sz w:val="19"/>
                <w:szCs w:val="19"/>
                <w:color w:val="auto"/>
              </w:rPr>
            </w:pPr>
          </w:p>
        </w:tc>
        <w:tc>
          <w:tcPr>
            <w:tcW w:w="460" w:type="dxa"/>
            <w:vAlign w:val="bottom"/>
            <w:tcBorders>
              <w:bottom w:val="single" w:sz="8" w:color="B2B2B2"/>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2B2B2"/>
            </w:tcBorders>
          </w:tcPr>
          <w:p>
            <w:pPr>
              <w:spacing w:after="0"/>
              <w:rPr>
                <w:sz w:val="19"/>
                <w:szCs w:val="19"/>
                <w:color w:val="auto"/>
              </w:rPr>
            </w:pPr>
          </w:p>
        </w:tc>
        <w:tc>
          <w:tcPr>
            <w:tcW w:w="1060" w:type="dxa"/>
            <w:vAlign w:val="bottom"/>
            <w:tcBorders>
              <w:bottom w:val="single" w:sz="8" w:color="B2B2B2"/>
            </w:tcBorders>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2B2B2"/>
            </w:tcBorders>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72,608</w:t>
            </w:r>
          </w:p>
        </w:tc>
        <w:tc>
          <w:tcPr>
            <w:tcW w:w="820" w:type="dxa"/>
            <w:vAlign w:val="bottom"/>
            <w:tcBorders>
              <w:bottom w:val="single" w:sz="8" w:color="B2B2B2"/>
            </w:tcBorders>
          </w:tcPr>
          <w:p>
            <w:pPr>
              <w:ind w:left="20"/>
              <w:spacing w:after="0"/>
              <w:rPr>
                <w:sz w:val="20"/>
                <w:szCs w:val="20"/>
                <w:color w:val="auto"/>
              </w:rPr>
            </w:pPr>
            <w:r>
              <w:rPr>
                <w:rFonts w:ascii="Arial" w:cs="Arial" w:eastAsia="Arial" w:hAnsi="Arial"/>
                <w:sz w:val="9"/>
                <w:szCs w:val="9"/>
                <w:color w:val="auto"/>
              </w:rPr>
              <w:t>b</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54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1/17/2023</w:t>
            </w: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22,706</w:t>
            </w:r>
          </w:p>
        </w:tc>
        <w:tc>
          <w:tcPr>
            <w:tcW w:w="820" w:type="dxa"/>
            <w:vAlign w:val="bottom"/>
          </w:tcPr>
          <w:p>
            <w:pPr>
              <w:ind w:left="20"/>
              <w:spacing w:after="0"/>
              <w:rPr>
                <w:sz w:val="20"/>
                <w:szCs w:val="20"/>
                <w:color w:val="auto"/>
              </w:rPr>
            </w:pPr>
            <w:r>
              <w:rPr>
                <w:rFonts w:ascii="Arial" w:cs="Arial" w:eastAsia="Arial" w:hAnsi="Arial"/>
                <w:sz w:val="9"/>
                <w:szCs w:val="9"/>
                <w:color w:val="auto"/>
              </w:rPr>
              <w:t>c</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54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1/16/2024</w:t>
            </w: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40,164</w:t>
            </w:r>
          </w:p>
        </w:tc>
        <w:tc>
          <w:tcPr>
            <w:tcW w:w="820" w:type="dxa"/>
            <w:vAlign w:val="bottom"/>
          </w:tcPr>
          <w:p>
            <w:pPr>
              <w:ind w:left="20"/>
              <w:spacing w:after="0"/>
              <w:rPr>
                <w:sz w:val="20"/>
                <w:szCs w:val="20"/>
                <w:color w:val="auto"/>
              </w:rPr>
            </w:pPr>
            <w:r>
              <w:rPr>
                <w:rFonts w:ascii="Arial" w:cs="Arial" w:eastAsia="Arial" w:hAnsi="Arial"/>
                <w:sz w:val="9"/>
                <w:szCs w:val="9"/>
                <w:color w:val="auto"/>
              </w:rPr>
              <w:t>c</w:t>
            </w:r>
          </w:p>
        </w:tc>
        <w:tc>
          <w:tcPr>
            <w:tcW w:w="940" w:type="dxa"/>
            <w:vAlign w:val="bottom"/>
          </w:tcPr>
          <w:p>
            <w:pPr>
              <w:jc w:val="right"/>
              <w:spacing w:after="0"/>
              <w:rPr>
                <w:sz w:val="20"/>
                <w:szCs w:val="20"/>
                <w:color w:val="auto"/>
              </w:rPr>
            </w:pPr>
            <w:r>
              <w:rPr>
                <w:rFonts w:ascii="Arial" w:cs="Arial" w:eastAsia="Arial" w:hAnsi="Arial"/>
                <w:sz w:val="14"/>
                <w:szCs w:val="14"/>
                <w:color w:val="auto"/>
              </w:rPr>
              <w:t>62,502</w:t>
            </w:r>
          </w:p>
        </w:tc>
        <w:tc>
          <w:tcPr>
            <w:tcW w:w="200" w:type="dxa"/>
            <w:vAlign w:val="bottom"/>
          </w:tcPr>
          <w:p>
            <w:pPr>
              <w:ind w:left="4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1/21/2025</w:t>
            </w: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26,349</w:t>
            </w:r>
          </w:p>
        </w:tc>
        <w:tc>
          <w:tcPr>
            <w:tcW w:w="820" w:type="dxa"/>
            <w:vAlign w:val="bottom"/>
          </w:tcPr>
          <w:p>
            <w:pPr>
              <w:ind w:left="20"/>
              <w:spacing w:after="0"/>
              <w:rPr>
                <w:sz w:val="20"/>
                <w:szCs w:val="20"/>
                <w:color w:val="auto"/>
              </w:rPr>
            </w:pPr>
            <w:r>
              <w:rPr>
                <w:rFonts w:ascii="Arial" w:cs="Arial" w:eastAsia="Arial" w:hAnsi="Arial"/>
                <w:sz w:val="9"/>
                <w:szCs w:val="9"/>
                <w:color w:val="auto"/>
              </w:rPr>
              <w:t>c</w:t>
            </w:r>
          </w:p>
        </w:tc>
        <w:tc>
          <w:tcPr>
            <w:tcW w:w="940" w:type="dxa"/>
            <w:vAlign w:val="bottom"/>
          </w:tcPr>
          <w:p>
            <w:pPr>
              <w:jc w:val="right"/>
              <w:spacing w:after="0"/>
              <w:rPr>
                <w:sz w:val="20"/>
                <w:szCs w:val="20"/>
                <w:color w:val="auto"/>
              </w:rPr>
            </w:pPr>
            <w:r>
              <w:rPr>
                <w:rFonts w:ascii="Arial" w:cs="Arial" w:eastAsia="Arial" w:hAnsi="Arial"/>
                <w:sz w:val="14"/>
                <w:szCs w:val="14"/>
                <w:color w:val="auto"/>
              </w:rPr>
              <w:t>40,132</w:t>
            </w:r>
          </w:p>
        </w:tc>
        <w:tc>
          <w:tcPr>
            <w:tcW w:w="200" w:type="dxa"/>
            <w:vAlign w:val="bottom"/>
          </w:tcPr>
          <w:p>
            <w:pPr>
              <w:ind w:left="4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40" w:type="dxa"/>
            <w:vAlign w:val="bottom"/>
            <w:vMerge w:val="restart"/>
          </w:tcPr>
          <w:p>
            <w:pPr>
              <w:ind w:left="20"/>
              <w:spacing w:after="0"/>
              <w:rPr>
                <w:sz w:val="20"/>
                <w:szCs w:val="20"/>
                <w:color w:val="auto"/>
              </w:rPr>
            </w:pPr>
            <w:r>
              <w:rPr>
                <w:rFonts w:ascii="Arial" w:cs="Arial" w:eastAsia="Arial" w:hAnsi="Arial"/>
                <w:sz w:val="14"/>
                <w:szCs w:val="14"/>
                <w:color w:val="auto"/>
              </w:rPr>
              <w:t>Total awards (#)</w:t>
            </w: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5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161,827</w:t>
            </w:r>
          </w:p>
        </w:tc>
        <w:tc>
          <w:tcPr>
            <w:tcW w:w="8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102,634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40" w:type="dxa"/>
            <w:vAlign w:val="bottom"/>
            <w:tcBorders>
              <w:bottom w:val="single" w:sz="8" w:color="B2B2B2"/>
            </w:tcBorders>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Market value ($)</w:t>
            </w:r>
            <w:r>
              <w:rPr>
                <w:rFonts w:ascii="Arial" w:cs="Arial" w:eastAsia="Arial" w:hAnsi="Arial"/>
                <w:sz w:val="18"/>
                <w:szCs w:val="18"/>
                <w:color w:val="auto"/>
                <w:vertAlign w:val="superscript"/>
              </w:rPr>
              <w:t>5</w:t>
            </w:r>
          </w:p>
        </w:tc>
        <w:tc>
          <w:tcPr>
            <w:tcW w:w="12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tcBorders>
          </w:tcPr>
          <w:p>
            <w:pPr>
              <w:jc w:val="right"/>
              <w:ind w:right="3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B2B2B2"/>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2B2B2"/>
            </w:tcBorders>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spacing w:after="0"/>
              <w:rPr>
                <w:sz w:val="19"/>
                <w:szCs w:val="19"/>
                <w:color w:val="auto"/>
              </w:rPr>
            </w:pPr>
          </w:p>
        </w:tc>
        <w:tc>
          <w:tcPr>
            <w:tcW w:w="1360" w:type="dxa"/>
            <w:vAlign w:val="bottom"/>
            <w:tcBorders>
              <w:bottom w:val="single" w:sz="8" w:color="B2B2B2"/>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52,143,896</w:t>
            </w:r>
          </w:p>
        </w:tc>
        <w:tc>
          <w:tcPr>
            <w:tcW w:w="820" w:type="dxa"/>
            <w:vAlign w:val="bottom"/>
            <w:tcBorders>
              <w:bottom w:val="single" w:sz="8" w:color="B2B2B2"/>
            </w:tcBorders>
          </w:tcPr>
          <w:p>
            <w:pPr>
              <w:jc w:val="right"/>
              <w:ind w:right="2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33,070,727</w:t>
            </w:r>
          </w:p>
        </w:tc>
        <w:tc>
          <w:tcPr>
            <w:tcW w:w="20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Douglas Petno</w:t>
            </w:r>
          </w:p>
        </w:tc>
        <w:tc>
          <w:tcPr>
            <w:tcW w:w="1220" w:type="dxa"/>
            <w:vAlign w:val="bottom"/>
            <w:tcBorders>
              <w:bottom w:val="single" w:sz="8" w:color="B2B2B2"/>
            </w:tcBorders>
          </w:tcPr>
          <w:p>
            <w:pPr>
              <w:spacing w:after="0"/>
              <w:rPr>
                <w:sz w:val="18"/>
                <w:szCs w:val="18"/>
                <w:color w:val="auto"/>
              </w:rPr>
            </w:pPr>
          </w:p>
        </w:tc>
        <w:tc>
          <w:tcPr>
            <w:tcW w:w="880" w:type="dxa"/>
            <w:vAlign w:val="bottom"/>
            <w:tcBorders>
              <w:bottom w:val="single" w:sz="8" w:color="B2B2B2"/>
            </w:tcBorders>
          </w:tcPr>
          <w:p>
            <w:pPr>
              <w:spacing w:after="0"/>
              <w:rPr>
                <w:sz w:val="18"/>
                <w:szCs w:val="18"/>
                <w:color w:val="auto"/>
              </w:rPr>
            </w:pPr>
          </w:p>
        </w:tc>
        <w:tc>
          <w:tcPr>
            <w:tcW w:w="460" w:type="dxa"/>
            <w:vAlign w:val="bottom"/>
            <w:tcBorders>
              <w:bottom w:val="single" w:sz="8" w:color="B2B2B2"/>
            </w:tcBorders>
          </w:tcPr>
          <w:p>
            <w:pPr>
              <w:spacing w:after="0"/>
              <w:rPr>
                <w:sz w:val="18"/>
                <w:szCs w:val="18"/>
                <w:color w:val="auto"/>
              </w:rPr>
            </w:pPr>
          </w:p>
        </w:tc>
        <w:tc>
          <w:tcPr>
            <w:tcW w:w="360" w:type="dxa"/>
            <w:vAlign w:val="bottom"/>
            <w:tcBorders>
              <w:bottom w:val="single" w:sz="8" w:color="B2B2B2"/>
            </w:tcBorders>
          </w:tcPr>
          <w:p>
            <w:pPr>
              <w:spacing w:after="0"/>
              <w:rPr>
                <w:sz w:val="18"/>
                <w:szCs w:val="18"/>
                <w:color w:val="auto"/>
              </w:rPr>
            </w:pPr>
          </w:p>
        </w:tc>
        <w:tc>
          <w:tcPr>
            <w:tcW w:w="1060" w:type="dxa"/>
            <w:vAlign w:val="bottom"/>
            <w:tcBorders>
              <w:bottom w:val="single" w:sz="8" w:color="B2B2B2"/>
            </w:tcBorders>
          </w:tcPr>
          <w:p>
            <w:pPr>
              <w:spacing w:after="0"/>
              <w:rPr>
                <w:sz w:val="18"/>
                <w:szCs w:val="18"/>
                <w:color w:val="auto"/>
              </w:rPr>
            </w:pPr>
          </w:p>
        </w:tc>
        <w:tc>
          <w:tcPr>
            <w:tcW w:w="520" w:type="dxa"/>
            <w:vAlign w:val="bottom"/>
            <w:tcBorders>
              <w:bottom w:val="single" w:sz="8" w:color="B2B2B2"/>
            </w:tcBorders>
          </w:tcPr>
          <w:p>
            <w:pPr>
              <w:spacing w:after="0"/>
              <w:rPr>
                <w:sz w:val="18"/>
                <w:szCs w:val="18"/>
                <w:color w:val="auto"/>
              </w:rPr>
            </w:pPr>
          </w:p>
        </w:tc>
        <w:tc>
          <w:tcPr>
            <w:tcW w:w="900" w:type="dxa"/>
            <w:vAlign w:val="bottom"/>
            <w:tcBorders>
              <w:bottom w:val="single" w:sz="8" w:color="B2B2B2"/>
            </w:tcBorders>
          </w:tcPr>
          <w:p>
            <w:pPr>
              <w:spacing w:after="0"/>
              <w:rPr>
                <w:sz w:val="18"/>
                <w:szCs w:val="18"/>
                <w:color w:val="auto"/>
              </w:rPr>
            </w:pPr>
          </w:p>
        </w:tc>
        <w:tc>
          <w:tcPr>
            <w:tcW w:w="940" w:type="dxa"/>
            <w:vAlign w:val="bottom"/>
            <w:tcBorders>
              <w:bottom w:val="single" w:sz="8" w:color="B2B2B2"/>
            </w:tcBorders>
          </w:tcPr>
          <w:p>
            <w:pPr>
              <w:spacing w:after="0"/>
              <w:rPr>
                <w:sz w:val="18"/>
                <w:szCs w:val="18"/>
                <w:color w:val="auto"/>
              </w:rPr>
            </w:pPr>
          </w:p>
        </w:tc>
        <w:tc>
          <w:tcPr>
            <w:tcW w:w="100" w:type="dxa"/>
            <w:vAlign w:val="bottom"/>
            <w:tcBorders>
              <w:bottom w:val="single" w:sz="8" w:color="B2B2B2"/>
            </w:tcBorders>
          </w:tcPr>
          <w:p>
            <w:pPr>
              <w:spacing w:after="0"/>
              <w:rPr>
                <w:sz w:val="18"/>
                <w:szCs w:val="18"/>
                <w:color w:val="auto"/>
              </w:rPr>
            </w:pPr>
          </w:p>
        </w:tc>
        <w:tc>
          <w:tcPr>
            <w:tcW w:w="320" w:type="dxa"/>
            <w:vAlign w:val="bottom"/>
            <w:tcBorders>
              <w:bottom w:val="single" w:sz="8" w:color="B2B2B2"/>
            </w:tcBorders>
          </w:tcPr>
          <w:p>
            <w:pPr>
              <w:spacing w:after="0"/>
              <w:rPr>
                <w:sz w:val="18"/>
                <w:szCs w:val="18"/>
                <w:color w:val="auto"/>
              </w:rPr>
            </w:pPr>
          </w:p>
        </w:tc>
        <w:tc>
          <w:tcPr>
            <w:tcW w:w="980" w:type="dxa"/>
            <w:vAlign w:val="bottom"/>
            <w:tcBorders>
              <w:bottom w:val="single" w:sz="8" w:color="B2B2B2"/>
            </w:tcBorders>
          </w:tcPr>
          <w:p>
            <w:pPr>
              <w:spacing w:after="0"/>
              <w:rPr>
                <w:sz w:val="18"/>
                <w:szCs w:val="18"/>
                <w:color w:val="auto"/>
              </w:rPr>
            </w:pPr>
          </w:p>
        </w:tc>
        <w:tc>
          <w:tcPr>
            <w:tcW w:w="820" w:type="dxa"/>
            <w:vAlign w:val="bottom"/>
            <w:tcBorders>
              <w:bottom w:val="single" w:sz="8" w:color="B2B2B2"/>
            </w:tcBorders>
          </w:tcPr>
          <w:p>
            <w:pPr>
              <w:spacing w:after="0"/>
              <w:rPr>
                <w:sz w:val="18"/>
                <w:szCs w:val="18"/>
                <w:color w:val="auto"/>
              </w:rPr>
            </w:pPr>
          </w:p>
        </w:tc>
        <w:tc>
          <w:tcPr>
            <w:tcW w:w="94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220" w:type="dxa"/>
            <w:vAlign w:val="bottom"/>
            <w:tcBorders>
              <w:bottom w:val="single" w:sz="8" w:color="B2B2B2"/>
            </w:tcBorders>
          </w:tcPr>
          <w:p>
            <w:pPr>
              <w:jc w:val="center"/>
              <w:ind w:right="109"/>
              <w:spacing w:after="0"/>
              <w:rPr>
                <w:sz w:val="20"/>
                <w:szCs w:val="20"/>
                <w:color w:val="auto"/>
              </w:rPr>
            </w:pPr>
            <w:r>
              <w:rPr>
                <w:rFonts w:ascii="Arial" w:cs="Arial" w:eastAsia="Arial" w:hAnsi="Arial"/>
                <w:sz w:val="14"/>
                <w:szCs w:val="14"/>
                <w:color w:val="auto"/>
                <w:w w:val="98"/>
              </w:rPr>
              <w:t>1/17/2023</w:t>
            </w:r>
            <w:r>
              <w:rPr>
                <w:rFonts w:ascii="Arial" w:cs="Arial" w:eastAsia="Arial" w:hAnsi="Arial"/>
                <w:sz w:val="18"/>
                <w:szCs w:val="18"/>
                <w:color w:val="auto"/>
                <w:w w:val="98"/>
                <w:vertAlign w:val="superscript"/>
              </w:rPr>
              <w:t>4</w:t>
            </w:r>
          </w:p>
        </w:tc>
        <w:tc>
          <w:tcPr>
            <w:tcW w:w="880" w:type="dxa"/>
            <w:vAlign w:val="bottom"/>
            <w:tcBorders>
              <w:bottom w:val="single" w:sz="8" w:color="B2B2B2"/>
            </w:tcBorders>
          </w:tcPr>
          <w:p>
            <w:pPr>
              <w:spacing w:after="0"/>
              <w:rPr>
                <w:sz w:val="19"/>
                <w:szCs w:val="19"/>
                <w:color w:val="auto"/>
              </w:rPr>
            </w:pPr>
          </w:p>
        </w:tc>
        <w:tc>
          <w:tcPr>
            <w:tcW w:w="460" w:type="dxa"/>
            <w:vAlign w:val="bottom"/>
            <w:tcBorders>
              <w:bottom w:val="single" w:sz="8" w:color="B2B2B2"/>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2B2B2"/>
            </w:tcBorders>
          </w:tcPr>
          <w:p>
            <w:pPr>
              <w:spacing w:after="0"/>
              <w:rPr>
                <w:sz w:val="19"/>
                <w:szCs w:val="19"/>
                <w:color w:val="auto"/>
              </w:rPr>
            </w:pPr>
          </w:p>
        </w:tc>
        <w:tc>
          <w:tcPr>
            <w:tcW w:w="1060" w:type="dxa"/>
            <w:vAlign w:val="bottom"/>
            <w:tcBorders>
              <w:bottom w:val="single" w:sz="8" w:color="B2B2B2"/>
            </w:tcBorders>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2B2B2"/>
            </w:tcBorders>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50,399</w:t>
            </w:r>
          </w:p>
        </w:tc>
        <w:tc>
          <w:tcPr>
            <w:tcW w:w="820" w:type="dxa"/>
            <w:vAlign w:val="bottom"/>
            <w:tcBorders>
              <w:bottom w:val="single" w:sz="8" w:color="B2B2B2"/>
            </w:tcBorders>
          </w:tcPr>
          <w:p>
            <w:pPr>
              <w:ind w:left="20"/>
              <w:spacing w:after="0"/>
              <w:rPr>
                <w:sz w:val="20"/>
                <w:szCs w:val="20"/>
                <w:color w:val="auto"/>
              </w:rPr>
            </w:pPr>
            <w:r>
              <w:rPr>
                <w:rFonts w:ascii="Arial" w:cs="Arial" w:eastAsia="Arial" w:hAnsi="Arial"/>
                <w:sz w:val="9"/>
                <w:szCs w:val="9"/>
                <w:color w:val="auto"/>
              </w:rPr>
              <w:t>b</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54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1/17/2023</w:t>
            </w: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15,761</w:t>
            </w:r>
          </w:p>
        </w:tc>
        <w:tc>
          <w:tcPr>
            <w:tcW w:w="820" w:type="dxa"/>
            <w:vAlign w:val="bottom"/>
          </w:tcPr>
          <w:p>
            <w:pPr>
              <w:ind w:left="20"/>
              <w:spacing w:after="0"/>
              <w:rPr>
                <w:sz w:val="20"/>
                <w:szCs w:val="20"/>
                <w:color w:val="auto"/>
              </w:rPr>
            </w:pPr>
            <w:r>
              <w:rPr>
                <w:rFonts w:ascii="Arial" w:cs="Arial" w:eastAsia="Arial" w:hAnsi="Arial"/>
                <w:sz w:val="9"/>
                <w:szCs w:val="9"/>
                <w:color w:val="auto"/>
              </w:rPr>
              <w:t>c</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1/16/2024</w:t>
            </w: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28,431</w:t>
            </w:r>
          </w:p>
        </w:tc>
        <w:tc>
          <w:tcPr>
            <w:tcW w:w="820" w:type="dxa"/>
            <w:vAlign w:val="bottom"/>
          </w:tcPr>
          <w:p>
            <w:pPr>
              <w:ind w:left="20"/>
              <w:spacing w:after="0"/>
              <w:rPr>
                <w:sz w:val="20"/>
                <w:szCs w:val="20"/>
                <w:color w:val="auto"/>
              </w:rPr>
            </w:pPr>
            <w:r>
              <w:rPr>
                <w:rFonts w:ascii="Arial" w:cs="Arial" w:eastAsia="Arial" w:hAnsi="Arial"/>
                <w:sz w:val="9"/>
                <w:szCs w:val="9"/>
                <w:color w:val="auto"/>
              </w:rPr>
              <w:t>c</w:t>
            </w:r>
          </w:p>
        </w:tc>
        <w:tc>
          <w:tcPr>
            <w:tcW w:w="940" w:type="dxa"/>
            <w:vAlign w:val="bottom"/>
          </w:tcPr>
          <w:p>
            <w:pPr>
              <w:jc w:val="right"/>
              <w:spacing w:after="0"/>
              <w:rPr>
                <w:sz w:val="20"/>
                <w:szCs w:val="20"/>
                <w:color w:val="auto"/>
              </w:rPr>
            </w:pPr>
            <w:r>
              <w:rPr>
                <w:rFonts w:ascii="Arial" w:cs="Arial" w:eastAsia="Arial" w:hAnsi="Arial"/>
                <w:sz w:val="14"/>
                <w:szCs w:val="14"/>
                <w:color w:val="auto"/>
              </w:rPr>
              <w:t>44,243</w:t>
            </w:r>
          </w:p>
        </w:tc>
        <w:tc>
          <w:tcPr>
            <w:tcW w:w="200" w:type="dxa"/>
            <w:vAlign w:val="bottom"/>
          </w:tcPr>
          <w:p>
            <w:pPr>
              <w:ind w:left="4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54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color w:val="auto"/>
              </w:rPr>
              <w:t>1/21/2025</w:t>
            </w: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left="1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21,766</w:t>
            </w:r>
          </w:p>
        </w:tc>
        <w:tc>
          <w:tcPr>
            <w:tcW w:w="820" w:type="dxa"/>
            <w:vAlign w:val="bottom"/>
          </w:tcPr>
          <w:p>
            <w:pPr>
              <w:ind w:left="20"/>
              <w:spacing w:after="0"/>
              <w:rPr>
                <w:sz w:val="20"/>
                <w:szCs w:val="20"/>
                <w:color w:val="auto"/>
              </w:rPr>
            </w:pPr>
            <w:r>
              <w:rPr>
                <w:rFonts w:ascii="Arial" w:cs="Arial" w:eastAsia="Arial" w:hAnsi="Arial"/>
                <w:sz w:val="9"/>
                <w:szCs w:val="9"/>
                <w:color w:val="auto"/>
              </w:rPr>
              <w:t>c</w:t>
            </w:r>
          </w:p>
        </w:tc>
        <w:tc>
          <w:tcPr>
            <w:tcW w:w="940" w:type="dxa"/>
            <w:vAlign w:val="bottom"/>
          </w:tcPr>
          <w:p>
            <w:pPr>
              <w:jc w:val="right"/>
              <w:spacing w:after="0"/>
              <w:rPr>
                <w:sz w:val="20"/>
                <w:szCs w:val="20"/>
                <w:color w:val="auto"/>
              </w:rPr>
            </w:pPr>
            <w:r>
              <w:rPr>
                <w:rFonts w:ascii="Arial" w:cs="Arial" w:eastAsia="Arial" w:hAnsi="Arial"/>
                <w:sz w:val="14"/>
                <w:szCs w:val="14"/>
                <w:color w:val="auto"/>
              </w:rPr>
              <w:t>33,151</w:t>
            </w:r>
          </w:p>
        </w:tc>
        <w:tc>
          <w:tcPr>
            <w:tcW w:w="200" w:type="dxa"/>
            <w:vAlign w:val="bottom"/>
          </w:tcPr>
          <w:p>
            <w:pPr>
              <w:ind w:left="4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40" w:type="dxa"/>
            <w:vAlign w:val="bottom"/>
            <w:vMerge w:val="restart"/>
          </w:tcPr>
          <w:p>
            <w:pPr>
              <w:ind w:left="20"/>
              <w:spacing w:after="0"/>
              <w:rPr>
                <w:sz w:val="20"/>
                <w:szCs w:val="20"/>
                <w:color w:val="auto"/>
              </w:rPr>
            </w:pPr>
            <w:r>
              <w:rPr>
                <w:rFonts w:ascii="Arial" w:cs="Arial" w:eastAsia="Arial" w:hAnsi="Arial"/>
                <w:sz w:val="14"/>
                <w:szCs w:val="14"/>
                <w:color w:val="auto"/>
              </w:rPr>
              <w:t>Total awards (#)</w:t>
            </w: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5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116,357</w:t>
            </w:r>
          </w:p>
        </w:tc>
        <w:tc>
          <w:tcPr>
            <w:tcW w:w="8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77,394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40" w:type="dxa"/>
            <w:vAlign w:val="bottom"/>
            <w:tcBorders>
              <w:bottom w:val="single" w:sz="8" w:color="B2B2B2"/>
            </w:tcBorders>
          </w:tcPr>
          <w:p>
            <w:pPr>
              <w:spacing w:after="0" w:line="20" w:lineRule="exact"/>
              <w:rPr>
                <w:sz w:val="1"/>
                <w:szCs w:val="1"/>
                <w:color w:val="auto"/>
              </w:rPr>
            </w:pPr>
          </w:p>
        </w:tc>
        <w:tc>
          <w:tcPr>
            <w:tcW w:w="12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52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Market value ($)</w:t>
            </w:r>
            <w:r>
              <w:rPr>
                <w:rFonts w:ascii="Arial" w:cs="Arial" w:eastAsia="Arial" w:hAnsi="Arial"/>
                <w:sz w:val="18"/>
                <w:szCs w:val="18"/>
                <w:color w:val="auto"/>
                <w:vertAlign w:val="superscript"/>
              </w:rPr>
              <w:t>5</w:t>
            </w:r>
          </w:p>
        </w:tc>
        <w:tc>
          <w:tcPr>
            <w:tcW w:w="122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tcBorders>
          </w:tcPr>
          <w:p>
            <w:pPr>
              <w:jc w:val="right"/>
              <w:ind w:right="3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B2B2B2"/>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2B2B2"/>
            </w:tcBorders>
          </w:tcPr>
          <w:p>
            <w:pPr>
              <w:jc w:val="right"/>
              <w:ind w:right="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spacing w:after="0"/>
              <w:rPr>
                <w:sz w:val="19"/>
                <w:szCs w:val="19"/>
                <w:color w:val="auto"/>
              </w:rPr>
            </w:pPr>
          </w:p>
        </w:tc>
        <w:tc>
          <w:tcPr>
            <w:tcW w:w="1360" w:type="dxa"/>
            <w:vAlign w:val="bottom"/>
            <w:tcBorders>
              <w:bottom w:val="single" w:sz="8" w:color="B2B2B2"/>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37,492,553</w:t>
            </w:r>
          </w:p>
        </w:tc>
        <w:tc>
          <w:tcPr>
            <w:tcW w:w="820" w:type="dxa"/>
            <w:vAlign w:val="bottom"/>
            <w:tcBorders>
              <w:bottom w:val="single" w:sz="8" w:color="B2B2B2"/>
            </w:tcBorders>
          </w:tcPr>
          <w:p>
            <w:pPr>
              <w:jc w:val="right"/>
              <w:ind w:right="27"/>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24,937,895</w:t>
            </w:r>
          </w:p>
        </w:tc>
        <w:tc>
          <w:tcPr>
            <w:tcW w:w="20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768"/>
        </w:trPr>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3"/>
            <w:vMerge w:val="restart"/>
          </w:tcPr>
          <w:p>
            <w:pPr>
              <w:jc w:val="right"/>
              <w:ind w:right="430"/>
              <w:spacing w:after="0"/>
              <w:rPr>
                <w:sz w:val="20"/>
                <w:szCs w:val="20"/>
                <w:color w:val="auto"/>
              </w:rPr>
            </w:pPr>
            <w:r>
              <w:rPr>
                <w:rFonts w:ascii="Arial" w:cs="Arial" w:eastAsia="Arial" w:hAnsi="Arial"/>
                <w:sz w:val="14"/>
                <w:szCs w:val="14"/>
                <w:color w:val="auto"/>
              </w:rPr>
              <w:t>2026 Proxy Statement</w:t>
            </w:r>
          </w:p>
        </w:tc>
        <w:tc>
          <w:tcPr>
            <w:tcW w:w="200" w:type="dxa"/>
            <w:vAlign w:val="bottom"/>
          </w:tcPr>
          <w:p>
            <w:pPr>
              <w:ind w:left="2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7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15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-402590</wp:posOffset>
            </wp:positionV>
            <wp:extent cx="651510" cy="8572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1500" w:type="dxa"/>
            <w:vAlign w:val="bottom"/>
            <w:tcBorders>
              <w:bottom w:val="single" w:sz="8" w:color="F4EFE7"/>
            </w:tcBorders>
            <w:shd w:val="clear" w:color="auto" w:fill="F4EFE7"/>
          </w:tcPr>
          <w:p>
            <w:pPr>
              <w:spacing w:after="0"/>
              <w:rPr>
                <w:sz w:val="24"/>
                <w:szCs w:val="24"/>
                <w:color w:val="auto"/>
              </w:rPr>
            </w:pPr>
          </w:p>
        </w:tc>
        <w:tc>
          <w:tcPr>
            <w:tcW w:w="1240" w:type="dxa"/>
            <w:vAlign w:val="bottom"/>
            <w:tcBorders>
              <w:bottom w:val="single" w:sz="8" w:color="F4EFE7"/>
            </w:tcBorders>
            <w:shd w:val="clear" w:color="auto" w:fill="F4EFE7"/>
          </w:tcPr>
          <w:p>
            <w:pPr>
              <w:spacing w:after="0"/>
              <w:rPr>
                <w:sz w:val="24"/>
                <w:szCs w:val="24"/>
                <w:color w:val="auto"/>
              </w:rPr>
            </w:pPr>
          </w:p>
        </w:tc>
        <w:tc>
          <w:tcPr>
            <w:tcW w:w="900" w:type="dxa"/>
            <w:vAlign w:val="bottom"/>
            <w:tcBorders>
              <w:bottom w:val="single" w:sz="8" w:color="F4EFE7"/>
            </w:tcBorders>
            <w:shd w:val="clear" w:color="auto" w:fill="F4EFE7"/>
          </w:tcPr>
          <w:p>
            <w:pPr>
              <w:spacing w:after="0"/>
              <w:rPr>
                <w:sz w:val="24"/>
                <w:szCs w:val="24"/>
                <w:color w:val="auto"/>
              </w:rPr>
            </w:pPr>
          </w:p>
        </w:tc>
        <w:tc>
          <w:tcPr>
            <w:tcW w:w="480" w:type="dxa"/>
            <w:vAlign w:val="bottom"/>
            <w:tcBorders>
              <w:bottom w:val="single" w:sz="8" w:color="F4EFE7"/>
            </w:tcBorders>
            <w:shd w:val="clear" w:color="auto" w:fill="F4EFE7"/>
          </w:tcPr>
          <w:p>
            <w:pPr>
              <w:spacing w:after="0"/>
              <w:rPr>
                <w:sz w:val="24"/>
                <w:szCs w:val="24"/>
                <w:color w:val="auto"/>
              </w:rPr>
            </w:pPr>
          </w:p>
        </w:tc>
        <w:tc>
          <w:tcPr>
            <w:tcW w:w="360" w:type="dxa"/>
            <w:vAlign w:val="bottom"/>
            <w:tcBorders>
              <w:bottom w:val="single" w:sz="8" w:color="F4EFE7"/>
            </w:tcBorders>
            <w:shd w:val="clear" w:color="auto" w:fill="F4EFE7"/>
          </w:tcPr>
          <w:p>
            <w:pPr>
              <w:spacing w:after="0"/>
              <w:rPr>
                <w:sz w:val="24"/>
                <w:szCs w:val="24"/>
                <w:color w:val="auto"/>
              </w:rPr>
            </w:pPr>
          </w:p>
        </w:tc>
        <w:tc>
          <w:tcPr>
            <w:tcW w:w="1380" w:type="dxa"/>
            <w:vAlign w:val="bottom"/>
            <w:tcBorders>
              <w:bottom w:val="single" w:sz="8" w:color="F4EFE7"/>
            </w:tcBorders>
            <w:gridSpan w:val="2"/>
            <w:shd w:val="clear" w:color="auto" w:fill="F4EFE7"/>
          </w:tcPr>
          <w:p>
            <w:pPr>
              <w:ind w:left="360"/>
              <w:spacing w:after="0"/>
              <w:rPr>
                <w:sz w:val="20"/>
                <w:szCs w:val="20"/>
                <w:color w:val="auto"/>
              </w:rPr>
            </w:pPr>
            <w:r>
              <w:rPr>
                <w:rFonts w:ascii="Arial" w:cs="Arial" w:eastAsia="Arial" w:hAnsi="Arial"/>
                <w:sz w:val="13"/>
                <w:szCs w:val="13"/>
                <w:b w:val="1"/>
                <w:bCs w:val="1"/>
                <w:color w:val="8F5A39"/>
              </w:rPr>
              <w:t>Option awards</w:t>
            </w:r>
          </w:p>
        </w:tc>
        <w:tc>
          <w:tcPr>
            <w:tcW w:w="900" w:type="dxa"/>
            <w:vAlign w:val="bottom"/>
            <w:tcBorders>
              <w:bottom w:val="single" w:sz="8" w:color="F4EFE7"/>
            </w:tcBorders>
            <w:shd w:val="clear" w:color="auto" w:fill="F4EFE7"/>
          </w:tcPr>
          <w:p>
            <w:pPr>
              <w:spacing w:after="0"/>
              <w:rPr>
                <w:sz w:val="24"/>
                <w:szCs w:val="24"/>
                <w:color w:val="auto"/>
              </w:rPr>
            </w:pPr>
          </w:p>
        </w:tc>
        <w:tc>
          <w:tcPr>
            <w:tcW w:w="1060" w:type="dxa"/>
            <w:vAlign w:val="bottom"/>
            <w:tcBorders>
              <w:bottom w:val="single" w:sz="8" w:color="F4EFE7"/>
            </w:tcBorders>
            <w:shd w:val="clear" w:color="auto" w:fill="F4EFE7"/>
          </w:tcPr>
          <w:p>
            <w:pPr>
              <w:spacing w:after="0"/>
              <w:rPr>
                <w:sz w:val="24"/>
                <w:szCs w:val="24"/>
                <w:color w:val="auto"/>
              </w:rPr>
            </w:pPr>
          </w:p>
        </w:tc>
        <w:tc>
          <w:tcPr>
            <w:tcW w:w="80" w:type="dxa"/>
            <w:vAlign w:val="bottom"/>
            <w:tcBorders>
              <w:bottom w:val="single" w:sz="8" w:color="F4EFE7"/>
            </w:tcBorders>
            <w:shd w:val="clear" w:color="auto" w:fill="F4EFE7"/>
          </w:tcPr>
          <w:p>
            <w:pPr>
              <w:spacing w:after="0"/>
              <w:rPr>
                <w:sz w:val="24"/>
                <w:szCs w:val="24"/>
                <w:color w:val="auto"/>
              </w:rPr>
            </w:pPr>
          </w:p>
        </w:tc>
        <w:tc>
          <w:tcPr>
            <w:tcW w:w="400" w:type="dxa"/>
            <w:vAlign w:val="bottom"/>
            <w:tcBorders>
              <w:bottom w:val="single" w:sz="8" w:color="F4EFE7"/>
            </w:tcBorders>
            <w:shd w:val="clear" w:color="auto" w:fill="F4EFE7"/>
          </w:tcPr>
          <w:p>
            <w:pPr>
              <w:spacing w:after="0"/>
              <w:rPr>
                <w:sz w:val="24"/>
                <w:szCs w:val="24"/>
                <w:color w:val="auto"/>
              </w:rPr>
            </w:pPr>
          </w:p>
        </w:tc>
        <w:tc>
          <w:tcPr>
            <w:tcW w:w="1620" w:type="dxa"/>
            <w:vAlign w:val="bottom"/>
            <w:tcBorders>
              <w:bottom w:val="single" w:sz="8" w:color="F4EFE7"/>
            </w:tcBorders>
            <w:gridSpan w:val="2"/>
            <w:shd w:val="clear" w:color="auto" w:fill="F4EFE7"/>
          </w:tcPr>
          <w:p>
            <w:pPr>
              <w:ind w:left="780"/>
              <w:spacing w:after="0"/>
              <w:rPr>
                <w:sz w:val="20"/>
                <w:szCs w:val="20"/>
                <w:color w:val="auto"/>
              </w:rPr>
            </w:pPr>
            <w:r>
              <w:rPr>
                <w:rFonts w:ascii="Arial" w:cs="Arial" w:eastAsia="Arial" w:hAnsi="Arial"/>
                <w:sz w:val="13"/>
                <w:szCs w:val="13"/>
                <w:b w:val="1"/>
                <w:bCs w:val="1"/>
                <w:color w:val="8F5A39"/>
                <w:w w:val="97"/>
              </w:rPr>
              <w:t>Stock awards</w:t>
            </w:r>
          </w:p>
        </w:tc>
        <w:tc>
          <w:tcPr>
            <w:tcW w:w="160" w:type="dxa"/>
            <w:vAlign w:val="bottom"/>
            <w:tcBorders>
              <w:bottom w:val="single" w:sz="8" w:color="F4EFE7"/>
            </w:tcBorders>
            <w:shd w:val="clear" w:color="auto" w:fill="F4EFE7"/>
          </w:tcPr>
          <w:p>
            <w:pPr>
              <w:spacing w:after="0"/>
              <w:rPr>
                <w:sz w:val="24"/>
                <w:szCs w:val="24"/>
                <w:color w:val="auto"/>
              </w:rPr>
            </w:pPr>
          </w:p>
        </w:tc>
        <w:tc>
          <w:tcPr>
            <w:tcW w:w="980" w:type="dxa"/>
            <w:vAlign w:val="bottom"/>
            <w:tcBorders>
              <w:bottom w:val="single" w:sz="8" w:color="F4EFE7"/>
            </w:tcBorders>
            <w:shd w:val="clear" w:color="auto" w:fill="F4EFE7"/>
          </w:tcPr>
          <w:p>
            <w:pPr>
              <w:spacing w:after="0"/>
              <w:rPr>
                <w:sz w:val="24"/>
                <w:szCs w:val="24"/>
                <w:color w:val="auto"/>
              </w:rPr>
            </w:pPr>
          </w:p>
        </w:tc>
        <w:tc>
          <w:tcPr>
            <w:tcW w:w="180" w:type="dxa"/>
            <w:vAlign w:val="bottom"/>
            <w:tcBorders>
              <w:bottom w:val="single" w:sz="8" w:color="F4EFE7"/>
            </w:tcBorders>
            <w:shd w:val="clear" w:color="auto" w:fill="F4EFE7"/>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500" w:type="dxa"/>
            <w:vAlign w:val="bottom"/>
            <w:tcBorders>
              <w:top w:val="single" w:sz="8" w:color="F4EFE7"/>
            </w:tcBorders>
            <w:shd w:val="clear" w:color="auto" w:fill="F4EFE7"/>
          </w:tcPr>
          <w:p>
            <w:pPr>
              <w:spacing w:after="0"/>
              <w:rPr>
                <w:sz w:val="13"/>
                <w:szCs w:val="13"/>
                <w:color w:val="auto"/>
              </w:rPr>
            </w:pPr>
          </w:p>
        </w:tc>
        <w:tc>
          <w:tcPr>
            <w:tcW w:w="1240" w:type="dxa"/>
            <w:vAlign w:val="bottom"/>
            <w:tcBorders>
              <w:top w:val="single" w:sz="8" w:color="F4EFE7"/>
            </w:tcBorders>
            <w:shd w:val="clear" w:color="auto" w:fill="F4EFE7"/>
          </w:tcPr>
          <w:p>
            <w:pPr>
              <w:spacing w:after="0"/>
              <w:rPr>
                <w:sz w:val="13"/>
                <w:szCs w:val="13"/>
                <w:color w:val="auto"/>
              </w:rPr>
            </w:pPr>
          </w:p>
        </w:tc>
        <w:tc>
          <w:tcPr>
            <w:tcW w:w="900" w:type="dxa"/>
            <w:vAlign w:val="bottom"/>
            <w:tcBorders>
              <w:top w:val="single" w:sz="8" w:color="auto"/>
            </w:tcBorders>
            <w:shd w:val="clear" w:color="auto" w:fill="F4EFE7"/>
          </w:tcPr>
          <w:p>
            <w:pPr>
              <w:spacing w:after="0"/>
              <w:rPr>
                <w:sz w:val="13"/>
                <w:szCs w:val="13"/>
                <w:color w:val="auto"/>
              </w:rPr>
            </w:pPr>
          </w:p>
        </w:tc>
        <w:tc>
          <w:tcPr>
            <w:tcW w:w="480" w:type="dxa"/>
            <w:vAlign w:val="bottom"/>
            <w:tcBorders>
              <w:top w:val="single" w:sz="8" w:color="auto"/>
            </w:tcBorders>
            <w:shd w:val="clear" w:color="auto" w:fill="F4EFE7"/>
          </w:tcPr>
          <w:p>
            <w:pPr>
              <w:spacing w:after="0"/>
              <w:rPr>
                <w:sz w:val="13"/>
                <w:szCs w:val="13"/>
                <w:color w:val="auto"/>
              </w:rPr>
            </w:pPr>
          </w:p>
        </w:tc>
        <w:tc>
          <w:tcPr>
            <w:tcW w:w="360" w:type="dxa"/>
            <w:vAlign w:val="bottom"/>
            <w:tcBorders>
              <w:top w:val="single" w:sz="8" w:color="auto"/>
            </w:tcBorders>
            <w:shd w:val="clear" w:color="auto" w:fill="F4EFE7"/>
          </w:tcPr>
          <w:p>
            <w:pPr>
              <w:spacing w:after="0"/>
              <w:rPr>
                <w:sz w:val="13"/>
                <w:szCs w:val="13"/>
                <w:color w:val="auto"/>
              </w:rPr>
            </w:pPr>
          </w:p>
        </w:tc>
        <w:tc>
          <w:tcPr>
            <w:tcW w:w="1040" w:type="dxa"/>
            <w:vAlign w:val="bottom"/>
            <w:tcBorders>
              <w:top w:val="single" w:sz="8" w:color="auto"/>
            </w:tcBorders>
            <w:shd w:val="clear" w:color="auto" w:fill="F4EFE7"/>
          </w:tcPr>
          <w:p>
            <w:pPr>
              <w:spacing w:after="0"/>
              <w:rPr>
                <w:sz w:val="13"/>
                <w:szCs w:val="13"/>
                <w:color w:val="auto"/>
              </w:rPr>
            </w:pPr>
          </w:p>
        </w:tc>
        <w:tc>
          <w:tcPr>
            <w:tcW w:w="340" w:type="dxa"/>
            <w:vAlign w:val="bottom"/>
            <w:tcBorders>
              <w:top w:val="single" w:sz="8" w:color="auto"/>
            </w:tcBorders>
            <w:shd w:val="clear" w:color="auto" w:fill="F4EFE7"/>
          </w:tcPr>
          <w:p>
            <w:pPr>
              <w:spacing w:after="0"/>
              <w:rPr>
                <w:sz w:val="13"/>
                <w:szCs w:val="13"/>
                <w:color w:val="auto"/>
              </w:rPr>
            </w:pPr>
          </w:p>
        </w:tc>
        <w:tc>
          <w:tcPr>
            <w:tcW w:w="900" w:type="dxa"/>
            <w:vAlign w:val="bottom"/>
            <w:tcBorders>
              <w:top w:val="single" w:sz="8" w:color="auto"/>
            </w:tcBorders>
            <w:shd w:val="clear" w:color="auto" w:fill="F4EFE7"/>
          </w:tcPr>
          <w:p>
            <w:pPr>
              <w:spacing w:after="0"/>
              <w:rPr>
                <w:sz w:val="13"/>
                <w:szCs w:val="13"/>
                <w:color w:val="auto"/>
              </w:rPr>
            </w:pPr>
          </w:p>
        </w:tc>
        <w:tc>
          <w:tcPr>
            <w:tcW w:w="1060" w:type="dxa"/>
            <w:vAlign w:val="bottom"/>
            <w:tcBorders>
              <w:top w:val="single" w:sz="8" w:color="auto"/>
            </w:tcBorders>
            <w:shd w:val="clear" w:color="auto" w:fill="F4EFE7"/>
          </w:tcPr>
          <w:p>
            <w:pPr>
              <w:spacing w:after="0"/>
              <w:rPr>
                <w:sz w:val="13"/>
                <w:szCs w:val="13"/>
                <w:color w:val="auto"/>
              </w:rPr>
            </w:pPr>
          </w:p>
        </w:tc>
        <w:tc>
          <w:tcPr>
            <w:tcW w:w="80" w:type="dxa"/>
            <w:vAlign w:val="bottom"/>
            <w:tcBorders>
              <w:top w:val="single" w:sz="8" w:color="F4EFE7"/>
            </w:tcBorders>
            <w:shd w:val="clear" w:color="auto" w:fill="F4EFE7"/>
          </w:tcPr>
          <w:p>
            <w:pPr>
              <w:spacing w:after="0"/>
              <w:rPr>
                <w:sz w:val="13"/>
                <w:szCs w:val="13"/>
                <w:color w:val="auto"/>
              </w:rPr>
            </w:pPr>
          </w:p>
        </w:tc>
        <w:tc>
          <w:tcPr>
            <w:tcW w:w="400" w:type="dxa"/>
            <w:vAlign w:val="bottom"/>
            <w:tcBorders>
              <w:top w:val="single" w:sz="8" w:color="auto"/>
            </w:tcBorders>
            <w:shd w:val="clear" w:color="auto" w:fill="F4EFE7"/>
          </w:tcPr>
          <w:p>
            <w:pPr>
              <w:spacing w:after="0"/>
              <w:rPr>
                <w:sz w:val="13"/>
                <w:szCs w:val="13"/>
                <w:color w:val="auto"/>
              </w:rPr>
            </w:pPr>
          </w:p>
        </w:tc>
        <w:tc>
          <w:tcPr>
            <w:tcW w:w="980" w:type="dxa"/>
            <w:vAlign w:val="bottom"/>
            <w:tcBorders>
              <w:top w:val="single" w:sz="8" w:color="auto"/>
            </w:tcBorders>
            <w:shd w:val="clear" w:color="auto" w:fill="F4EFE7"/>
          </w:tcPr>
          <w:p>
            <w:pPr>
              <w:spacing w:after="0"/>
              <w:rPr>
                <w:sz w:val="13"/>
                <w:szCs w:val="13"/>
                <w:color w:val="auto"/>
              </w:rPr>
            </w:pPr>
          </w:p>
        </w:tc>
        <w:tc>
          <w:tcPr>
            <w:tcW w:w="640" w:type="dxa"/>
            <w:vAlign w:val="bottom"/>
            <w:tcBorders>
              <w:top w:val="single" w:sz="8" w:color="auto"/>
            </w:tcBorders>
            <w:shd w:val="clear" w:color="auto" w:fill="F4EFE7"/>
          </w:tcPr>
          <w:p>
            <w:pPr>
              <w:spacing w:after="0"/>
              <w:rPr>
                <w:sz w:val="13"/>
                <w:szCs w:val="13"/>
                <w:color w:val="auto"/>
              </w:rPr>
            </w:pPr>
          </w:p>
        </w:tc>
        <w:tc>
          <w:tcPr>
            <w:tcW w:w="160" w:type="dxa"/>
            <w:vAlign w:val="bottom"/>
            <w:tcBorders>
              <w:top w:val="single" w:sz="8" w:color="auto"/>
            </w:tcBorders>
            <w:shd w:val="clear" w:color="auto" w:fill="F4EFE7"/>
          </w:tcPr>
          <w:p>
            <w:pPr>
              <w:spacing w:after="0"/>
              <w:rPr>
                <w:sz w:val="13"/>
                <w:szCs w:val="13"/>
                <w:color w:val="auto"/>
              </w:rPr>
            </w:pPr>
          </w:p>
        </w:tc>
        <w:tc>
          <w:tcPr>
            <w:tcW w:w="980" w:type="dxa"/>
            <w:vAlign w:val="bottom"/>
            <w:tcBorders>
              <w:top w:val="single" w:sz="8" w:color="auto"/>
            </w:tcBorders>
            <w:shd w:val="clear" w:color="auto" w:fill="F4EFE7"/>
          </w:tcPr>
          <w:p>
            <w:pPr>
              <w:jc w:val="right"/>
              <w:spacing w:after="0"/>
              <w:rPr>
                <w:sz w:val="20"/>
                <w:szCs w:val="20"/>
                <w:color w:val="auto"/>
              </w:rPr>
            </w:pPr>
            <w:r>
              <w:rPr>
                <w:rFonts w:ascii="Arial" w:cs="Arial" w:eastAsia="Arial" w:hAnsi="Arial"/>
                <w:sz w:val="13"/>
                <w:szCs w:val="13"/>
                <w:b w:val="1"/>
                <w:bCs w:val="1"/>
                <w:color w:val="8F5A39"/>
              </w:rPr>
              <w:t>Number of</w:t>
            </w:r>
          </w:p>
        </w:tc>
        <w:tc>
          <w:tcPr>
            <w:tcW w:w="180" w:type="dxa"/>
            <w:vAlign w:val="bottom"/>
            <w:tcBorders>
              <w:top w:val="single" w:sz="8" w:color="auto"/>
            </w:tcBorders>
            <w:shd w:val="clear" w:color="auto" w:fill="F4EFE7"/>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F4EFE7"/>
          </w:tcPr>
          <w:p>
            <w:pPr>
              <w:spacing w:after="0"/>
              <w:rPr>
                <w:sz w:val="12"/>
                <w:szCs w:val="12"/>
                <w:color w:val="auto"/>
              </w:rPr>
            </w:pPr>
          </w:p>
        </w:tc>
        <w:tc>
          <w:tcPr>
            <w:tcW w:w="1240" w:type="dxa"/>
            <w:vAlign w:val="bottom"/>
            <w:shd w:val="clear" w:color="auto" w:fill="F4EFE7"/>
          </w:tcPr>
          <w:p>
            <w:pPr>
              <w:spacing w:after="0"/>
              <w:rPr>
                <w:sz w:val="12"/>
                <w:szCs w:val="12"/>
                <w:color w:val="auto"/>
              </w:rPr>
            </w:pPr>
          </w:p>
        </w:tc>
        <w:tc>
          <w:tcPr>
            <w:tcW w:w="1380" w:type="dxa"/>
            <w:vAlign w:val="bottom"/>
            <w:gridSpan w:val="2"/>
            <w:shd w:val="clear" w:color="auto" w:fill="F4EFE7"/>
          </w:tcPr>
          <w:p>
            <w:pPr>
              <w:jc w:val="right"/>
              <w:ind w:right="148"/>
              <w:spacing w:after="0"/>
              <w:rPr>
                <w:sz w:val="20"/>
                <w:szCs w:val="20"/>
                <w:color w:val="auto"/>
              </w:rPr>
            </w:pPr>
            <w:r>
              <w:rPr>
                <w:rFonts w:ascii="Arial" w:cs="Arial" w:eastAsia="Arial" w:hAnsi="Arial"/>
                <w:sz w:val="13"/>
                <w:szCs w:val="13"/>
                <w:b w:val="1"/>
                <w:bCs w:val="1"/>
                <w:color w:val="8F5A39"/>
              </w:rPr>
              <w:t>Number of</w:t>
            </w:r>
          </w:p>
        </w:tc>
        <w:tc>
          <w:tcPr>
            <w:tcW w:w="360" w:type="dxa"/>
            <w:vAlign w:val="bottom"/>
            <w:shd w:val="clear" w:color="auto" w:fill="F4EFE7"/>
          </w:tcPr>
          <w:p>
            <w:pPr>
              <w:spacing w:after="0"/>
              <w:rPr>
                <w:sz w:val="12"/>
                <w:szCs w:val="12"/>
                <w:color w:val="auto"/>
              </w:rPr>
            </w:pPr>
          </w:p>
        </w:tc>
        <w:tc>
          <w:tcPr>
            <w:tcW w:w="104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Number of</w:t>
            </w:r>
          </w:p>
        </w:tc>
        <w:tc>
          <w:tcPr>
            <w:tcW w:w="340" w:type="dxa"/>
            <w:vAlign w:val="bottom"/>
            <w:shd w:val="clear" w:color="auto" w:fill="F4EFE7"/>
          </w:tcPr>
          <w:p>
            <w:pPr>
              <w:spacing w:after="0"/>
              <w:rPr>
                <w:sz w:val="12"/>
                <w:szCs w:val="12"/>
                <w:color w:val="auto"/>
              </w:rPr>
            </w:pPr>
          </w:p>
        </w:tc>
        <w:tc>
          <w:tcPr>
            <w:tcW w:w="900" w:type="dxa"/>
            <w:vAlign w:val="bottom"/>
            <w:shd w:val="clear" w:color="auto" w:fill="F4EFE7"/>
          </w:tcPr>
          <w:p>
            <w:pPr>
              <w:spacing w:after="0"/>
              <w:rPr>
                <w:sz w:val="12"/>
                <w:szCs w:val="12"/>
                <w:color w:val="auto"/>
              </w:rPr>
            </w:pPr>
          </w:p>
        </w:tc>
        <w:tc>
          <w:tcPr>
            <w:tcW w:w="1060" w:type="dxa"/>
            <w:vAlign w:val="bottom"/>
            <w:shd w:val="clear" w:color="auto" w:fill="F4EFE7"/>
          </w:tcPr>
          <w:p>
            <w:pPr>
              <w:spacing w:after="0"/>
              <w:rPr>
                <w:sz w:val="12"/>
                <w:szCs w:val="12"/>
                <w:color w:val="auto"/>
              </w:rPr>
            </w:pPr>
          </w:p>
        </w:tc>
        <w:tc>
          <w:tcPr>
            <w:tcW w:w="80" w:type="dxa"/>
            <w:vAlign w:val="bottom"/>
            <w:shd w:val="clear" w:color="auto" w:fill="F4EFE7"/>
          </w:tcPr>
          <w:p>
            <w:pPr>
              <w:spacing w:after="0"/>
              <w:rPr>
                <w:sz w:val="12"/>
                <w:szCs w:val="12"/>
                <w:color w:val="auto"/>
              </w:rPr>
            </w:pPr>
          </w:p>
        </w:tc>
        <w:tc>
          <w:tcPr>
            <w:tcW w:w="400" w:type="dxa"/>
            <w:vAlign w:val="bottom"/>
            <w:shd w:val="clear" w:color="auto" w:fill="F4EFE7"/>
          </w:tcPr>
          <w:p>
            <w:pPr>
              <w:spacing w:after="0"/>
              <w:rPr>
                <w:sz w:val="12"/>
                <w:szCs w:val="12"/>
                <w:color w:val="auto"/>
              </w:rPr>
            </w:pPr>
          </w:p>
        </w:tc>
        <w:tc>
          <w:tcPr>
            <w:tcW w:w="980" w:type="dxa"/>
            <w:vAlign w:val="bottom"/>
            <w:shd w:val="clear" w:color="auto" w:fill="F4EFE7"/>
          </w:tcPr>
          <w:p>
            <w:pPr>
              <w:spacing w:after="0"/>
              <w:rPr>
                <w:sz w:val="12"/>
                <w:szCs w:val="12"/>
                <w:color w:val="auto"/>
              </w:rPr>
            </w:pPr>
          </w:p>
        </w:tc>
        <w:tc>
          <w:tcPr>
            <w:tcW w:w="640" w:type="dxa"/>
            <w:vAlign w:val="bottom"/>
            <w:shd w:val="clear" w:color="auto" w:fill="F4EFE7"/>
          </w:tcPr>
          <w:p>
            <w:pPr>
              <w:spacing w:after="0"/>
              <w:rPr>
                <w:sz w:val="12"/>
                <w:szCs w:val="12"/>
                <w:color w:val="auto"/>
              </w:rPr>
            </w:pPr>
          </w:p>
        </w:tc>
        <w:tc>
          <w:tcPr>
            <w:tcW w:w="16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unearned</w:t>
            </w:r>
          </w:p>
        </w:tc>
        <w:tc>
          <w:tcPr>
            <w:tcW w:w="180" w:type="dxa"/>
            <w:vAlign w:val="bottom"/>
            <w:shd w:val="clear" w:color="auto" w:fill="F4EFE7"/>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F4EFE7"/>
          </w:tcPr>
          <w:p>
            <w:pPr>
              <w:spacing w:after="0"/>
              <w:rPr>
                <w:sz w:val="12"/>
                <w:szCs w:val="12"/>
                <w:color w:val="auto"/>
              </w:rPr>
            </w:pPr>
          </w:p>
        </w:tc>
        <w:tc>
          <w:tcPr>
            <w:tcW w:w="1240" w:type="dxa"/>
            <w:vAlign w:val="bottom"/>
            <w:shd w:val="clear" w:color="auto" w:fill="F4EFE7"/>
          </w:tcPr>
          <w:p>
            <w:pPr>
              <w:spacing w:after="0"/>
              <w:rPr>
                <w:sz w:val="12"/>
                <w:szCs w:val="12"/>
                <w:color w:val="auto"/>
              </w:rPr>
            </w:pPr>
          </w:p>
        </w:tc>
        <w:tc>
          <w:tcPr>
            <w:tcW w:w="1380" w:type="dxa"/>
            <w:vAlign w:val="bottom"/>
            <w:gridSpan w:val="2"/>
            <w:shd w:val="clear" w:color="auto" w:fill="F4EFE7"/>
          </w:tcPr>
          <w:p>
            <w:pPr>
              <w:jc w:val="right"/>
              <w:ind w:right="148"/>
              <w:spacing w:after="0"/>
              <w:rPr>
                <w:sz w:val="20"/>
                <w:szCs w:val="20"/>
                <w:color w:val="auto"/>
              </w:rPr>
            </w:pPr>
            <w:r>
              <w:rPr>
                <w:rFonts w:ascii="Arial" w:cs="Arial" w:eastAsia="Arial" w:hAnsi="Arial"/>
                <w:sz w:val="13"/>
                <w:szCs w:val="13"/>
                <w:b w:val="1"/>
                <w:bCs w:val="1"/>
                <w:color w:val="8F5A39"/>
              </w:rPr>
              <w:t>securities</w:t>
            </w:r>
          </w:p>
        </w:tc>
        <w:tc>
          <w:tcPr>
            <w:tcW w:w="360" w:type="dxa"/>
            <w:vAlign w:val="bottom"/>
            <w:shd w:val="clear" w:color="auto" w:fill="F4EFE7"/>
          </w:tcPr>
          <w:p>
            <w:pPr>
              <w:spacing w:after="0"/>
              <w:rPr>
                <w:sz w:val="12"/>
                <w:szCs w:val="12"/>
                <w:color w:val="auto"/>
              </w:rPr>
            </w:pPr>
          </w:p>
        </w:tc>
        <w:tc>
          <w:tcPr>
            <w:tcW w:w="104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securities</w:t>
            </w:r>
          </w:p>
        </w:tc>
        <w:tc>
          <w:tcPr>
            <w:tcW w:w="340" w:type="dxa"/>
            <w:vAlign w:val="bottom"/>
            <w:shd w:val="clear" w:color="auto" w:fill="F4EFE7"/>
          </w:tcPr>
          <w:p>
            <w:pPr>
              <w:spacing w:after="0"/>
              <w:rPr>
                <w:sz w:val="12"/>
                <w:szCs w:val="12"/>
                <w:color w:val="auto"/>
              </w:rPr>
            </w:pPr>
          </w:p>
        </w:tc>
        <w:tc>
          <w:tcPr>
            <w:tcW w:w="900" w:type="dxa"/>
            <w:vAlign w:val="bottom"/>
            <w:shd w:val="clear" w:color="auto" w:fill="F4EFE7"/>
          </w:tcPr>
          <w:p>
            <w:pPr>
              <w:spacing w:after="0"/>
              <w:rPr>
                <w:sz w:val="12"/>
                <w:szCs w:val="12"/>
                <w:color w:val="auto"/>
              </w:rPr>
            </w:pPr>
          </w:p>
        </w:tc>
        <w:tc>
          <w:tcPr>
            <w:tcW w:w="1060" w:type="dxa"/>
            <w:vAlign w:val="bottom"/>
            <w:shd w:val="clear" w:color="auto" w:fill="F4EFE7"/>
          </w:tcPr>
          <w:p>
            <w:pPr>
              <w:spacing w:after="0"/>
              <w:rPr>
                <w:sz w:val="12"/>
                <w:szCs w:val="12"/>
                <w:color w:val="auto"/>
              </w:rPr>
            </w:pPr>
          </w:p>
        </w:tc>
        <w:tc>
          <w:tcPr>
            <w:tcW w:w="80" w:type="dxa"/>
            <w:vAlign w:val="bottom"/>
            <w:shd w:val="clear" w:color="auto" w:fill="F4EFE7"/>
          </w:tcPr>
          <w:p>
            <w:pPr>
              <w:spacing w:after="0"/>
              <w:rPr>
                <w:sz w:val="12"/>
                <w:szCs w:val="12"/>
                <w:color w:val="auto"/>
              </w:rPr>
            </w:pPr>
          </w:p>
        </w:tc>
        <w:tc>
          <w:tcPr>
            <w:tcW w:w="40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Number of</w:t>
            </w:r>
          </w:p>
        </w:tc>
        <w:tc>
          <w:tcPr>
            <w:tcW w:w="640" w:type="dxa"/>
            <w:vAlign w:val="bottom"/>
            <w:shd w:val="clear" w:color="auto" w:fill="F4EFE7"/>
          </w:tcPr>
          <w:p>
            <w:pPr>
              <w:spacing w:after="0"/>
              <w:rPr>
                <w:sz w:val="12"/>
                <w:szCs w:val="12"/>
                <w:color w:val="auto"/>
              </w:rPr>
            </w:pPr>
          </w:p>
        </w:tc>
        <w:tc>
          <w:tcPr>
            <w:tcW w:w="16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performance</w:t>
            </w:r>
          </w:p>
        </w:tc>
        <w:tc>
          <w:tcPr>
            <w:tcW w:w="180" w:type="dxa"/>
            <w:vAlign w:val="bottom"/>
            <w:shd w:val="clear" w:color="auto" w:fill="F4EFE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F4EFE7"/>
          </w:tcPr>
          <w:p>
            <w:pPr>
              <w:spacing w:after="0"/>
              <w:rPr>
                <w:sz w:val="12"/>
                <w:szCs w:val="12"/>
                <w:color w:val="auto"/>
              </w:rPr>
            </w:pPr>
          </w:p>
        </w:tc>
        <w:tc>
          <w:tcPr>
            <w:tcW w:w="1240" w:type="dxa"/>
            <w:vAlign w:val="bottom"/>
            <w:shd w:val="clear" w:color="auto" w:fill="F4EFE7"/>
          </w:tcPr>
          <w:p>
            <w:pPr>
              <w:spacing w:after="0"/>
              <w:rPr>
                <w:sz w:val="12"/>
                <w:szCs w:val="12"/>
                <w:color w:val="auto"/>
              </w:rPr>
            </w:pPr>
          </w:p>
        </w:tc>
        <w:tc>
          <w:tcPr>
            <w:tcW w:w="1380" w:type="dxa"/>
            <w:vAlign w:val="bottom"/>
            <w:gridSpan w:val="2"/>
            <w:shd w:val="clear" w:color="auto" w:fill="F4EFE7"/>
          </w:tcPr>
          <w:p>
            <w:pPr>
              <w:jc w:val="right"/>
              <w:ind w:right="148"/>
              <w:spacing w:after="0"/>
              <w:rPr>
                <w:sz w:val="20"/>
                <w:szCs w:val="20"/>
                <w:color w:val="auto"/>
              </w:rPr>
            </w:pPr>
            <w:r>
              <w:rPr>
                <w:rFonts w:ascii="Arial" w:cs="Arial" w:eastAsia="Arial" w:hAnsi="Arial"/>
                <w:sz w:val="13"/>
                <w:szCs w:val="13"/>
                <w:b w:val="1"/>
                <w:bCs w:val="1"/>
                <w:color w:val="8F5A39"/>
              </w:rPr>
              <w:t>underlying</w:t>
            </w:r>
          </w:p>
        </w:tc>
        <w:tc>
          <w:tcPr>
            <w:tcW w:w="360" w:type="dxa"/>
            <w:vAlign w:val="bottom"/>
            <w:shd w:val="clear" w:color="auto" w:fill="F4EFE7"/>
          </w:tcPr>
          <w:p>
            <w:pPr>
              <w:spacing w:after="0"/>
              <w:rPr>
                <w:sz w:val="12"/>
                <w:szCs w:val="12"/>
                <w:color w:val="auto"/>
              </w:rPr>
            </w:pPr>
          </w:p>
        </w:tc>
        <w:tc>
          <w:tcPr>
            <w:tcW w:w="104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underlying</w:t>
            </w:r>
          </w:p>
        </w:tc>
        <w:tc>
          <w:tcPr>
            <w:tcW w:w="340" w:type="dxa"/>
            <w:vAlign w:val="bottom"/>
            <w:shd w:val="clear" w:color="auto" w:fill="F4EFE7"/>
          </w:tcPr>
          <w:p>
            <w:pPr>
              <w:spacing w:after="0"/>
              <w:rPr>
                <w:sz w:val="12"/>
                <w:szCs w:val="12"/>
                <w:color w:val="auto"/>
              </w:rPr>
            </w:pPr>
          </w:p>
        </w:tc>
        <w:tc>
          <w:tcPr>
            <w:tcW w:w="900" w:type="dxa"/>
            <w:vAlign w:val="bottom"/>
            <w:shd w:val="clear" w:color="auto" w:fill="F4EFE7"/>
          </w:tcPr>
          <w:p>
            <w:pPr>
              <w:spacing w:after="0"/>
              <w:rPr>
                <w:sz w:val="12"/>
                <w:szCs w:val="12"/>
                <w:color w:val="auto"/>
              </w:rPr>
            </w:pPr>
          </w:p>
        </w:tc>
        <w:tc>
          <w:tcPr>
            <w:tcW w:w="1060" w:type="dxa"/>
            <w:vAlign w:val="bottom"/>
            <w:shd w:val="clear" w:color="auto" w:fill="F4EFE7"/>
          </w:tcPr>
          <w:p>
            <w:pPr>
              <w:spacing w:after="0"/>
              <w:rPr>
                <w:sz w:val="12"/>
                <w:szCs w:val="12"/>
                <w:color w:val="auto"/>
              </w:rPr>
            </w:pPr>
          </w:p>
        </w:tc>
        <w:tc>
          <w:tcPr>
            <w:tcW w:w="80" w:type="dxa"/>
            <w:vAlign w:val="bottom"/>
            <w:shd w:val="clear" w:color="auto" w:fill="F4EFE7"/>
          </w:tcPr>
          <w:p>
            <w:pPr>
              <w:spacing w:after="0"/>
              <w:rPr>
                <w:sz w:val="12"/>
                <w:szCs w:val="12"/>
                <w:color w:val="auto"/>
              </w:rPr>
            </w:pPr>
          </w:p>
        </w:tc>
        <w:tc>
          <w:tcPr>
            <w:tcW w:w="40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shares or units</w:t>
            </w:r>
          </w:p>
        </w:tc>
        <w:tc>
          <w:tcPr>
            <w:tcW w:w="640" w:type="dxa"/>
            <w:vAlign w:val="bottom"/>
            <w:shd w:val="clear" w:color="auto" w:fill="F4EFE7"/>
          </w:tcPr>
          <w:p>
            <w:pPr>
              <w:spacing w:after="0"/>
              <w:rPr>
                <w:sz w:val="12"/>
                <w:szCs w:val="12"/>
                <w:color w:val="auto"/>
              </w:rPr>
            </w:pPr>
          </w:p>
        </w:tc>
        <w:tc>
          <w:tcPr>
            <w:tcW w:w="16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shares or units</w:t>
            </w:r>
          </w:p>
        </w:tc>
        <w:tc>
          <w:tcPr>
            <w:tcW w:w="180" w:type="dxa"/>
            <w:vAlign w:val="bottom"/>
            <w:shd w:val="clear" w:color="auto" w:fill="F4EFE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F4EFE7"/>
          </w:tcPr>
          <w:p>
            <w:pPr>
              <w:spacing w:after="0"/>
              <w:rPr>
                <w:sz w:val="12"/>
                <w:szCs w:val="12"/>
                <w:color w:val="auto"/>
              </w:rPr>
            </w:pPr>
          </w:p>
        </w:tc>
        <w:tc>
          <w:tcPr>
            <w:tcW w:w="1240" w:type="dxa"/>
            <w:vAlign w:val="bottom"/>
            <w:shd w:val="clear" w:color="auto" w:fill="F4EFE7"/>
          </w:tcPr>
          <w:p>
            <w:pPr>
              <w:jc w:val="right"/>
              <w:ind w:right="129"/>
              <w:spacing w:after="0"/>
              <w:rPr>
                <w:sz w:val="20"/>
                <w:szCs w:val="20"/>
                <w:color w:val="auto"/>
              </w:rPr>
            </w:pPr>
            <w:r>
              <w:rPr>
                <w:rFonts w:ascii="Arial" w:cs="Arial" w:eastAsia="Arial" w:hAnsi="Arial"/>
                <w:sz w:val="13"/>
                <w:szCs w:val="13"/>
                <w:b w:val="1"/>
                <w:bCs w:val="1"/>
                <w:color w:val="8F5A39"/>
              </w:rPr>
              <w:t>Option/</w:t>
            </w:r>
          </w:p>
        </w:tc>
        <w:tc>
          <w:tcPr>
            <w:tcW w:w="1380" w:type="dxa"/>
            <w:vAlign w:val="bottom"/>
            <w:gridSpan w:val="2"/>
            <w:shd w:val="clear" w:color="auto" w:fill="F4EFE7"/>
          </w:tcPr>
          <w:p>
            <w:pPr>
              <w:jc w:val="right"/>
              <w:ind w:right="148"/>
              <w:spacing w:after="0"/>
              <w:rPr>
                <w:sz w:val="20"/>
                <w:szCs w:val="20"/>
                <w:color w:val="auto"/>
              </w:rPr>
            </w:pPr>
            <w:r>
              <w:rPr>
                <w:rFonts w:ascii="Arial" w:cs="Arial" w:eastAsia="Arial" w:hAnsi="Arial"/>
                <w:sz w:val="13"/>
                <w:szCs w:val="13"/>
                <w:b w:val="1"/>
                <w:bCs w:val="1"/>
                <w:color w:val="8F5A39"/>
              </w:rPr>
              <w:t>unexercised</w:t>
            </w:r>
          </w:p>
        </w:tc>
        <w:tc>
          <w:tcPr>
            <w:tcW w:w="360" w:type="dxa"/>
            <w:vAlign w:val="bottom"/>
            <w:shd w:val="clear" w:color="auto" w:fill="F4EFE7"/>
          </w:tcPr>
          <w:p>
            <w:pPr>
              <w:spacing w:after="0"/>
              <w:rPr>
                <w:sz w:val="12"/>
                <w:szCs w:val="12"/>
                <w:color w:val="auto"/>
              </w:rPr>
            </w:pPr>
          </w:p>
        </w:tc>
        <w:tc>
          <w:tcPr>
            <w:tcW w:w="104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unexercised</w:t>
            </w:r>
          </w:p>
        </w:tc>
        <w:tc>
          <w:tcPr>
            <w:tcW w:w="340" w:type="dxa"/>
            <w:vAlign w:val="bottom"/>
            <w:shd w:val="clear" w:color="auto" w:fill="F4EFE7"/>
          </w:tcPr>
          <w:p>
            <w:pPr>
              <w:spacing w:after="0"/>
              <w:rPr>
                <w:sz w:val="12"/>
                <w:szCs w:val="12"/>
                <w:color w:val="auto"/>
              </w:rPr>
            </w:pPr>
          </w:p>
        </w:tc>
        <w:tc>
          <w:tcPr>
            <w:tcW w:w="900" w:type="dxa"/>
            <w:vAlign w:val="bottom"/>
            <w:shd w:val="clear" w:color="auto" w:fill="F4EFE7"/>
          </w:tcPr>
          <w:p>
            <w:pPr>
              <w:jc w:val="right"/>
              <w:ind w:right="109"/>
              <w:spacing w:after="0"/>
              <w:rPr>
                <w:sz w:val="20"/>
                <w:szCs w:val="20"/>
                <w:color w:val="auto"/>
              </w:rPr>
            </w:pPr>
            <w:r>
              <w:rPr>
                <w:rFonts w:ascii="Arial" w:cs="Arial" w:eastAsia="Arial" w:hAnsi="Arial"/>
                <w:sz w:val="13"/>
                <w:szCs w:val="13"/>
                <w:b w:val="1"/>
                <w:bCs w:val="1"/>
                <w:color w:val="8F5A39"/>
              </w:rPr>
              <w:t>Option</w:t>
            </w:r>
          </w:p>
        </w:tc>
        <w:tc>
          <w:tcPr>
            <w:tcW w:w="1140" w:type="dxa"/>
            <w:vAlign w:val="bottom"/>
            <w:gridSpan w:val="2"/>
            <w:shd w:val="clear" w:color="auto" w:fill="F4EFE7"/>
          </w:tcPr>
          <w:p>
            <w:pPr>
              <w:jc w:val="right"/>
              <w:ind w:right="100"/>
              <w:spacing w:after="0"/>
              <w:rPr>
                <w:sz w:val="20"/>
                <w:szCs w:val="20"/>
                <w:color w:val="auto"/>
              </w:rPr>
            </w:pPr>
            <w:r>
              <w:rPr>
                <w:rFonts w:ascii="Arial" w:cs="Arial" w:eastAsia="Arial" w:hAnsi="Arial"/>
                <w:sz w:val="13"/>
                <w:szCs w:val="13"/>
                <w:b w:val="1"/>
                <w:bCs w:val="1"/>
                <w:color w:val="8F5A39"/>
              </w:rPr>
              <w:t>Option</w:t>
            </w:r>
          </w:p>
        </w:tc>
        <w:tc>
          <w:tcPr>
            <w:tcW w:w="40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of stock that</w:t>
            </w:r>
          </w:p>
        </w:tc>
        <w:tc>
          <w:tcPr>
            <w:tcW w:w="640" w:type="dxa"/>
            <w:vAlign w:val="bottom"/>
            <w:shd w:val="clear" w:color="auto" w:fill="F4EFE7"/>
          </w:tcPr>
          <w:p>
            <w:pPr>
              <w:spacing w:after="0"/>
              <w:rPr>
                <w:sz w:val="12"/>
                <w:szCs w:val="12"/>
                <w:color w:val="auto"/>
              </w:rPr>
            </w:pPr>
          </w:p>
        </w:tc>
        <w:tc>
          <w:tcPr>
            <w:tcW w:w="16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of stock that</w:t>
            </w:r>
          </w:p>
        </w:tc>
        <w:tc>
          <w:tcPr>
            <w:tcW w:w="180" w:type="dxa"/>
            <w:vAlign w:val="bottom"/>
            <w:shd w:val="clear" w:color="auto" w:fill="F4EFE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F4EFE7"/>
          </w:tcPr>
          <w:p>
            <w:pPr>
              <w:spacing w:after="0"/>
              <w:rPr>
                <w:sz w:val="12"/>
                <w:szCs w:val="12"/>
                <w:color w:val="auto"/>
              </w:rPr>
            </w:pPr>
          </w:p>
        </w:tc>
        <w:tc>
          <w:tcPr>
            <w:tcW w:w="1240" w:type="dxa"/>
            <w:vAlign w:val="bottom"/>
            <w:shd w:val="clear" w:color="auto" w:fill="F4EFE7"/>
          </w:tcPr>
          <w:p>
            <w:pPr>
              <w:jc w:val="right"/>
              <w:ind w:right="129"/>
              <w:spacing w:after="0"/>
              <w:rPr>
                <w:sz w:val="20"/>
                <w:szCs w:val="20"/>
                <w:color w:val="auto"/>
              </w:rPr>
            </w:pPr>
            <w:r>
              <w:rPr>
                <w:rFonts w:ascii="Arial" w:cs="Arial" w:eastAsia="Arial" w:hAnsi="Arial"/>
                <w:sz w:val="13"/>
                <w:szCs w:val="13"/>
                <w:b w:val="1"/>
                <w:bCs w:val="1"/>
                <w:color w:val="8F5A39"/>
              </w:rPr>
              <w:t>stock award</w:t>
            </w:r>
          </w:p>
        </w:tc>
        <w:tc>
          <w:tcPr>
            <w:tcW w:w="1380" w:type="dxa"/>
            <w:vAlign w:val="bottom"/>
            <w:gridSpan w:val="2"/>
            <w:shd w:val="clear" w:color="auto" w:fill="F4EFE7"/>
          </w:tcPr>
          <w:p>
            <w:pPr>
              <w:jc w:val="right"/>
              <w:ind w:right="148"/>
              <w:spacing w:after="0"/>
              <w:rPr>
                <w:sz w:val="20"/>
                <w:szCs w:val="20"/>
                <w:color w:val="auto"/>
              </w:rPr>
            </w:pPr>
            <w:r>
              <w:rPr>
                <w:rFonts w:ascii="Arial" w:cs="Arial" w:eastAsia="Arial" w:hAnsi="Arial"/>
                <w:sz w:val="13"/>
                <w:szCs w:val="13"/>
                <w:b w:val="1"/>
                <w:bCs w:val="1"/>
                <w:color w:val="8F5A39"/>
              </w:rPr>
              <w:t>options: #</w:t>
            </w:r>
          </w:p>
        </w:tc>
        <w:tc>
          <w:tcPr>
            <w:tcW w:w="360" w:type="dxa"/>
            <w:vAlign w:val="bottom"/>
            <w:shd w:val="clear" w:color="auto" w:fill="F4EFE7"/>
          </w:tcPr>
          <w:p>
            <w:pPr>
              <w:spacing w:after="0"/>
              <w:rPr>
                <w:sz w:val="12"/>
                <w:szCs w:val="12"/>
                <w:color w:val="auto"/>
              </w:rPr>
            </w:pPr>
          </w:p>
        </w:tc>
        <w:tc>
          <w:tcPr>
            <w:tcW w:w="104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options: #</w:t>
            </w:r>
          </w:p>
        </w:tc>
        <w:tc>
          <w:tcPr>
            <w:tcW w:w="340" w:type="dxa"/>
            <w:vAlign w:val="bottom"/>
            <w:shd w:val="clear" w:color="auto" w:fill="F4EFE7"/>
          </w:tcPr>
          <w:p>
            <w:pPr>
              <w:spacing w:after="0"/>
              <w:rPr>
                <w:sz w:val="12"/>
                <w:szCs w:val="12"/>
                <w:color w:val="auto"/>
              </w:rPr>
            </w:pPr>
          </w:p>
        </w:tc>
        <w:tc>
          <w:tcPr>
            <w:tcW w:w="900" w:type="dxa"/>
            <w:vAlign w:val="bottom"/>
            <w:shd w:val="clear" w:color="auto" w:fill="F4EFE7"/>
          </w:tcPr>
          <w:p>
            <w:pPr>
              <w:jc w:val="right"/>
              <w:ind w:right="109"/>
              <w:spacing w:after="0"/>
              <w:rPr>
                <w:sz w:val="20"/>
                <w:szCs w:val="20"/>
                <w:color w:val="auto"/>
              </w:rPr>
            </w:pPr>
            <w:r>
              <w:rPr>
                <w:rFonts w:ascii="Arial" w:cs="Arial" w:eastAsia="Arial" w:hAnsi="Arial"/>
                <w:sz w:val="13"/>
                <w:szCs w:val="13"/>
                <w:b w:val="1"/>
                <w:bCs w:val="1"/>
                <w:color w:val="8F5A39"/>
              </w:rPr>
              <w:t>exercise</w:t>
            </w:r>
          </w:p>
        </w:tc>
        <w:tc>
          <w:tcPr>
            <w:tcW w:w="1140" w:type="dxa"/>
            <w:vAlign w:val="bottom"/>
            <w:gridSpan w:val="2"/>
            <w:shd w:val="clear" w:color="auto" w:fill="F4EFE7"/>
          </w:tcPr>
          <w:p>
            <w:pPr>
              <w:jc w:val="right"/>
              <w:ind w:right="100"/>
              <w:spacing w:after="0"/>
              <w:rPr>
                <w:sz w:val="20"/>
                <w:szCs w:val="20"/>
                <w:color w:val="auto"/>
              </w:rPr>
            </w:pPr>
            <w:r>
              <w:rPr>
                <w:rFonts w:ascii="Arial" w:cs="Arial" w:eastAsia="Arial" w:hAnsi="Arial"/>
                <w:sz w:val="13"/>
                <w:szCs w:val="13"/>
                <w:b w:val="1"/>
                <w:bCs w:val="1"/>
                <w:color w:val="8F5A39"/>
              </w:rPr>
              <w:t>expiration</w:t>
            </w:r>
          </w:p>
        </w:tc>
        <w:tc>
          <w:tcPr>
            <w:tcW w:w="40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have not</w:t>
            </w:r>
          </w:p>
        </w:tc>
        <w:tc>
          <w:tcPr>
            <w:tcW w:w="640" w:type="dxa"/>
            <w:vAlign w:val="bottom"/>
            <w:shd w:val="clear" w:color="auto" w:fill="F4EFE7"/>
          </w:tcPr>
          <w:p>
            <w:pPr>
              <w:spacing w:after="0"/>
              <w:rPr>
                <w:sz w:val="12"/>
                <w:szCs w:val="12"/>
                <w:color w:val="auto"/>
              </w:rPr>
            </w:pPr>
          </w:p>
        </w:tc>
        <w:tc>
          <w:tcPr>
            <w:tcW w:w="160" w:type="dxa"/>
            <w:vAlign w:val="bottom"/>
            <w:shd w:val="clear" w:color="auto" w:fill="F4EFE7"/>
          </w:tcPr>
          <w:p>
            <w:pPr>
              <w:spacing w:after="0"/>
              <w:rPr>
                <w:sz w:val="12"/>
                <w:szCs w:val="12"/>
                <w:color w:val="auto"/>
              </w:rPr>
            </w:pPr>
          </w:p>
        </w:tc>
        <w:tc>
          <w:tcPr>
            <w:tcW w:w="98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have not</w:t>
            </w:r>
          </w:p>
        </w:tc>
        <w:tc>
          <w:tcPr>
            <w:tcW w:w="180" w:type="dxa"/>
            <w:vAlign w:val="bottom"/>
            <w:shd w:val="clear" w:color="auto" w:fill="F4EFE7"/>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0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3"/>
                <w:szCs w:val="13"/>
                <w:b w:val="1"/>
                <w:bCs w:val="1"/>
                <w:color w:val="8F5A39"/>
              </w:rPr>
              <w:t>Name</w:t>
            </w:r>
          </w:p>
        </w:tc>
        <w:tc>
          <w:tcPr>
            <w:tcW w:w="1240" w:type="dxa"/>
            <w:vAlign w:val="bottom"/>
            <w:tcBorders>
              <w:bottom w:val="single" w:sz="8" w:color="auto"/>
            </w:tcBorders>
            <w:shd w:val="clear" w:color="auto" w:fill="F4EFE7"/>
          </w:tcPr>
          <w:p>
            <w:pPr>
              <w:jc w:val="right"/>
              <w:ind w:right="129"/>
              <w:spacing w:after="0"/>
              <w:rPr>
                <w:sz w:val="20"/>
                <w:szCs w:val="20"/>
                <w:color w:val="auto"/>
              </w:rPr>
            </w:pPr>
            <w:r>
              <w:rPr>
                <w:rFonts w:ascii="Arial" w:cs="Arial" w:eastAsia="Arial" w:hAnsi="Arial"/>
                <w:sz w:val="13"/>
                <w:szCs w:val="13"/>
                <w:b w:val="1"/>
                <w:bCs w:val="1"/>
                <w:color w:val="8F5A39"/>
              </w:rPr>
              <w:t>grant date</w:t>
            </w:r>
            <w:r>
              <w:rPr>
                <w:rFonts w:ascii="Arial" w:cs="Arial" w:eastAsia="Arial" w:hAnsi="Arial"/>
                <w:sz w:val="16"/>
                <w:szCs w:val="16"/>
                <w:b w:val="1"/>
                <w:bCs w:val="1"/>
                <w:color w:val="8F5A39"/>
                <w:vertAlign w:val="superscript"/>
              </w:rPr>
              <w:t>1</w:t>
            </w:r>
          </w:p>
        </w:tc>
        <w:tc>
          <w:tcPr>
            <w:tcW w:w="1380" w:type="dxa"/>
            <w:vAlign w:val="bottom"/>
            <w:tcBorders>
              <w:bottom w:val="single" w:sz="8" w:color="auto"/>
            </w:tcBorders>
            <w:gridSpan w:val="2"/>
            <w:shd w:val="clear" w:color="auto" w:fill="F4EFE7"/>
          </w:tcPr>
          <w:p>
            <w:pPr>
              <w:jc w:val="right"/>
              <w:ind w:right="148"/>
              <w:spacing w:after="0"/>
              <w:rPr>
                <w:sz w:val="20"/>
                <w:szCs w:val="20"/>
                <w:color w:val="auto"/>
              </w:rPr>
            </w:pPr>
            <w:r>
              <w:rPr>
                <w:rFonts w:ascii="Arial" w:cs="Arial" w:eastAsia="Arial" w:hAnsi="Arial"/>
                <w:sz w:val="13"/>
                <w:szCs w:val="13"/>
                <w:b w:val="1"/>
                <w:bCs w:val="1"/>
                <w:color w:val="8F5A39"/>
              </w:rPr>
              <w:t>exercisable</w:t>
            </w:r>
            <w:r>
              <w:rPr>
                <w:rFonts w:ascii="Arial" w:cs="Arial" w:eastAsia="Arial" w:hAnsi="Arial"/>
                <w:sz w:val="16"/>
                <w:szCs w:val="16"/>
                <w:b w:val="1"/>
                <w:bCs w:val="1"/>
                <w:color w:val="8F5A39"/>
                <w:vertAlign w:val="superscript"/>
              </w:rPr>
              <w:t>1,2</w:t>
            </w:r>
          </w:p>
        </w:tc>
        <w:tc>
          <w:tcPr>
            <w:tcW w:w="360" w:type="dxa"/>
            <w:vAlign w:val="bottom"/>
            <w:tcBorders>
              <w:bottom w:val="single" w:sz="8" w:color="auto"/>
            </w:tcBorders>
            <w:shd w:val="clear" w:color="auto" w:fill="F4EFE7"/>
          </w:tcPr>
          <w:p>
            <w:pPr>
              <w:spacing w:after="0"/>
              <w:rPr>
                <w:sz w:val="18"/>
                <w:szCs w:val="18"/>
                <w:color w:val="auto"/>
              </w:rPr>
            </w:pPr>
          </w:p>
        </w:tc>
        <w:tc>
          <w:tcPr>
            <w:tcW w:w="104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3"/>
                <w:szCs w:val="13"/>
                <w:b w:val="1"/>
                <w:bCs w:val="1"/>
                <w:color w:val="8F5A39"/>
              </w:rPr>
              <w:t>unexercisable</w:t>
            </w:r>
            <w:r>
              <w:rPr>
                <w:rFonts w:ascii="Arial" w:cs="Arial" w:eastAsia="Arial" w:hAnsi="Arial"/>
                <w:sz w:val="16"/>
                <w:szCs w:val="16"/>
                <w:b w:val="1"/>
                <w:bCs w:val="1"/>
                <w:color w:val="8F5A39"/>
                <w:vertAlign w:val="superscript"/>
              </w:rPr>
              <w:t>1,2</w:t>
            </w:r>
          </w:p>
        </w:tc>
        <w:tc>
          <w:tcPr>
            <w:tcW w:w="340" w:type="dxa"/>
            <w:vAlign w:val="bottom"/>
            <w:tcBorders>
              <w:bottom w:val="single" w:sz="8" w:color="auto"/>
            </w:tcBorders>
            <w:shd w:val="clear" w:color="auto" w:fill="F4EFE7"/>
          </w:tcPr>
          <w:p>
            <w:pPr>
              <w:spacing w:after="0"/>
              <w:rPr>
                <w:sz w:val="18"/>
                <w:szCs w:val="18"/>
                <w:color w:val="auto"/>
              </w:rPr>
            </w:pPr>
          </w:p>
        </w:tc>
        <w:tc>
          <w:tcPr>
            <w:tcW w:w="900" w:type="dxa"/>
            <w:vAlign w:val="bottom"/>
            <w:tcBorders>
              <w:bottom w:val="single" w:sz="8" w:color="auto"/>
            </w:tcBorders>
            <w:shd w:val="clear" w:color="auto" w:fill="F4EFE7"/>
          </w:tcPr>
          <w:p>
            <w:pPr>
              <w:jc w:val="right"/>
              <w:ind w:right="109"/>
              <w:spacing w:after="0"/>
              <w:rPr>
                <w:sz w:val="20"/>
                <w:szCs w:val="20"/>
                <w:color w:val="auto"/>
              </w:rPr>
            </w:pPr>
            <w:r>
              <w:rPr>
                <w:rFonts w:ascii="Arial" w:cs="Arial" w:eastAsia="Arial" w:hAnsi="Arial"/>
                <w:sz w:val="13"/>
                <w:szCs w:val="13"/>
                <w:b w:val="1"/>
                <w:bCs w:val="1"/>
                <w:color w:val="8F5A39"/>
              </w:rPr>
              <w:t>price ($)</w:t>
            </w:r>
          </w:p>
        </w:tc>
        <w:tc>
          <w:tcPr>
            <w:tcW w:w="1140" w:type="dxa"/>
            <w:vAlign w:val="bottom"/>
            <w:tcBorders>
              <w:bottom w:val="single" w:sz="8" w:color="auto"/>
            </w:tcBorders>
            <w:gridSpan w:val="2"/>
            <w:shd w:val="clear" w:color="auto" w:fill="F4EFE7"/>
          </w:tcPr>
          <w:p>
            <w:pPr>
              <w:jc w:val="center"/>
              <w:ind w:left="609"/>
              <w:spacing w:after="0"/>
              <w:rPr>
                <w:sz w:val="20"/>
                <w:szCs w:val="20"/>
                <w:color w:val="auto"/>
              </w:rPr>
            </w:pPr>
            <w:r>
              <w:rPr>
                <w:rFonts w:ascii="Arial" w:cs="Arial" w:eastAsia="Arial" w:hAnsi="Arial"/>
                <w:sz w:val="13"/>
                <w:szCs w:val="13"/>
                <w:b w:val="1"/>
                <w:bCs w:val="1"/>
                <w:color w:val="8F5A39"/>
                <w:w w:val="97"/>
              </w:rPr>
              <w:t>date</w:t>
            </w:r>
          </w:p>
        </w:tc>
        <w:tc>
          <w:tcPr>
            <w:tcW w:w="400" w:type="dxa"/>
            <w:vAlign w:val="bottom"/>
            <w:tcBorders>
              <w:bottom w:val="single" w:sz="8" w:color="auto"/>
            </w:tcBorders>
            <w:shd w:val="clear" w:color="auto" w:fill="F4EFE7"/>
          </w:tcPr>
          <w:p>
            <w:pPr>
              <w:spacing w:after="0"/>
              <w:rPr>
                <w:sz w:val="18"/>
                <w:szCs w:val="18"/>
                <w:color w:val="auto"/>
              </w:rPr>
            </w:pPr>
          </w:p>
        </w:tc>
        <w:tc>
          <w:tcPr>
            <w:tcW w:w="98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3"/>
                <w:szCs w:val="13"/>
                <w:b w:val="1"/>
                <w:bCs w:val="1"/>
                <w:color w:val="8F5A39"/>
              </w:rPr>
              <w:t>vested</w:t>
            </w:r>
            <w:r>
              <w:rPr>
                <w:rFonts w:ascii="Arial" w:cs="Arial" w:eastAsia="Arial" w:hAnsi="Arial"/>
                <w:sz w:val="16"/>
                <w:szCs w:val="16"/>
                <w:b w:val="1"/>
                <w:bCs w:val="1"/>
                <w:color w:val="8F5A39"/>
                <w:vertAlign w:val="superscript"/>
              </w:rPr>
              <w:t>1,2,3</w:t>
            </w:r>
          </w:p>
        </w:tc>
        <w:tc>
          <w:tcPr>
            <w:tcW w:w="640" w:type="dxa"/>
            <w:vAlign w:val="bottom"/>
            <w:tcBorders>
              <w:bottom w:val="single" w:sz="8" w:color="auto"/>
            </w:tcBorders>
            <w:shd w:val="clear" w:color="auto" w:fill="F4EFE7"/>
          </w:tcPr>
          <w:p>
            <w:pPr>
              <w:spacing w:after="0"/>
              <w:rPr>
                <w:sz w:val="18"/>
                <w:szCs w:val="18"/>
                <w:color w:val="auto"/>
              </w:rPr>
            </w:pPr>
          </w:p>
        </w:tc>
        <w:tc>
          <w:tcPr>
            <w:tcW w:w="160" w:type="dxa"/>
            <w:vAlign w:val="bottom"/>
            <w:tcBorders>
              <w:bottom w:val="single" w:sz="8" w:color="auto"/>
            </w:tcBorders>
            <w:shd w:val="clear" w:color="auto" w:fill="F4EFE7"/>
          </w:tcPr>
          <w:p>
            <w:pPr>
              <w:spacing w:after="0"/>
              <w:rPr>
                <w:sz w:val="18"/>
                <w:szCs w:val="18"/>
                <w:color w:val="auto"/>
              </w:rPr>
            </w:pPr>
          </w:p>
        </w:tc>
        <w:tc>
          <w:tcPr>
            <w:tcW w:w="98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3"/>
                <w:szCs w:val="13"/>
                <w:b w:val="1"/>
                <w:bCs w:val="1"/>
                <w:color w:val="8F5A39"/>
              </w:rPr>
              <w:t>vested</w:t>
            </w:r>
            <w:r>
              <w:rPr>
                <w:rFonts w:ascii="Arial" w:cs="Arial" w:eastAsia="Arial" w:hAnsi="Arial"/>
                <w:sz w:val="16"/>
                <w:szCs w:val="16"/>
                <w:b w:val="1"/>
                <w:bCs w:val="1"/>
                <w:color w:val="8F5A39"/>
                <w:vertAlign w:val="superscript"/>
              </w:rPr>
              <w:t>1,2,3</w:t>
            </w:r>
          </w:p>
        </w:tc>
        <w:tc>
          <w:tcPr>
            <w:tcW w:w="180" w:type="dxa"/>
            <w:vAlign w:val="bottom"/>
            <w:tcBorders>
              <w:bottom w:val="single" w:sz="8" w:color="auto"/>
            </w:tcBorders>
            <w:shd w:val="clear" w:color="auto" w:fill="F4EFE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Jeremy Barnum</w:t>
            </w:r>
          </w:p>
        </w:tc>
        <w:tc>
          <w:tcPr>
            <w:tcW w:w="1240" w:type="dxa"/>
            <w:vAlign w:val="bottom"/>
            <w:tcBorders>
              <w:bottom w:val="single" w:sz="8" w:color="B2B2B2"/>
            </w:tcBorders>
          </w:tcPr>
          <w:p>
            <w:pPr>
              <w:spacing w:after="0"/>
              <w:rPr>
                <w:sz w:val="18"/>
                <w:szCs w:val="18"/>
                <w:color w:val="auto"/>
              </w:rPr>
            </w:pPr>
          </w:p>
        </w:tc>
        <w:tc>
          <w:tcPr>
            <w:tcW w:w="900" w:type="dxa"/>
            <w:vAlign w:val="bottom"/>
            <w:tcBorders>
              <w:bottom w:val="single" w:sz="8" w:color="B2B2B2"/>
            </w:tcBorders>
          </w:tcPr>
          <w:p>
            <w:pPr>
              <w:spacing w:after="0"/>
              <w:rPr>
                <w:sz w:val="18"/>
                <w:szCs w:val="18"/>
                <w:color w:val="auto"/>
              </w:rPr>
            </w:pPr>
          </w:p>
        </w:tc>
        <w:tc>
          <w:tcPr>
            <w:tcW w:w="480" w:type="dxa"/>
            <w:vAlign w:val="bottom"/>
            <w:tcBorders>
              <w:bottom w:val="single" w:sz="8" w:color="B2B2B2"/>
            </w:tcBorders>
          </w:tcPr>
          <w:p>
            <w:pPr>
              <w:spacing w:after="0"/>
              <w:rPr>
                <w:sz w:val="18"/>
                <w:szCs w:val="18"/>
                <w:color w:val="auto"/>
              </w:rPr>
            </w:pPr>
          </w:p>
        </w:tc>
        <w:tc>
          <w:tcPr>
            <w:tcW w:w="360" w:type="dxa"/>
            <w:vAlign w:val="bottom"/>
            <w:tcBorders>
              <w:bottom w:val="single" w:sz="8" w:color="B2B2B2"/>
            </w:tcBorders>
          </w:tcPr>
          <w:p>
            <w:pPr>
              <w:spacing w:after="0"/>
              <w:rPr>
                <w:sz w:val="18"/>
                <w:szCs w:val="18"/>
                <w:color w:val="auto"/>
              </w:rPr>
            </w:pPr>
          </w:p>
        </w:tc>
        <w:tc>
          <w:tcPr>
            <w:tcW w:w="1040" w:type="dxa"/>
            <w:vAlign w:val="bottom"/>
            <w:tcBorders>
              <w:bottom w:val="single" w:sz="8" w:color="B2B2B2"/>
            </w:tcBorders>
          </w:tcPr>
          <w:p>
            <w:pPr>
              <w:spacing w:after="0"/>
              <w:rPr>
                <w:sz w:val="18"/>
                <w:szCs w:val="18"/>
                <w:color w:val="auto"/>
              </w:rPr>
            </w:pPr>
          </w:p>
        </w:tc>
        <w:tc>
          <w:tcPr>
            <w:tcW w:w="340" w:type="dxa"/>
            <w:vAlign w:val="bottom"/>
            <w:tcBorders>
              <w:bottom w:val="single" w:sz="8" w:color="B2B2B2"/>
            </w:tcBorders>
          </w:tcPr>
          <w:p>
            <w:pPr>
              <w:spacing w:after="0"/>
              <w:rPr>
                <w:sz w:val="18"/>
                <w:szCs w:val="18"/>
                <w:color w:val="auto"/>
              </w:rPr>
            </w:pPr>
          </w:p>
        </w:tc>
        <w:tc>
          <w:tcPr>
            <w:tcW w:w="900" w:type="dxa"/>
            <w:vAlign w:val="bottom"/>
            <w:tcBorders>
              <w:bottom w:val="single" w:sz="8" w:color="B2B2B2"/>
            </w:tcBorders>
          </w:tcPr>
          <w:p>
            <w:pPr>
              <w:spacing w:after="0"/>
              <w:rPr>
                <w:sz w:val="18"/>
                <w:szCs w:val="18"/>
                <w:color w:val="auto"/>
              </w:rPr>
            </w:pPr>
          </w:p>
        </w:tc>
        <w:tc>
          <w:tcPr>
            <w:tcW w:w="1060" w:type="dxa"/>
            <w:vAlign w:val="bottom"/>
            <w:tcBorders>
              <w:bottom w:val="single" w:sz="8" w:color="B2B2B2"/>
            </w:tcBorders>
          </w:tcPr>
          <w:p>
            <w:pPr>
              <w:spacing w:after="0"/>
              <w:rPr>
                <w:sz w:val="18"/>
                <w:szCs w:val="18"/>
                <w:color w:val="auto"/>
              </w:rPr>
            </w:pPr>
          </w:p>
        </w:tc>
        <w:tc>
          <w:tcPr>
            <w:tcW w:w="80" w:type="dxa"/>
            <w:vAlign w:val="bottom"/>
            <w:tcBorders>
              <w:bottom w:val="single" w:sz="8" w:color="B2B2B2"/>
            </w:tcBorders>
          </w:tcPr>
          <w:p>
            <w:pPr>
              <w:spacing w:after="0"/>
              <w:rPr>
                <w:sz w:val="18"/>
                <w:szCs w:val="18"/>
                <w:color w:val="auto"/>
              </w:rPr>
            </w:pPr>
          </w:p>
        </w:tc>
        <w:tc>
          <w:tcPr>
            <w:tcW w:w="400" w:type="dxa"/>
            <w:vAlign w:val="bottom"/>
            <w:tcBorders>
              <w:bottom w:val="single" w:sz="8" w:color="B2B2B2"/>
            </w:tcBorders>
          </w:tcPr>
          <w:p>
            <w:pPr>
              <w:spacing w:after="0"/>
              <w:rPr>
                <w:sz w:val="18"/>
                <w:szCs w:val="18"/>
                <w:color w:val="auto"/>
              </w:rPr>
            </w:pPr>
          </w:p>
        </w:tc>
        <w:tc>
          <w:tcPr>
            <w:tcW w:w="980" w:type="dxa"/>
            <w:vAlign w:val="bottom"/>
            <w:tcBorders>
              <w:bottom w:val="single" w:sz="8" w:color="B2B2B2"/>
            </w:tcBorders>
          </w:tcPr>
          <w:p>
            <w:pPr>
              <w:spacing w:after="0"/>
              <w:rPr>
                <w:sz w:val="18"/>
                <w:szCs w:val="18"/>
                <w:color w:val="auto"/>
              </w:rPr>
            </w:pPr>
          </w:p>
        </w:tc>
        <w:tc>
          <w:tcPr>
            <w:tcW w:w="640" w:type="dxa"/>
            <w:vAlign w:val="bottom"/>
            <w:tcBorders>
              <w:bottom w:val="single" w:sz="8" w:color="B2B2B2"/>
            </w:tcBorders>
          </w:tcPr>
          <w:p>
            <w:pPr>
              <w:spacing w:after="0"/>
              <w:rPr>
                <w:sz w:val="18"/>
                <w:szCs w:val="18"/>
                <w:color w:val="auto"/>
              </w:rPr>
            </w:pPr>
          </w:p>
        </w:tc>
        <w:tc>
          <w:tcPr>
            <w:tcW w:w="160" w:type="dxa"/>
            <w:vAlign w:val="bottom"/>
            <w:tcBorders>
              <w:bottom w:val="single" w:sz="8" w:color="B2B2B2"/>
            </w:tcBorders>
          </w:tcPr>
          <w:p>
            <w:pPr>
              <w:spacing w:after="0"/>
              <w:rPr>
                <w:sz w:val="18"/>
                <w:szCs w:val="18"/>
                <w:color w:val="auto"/>
              </w:rPr>
            </w:pPr>
          </w:p>
        </w:tc>
        <w:tc>
          <w:tcPr>
            <w:tcW w:w="980" w:type="dxa"/>
            <w:vAlign w:val="bottom"/>
            <w:tcBorders>
              <w:bottom w:val="single" w:sz="8" w:color="B2B2B2"/>
            </w:tcBorders>
          </w:tcPr>
          <w:p>
            <w:pPr>
              <w:spacing w:after="0"/>
              <w:rPr>
                <w:sz w:val="18"/>
                <w:szCs w:val="18"/>
                <w:color w:val="auto"/>
              </w:rPr>
            </w:pPr>
          </w:p>
        </w:tc>
        <w:tc>
          <w:tcPr>
            <w:tcW w:w="180" w:type="dxa"/>
            <w:vAlign w:val="bottom"/>
            <w:tcBorders>
              <w:bottom w:val="single" w:sz="8" w:color="B2B2B2"/>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1240" w:type="dxa"/>
            <w:vAlign w:val="bottom"/>
            <w:tcBorders>
              <w:bottom w:val="single" w:sz="8" w:color="B2B2B2"/>
            </w:tcBorders>
          </w:tcPr>
          <w:p>
            <w:pPr>
              <w:jc w:val="center"/>
              <w:ind w:right="109"/>
              <w:spacing w:after="0"/>
              <w:rPr>
                <w:sz w:val="20"/>
                <w:szCs w:val="20"/>
                <w:color w:val="auto"/>
              </w:rPr>
            </w:pPr>
            <w:r>
              <w:rPr>
                <w:rFonts w:ascii="Arial" w:cs="Arial" w:eastAsia="Arial" w:hAnsi="Arial"/>
                <w:sz w:val="14"/>
                <w:szCs w:val="14"/>
                <w:color w:val="auto"/>
              </w:rPr>
              <w:t>1/17/2023</w:t>
            </w:r>
            <w:r>
              <w:rPr>
                <w:rFonts w:ascii="Arial" w:cs="Arial" w:eastAsia="Arial" w:hAnsi="Arial"/>
                <w:sz w:val="18"/>
                <w:szCs w:val="18"/>
                <w:color w:val="auto"/>
                <w:vertAlign w:val="superscript"/>
              </w:rPr>
              <w:t>4</w:t>
            </w:r>
          </w:p>
        </w:tc>
        <w:tc>
          <w:tcPr>
            <w:tcW w:w="900" w:type="dxa"/>
            <w:vAlign w:val="bottom"/>
            <w:tcBorders>
              <w:bottom w:val="single" w:sz="8" w:color="B2B2B2"/>
            </w:tcBorders>
          </w:tcPr>
          <w:p>
            <w:pPr>
              <w:spacing w:after="0"/>
              <w:rPr>
                <w:sz w:val="19"/>
                <w:szCs w:val="19"/>
                <w:color w:val="auto"/>
              </w:rPr>
            </w:pPr>
          </w:p>
        </w:tc>
        <w:tc>
          <w:tcPr>
            <w:tcW w:w="480" w:type="dxa"/>
            <w:vAlign w:val="bottom"/>
            <w:tcBorders>
              <w:bottom w:val="single" w:sz="8" w:color="B2B2B2"/>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2B2B2"/>
            </w:tcBorders>
          </w:tcPr>
          <w:p>
            <w:pPr>
              <w:spacing w:after="0"/>
              <w:rPr>
                <w:sz w:val="19"/>
                <w:szCs w:val="19"/>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2B2B2"/>
            </w:tcBorders>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B2B2B2"/>
            </w:tcBorders>
          </w:tcPr>
          <w:p>
            <w:pPr>
              <w:spacing w:after="0"/>
              <w:rPr>
                <w:sz w:val="19"/>
                <w:szCs w:val="19"/>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38,440</w:t>
            </w:r>
          </w:p>
        </w:tc>
        <w:tc>
          <w:tcPr>
            <w:tcW w:w="640" w:type="dxa"/>
            <w:vAlign w:val="bottom"/>
            <w:tcBorders>
              <w:bottom w:val="single" w:sz="8" w:color="B2B2B2"/>
            </w:tcBorders>
          </w:tcPr>
          <w:p>
            <w:pPr>
              <w:ind w:left="20"/>
              <w:spacing w:after="0"/>
              <w:rPr>
                <w:sz w:val="20"/>
                <w:szCs w:val="20"/>
                <w:color w:val="auto"/>
              </w:rPr>
            </w:pPr>
            <w:r>
              <w:rPr>
                <w:rFonts w:ascii="Arial" w:cs="Arial" w:eastAsia="Arial" w:hAnsi="Arial"/>
                <w:sz w:val="9"/>
                <w:szCs w:val="9"/>
                <w:color w:val="auto"/>
              </w:rPr>
              <w:t>b</w:t>
            </w:r>
          </w:p>
        </w:tc>
        <w:tc>
          <w:tcPr>
            <w:tcW w:w="160" w:type="dxa"/>
            <w:vAlign w:val="bottom"/>
            <w:tcBorders>
              <w:bottom w:val="single" w:sz="8" w:color="B2B2B2"/>
            </w:tcBorders>
          </w:tcPr>
          <w:p>
            <w:pPr>
              <w:spacing w:after="0"/>
              <w:rPr>
                <w:sz w:val="19"/>
                <w:szCs w:val="19"/>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1/17/2023</w:t>
            </w: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12,021</w:t>
            </w:r>
          </w:p>
        </w:tc>
        <w:tc>
          <w:tcPr>
            <w:tcW w:w="640" w:type="dxa"/>
            <w:vAlign w:val="bottom"/>
          </w:tcPr>
          <w:p>
            <w:pPr>
              <w:ind w:left="20"/>
              <w:spacing w:after="0"/>
              <w:rPr>
                <w:sz w:val="20"/>
                <w:szCs w:val="20"/>
                <w:color w:val="auto"/>
              </w:rPr>
            </w:pPr>
            <w:r>
              <w:rPr>
                <w:rFonts w:ascii="Arial" w:cs="Arial" w:eastAsia="Arial" w:hAnsi="Arial"/>
                <w:sz w:val="9"/>
                <w:szCs w:val="9"/>
                <w:color w:val="auto"/>
              </w:rPr>
              <w:t>c</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1/16/2024</w:t>
            </w: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25,723</w:t>
            </w:r>
          </w:p>
        </w:tc>
        <w:tc>
          <w:tcPr>
            <w:tcW w:w="640" w:type="dxa"/>
            <w:vAlign w:val="bottom"/>
          </w:tcPr>
          <w:p>
            <w:pPr>
              <w:ind w:left="20"/>
              <w:spacing w:after="0"/>
              <w:rPr>
                <w:sz w:val="20"/>
                <w:szCs w:val="20"/>
                <w:color w:val="auto"/>
              </w:rPr>
            </w:pPr>
            <w:r>
              <w:rPr>
                <w:rFonts w:ascii="Arial" w:cs="Arial" w:eastAsia="Arial" w:hAnsi="Arial"/>
                <w:sz w:val="9"/>
                <w:szCs w:val="9"/>
                <w:color w:val="auto"/>
              </w:rPr>
              <w:t>c</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40,029</w:t>
            </w:r>
          </w:p>
        </w:tc>
        <w:tc>
          <w:tcPr>
            <w:tcW w:w="180" w:type="dxa"/>
            <w:vAlign w:val="bottom"/>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500" w:type="dxa"/>
            <w:vAlign w:val="bottom"/>
          </w:tcPr>
          <w:p>
            <w:pPr>
              <w:spacing w:after="0"/>
              <w:rPr>
                <w:sz w:val="17"/>
                <w:szCs w:val="17"/>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1/21/2025</w:t>
            </w: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18,702</w:t>
            </w:r>
          </w:p>
        </w:tc>
        <w:tc>
          <w:tcPr>
            <w:tcW w:w="640" w:type="dxa"/>
            <w:vAlign w:val="bottom"/>
          </w:tcPr>
          <w:p>
            <w:pPr>
              <w:ind w:left="20"/>
              <w:spacing w:after="0"/>
              <w:rPr>
                <w:sz w:val="20"/>
                <w:szCs w:val="20"/>
                <w:color w:val="auto"/>
              </w:rPr>
            </w:pPr>
            <w:r>
              <w:rPr>
                <w:rFonts w:ascii="Arial" w:cs="Arial" w:eastAsia="Arial" w:hAnsi="Arial"/>
                <w:sz w:val="9"/>
                <w:szCs w:val="9"/>
                <w:color w:val="auto"/>
              </w:rPr>
              <w:t>c</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28,484</w:t>
            </w:r>
          </w:p>
        </w:tc>
        <w:tc>
          <w:tcPr>
            <w:tcW w:w="180" w:type="dxa"/>
            <w:vAlign w:val="bottom"/>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00" w:type="dxa"/>
            <w:vAlign w:val="bottom"/>
          </w:tcPr>
          <w:p>
            <w:pPr>
              <w:ind w:left="20"/>
              <w:spacing w:after="0"/>
              <w:rPr>
                <w:sz w:val="20"/>
                <w:szCs w:val="20"/>
                <w:color w:val="auto"/>
              </w:rPr>
            </w:pPr>
            <w:r>
              <w:rPr>
                <w:rFonts w:ascii="Arial" w:cs="Arial" w:eastAsia="Arial" w:hAnsi="Arial"/>
                <w:sz w:val="14"/>
                <w:szCs w:val="14"/>
                <w:color w:val="auto"/>
              </w:rPr>
              <w:t>Total awards (#)</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94,886</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68,513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00" w:type="dxa"/>
            <w:vAlign w:val="bottom"/>
            <w:tcBorders>
              <w:bottom w:val="single" w:sz="8" w:color="B2B2B2"/>
            </w:tcBorders>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50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Market value ($)</w:t>
            </w:r>
            <w:r>
              <w:rPr>
                <w:rFonts w:ascii="Arial" w:cs="Arial" w:eastAsia="Arial" w:hAnsi="Arial"/>
                <w:sz w:val="18"/>
                <w:szCs w:val="18"/>
                <w:color w:val="auto"/>
                <w:vertAlign w:val="superscript"/>
              </w:rPr>
              <w:t>5</w:t>
            </w:r>
          </w:p>
        </w:tc>
        <w:tc>
          <w:tcPr>
            <w:tcW w:w="124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jc w:val="right"/>
              <w:ind w:right="35"/>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B2B2B2"/>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spacing w:after="0"/>
              <w:rPr>
                <w:sz w:val="19"/>
                <w:szCs w:val="19"/>
                <w:color w:val="auto"/>
              </w:rPr>
            </w:pPr>
          </w:p>
        </w:tc>
        <w:tc>
          <w:tcPr>
            <w:tcW w:w="106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40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30,574,167</w:t>
            </w:r>
          </w:p>
        </w:tc>
        <w:tc>
          <w:tcPr>
            <w:tcW w:w="640" w:type="dxa"/>
            <w:vAlign w:val="bottom"/>
            <w:tcBorders>
              <w:bottom w:val="single" w:sz="8" w:color="B2B2B2"/>
            </w:tcBorders>
          </w:tcPr>
          <w:p>
            <w:pPr>
              <w:spacing w:after="0"/>
              <w:rPr>
                <w:sz w:val="19"/>
                <w:szCs w:val="19"/>
                <w:color w:val="auto"/>
              </w:rPr>
            </w:pP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22,076,259</w:t>
            </w:r>
          </w:p>
        </w:tc>
        <w:tc>
          <w:tcPr>
            <w:tcW w:w="18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50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Daniel Pinto</w:t>
            </w:r>
          </w:p>
        </w:tc>
        <w:tc>
          <w:tcPr>
            <w:tcW w:w="1240" w:type="dxa"/>
            <w:vAlign w:val="bottom"/>
            <w:tcBorders>
              <w:bottom w:val="single" w:sz="8" w:color="B2B2B2"/>
            </w:tcBorders>
          </w:tcPr>
          <w:p>
            <w:pPr>
              <w:spacing w:after="0"/>
              <w:rPr>
                <w:sz w:val="18"/>
                <w:szCs w:val="18"/>
                <w:color w:val="auto"/>
              </w:rPr>
            </w:pPr>
          </w:p>
        </w:tc>
        <w:tc>
          <w:tcPr>
            <w:tcW w:w="900" w:type="dxa"/>
            <w:vAlign w:val="bottom"/>
            <w:tcBorders>
              <w:bottom w:val="single" w:sz="8" w:color="B2B2B2"/>
            </w:tcBorders>
          </w:tcPr>
          <w:p>
            <w:pPr>
              <w:spacing w:after="0"/>
              <w:rPr>
                <w:sz w:val="18"/>
                <w:szCs w:val="18"/>
                <w:color w:val="auto"/>
              </w:rPr>
            </w:pPr>
          </w:p>
        </w:tc>
        <w:tc>
          <w:tcPr>
            <w:tcW w:w="480" w:type="dxa"/>
            <w:vAlign w:val="bottom"/>
            <w:tcBorders>
              <w:bottom w:val="single" w:sz="8" w:color="B2B2B2"/>
            </w:tcBorders>
          </w:tcPr>
          <w:p>
            <w:pPr>
              <w:spacing w:after="0"/>
              <w:rPr>
                <w:sz w:val="18"/>
                <w:szCs w:val="18"/>
                <w:color w:val="auto"/>
              </w:rPr>
            </w:pPr>
          </w:p>
        </w:tc>
        <w:tc>
          <w:tcPr>
            <w:tcW w:w="360" w:type="dxa"/>
            <w:vAlign w:val="bottom"/>
            <w:tcBorders>
              <w:bottom w:val="single" w:sz="8" w:color="B2B2B2"/>
            </w:tcBorders>
          </w:tcPr>
          <w:p>
            <w:pPr>
              <w:spacing w:after="0"/>
              <w:rPr>
                <w:sz w:val="18"/>
                <w:szCs w:val="18"/>
                <w:color w:val="auto"/>
              </w:rPr>
            </w:pPr>
          </w:p>
        </w:tc>
        <w:tc>
          <w:tcPr>
            <w:tcW w:w="1040" w:type="dxa"/>
            <w:vAlign w:val="bottom"/>
            <w:tcBorders>
              <w:bottom w:val="single" w:sz="8" w:color="B2B2B2"/>
            </w:tcBorders>
          </w:tcPr>
          <w:p>
            <w:pPr>
              <w:spacing w:after="0"/>
              <w:rPr>
                <w:sz w:val="18"/>
                <w:szCs w:val="18"/>
                <w:color w:val="auto"/>
              </w:rPr>
            </w:pPr>
          </w:p>
        </w:tc>
        <w:tc>
          <w:tcPr>
            <w:tcW w:w="340" w:type="dxa"/>
            <w:vAlign w:val="bottom"/>
            <w:tcBorders>
              <w:bottom w:val="single" w:sz="8" w:color="B2B2B2"/>
            </w:tcBorders>
          </w:tcPr>
          <w:p>
            <w:pPr>
              <w:spacing w:after="0"/>
              <w:rPr>
                <w:sz w:val="18"/>
                <w:szCs w:val="18"/>
                <w:color w:val="auto"/>
              </w:rPr>
            </w:pPr>
          </w:p>
        </w:tc>
        <w:tc>
          <w:tcPr>
            <w:tcW w:w="900" w:type="dxa"/>
            <w:vAlign w:val="bottom"/>
            <w:tcBorders>
              <w:bottom w:val="single" w:sz="8" w:color="B2B2B2"/>
            </w:tcBorders>
          </w:tcPr>
          <w:p>
            <w:pPr>
              <w:spacing w:after="0"/>
              <w:rPr>
                <w:sz w:val="18"/>
                <w:szCs w:val="18"/>
                <w:color w:val="auto"/>
              </w:rPr>
            </w:pPr>
          </w:p>
        </w:tc>
        <w:tc>
          <w:tcPr>
            <w:tcW w:w="1060" w:type="dxa"/>
            <w:vAlign w:val="bottom"/>
            <w:tcBorders>
              <w:bottom w:val="single" w:sz="8" w:color="B2B2B2"/>
            </w:tcBorders>
          </w:tcPr>
          <w:p>
            <w:pPr>
              <w:spacing w:after="0"/>
              <w:rPr>
                <w:sz w:val="18"/>
                <w:szCs w:val="18"/>
                <w:color w:val="auto"/>
              </w:rPr>
            </w:pPr>
          </w:p>
        </w:tc>
        <w:tc>
          <w:tcPr>
            <w:tcW w:w="80" w:type="dxa"/>
            <w:vAlign w:val="bottom"/>
            <w:tcBorders>
              <w:bottom w:val="single" w:sz="8" w:color="B2B2B2"/>
            </w:tcBorders>
          </w:tcPr>
          <w:p>
            <w:pPr>
              <w:spacing w:after="0"/>
              <w:rPr>
                <w:sz w:val="18"/>
                <w:szCs w:val="18"/>
                <w:color w:val="auto"/>
              </w:rPr>
            </w:pPr>
          </w:p>
        </w:tc>
        <w:tc>
          <w:tcPr>
            <w:tcW w:w="400" w:type="dxa"/>
            <w:vAlign w:val="bottom"/>
            <w:tcBorders>
              <w:bottom w:val="single" w:sz="8" w:color="B2B2B2"/>
            </w:tcBorders>
          </w:tcPr>
          <w:p>
            <w:pPr>
              <w:spacing w:after="0"/>
              <w:rPr>
                <w:sz w:val="18"/>
                <w:szCs w:val="18"/>
                <w:color w:val="auto"/>
              </w:rPr>
            </w:pPr>
          </w:p>
        </w:tc>
        <w:tc>
          <w:tcPr>
            <w:tcW w:w="980" w:type="dxa"/>
            <w:vAlign w:val="bottom"/>
            <w:tcBorders>
              <w:bottom w:val="single" w:sz="8" w:color="B2B2B2"/>
            </w:tcBorders>
          </w:tcPr>
          <w:p>
            <w:pPr>
              <w:spacing w:after="0"/>
              <w:rPr>
                <w:sz w:val="18"/>
                <w:szCs w:val="18"/>
                <w:color w:val="auto"/>
              </w:rPr>
            </w:pPr>
          </w:p>
        </w:tc>
        <w:tc>
          <w:tcPr>
            <w:tcW w:w="640" w:type="dxa"/>
            <w:vAlign w:val="bottom"/>
            <w:tcBorders>
              <w:bottom w:val="single" w:sz="8" w:color="B2B2B2"/>
            </w:tcBorders>
          </w:tcPr>
          <w:p>
            <w:pPr>
              <w:spacing w:after="0"/>
              <w:rPr>
                <w:sz w:val="18"/>
                <w:szCs w:val="18"/>
                <w:color w:val="auto"/>
              </w:rPr>
            </w:pPr>
          </w:p>
        </w:tc>
        <w:tc>
          <w:tcPr>
            <w:tcW w:w="160" w:type="dxa"/>
            <w:vAlign w:val="bottom"/>
            <w:tcBorders>
              <w:bottom w:val="single" w:sz="8" w:color="B2B2B2"/>
            </w:tcBorders>
          </w:tcPr>
          <w:p>
            <w:pPr>
              <w:spacing w:after="0"/>
              <w:rPr>
                <w:sz w:val="18"/>
                <w:szCs w:val="18"/>
                <w:color w:val="auto"/>
              </w:rPr>
            </w:pPr>
          </w:p>
        </w:tc>
        <w:tc>
          <w:tcPr>
            <w:tcW w:w="980" w:type="dxa"/>
            <w:vAlign w:val="bottom"/>
            <w:tcBorders>
              <w:bottom w:val="single" w:sz="8" w:color="B2B2B2"/>
            </w:tcBorders>
          </w:tcPr>
          <w:p>
            <w:pPr>
              <w:spacing w:after="0"/>
              <w:rPr>
                <w:sz w:val="18"/>
                <w:szCs w:val="18"/>
                <w:color w:val="auto"/>
              </w:rPr>
            </w:pPr>
          </w:p>
        </w:tc>
        <w:tc>
          <w:tcPr>
            <w:tcW w:w="180" w:type="dxa"/>
            <w:vAlign w:val="bottom"/>
            <w:tcBorders>
              <w:bottom w:val="single" w:sz="8" w:color="B2B2B2"/>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00" w:type="dxa"/>
            <w:vAlign w:val="bottom"/>
          </w:tcPr>
          <w:p>
            <w:pPr>
              <w:spacing w:after="0"/>
              <w:rPr>
                <w:sz w:val="18"/>
                <w:szCs w:val="18"/>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1/15/2019</w:t>
            </w:r>
          </w:p>
        </w:tc>
        <w:tc>
          <w:tcPr>
            <w:tcW w:w="90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23,442</w:t>
            </w:r>
          </w:p>
        </w:tc>
        <w:tc>
          <w:tcPr>
            <w:tcW w:w="640" w:type="dxa"/>
            <w:vAlign w:val="bottom"/>
          </w:tcPr>
          <w:p>
            <w:pPr>
              <w:ind w:left="20"/>
              <w:spacing w:after="0"/>
              <w:rPr>
                <w:sz w:val="20"/>
                <w:szCs w:val="20"/>
                <w:color w:val="auto"/>
              </w:rPr>
            </w:pPr>
            <w:r>
              <w:rPr>
                <w:rFonts w:ascii="Arial" w:cs="Arial" w:eastAsia="Arial" w:hAnsi="Arial"/>
                <w:sz w:val="9"/>
                <w:szCs w:val="9"/>
                <w:color w:val="auto"/>
              </w:rPr>
              <w:t>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1/15/2019</w:t>
            </w: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16,718</w:t>
            </w:r>
          </w:p>
        </w:tc>
        <w:tc>
          <w:tcPr>
            <w:tcW w:w="640" w:type="dxa"/>
            <w:vAlign w:val="bottom"/>
          </w:tcPr>
          <w:p>
            <w:pPr>
              <w:ind w:left="20"/>
              <w:spacing w:after="0"/>
              <w:rPr>
                <w:sz w:val="20"/>
                <w:szCs w:val="20"/>
                <w:color w:val="auto"/>
              </w:rPr>
            </w:pPr>
            <w:r>
              <w:rPr>
                <w:rFonts w:ascii="Arial" w:cs="Arial" w:eastAsia="Arial" w:hAnsi="Arial"/>
                <w:sz w:val="9"/>
                <w:szCs w:val="9"/>
                <w:color w:val="auto"/>
              </w:rPr>
              <w:t>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1/21/2020</w:t>
            </w: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35,652</w:t>
            </w:r>
          </w:p>
        </w:tc>
        <w:tc>
          <w:tcPr>
            <w:tcW w:w="640" w:type="dxa"/>
            <w:vAlign w:val="bottom"/>
          </w:tcPr>
          <w:p>
            <w:pPr>
              <w:ind w:left="20"/>
              <w:spacing w:after="0"/>
              <w:rPr>
                <w:sz w:val="20"/>
                <w:szCs w:val="20"/>
                <w:color w:val="auto"/>
              </w:rPr>
            </w:pPr>
            <w:r>
              <w:rPr>
                <w:rFonts w:ascii="Arial" w:cs="Arial" w:eastAsia="Arial" w:hAnsi="Arial"/>
                <w:sz w:val="9"/>
                <w:szCs w:val="9"/>
                <w:color w:val="auto"/>
              </w:rPr>
              <w:t>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500" w:type="dxa"/>
            <w:vAlign w:val="bottom"/>
          </w:tcPr>
          <w:p>
            <w:pPr>
              <w:spacing w:after="0"/>
              <w:rPr>
                <w:sz w:val="17"/>
                <w:szCs w:val="17"/>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1/21/2020</w:t>
            </w: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24,646</w:t>
            </w:r>
          </w:p>
        </w:tc>
        <w:tc>
          <w:tcPr>
            <w:tcW w:w="640" w:type="dxa"/>
            <w:vAlign w:val="bottom"/>
          </w:tcPr>
          <w:p>
            <w:pPr>
              <w:ind w:left="20"/>
              <w:spacing w:after="0"/>
              <w:rPr>
                <w:sz w:val="20"/>
                <w:szCs w:val="20"/>
                <w:color w:val="auto"/>
              </w:rPr>
            </w:pPr>
            <w:r>
              <w:rPr>
                <w:rFonts w:ascii="Arial" w:cs="Arial" w:eastAsia="Arial" w:hAnsi="Arial"/>
                <w:sz w:val="9"/>
                <w:szCs w:val="9"/>
                <w:color w:val="auto"/>
              </w:rPr>
              <w:t>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1/19/2021</w:t>
            </w: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62,716</w:t>
            </w:r>
          </w:p>
        </w:tc>
        <w:tc>
          <w:tcPr>
            <w:tcW w:w="640" w:type="dxa"/>
            <w:vAlign w:val="bottom"/>
          </w:tcPr>
          <w:p>
            <w:pPr>
              <w:ind w:left="20"/>
              <w:spacing w:after="0"/>
              <w:rPr>
                <w:sz w:val="20"/>
                <w:szCs w:val="20"/>
                <w:color w:val="auto"/>
              </w:rPr>
            </w:pPr>
            <w:r>
              <w:rPr>
                <w:rFonts w:ascii="Arial" w:cs="Arial" w:eastAsia="Arial" w:hAnsi="Arial"/>
                <w:sz w:val="9"/>
                <w:szCs w:val="9"/>
                <w:color w:val="auto"/>
              </w:rPr>
              <w:t>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500" w:type="dxa"/>
            <w:vAlign w:val="bottom"/>
          </w:tcPr>
          <w:p>
            <w:pPr>
              <w:spacing w:after="0"/>
              <w:rPr>
                <w:sz w:val="17"/>
                <w:szCs w:val="17"/>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1/19/2021</w:t>
            </w: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41,575</w:t>
            </w:r>
          </w:p>
        </w:tc>
        <w:tc>
          <w:tcPr>
            <w:tcW w:w="640" w:type="dxa"/>
            <w:vAlign w:val="bottom"/>
          </w:tcPr>
          <w:p>
            <w:pPr>
              <w:ind w:left="20"/>
              <w:spacing w:after="0"/>
              <w:rPr>
                <w:sz w:val="20"/>
                <w:szCs w:val="20"/>
                <w:color w:val="auto"/>
              </w:rPr>
            </w:pPr>
            <w:r>
              <w:rPr>
                <w:rFonts w:ascii="Arial" w:cs="Arial" w:eastAsia="Arial" w:hAnsi="Arial"/>
                <w:sz w:val="9"/>
                <w:szCs w:val="9"/>
                <w:color w:val="auto"/>
              </w:rPr>
              <w:t>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12/14/2021</w:t>
            </w: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750,000</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159.095</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12/14/2031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1/18/2022</w:t>
            </w: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90,755</w:t>
            </w:r>
          </w:p>
        </w:tc>
        <w:tc>
          <w:tcPr>
            <w:tcW w:w="640" w:type="dxa"/>
            <w:vAlign w:val="bottom"/>
          </w:tcPr>
          <w:p>
            <w:pPr>
              <w:ind w:left="20"/>
              <w:spacing w:after="0"/>
              <w:rPr>
                <w:sz w:val="20"/>
                <w:szCs w:val="20"/>
                <w:color w:val="auto"/>
              </w:rPr>
            </w:pPr>
            <w:r>
              <w:rPr>
                <w:rFonts w:ascii="Arial" w:cs="Arial" w:eastAsia="Arial" w:hAnsi="Arial"/>
                <w:sz w:val="9"/>
                <w:szCs w:val="9"/>
                <w:color w:val="auto"/>
              </w:rPr>
              <w:t>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500" w:type="dxa"/>
            <w:vAlign w:val="bottom"/>
          </w:tcPr>
          <w:p>
            <w:pPr>
              <w:spacing w:after="0"/>
              <w:rPr>
                <w:sz w:val="17"/>
                <w:szCs w:val="17"/>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1/18/2022</w:t>
            </w: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59,820</w:t>
            </w:r>
          </w:p>
        </w:tc>
        <w:tc>
          <w:tcPr>
            <w:tcW w:w="640" w:type="dxa"/>
            <w:vAlign w:val="bottom"/>
          </w:tcPr>
          <w:p>
            <w:pPr>
              <w:ind w:left="20"/>
              <w:spacing w:after="0"/>
              <w:rPr>
                <w:sz w:val="20"/>
                <w:szCs w:val="20"/>
                <w:color w:val="auto"/>
              </w:rPr>
            </w:pPr>
            <w:r>
              <w:rPr>
                <w:rFonts w:ascii="Arial" w:cs="Arial" w:eastAsia="Arial" w:hAnsi="Arial"/>
                <w:sz w:val="9"/>
                <w:szCs w:val="9"/>
                <w:color w:val="auto"/>
              </w:rPr>
              <w:t>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240" w:type="dxa"/>
            <w:vAlign w:val="bottom"/>
            <w:tcBorders>
              <w:bottom w:val="single" w:sz="8" w:color="B2B2B2"/>
            </w:tcBorders>
          </w:tcPr>
          <w:p>
            <w:pPr>
              <w:jc w:val="center"/>
              <w:ind w:right="109"/>
              <w:spacing w:after="0"/>
              <w:rPr>
                <w:sz w:val="20"/>
                <w:szCs w:val="20"/>
                <w:color w:val="auto"/>
              </w:rPr>
            </w:pPr>
            <w:r>
              <w:rPr>
                <w:rFonts w:ascii="Arial" w:cs="Arial" w:eastAsia="Arial" w:hAnsi="Arial"/>
                <w:sz w:val="14"/>
                <w:szCs w:val="14"/>
                <w:color w:val="auto"/>
              </w:rPr>
              <w:t>1/17/2023</w:t>
            </w:r>
            <w:r>
              <w:rPr>
                <w:rFonts w:ascii="Arial" w:cs="Arial" w:eastAsia="Arial" w:hAnsi="Arial"/>
                <w:sz w:val="18"/>
                <w:szCs w:val="18"/>
                <w:color w:val="auto"/>
                <w:vertAlign w:val="superscript"/>
              </w:rPr>
              <w:t>4</w:t>
            </w:r>
          </w:p>
        </w:tc>
        <w:tc>
          <w:tcPr>
            <w:tcW w:w="900" w:type="dxa"/>
            <w:vAlign w:val="bottom"/>
            <w:tcBorders>
              <w:bottom w:val="single" w:sz="8" w:color="B2B2B2"/>
            </w:tcBorders>
          </w:tcPr>
          <w:p>
            <w:pPr>
              <w:spacing w:after="0"/>
              <w:rPr>
                <w:sz w:val="19"/>
                <w:szCs w:val="19"/>
                <w:color w:val="auto"/>
              </w:rPr>
            </w:pPr>
          </w:p>
        </w:tc>
        <w:tc>
          <w:tcPr>
            <w:tcW w:w="480" w:type="dxa"/>
            <w:vAlign w:val="bottom"/>
            <w:tcBorders>
              <w:bottom w:val="single" w:sz="8" w:color="B2B2B2"/>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2B2B2"/>
            </w:tcBorders>
          </w:tcPr>
          <w:p>
            <w:pPr>
              <w:spacing w:after="0"/>
              <w:rPr>
                <w:sz w:val="19"/>
                <w:szCs w:val="19"/>
                <w:color w:val="auto"/>
              </w:rPr>
            </w:pP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2B2B2"/>
            </w:tcBorders>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B2B2B2"/>
            </w:tcBorders>
          </w:tcPr>
          <w:p>
            <w:pPr>
              <w:spacing w:after="0"/>
              <w:rPr>
                <w:sz w:val="19"/>
                <w:szCs w:val="19"/>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250,568</w:t>
            </w:r>
          </w:p>
        </w:tc>
        <w:tc>
          <w:tcPr>
            <w:tcW w:w="640" w:type="dxa"/>
            <w:vAlign w:val="bottom"/>
            <w:tcBorders>
              <w:bottom w:val="single" w:sz="8" w:color="B2B2B2"/>
            </w:tcBorders>
          </w:tcPr>
          <w:p>
            <w:pPr>
              <w:ind w:left="20"/>
              <w:spacing w:after="0"/>
              <w:rPr>
                <w:sz w:val="20"/>
                <w:szCs w:val="20"/>
                <w:color w:val="auto"/>
              </w:rPr>
            </w:pPr>
            <w:r>
              <w:rPr>
                <w:rFonts w:ascii="Arial" w:cs="Arial" w:eastAsia="Arial" w:hAnsi="Arial"/>
                <w:sz w:val="9"/>
                <w:szCs w:val="9"/>
                <w:color w:val="auto"/>
              </w:rPr>
              <w:t>b</w:t>
            </w:r>
          </w:p>
        </w:tc>
        <w:tc>
          <w:tcPr>
            <w:tcW w:w="160" w:type="dxa"/>
            <w:vAlign w:val="bottom"/>
            <w:tcBorders>
              <w:bottom w:val="single" w:sz="8" w:color="B2B2B2"/>
            </w:tcBorders>
          </w:tcPr>
          <w:p>
            <w:pPr>
              <w:spacing w:after="0"/>
              <w:rPr>
                <w:sz w:val="19"/>
                <w:szCs w:val="19"/>
                <w:color w:val="auto"/>
              </w:rPr>
            </w:pP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500" w:type="dxa"/>
            <w:vAlign w:val="bottom"/>
          </w:tcPr>
          <w:p>
            <w:pPr>
              <w:spacing w:after="0"/>
              <w:rPr>
                <w:sz w:val="23"/>
                <w:szCs w:val="23"/>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1/16/2024</w:t>
            </w:r>
          </w:p>
        </w:tc>
        <w:tc>
          <w:tcPr>
            <w:tcW w:w="900" w:type="dxa"/>
            <w:vAlign w:val="bottom"/>
          </w:tcPr>
          <w:p>
            <w:pPr>
              <w:spacing w:after="0"/>
              <w:rPr>
                <w:sz w:val="23"/>
                <w:szCs w:val="23"/>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220,045</w:t>
            </w:r>
          </w:p>
        </w:tc>
        <w:tc>
          <w:tcPr>
            <w:tcW w:w="180" w:type="dxa"/>
            <w:vAlign w:val="bottom"/>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500" w:type="dxa"/>
            <w:vAlign w:val="bottom"/>
          </w:tcPr>
          <w:p>
            <w:pPr>
              <w:spacing w:after="0"/>
              <w:rPr>
                <w:sz w:val="23"/>
                <w:szCs w:val="23"/>
                <w:color w:val="auto"/>
              </w:rPr>
            </w:pPr>
          </w:p>
        </w:tc>
        <w:tc>
          <w:tcPr>
            <w:tcW w:w="1240" w:type="dxa"/>
            <w:vAlign w:val="bottom"/>
          </w:tcPr>
          <w:p>
            <w:pPr>
              <w:jc w:val="center"/>
              <w:ind w:right="89"/>
              <w:spacing w:after="0"/>
              <w:rPr>
                <w:sz w:val="20"/>
                <w:szCs w:val="20"/>
                <w:color w:val="auto"/>
              </w:rPr>
            </w:pPr>
            <w:r>
              <w:rPr>
                <w:rFonts w:ascii="Arial" w:cs="Arial" w:eastAsia="Arial" w:hAnsi="Arial"/>
                <w:sz w:val="14"/>
                <w:szCs w:val="14"/>
                <w:color w:val="auto"/>
              </w:rPr>
              <w:t>1/21/2025</w:t>
            </w:r>
          </w:p>
        </w:tc>
        <w:tc>
          <w:tcPr>
            <w:tcW w:w="900" w:type="dxa"/>
            <w:vAlign w:val="bottom"/>
          </w:tcPr>
          <w:p>
            <w:pPr>
              <w:spacing w:after="0"/>
              <w:rPr>
                <w:sz w:val="23"/>
                <w:szCs w:val="23"/>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09"/>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145,402</w:t>
            </w:r>
          </w:p>
        </w:tc>
        <w:tc>
          <w:tcPr>
            <w:tcW w:w="180" w:type="dxa"/>
            <w:vAlign w:val="bottom"/>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22"/>
        </w:trPr>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Total awards (#)</w:t>
            </w: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50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750,000</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605,892</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365,447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500" w:type="dxa"/>
            <w:vAlign w:val="bottom"/>
            <w:tcBorders>
              <w:bottom w:val="single" w:sz="8" w:color="B2B2B2"/>
            </w:tcBorders>
          </w:tcPr>
          <w:p>
            <w:pPr>
              <w:spacing w:after="0" w:line="20" w:lineRule="exact"/>
              <w:rPr>
                <w:sz w:val="1"/>
                <w:szCs w:val="1"/>
                <w:color w:val="auto"/>
              </w:rPr>
            </w:pPr>
          </w:p>
        </w:tc>
        <w:tc>
          <w:tcPr>
            <w:tcW w:w="12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40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Market value ($)</w:t>
            </w:r>
            <w:r>
              <w:rPr>
                <w:rFonts w:ascii="Arial" w:cs="Arial" w:eastAsia="Arial" w:hAnsi="Arial"/>
                <w:sz w:val="18"/>
                <w:szCs w:val="18"/>
                <w:color w:val="auto"/>
                <w:vertAlign w:val="superscript"/>
              </w:rPr>
              <w:t>5</w:t>
            </w: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122,343,750</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195,230,520</w:t>
            </w: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117,754,332</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00" w:hanging="192"/>
        <w:spacing w:after="0"/>
        <w:tabs>
          <w:tab w:leader="none" w:pos="200" w:val="left"/>
        </w:tabs>
        <w:numPr>
          <w:ilvl w:val="0"/>
          <w:numId w:val="237"/>
        </w:numPr>
        <w:rPr>
          <w:rFonts w:ascii="Arial" w:cs="Arial" w:eastAsia="Arial" w:hAnsi="Arial"/>
          <w:sz w:val="19"/>
          <w:szCs w:val="19"/>
          <w:color w:val="auto"/>
          <w:vertAlign w:val="superscript"/>
        </w:rPr>
      </w:pPr>
      <w:r>
        <w:rPr>
          <w:rFonts w:ascii="Arial" w:cs="Arial" w:eastAsia="Arial" w:hAnsi="Arial"/>
          <w:sz w:val="13"/>
          <w:szCs w:val="13"/>
          <w:color w:val="auto"/>
        </w:rPr>
        <w:t>The awards set forth in the table were granted with the following vesting schedules:</w:t>
      </w:r>
    </w:p>
    <w:p>
      <w:pPr>
        <w:ind w:left="380" w:hanging="178"/>
        <w:spacing w:after="0" w:line="187" w:lineRule="auto"/>
        <w:tabs>
          <w:tab w:leader="none" w:pos="380" w:val="left"/>
        </w:tabs>
        <w:numPr>
          <w:ilvl w:val="0"/>
          <w:numId w:val="238"/>
        </w:numPr>
        <w:rPr>
          <w:rFonts w:ascii="Arial" w:cs="Arial" w:eastAsia="Arial" w:hAnsi="Arial"/>
          <w:sz w:val="18"/>
          <w:szCs w:val="18"/>
          <w:color w:val="auto"/>
          <w:vertAlign w:val="superscript"/>
        </w:rPr>
      </w:pPr>
      <w:r>
        <w:rPr>
          <w:rFonts w:ascii="Arial" w:cs="Arial" w:eastAsia="Arial" w:hAnsi="Arial"/>
          <w:sz w:val="12"/>
          <w:szCs w:val="12"/>
          <w:color w:val="auto"/>
        </w:rPr>
        <w:t>SARs become exercisable in year five</w:t>
      </w:r>
    </w:p>
    <w:p>
      <w:pPr>
        <w:ind w:left="380" w:hanging="178"/>
        <w:spacing w:after="0" w:line="183" w:lineRule="auto"/>
        <w:tabs>
          <w:tab w:leader="none" w:pos="380" w:val="left"/>
        </w:tabs>
        <w:numPr>
          <w:ilvl w:val="0"/>
          <w:numId w:val="239"/>
        </w:numPr>
        <w:rPr>
          <w:rFonts w:ascii="Arial" w:cs="Arial" w:eastAsia="Arial" w:hAnsi="Arial"/>
          <w:sz w:val="17"/>
          <w:szCs w:val="17"/>
          <w:color w:val="auto"/>
          <w:vertAlign w:val="superscript"/>
        </w:rPr>
      </w:pPr>
      <w:r>
        <w:rPr>
          <w:rFonts w:ascii="Arial" w:cs="Arial" w:eastAsia="Arial" w:hAnsi="Arial"/>
          <w:sz w:val="11"/>
          <w:szCs w:val="11"/>
          <w:color w:val="auto"/>
        </w:rPr>
        <w:t>PSUs cliff vest in year three including any dividends that are reinvested over the vesting period</w:t>
      </w:r>
    </w:p>
    <w:p>
      <w:pPr>
        <w:ind w:left="380" w:hanging="178"/>
        <w:spacing w:after="0" w:line="182" w:lineRule="auto"/>
        <w:tabs>
          <w:tab w:leader="none" w:pos="380" w:val="left"/>
        </w:tabs>
        <w:numPr>
          <w:ilvl w:val="0"/>
          <w:numId w:val="240"/>
        </w:numPr>
        <w:rPr>
          <w:rFonts w:ascii="Arial" w:cs="Arial" w:eastAsia="Arial" w:hAnsi="Arial"/>
          <w:sz w:val="17"/>
          <w:szCs w:val="17"/>
          <w:color w:val="auto"/>
          <w:vertAlign w:val="superscript"/>
        </w:rPr>
      </w:pPr>
      <w:r>
        <w:rPr>
          <w:rFonts w:ascii="Arial" w:cs="Arial" w:eastAsia="Arial" w:hAnsi="Arial"/>
          <w:sz w:val="11"/>
          <w:szCs w:val="11"/>
          <w:color w:val="auto"/>
        </w:rPr>
        <w:t>RSUs vest in two equal installments, in years two and three</w:t>
      </w:r>
    </w:p>
    <w:p>
      <w:pPr>
        <w:ind w:left="380" w:hanging="178"/>
        <w:spacing w:after="0" w:line="182" w:lineRule="auto"/>
        <w:tabs>
          <w:tab w:leader="none" w:pos="380" w:val="left"/>
        </w:tabs>
        <w:numPr>
          <w:ilvl w:val="0"/>
          <w:numId w:val="241"/>
        </w:numPr>
        <w:rPr>
          <w:rFonts w:ascii="Arial" w:cs="Arial" w:eastAsia="Arial" w:hAnsi="Arial"/>
          <w:sz w:val="17"/>
          <w:szCs w:val="17"/>
          <w:color w:val="auto"/>
          <w:vertAlign w:val="superscript"/>
        </w:rPr>
      </w:pPr>
      <w:r>
        <w:rPr>
          <w:rFonts w:ascii="Arial" w:cs="Arial" w:eastAsia="Arial" w:hAnsi="Arial"/>
          <w:sz w:val="11"/>
          <w:szCs w:val="11"/>
          <w:color w:val="auto"/>
        </w:rPr>
        <w:t>PSUs and RSUs vest in five equal installments, in years three, four, five, six and seven</w:t>
      </w:r>
    </w:p>
    <w:p>
      <w:pPr>
        <w:ind w:left="200" w:hanging="192"/>
        <w:spacing w:after="0" w:line="183" w:lineRule="auto"/>
        <w:tabs>
          <w:tab w:leader="none" w:pos="200" w:val="left"/>
        </w:tabs>
        <w:numPr>
          <w:ilvl w:val="0"/>
          <w:numId w:val="242"/>
        </w:numPr>
        <w:rPr>
          <w:rFonts w:ascii="Arial" w:cs="Arial" w:eastAsia="Arial" w:hAnsi="Arial"/>
          <w:sz w:val="17"/>
          <w:szCs w:val="17"/>
          <w:color w:val="auto"/>
          <w:vertAlign w:val="superscript"/>
        </w:rPr>
      </w:pPr>
      <w:r>
        <w:rPr>
          <w:rFonts w:ascii="Arial" w:cs="Arial" w:eastAsia="Arial" w:hAnsi="Arial"/>
          <w:sz w:val="11"/>
          <w:szCs w:val="11"/>
          <w:color w:val="auto"/>
        </w:rPr>
        <w:t>Value based on $322.22, which was the closing price per share of our common stock on December 31, 2025.</w:t>
      </w:r>
    </w:p>
    <w:p>
      <w:pPr>
        <w:spacing w:after="0" w:line="13" w:lineRule="exact"/>
        <w:rPr>
          <w:sz w:val="20"/>
          <w:szCs w:val="20"/>
          <w:color w:val="auto"/>
        </w:rPr>
      </w:pPr>
    </w:p>
    <w:p>
      <w:pPr>
        <w:jc w:val="both"/>
        <w:ind w:left="200" w:right="380" w:hanging="192"/>
        <w:spacing w:after="0" w:line="206" w:lineRule="auto"/>
        <w:tabs>
          <w:tab w:leader="none" w:pos="193" w:val="left"/>
        </w:tabs>
        <w:numPr>
          <w:ilvl w:val="0"/>
          <w:numId w:val="243"/>
        </w:numPr>
        <w:rPr>
          <w:rFonts w:ascii="Arial" w:cs="Arial" w:eastAsia="Arial" w:hAnsi="Arial"/>
          <w:sz w:val="19"/>
          <w:szCs w:val="19"/>
          <w:color w:val="auto"/>
          <w:vertAlign w:val="superscript"/>
        </w:rPr>
      </w:pPr>
      <w:r>
        <w:rPr>
          <w:rFonts w:ascii="Arial" w:cs="Arial" w:eastAsia="Arial" w:hAnsi="Arial"/>
          <w:sz w:val="13"/>
          <w:szCs w:val="13"/>
          <w:color w:val="auto"/>
        </w:rPr>
        <w:t>Represents the maximum number of shares that NEOs may receive over the vesting period in connection with PSU awards granted and accumulated reinvested dividend equivalent shares, as applicable, as of December 31, 2025. The ultimate number of PSUs earned at vesting is determined by a pre-established formula set at the time of the award based on the Firm’s absolute and relative ROTCE performance over the subsequent three years, with potential payout value ranging from 0% to 150%.</w:t>
      </w:r>
    </w:p>
    <w:p>
      <w:pPr>
        <w:ind w:left="200" w:hanging="192"/>
        <w:spacing w:after="0" w:line="192" w:lineRule="auto"/>
        <w:tabs>
          <w:tab w:leader="none" w:pos="200" w:val="left"/>
        </w:tabs>
        <w:numPr>
          <w:ilvl w:val="0"/>
          <w:numId w:val="244"/>
        </w:numPr>
        <w:rPr>
          <w:rFonts w:ascii="Arial" w:cs="Arial" w:eastAsia="Arial" w:hAnsi="Arial"/>
          <w:sz w:val="19"/>
          <w:szCs w:val="19"/>
          <w:color w:val="auto"/>
          <w:vertAlign w:val="superscript"/>
        </w:rPr>
      </w:pPr>
      <w:r>
        <w:rPr>
          <w:rFonts w:ascii="Arial" w:cs="Arial" w:eastAsia="Arial" w:hAnsi="Arial"/>
          <w:sz w:val="13"/>
          <w:szCs w:val="13"/>
          <w:color w:val="auto"/>
        </w:rPr>
        <w:t>Represents PSU awards for which the performance period ended on December 31, 2025. The CMDC certified the applicable performance criteria for the PSUs on March 17, 2026; the PSUs</w:t>
      </w:r>
    </w:p>
    <w:p>
      <w:pPr>
        <w:ind w:left="200"/>
        <w:spacing w:after="0" w:line="199" w:lineRule="auto"/>
        <w:rPr>
          <w:sz w:val="20"/>
          <w:szCs w:val="20"/>
          <w:color w:val="auto"/>
        </w:rPr>
      </w:pPr>
      <w:r>
        <w:rPr>
          <w:rFonts w:ascii="Arial" w:cs="Arial" w:eastAsia="Arial" w:hAnsi="Arial"/>
          <w:sz w:val="13"/>
          <w:szCs w:val="13"/>
          <w:color w:val="auto"/>
        </w:rPr>
        <w:t>subsequently vested on March 25, 2026 as noted in footnote 1(b).</w:t>
      </w:r>
    </w:p>
    <w:p>
      <w:pPr>
        <w:ind w:left="200" w:hanging="192"/>
        <w:spacing w:after="0" w:line="196" w:lineRule="auto"/>
        <w:tabs>
          <w:tab w:leader="none" w:pos="200" w:val="left"/>
        </w:tabs>
        <w:numPr>
          <w:ilvl w:val="0"/>
          <w:numId w:val="245"/>
        </w:numPr>
        <w:rPr>
          <w:rFonts w:ascii="Arial" w:cs="Arial" w:eastAsia="Arial" w:hAnsi="Arial"/>
          <w:sz w:val="19"/>
          <w:szCs w:val="19"/>
          <w:color w:val="auto"/>
          <w:vertAlign w:val="superscript"/>
        </w:rPr>
      </w:pPr>
      <w:r>
        <w:rPr>
          <w:rFonts w:ascii="Arial" w:cs="Arial" w:eastAsia="Arial" w:hAnsi="Arial"/>
          <w:sz w:val="13"/>
          <w:szCs w:val="13"/>
          <w:color w:val="auto"/>
        </w:rPr>
        <w:t>For option awards, this represents the market value of in-the-money SARs; for stock awards it represents the value of PSUs or RSUs that have not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403860</wp:posOffset>
            </wp:positionV>
            <wp:extent cx="651510" cy="8572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66</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7120"/>
        <w:spacing w:after="0"/>
        <w:rPr>
          <w:sz w:val="20"/>
          <w:szCs w:val="20"/>
          <w:color w:val="auto"/>
        </w:rPr>
      </w:pPr>
      <w:r>
        <w:rPr>
          <w:rFonts w:ascii="Arial" w:cs="Arial" w:eastAsia="Arial" w:hAnsi="Arial"/>
          <w:sz w:val="14"/>
          <w:szCs w:val="14"/>
          <w:color w:val="8F5A39"/>
        </w:rPr>
        <w:t xml:space="preserve">Executive compensation tables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color w:val="auto"/>
        </w:rPr>
        <w:t>IV. 2025 Option exercises and stock vested table</w:t>
      </w:r>
    </w:p>
    <w:p>
      <w:pPr>
        <w:spacing w:after="0" w:line="45"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following table shows the number of shares acquired and the value realized during 2025 upon the vesting of PSUs and RSUs previously granted to each of the Named Executive Officers. There were no stock options exercised in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0" w:type="dxa"/>
            <w:vAlign w:val="bottom"/>
            <w:tcBorders>
              <w:bottom w:val="single" w:sz="8" w:color="F4EFE7"/>
            </w:tcBorders>
            <w:shd w:val="clear" w:color="auto" w:fill="F4EFE7"/>
          </w:tcPr>
          <w:p>
            <w:pPr>
              <w:spacing w:after="0"/>
              <w:rPr>
                <w:sz w:val="19"/>
                <w:szCs w:val="19"/>
                <w:color w:val="auto"/>
              </w:rPr>
            </w:pPr>
          </w:p>
        </w:tc>
        <w:tc>
          <w:tcPr>
            <w:tcW w:w="2900" w:type="dxa"/>
            <w:vAlign w:val="bottom"/>
            <w:tcBorders>
              <w:bottom w:val="single" w:sz="8" w:color="auto"/>
            </w:tcBorders>
            <w:shd w:val="clear" w:color="auto" w:fill="F4EFE7"/>
          </w:tcPr>
          <w:p>
            <w:pPr>
              <w:jc w:val="right"/>
              <w:ind w:right="142"/>
              <w:spacing w:after="0"/>
              <w:rPr>
                <w:sz w:val="20"/>
                <w:szCs w:val="20"/>
                <w:color w:val="auto"/>
              </w:rPr>
            </w:pPr>
            <w:r>
              <w:rPr>
                <w:rFonts w:ascii="Arial" w:cs="Arial" w:eastAsia="Arial" w:hAnsi="Arial"/>
                <w:sz w:val="14"/>
                <w:szCs w:val="14"/>
                <w:b w:val="1"/>
                <w:bCs w:val="1"/>
                <w:color w:val="8F5A39"/>
              </w:rPr>
              <w:t>Stock awards</w:t>
            </w:r>
          </w:p>
        </w:tc>
        <w:tc>
          <w:tcPr>
            <w:tcW w:w="340" w:type="dxa"/>
            <w:vAlign w:val="bottom"/>
            <w:tcBorders>
              <w:bottom w:val="single" w:sz="8" w:color="auto"/>
            </w:tcBorders>
            <w:shd w:val="clear" w:color="auto" w:fill="F4EFE7"/>
          </w:tcPr>
          <w:p>
            <w:pPr>
              <w:spacing w:after="0"/>
              <w:rPr>
                <w:sz w:val="19"/>
                <w:szCs w:val="19"/>
                <w:color w:val="auto"/>
              </w:rPr>
            </w:pPr>
          </w:p>
        </w:tc>
        <w:tc>
          <w:tcPr>
            <w:tcW w:w="1200" w:type="dxa"/>
            <w:vAlign w:val="bottom"/>
            <w:tcBorders>
              <w:bottom w:val="single" w:sz="8" w:color="auto"/>
            </w:tcBorders>
            <w:shd w:val="clear" w:color="auto" w:fill="F4EFE7"/>
          </w:tcPr>
          <w:p>
            <w:pPr>
              <w:spacing w:after="0"/>
              <w:rPr>
                <w:sz w:val="19"/>
                <w:szCs w:val="19"/>
                <w:color w:val="auto"/>
              </w:rPr>
            </w:pPr>
          </w:p>
        </w:tc>
      </w:tr>
      <w:tr>
        <w:trPr>
          <w:trHeight w:val="180"/>
        </w:trPr>
        <w:tc>
          <w:tcPr>
            <w:tcW w:w="6800" w:type="dxa"/>
            <w:vAlign w:val="bottom"/>
            <w:shd w:val="clear" w:color="auto" w:fill="F4EFE7"/>
          </w:tcPr>
          <w:p>
            <w:pPr>
              <w:spacing w:after="0"/>
              <w:rPr>
                <w:sz w:val="15"/>
                <w:szCs w:val="15"/>
                <w:color w:val="auto"/>
              </w:rPr>
            </w:pPr>
          </w:p>
        </w:tc>
        <w:tc>
          <w:tcPr>
            <w:tcW w:w="2900" w:type="dxa"/>
            <w:vAlign w:val="bottom"/>
            <w:shd w:val="clear" w:color="auto" w:fill="F4EFE7"/>
          </w:tcPr>
          <w:p>
            <w:pPr>
              <w:jc w:val="right"/>
              <w:ind w:right="582"/>
              <w:spacing w:after="0"/>
              <w:rPr>
                <w:sz w:val="20"/>
                <w:szCs w:val="20"/>
                <w:color w:val="auto"/>
              </w:rPr>
            </w:pPr>
            <w:r>
              <w:rPr>
                <w:rFonts w:ascii="Arial" w:cs="Arial" w:eastAsia="Arial" w:hAnsi="Arial"/>
                <w:sz w:val="14"/>
                <w:szCs w:val="14"/>
                <w:b w:val="1"/>
                <w:bCs w:val="1"/>
                <w:color w:val="8F5A39"/>
              </w:rPr>
              <w:t>Number of shares</w:t>
            </w:r>
          </w:p>
        </w:tc>
        <w:tc>
          <w:tcPr>
            <w:tcW w:w="340" w:type="dxa"/>
            <w:vAlign w:val="bottom"/>
            <w:shd w:val="clear" w:color="auto" w:fill="F4EFE7"/>
          </w:tcPr>
          <w:p>
            <w:pPr>
              <w:spacing w:after="0"/>
              <w:rPr>
                <w:sz w:val="15"/>
                <w:szCs w:val="15"/>
                <w:color w:val="auto"/>
              </w:rPr>
            </w:pPr>
          </w:p>
        </w:tc>
        <w:tc>
          <w:tcPr>
            <w:tcW w:w="120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Value realized on</w:t>
            </w:r>
          </w:p>
        </w:tc>
      </w:tr>
      <w:tr>
        <w:trPr>
          <w:trHeight w:val="219"/>
        </w:trPr>
        <w:tc>
          <w:tcPr>
            <w:tcW w:w="680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Name</w:t>
            </w:r>
          </w:p>
        </w:tc>
        <w:tc>
          <w:tcPr>
            <w:tcW w:w="2900" w:type="dxa"/>
            <w:vAlign w:val="bottom"/>
            <w:tcBorders>
              <w:bottom w:val="single" w:sz="8" w:color="auto"/>
            </w:tcBorders>
            <w:shd w:val="clear" w:color="auto" w:fill="F4EFE7"/>
          </w:tcPr>
          <w:p>
            <w:pPr>
              <w:jc w:val="right"/>
              <w:ind w:right="582"/>
              <w:spacing w:after="0"/>
              <w:rPr>
                <w:sz w:val="20"/>
                <w:szCs w:val="20"/>
                <w:color w:val="auto"/>
              </w:rPr>
            </w:pPr>
            <w:r>
              <w:rPr>
                <w:rFonts w:ascii="Arial" w:cs="Arial" w:eastAsia="Arial" w:hAnsi="Arial"/>
                <w:sz w:val="14"/>
                <w:szCs w:val="14"/>
                <w:b w:val="1"/>
                <w:bCs w:val="1"/>
                <w:color w:val="8F5A39"/>
              </w:rPr>
              <w:t>acquired on vesting (#)</w:t>
            </w:r>
          </w:p>
        </w:tc>
        <w:tc>
          <w:tcPr>
            <w:tcW w:w="340" w:type="dxa"/>
            <w:vAlign w:val="bottom"/>
            <w:tcBorders>
              <w:bottom w:val="single" w:sz="8" w:color="auto"/>
            </w:tcBorders>
            <w:shd w:val="clear" w:color="auto" w:fill="F4EFE7"/>
          </w:tcPr>
          <w:p>
            <w:pPr>
              <w:spacing w:after="0"/>
              <w:rPr>
                <w:sz w:val="19"/>
                <w:szCs w:val="19"/>
                <w:color w:val="auto"/>
              </w:rPr>
            </w:pPr>
          </w:p>
        </w:tc>
        <w:tc>
          <w:tcPr>
            <w:tcW w:w="120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vesting ($)</w:t>
            </w:r>
            <w:r>
              <w:rPr>
                <w:rFonts w:ascii="Arial" w:cs="Arial" w:eastAsia="Arial" w:hAnsi="Arial"/>
                <w:sz w:val="9"/>
                <w:szCs w:val="9"/>
                <w:b w:val="1"/>
                <w:bCs w:val="1"/>
                <w:color w:val="8F5A39"/>
              </w:rPr>
              <w:t>1</w:t>
            </w:r>
          </w:p>
        </w:tc>
      </w:tr>
      <w:tr>
        <w:trPr>
          <w:trHeight w:val="239"/>
        </w:trPr>
        <w:tc>
          <w:tcPr>
            <w:tcW w:w="680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James Dimon</w:t>
            </w:r>
          </w:p>
        </w:tc>
        <w:tc>
          <w:tcPr>
            <w:tcW w:w="2900" w:type="dxa"/>
            <w:vAlign w:val="bottom"/>
            <w:tcBorders>
              <w:bottom w:val="single" w:sz="8" w:color="B2B2B2"/>
            </w:tcBorders>
          </w:tcPr>
          <w:p>
            <w:pPr>
              <w:jc w:val="right"/>
              <w:ind w:right="642"/>
              <w:spacing w:after="0"/>
              <w:rPr>
                <w:sz w:val="20"/>
                <w:szCs w:val="20"/>
                <w:color w:val="auto"/>
              </w:rPr>
            </w:pPr>
            <w:r>
              <w:rPr>
                <w:rFonts w:ascii="Arial" w:cs="Arial" w:eastAsia="Arial" w:hAnsi="Arial"/>
                <w:sz w:val="16"/>
                <w:szCs w:val="16"/>
                <w:color w:val="auto"/>
              </w:rPr>
              <w:t>297,186</w:t>
            </w:r>
          </w:p>
        </w:tc>
        <w:tc>
          <w:tcPr>
            <w:tcW w:w="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74,214,007</w:t>
            </w:r>
          </w:p>
        </w:tc>
      </w:tr>
      <w:tr>
        <w:trPr>
          <w:trHeight w:val="237"/>
        </w:trPr>
        <w:tc>
          <w:tcPr>
            <w:tcW w:w="680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Mary Callahan Erdoes</w:t>
            </w:r>
          </w:p>
        </w:tc>
        <w:tc>
          <w:tcPr>
            <w:tcW w:w="2900" w:type="dxa"/>
            <w:vAlign w:val="bottom"/>
            <w:tcBorders>
              <w:bottom w:val="single" w:sz="8" w:color="B2B2B2"/>
            </w:tcBorders>
          </w:tcPr>
          <w:p>
            <w:pPr>
              <w:jc w:val="right"/>
              <w:ind w:right="642"/>
              <w:spacing w:after="0"/>
              <w:rPr>
                <w:sz w:val="20"/>
                <w:szCs w:val="20"/>
                <w:color w:val="auto"/>
              </w:rPr>
            </w:pPr>
            <w:r>
              <w:rPr>
                <w:rFonts w:ascii="Arial" w:cs="Arial" w:eastAsia="Arial" w:hAnsi="Arial"/>
                <w:sz w:val="16"/>
                <w:szCs w:val="16"/>
                <w:color w:val="auto"/>
              </w:rPr>
              <w:t>108,677</w:t>
            </w:r>
          </w:p>
        </w:tc>
        <w:tc>
          <w:tcPr>
            <w:tcW w:w="3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26,774,957</w:t>
            </w:r>
          </w:p>
        </w:tc>
      </w:tr>
      <w:tr>
        <w:trPr>
          <w:trHeight w:val="237"/>
        </w:trPr>
        <w:tc>
          <w:tcPr>
            <w:tcW w:w="680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Troy Rohrbaugh</w:t>
            </w:r>
          </w:p>
        </w:tc>
        <w:tc>
          <w:tcPr>
            <w:tcW w:w="2900" w:type="dxa"/>
            <w:vAlign w:val="bottom"/>
            <w:tcBorders>
              <w:bottom w:val="single" w:sz="8" w:color="B2B2B2"/>
            </w:tcBorders>
          </w:tcPr>
          <w:p>
            <w:pPr>
              <w:jc w:val="right"/>
              <w:ind w:right="642"/>
              <w:spacing w:after="0"/>
              <w:rPr>
                <w:sz w:val="20"/>
                <w:szCs w:val="20"/>
                <w:color w:val="auto"/>
              </w:rPr>
            </w:pPr>
            <w:r>
              <w:rPr>
                <w:rFonts w:ascii="Arial" w:cs="Arial" w:eastAsia="Arial" w:hAnsi="Arial"/>
                <w:sz w:val="16"/>
                <w:szCs w:val="16"/>
                <w:color w:val="auto"/>
              </w:rPr>
              <w:t>111,182</w:t>
            </w:r>
          </w:p>
        </w:tc>
        <w:tc>
          <w:tcPr>
            <w:tcW w:w="3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27,418,576</w:t>
            </w:r>
          </w:p>
        </w:tc>
      </w:tr>
      <w:tr>
        <w:trPr>
          <w:trHeight w:val="237"/>
        </w:trPr>
        <w:tc>
          <w:tcPr>
            <w:tcW w:w="680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Douglas Petno</w:t>
            </w:r>
          </w:p>
        </w:tc>
        <w:tc>
          <w:tcPr>
            <w:tcW w:w="2900" w:type="dxa"/>
            <w:vAlign w:val="bottom"/>
            <w:tcBorders>
              <w:bottom w:val="single" w:sz="8" w:color="B2B2B2"/>
            </w:tcBorders>
          </w:tcPr>
          <w:p>
            <w:pPr>
              <w:jc w:val="right"/>
              <w:ind w:right="642"/>
              <w:spacing w:after="0"/>
              <w:rPr>
                <w:sz w:val="20"/>
                <w:szCs w:val="20"/>
                <w:color w:val="auto"/>
              </w:rPr>
            </w:pPr>
            <w:r>
              <w:rPr>
                <w:rFonts w:ascii="Arial" w:cs="Arial" w:eastAsia="Arial" w:hAnsi="Arial"/>
                <w:sz w:val="16"/>
                <w:szCs w:val="16"/>
                <w:color w:val="auto"/>
              </w:rPr>
              <w:t>75,091</w:t>
            </w:r>
          </w:p>
        </w:tc>
        <w:tc>
          <w:tcPr>
            <w:tcW w:w="3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18,515,533</w:t>
            </w:r>
          </w:p>
        </w:tc>
      </w:tr>
      <w:tr>
        <w:trPr>
          <w:trHeight w:val="236"/>
        </w:trPr>
        <w:tc>
          <w:tcPr>
            <w:tcW w:w="680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Jeremy Barnum</w:t>
            </w:r>
          </w:p>
        </w:tc>
        <w:tc>
          <w:tcPr>
            <w:tcW w:w="2900" w:type="dxa"/>
            <w:vAlign w:val="bottom"/>
            <w:tcBorders>
              <w:bottom w:val="single" w:sz="8" w:color="B2B2B2"/>
            </w:tcBorders>
          </w:tcPr>
          <w:p>
            <w:pPr>
              <w:jc w:val="right"/>
              <w:ind w:right="642"/>
              <w:spacing w:after="0"/>
              <w:rPr>
                <w:sz w:val="20"/>
                <w:szCs w:val="20"/>
                <w:color w:val="auto"/>
              </w:rPr>
            </w:pPr>
            <w:r>
              <w:rPr>
                <w:rFonts w:ascii="Arial" w:cs="Arial" w:eastAsia="Arial" w:hAnsi="Arial"/>
                <w:sz w:val="16"/>
                <w:szCs w:val="16"/>
                <w:color w:val="auto"/>
              </w:rPr>
              <w:t>50,769</w:t>
            </w:r>
          </w:p>
        </w:tc>
        <w:tc>
          <w:tcPr>
            <w:tcW w:w="3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12,509,974</w:t>
            </w:r>
          </w:p>
        </w:tc>
      </w:tr>
      <w:tr>
        <w:trPr>
          <w:trHeight w:val="237"/>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8F5A39"/>
              </w:rPr>
              <w:t>Daniel Pinto</w:t>
            </w:r>
          </w:p>
        </w:tc>
        <w:tc>
          <w:tcPr>
            <w:tcW w:w="290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174,972</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43,133,084</w:t>
            </w:r>
          </w:p>
        </w:tc>
      </w:tr>
    </w:tbl>
    <w:p>
      <w:pPr>
        <w:spacing w:after="0" w:line="92" w:lineRule="exact"/>
        <w:rPr>
          <w:sz w:val="20"/>
          <w:szCs w:val="20"/>
          <w:color w:val="auto"/>
        </w:rPr>
      </w:pPr>
    </w:p>
    <w:p>
      <w:pPr>
        <w:ind w:left="200" w:hanging="192"/>
        <w:spacing w:after="0"/>
        <w:tabs>
          <w:tab w:leader="none" w:pos="200" w:val="left"/>
        </w:tabs>
        <w:numPr>
          <w:ilvl w:val="0"/>
          <w:numId w:val="246"/>
        </w:numPr>
        <w:rPr>
          <w:rFonts w:ascii="Arial" w:cs="Arial" w:eastAsia="Arial" w:hAnsi="Arial"/>
          <w:sz w:val="19"/>
          <w:szCs w:val="19"/>
          <w:color w:val="auto"/>
          <w:vertAlign w:val="superscript"/>
        </w:rPr>
      </w:pPr>
      <w:r>
        <w:rPr>
          <w:rFonts w:ascii="Arial" w:cs="Arial" w:eastAsia="Arial" w:hAnsi="Arial"/>
          <w:sz w:val="13"/>
          <w:szCs w:val="13"/>
          <w:color w:val="auto"/>
        </w:rPr>
        <w:t>Values were determined by multiplying the number of PSUs and RSUs, as applicable, that vested by the per-share fair market value of our common stock on the vesting date.</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color w:val="auto"/>
        </w:rPr>
        <w:t>V. 2025 Pension benefits</w:t>
      </w:r>
    </w:p>
    <w:p>
      <w:pPr>
        <w:spacing w:after="0" w:line="58"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The table below sets forth the retirement benefits expected to be paid to our Named Executive Officers under the Firm’s retirement plans. The terms of the plans are described below the table. No payments were made under these plans during 2025 to our NEOs.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shd w:val="clear" w:color="auto" w:fill="F4EFE7"/>
          </w:tcPr>
          <w:p>
            <w:pPr>
              <w:spacing w:after="0"/>
              <w:rPr>
                <w:sz w:val="16"/>
                <w:szCs w:val="16"/>
                <w:color w:val="auto"/>
              </w:rPr>
            </w:pPr>
          </w:p>
        </w:tc>
        <w:tc>
          <w:tcPr>
            <w:tcW w:w="2740" w:type="dxa"/>
            <w:vAlign w:val="bottom"/>
            <w:shd w:val="clear" w:color="auto" w:fill="F4EFE7"/>
          </w:tcPr>
          <w:p>
            <w:pPr>
              <w:spacing w:after="0"/>
              <w:rPr>
                <w:sz w:val="16"/>
                <w:szCs w:val="16"/>
                <w:color w:val="auto"/>
              </w:rPr>
            </w:pPr>
          </w:p>
        </w:tc>
        <w:tc>
          <w:tcPr>
            <w:tcW w:w="2980" w:type="dxa"/>
            <w:vAlign w:val="bottom"/>
            <w:shd w:val="clear" w:color="auto" w:fill="F4EFE7"/>
          </w:tcPr>
          <w:p>
            <w:pPr>
              <w:jc w:val="right"/>
              <w:ind w:right="581"/>
              <w:spacing w:after="0"/>
              <w:rPr>
                <w:sz w:val="20"/>
                <w:szCs w:val="20"/>
                <w:color w:val="auto"/>
              </w:rPr>
            </w:pPr>
            <w:r>
              <w:rPr>
                <w:rFonts w:ascii="Arial" w:cs="Arial" w:eastAsia="Arial" w:hAnsi="Arial"/>
                <w:sz w:val="14"/>
                <w:szCs w:val="14"/>
                <w:b w:val="1"/>
                <w:bCs w:val="1"/>
                <w:color w:val="8F5A39"/>
              </w:rPr>
              <w:t>Number of years of</w:t>
            </w:r>
          </w:p>
        </w:tc>
        <w:tc>
          <w:tcPr>
            <w:tcW w:w="228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Present value of</w:t>
            </w:r>
          </w:p>
        </w:tc>
      </w:tr>
      <w:tr>
        <w:trPr>
          <w:trHeight w:val="205"/>
        </w:trPr>
        <w:tc>
          <w:tcPr>
            <w:tcW w:w="324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Name</w:t>
            </w:r>
          </w:p>
        </w:tc>
        <w:tc>
          <w:tcPr>
            <w:tcW w:w="274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Plan name</w:t>
            </w:r>
          </w:p>
        </w:tc>
        <w:tc>
          <w:tcPr>
            <w:tcW w:w="2980" w:type="dxa"/>
            <w:vAlign w:val="bottom"/>
            <w:tcBorders>
              <w:bottom w:val="single" w:sz="8" w:color="auto"/>
            </w:tcBorders>
            <w:shd w:val="clear" w:color="auto" w:fill="F4EFE7"/>
          </w:tcPr>
          <w:p>
            <w:pPr>
              <w:jc w:val="right"/>
              <w:ind w:right="581"/>
              <w:spacing w:after="0"/>
              <w:rPr>
                <w:sz w:val="20"/>
                <w:szCs w:val="20"/>
                <w:color w:val="auto"/>
              </w:rPr>
            </w:pPr>
            <w:r>
              <w:rPr>
                <w:rFonts w:ascii="Arial" w:cs="Arial" w:eastAsia="Arial" w:hAnsi="Arial"/>
                <w:sz w:val="14"/>
                <w:szCs w:val="14"/>
                <w:b w:val="1"/>
                <w:bCs w:val="1"/>
                <w:color w:val="8F5A39"/>
              </w:rPr>
              <w:t>credited service (#)</w:t>
            </w:r>
          </w:p>
        </w:tc>
        <w:tc>
          <w:tcPr>
            <w:tcW w:w="228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accumulated benefit ($)</w:t>
            </w:r>
          </w:p>
        </w:tc>
      </w:tr>
      <w:tr>
        <w:trPr>
          <w:trHeight w:val="239"/>
        </w:trPr>
        <w:tc>
          <w:tcPr>
            <w:tcW w:w="3240" w:type="dxa"/>
            <w:vAlign w:val="bottom"/>
          </w:tcPr>
          <w:p>
            <w:pPr>
              <w:ind w:left="20"/>
              <w:spacing w:after="0"/>
              <w:rPr>
                <w:sz w:val="20"/>
                <w:szCs w:val="20"/>
                <w:color w:val="auto"/>
              </w:rPr>
            </w:pPr>
            <w:r>
              <w:rPr>
                <w:rFonts w:ascii="Arial" w:cs="Arial" w:eastAsia="Arial" w:hAnsi="Arial"/>
                <w:sz w:val="16"/>
                <w:szCs w:val="16"/>
                <w:b w:val="1"/>
                <w:bCs w:val="1"/>
                <w:color w:val="8F5A39"/>
              </w:rPr>
              <w:t>James Dimon</w:t>
            </w:r>
          </w:p>
        </w:tc>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Retirement Plan</w:t>
            </w:r>
          </w:p>
        </w:tc>
        <w:tc>
          <w:tcPr>
            <w:tcW w:w="2980" w:type="dxa"/>
            <w:vAlign w:val="bottom"/>
            <w:tcBorders>
              <w:bottom w:val="single" w:sz="8" w:color="B2B2B2"/>
            </w:tcBorders>
          </w:tcPr>
          <w:p>
            <w:pPr>
              <w:jc w:val="right"/>
              <w:ind w:right="641"/>
              <w:spacing w:after="0"/>
              <w:rPr>
                <w:sz w:val="20"/>
                <w:szCs w:val="20"/>
                <w:color w:val="auto"/>
              </w:rPr>
            </w:pPr>
            <w:r>
              <w:rPr>
                <w:rFonts w:ascii="Arial" w:cs="Arial" w:eastAsia="Arial" w:hAnsi="Arial"/>
                <w:sz w:val="16"/>
                <w:szCs w:val="16"/>
                <w:color w:val="auto"/>
              </w:rPr>
              <w:t>19</w:t>
            </w:r>
          </w:p>
        </w:tc>
        <w:tc>
          <w:tcPr>
            <w:tcW w:w="22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   252,014</w:t>
            </w:r>
          </w:p>
        </w:tc>
      </w:tr>
      <w:tr>
        <w:trPr>
          <w:trHeight w:val="234"/>
        </w:trPr>
        <w:tc>
          <w:tcPr>
            <w:tcW w:w="3240" w:type="dxa"/>
            <w:vAlign w:val="bottom"/>
            <w:tcBorders>
              <w:bottom w:val="single" w:sz="8" w:color="B2B2B2"/>
            </w:tcBorders>
          </w:tcPr>
          <w:p>
            <w:pPr>
              <w:spacing w:after="0"/>
              <w:rPr>
                <w:sz w:val="20"/>
                <w:szCs w:val="20"/>
                <w:color w:val="auto"/>
              </w:rPr>
            </w:pPr>
          </w:p>
        </w:tc>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Excess Retirement Plan</w:t>
            </w:r>
          </w:p>
        </w:tc>
        <w:tc>
          <w:tcPr>
            <w:tcW w:w="2980" w:type="dxa"/>
            <w:vAlign w:val="bottom"/>
            <w:tcBorders>
              <w:bottom w:val="single" w:sz="8" w:color="B2B2B2"/>
            </w:tcBorders>
          </w:tcPr>
          <w:p>
            <w:pPr>
              <w:jc w:val="right"/>
              <w:ind w:right="641"/>
              <w:spacing w:after="0"/>
              <w:rPr>
                <w:sz w:val="20"/>
                <w:szCs w:val="20"/>
                <w:color w:val="auto"/>
              </w:rPr>
            </w:pPr>
            <w:r>
              <w:rPr>
                <w:rFonts w:ascii="Arial" w:cs="Arial" w:eastAsia="Arial" w:hAnsi="Arial"/>
                <w:sz w:val="16"/>
                <w:szCs w:val="16"/>
                <w:color w:val="auto"/>
              </w:rPr>
              <w:t>19</w:t>
            </w:r>
          </w:p>
        </w:tc>
        <w:tc>
          <w:tcPr>
            <w:tcW w:w="22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594,338</w:t>
            </w:r>
          </w:p>
        </w:tc>
      </w:tr>
      <w:tr>
        <w:trPr>
          <w:trHeight w:val="239"/>
        </w:trPr>
        <w:tc>
          <w:tcPr>
            <w:tcW w:w="3240" w:type="dxa"/>
            <w:vAlign w:val="bottom"/>
          </w:tcPr>
          <w:p>
            <w:pPr>
              <w:ind w:left="20"/>
              <w:spacing w:after="0"/>
              <w:rPr>
                <w:sz w:val="20"/>
                <w:szCs w:val="20"/>
                <w:color w:val="auto"/>
              </w:rPr>
            </w:pPr>
            <w:r>
              <w:rPr>
                <w:rFonts w:ascii="Arial" w:cs="Arial" w:eastAsia="Arial" w:hAnsi="Arial"/>
                <w:sz w:val="16"/>
                <w:szCs w:val="16"/>
                <w:b w:val="1"/>
                <w:bCs w:val="1"/>
                <w:color w:val="8F5A39"/>
              </w:rPr>
              <w:t>Mary Callahan Erdoes</w:t>
            </w:r>
          </w:p>
        </w:tc>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Retirement Plan</w:t>
            </w:r>
          </w:p>
        </w:tc>
        <w:tc>
          <w:tcPr>
            <w:tcW w:w="2980" w:type="dxa"/>
            <w:vAlign w:val="bottom"/>
            <w:tcBorders>
              <w:bottom w:val="single" w:sz="8" w:color="B2B2B2"/>
            </w:tcBorders>
          </w:tcPr>
          <w:p>
            <w:pPr>
              <w:jc w:val="right"/>
              <w:ind w:right="641"/>
              <w:spacing w:after="0"/>
              <w:rPr>
                <w:sz w:val="20"/>
                <w:szCs w:val="20"/>
                <w:color w:val="auto"/>
              </w:rPr>
            </w:pPr>
            <w:r>
              <w:rPr>
                <w:rFonts w:ascii="Arial" w:cs="Arial" w:eastAsia="Arial" w:hAnsi="Arial"/>
                <w:sz w:val="16"/>
                <w:szCs w:val="16"/>
                <w:color w:val="auto"/>
              </w:rPr>
              <w:t>23</w:t>
            </w:r>
          </w:p>
        </w:tc>
        <w:tc>
          <w:tcPr>
            <w:tcW w:w="22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403,309</w:t>
            </w:r>
          </w:p>
        </w:tc>
      </w:tr>
      <w:tr>
        <w:trPr>
          <w:trHeight w:val="234"/>
        </w:trPr>
        <w:tc>
          <w:tcPr>
            <w:tcW w:w="3240" w:type="dxa"/>
            <w:vAlign w:val="bottom"/>
            <w:tcBorders>
              <w:bottom w:val="single" w:sz="8" w:color="B2B2B2"/>
            </w:tcBorders>
          </w:tcPr>
          <w:p>
            <w:pPr>
              <w:spacing w:after="0"/>
              <w:rPr>
                <w:sz w:val="20"/>
                <w:szCs w:val="20"/>
                <w:color w:val="auto"/>
              </w:rPr>
            </w:pPr>
          </w:p>
        </w:tc>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Excess Retirement Plan</w:t>
            </w:r>
          </w:p>
        </w:tc>
        <w:tc>
          <w:tcPr>
            <w:tcW w:w="2980" w:type="dxa"/>
            <w:vAlign w:val="bottom"/>
            <w:tcBorders>
              <w:bottom w:val="single" w:sz="8" w:color="B2B2B2"/>
            </w:tcBorders>
          </w:tcPr>
          <w:p>
            <w:pPr>
              <w:jc w:val="right"/>
              <w:ind w:right="641"/>
              <w:spacing w:after="0"/>
              <w:rPr>
                <w:sz w:val="20"/>
                <w:szCs w:val="20"/>
                <w:color w:val="auto"/>
              </w:rPr>
            </w:pPr>
            <w:r>
              <w:rPr>
                <w:rFonts w:ascii="Arial" w:cs="Arial" w:eastAsia="Arial" w:hAnsi="Arial"/>
                <w:sz w:val="16"/>
                <w:szCs w:val="16"/>
                <w:color w:val="auto"/>
              </w:rPr>
              <w:t>23</w:t>
            </w:r>
          </w:p>
        </w:tc>
        <w:tc>
          <w:tcPr>
            <w:tcW w:w="22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35,542</w:t>
            </w:r>
          </w:p>
        </w:tc>
      </w:tr>
      <w:tr>
        <w:trPr>
          <w:trHeight w:val="239"/>
        </w:trPr>
        <w:tc>
          <w:tcPr>
            <w:tcW w:w="3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Troy Rohrbaugh</w:t>
            </w:r>
          </w:p>
        </w:tc>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Retirement Plan</w:t>
            </w:r>
          </w:p>
        </w:tc>
        <w:tc>
          <w:tcPr>
            <w:tcW w:w="2980" w:type="dxa"/>
            <w:vAlign w:val="bottom"/>
            <w:tcBorders>
              <w:bottom w:val="single" w:sz="8" w:color="B2B2B2"/>
            </w:tcBorders>
          </w:tcPr>
          <w:p>
            <w:pPr>
              <w:jc w:val="right"/>
              <w:ind w:right="641"/>
              <w:spacing w:after="0"/>
              <w:rPr>
                <w:sz w:val="20"/>
                <w:szCs w:val="20"/>
                <w:color w:val="auto"/>
              </w:rPr>
            </w:pPr>
            <w:r>
              <w:rPr>
                <w:rFonts w:ascii="Arial" w:cs="Arial" w:eastAsia="Arial" w:hAnsi="Arial"/>
                <w:sz w:val="16"/>
                <w:szCs w:val="16"/>
                <w:color w:val="auto"/>
              </w:rPr>
              <w:t>14</w:t>
            </w:r>
          </w:p>
        </w:tc>
        <w:tc>
          <w:tcPr>
            <w:tcW w:w="22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102,715</w:t>
            </w:r>
          </w:p>
        </w:tc>
      </w:tr>
      <w:tr>
        <w:trPr>
          <w:trHeight w:val="236"/>
        </w:trPr>
        <w:tc>
          <w:tcPr>
            <w:tcW w:w="3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Douglas Petno</w:t>
            </w:r>
          </w:p>
        </w:tc>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Retirement Plan</w:t>
            </w:r>
          </w:p>
        </w:tc>
        <w:tc>
          <w:tcPr>
            <w:tcW w:w="2980" w:type="dxa"/>
            <w:vAlign w:val="bottom"/>
            <w:tcBorders>
              <w:bottom w:val="single" w:sz="8" w:color="B2B2B2"/>
            </w:tcBorders>
          </w:tcPr>
          <w:p>
            <w:pPr>
              <w:jc w:val="right"/>
              <w:ind w:right="641"/>
              <w:spacing w:after="0"/>
              <w:rPr>
                <w:sz w:val="20"/>
                <w:szCs w:val="20"/>
                <w:color w:val="auto"/>
              </w:rPr>
            </w:pPr>
            <w:r>
              <w:rPr>
                <w:rFonts w:ascii="Arial" w:cs="Arial" w:eastAsia="Arial" w:hAnsi="Arial"/>
                <w:sz w:val="16"/>
                <w:szCs w:val="16"/>
                <w:color w:val="auto"/>
              </w:rPr>
              <w:t>30</w:t>
            </w:r>
          </w:p>
        </w:tc>
        <w:tc>
          <w:tcPr>
            <w:tcW w:w="22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656,829</w:t>
            </w:r>
          </w:p>
        </w:tc>
      </w:tr>
      <w:tr>
        <w:trPr>
          <w:trHeight w:val="237"/>
        </w:trPr>
        <w:tc>
          <w:tcPr>
            <w:tcW w:w="3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Jeremy Barnum</w:t>
            </w:r>
          </w:p>
        </w:tc>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Retirement Plan</w:t>
            </w:r>
          </w:p>
        </w:tc>
        <w:tc>
          <w:tcPr>
            <w:tcW w:w="2980" w:type="dxa"/>
            <w:vAlign w:val="bottom"/>
            <w:tcBorders>
              <w:bottom w:val="single" w:sz="8" w:color="B2B2B2"/>
            </w:tcBorders>
          </w:tcPr>
          <w:p>
            <w:pPr>
              <w:jc w:val="right"/>
              <w:ind w:right="641"/>
              <w:spacing w:after="0"/>
              <w:rPr>
                <w:sz w:val="20"/>
                <w:szCs w:val="20"/>
                <w:color w:val="auto"/>
              </w:rPr>
            </w:pPr>
            <w:r>
              <w:rPr>
                <w:rFonts w:ascii="Arial" w:cs="Arial" w:eastAsia="Arial" w:hAnsi="Arial"/>
                <w:sz w:val="16"/>
                <w:szCs w:val="16"/>
                <w:color w:val="auto"/>
              </w:rPr>
              <w:t>23</w:t>
            </w:r>
          </w:p>
        </w:tc>
        <w:tc>
          <w:tcPr>
            <w:tcW w:w="22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245,454</w:t>
            </w:r>
          </w:p>
        </w:tc>
      </w:tr>
      <w:tr>
        <w:trPr>
          <w:trHeight w:val="236"/>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8F5A39"/>
              </w:rPr>
              <w:t>Daniel Pinto</w:t>
            </w: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98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bl>
    <w:p>
      <w:pPr>
        <w:spacing w:after="0" w:line="14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 xml:space="preserve">Retirement Plan </w:t>
      </w:r>
      <w:r>
        <w:rPr>
          <w:rFonts w:ascii="Arial" w:cs="Arial" w:eastAsia="Arial" w:hAnsi="Arial"/>
          <w:sz w:val="16"/>
          <w:szCs w:val="16"/>
          <w:color w:val="auto"/>
        </w:rPr>
        <w:t>— The JPMorgan Chase Retirement Plan is a qualified noncontributory U.S. defined benefit pension plan that provides benefits to most</w:t>
      </w:r>
      <w:r>
        <w:rPr>
          <w:rFonts w:ascii="Arial" w:cs="Arial" w:eastAsia="Arial" w:hAnsi="Arial"/>
          <w:sz w:val="16"/>
          <w:szCs w:val="16"/>
          <w:b w:val="1"/>
          <w:bCs w:val="1"/>
          <w:color w:val="auto"/>
        </w:rPr>
        <w:t xml:space="preserve"> </w:t>
      </w:r>
      <w:r>
        <w:rPr>
          <w:rFonts w:ascii="Arial" w:cs="Arial" w:eastAsia="Arial" w:hAnsi="Arial"/>
          <w:sz w:val="16"/>
          <w:szCs w:val="16"/>
          <w:color w:val="auto"/>
        </w:rPr>
        <w:t>U.S. employees. The Plan was frozen with respect to pay credit contributions, effective January 1, 2020, and frozen with respect to new entrants into the Plan, effective January 1, 2019. Employees became fully vested in the value of their Plan benefits as a result of this change. The years of service listed above are as of the freeze date. The Plan employed a cash balance formula (in the form of pay and interest credits) to determine amounts at retirement. Pay credits ceased effective with the plan freeze. Interest credits, which generally equal the yield on one-year U.S. Treasury bills plus 1% (subject to a minimum of 4.5%), continue to accrue. Account balances include the value of benefits earned under prior heritage company plans, if any. Benefits are payable as an actuarially equivalent lifetime annuity with survivorship rights (if married) or optionally under a variety of other payment forms, including a single-sum distribution.</w:t>
      </w:r>
    </w:p>
    <w:p>
      <w:pPr>
        <w:spacing w:after="0" w:line="33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Excess Retirement Plan </w:t>
      </w:r>
      <w:r>
        <w:rPr>
          <w:rFonts w:ascii="Arial" w:cs="Arial" w:eastAsia="Arial" w:hAnsi="Arial"/>
          <w:sz w:val="16"/>
          <w:szCs w:val="16"/>
          <w:color w:val="auto"/>
        </w:rPr>
        <w:t>— Benefits were determined under the same terms and conditions as the Retirement Plan, but reflecting base salary in excess of</w:t>
      </w:r>
      <w:r>
        <w:rPr>
          <w:rFonts w:ascii="Arial" w:cs="Arial" w:eastAsia="Arial" w:hAnsi="Arial"/>
          <w:sz w:val="16"/>
          <w:szCs w:val="16"/>
          <w:b w:val="1"/>
          <w:bCs w:val="1"/>
          <w:color w:val="auto"/>
        </w:rPr>
        <w:t xml:space="preserve"> </w:t>
      </w:r>
      <w:r>
        <w:rPr>
          <w:rFonts w:ascii="Arial" w:cs="Arial" w:eastAsia="Arial" w:hAnsi="Arial"/>
          <w:sz w:val="16"/>
          <w:szCs w:val="16"/>
          <w:color w:val="auto"/>
        </w:rPr>
        <w:t>IRS limits up to $1 million and benefit amounts in excess of IRS limits. Benefits are generally payable in a lump sum in the year following termination. The plan is closed to new participants and accruals under the plan were discontinued as of May 1, 2009.</w:t>
      </w:r>
    </w:p>
    <w:p>
      <w:pPr>
        <w:spacing w:after="0" w:line="9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b w:val="1"/>
          <w:bCs w:val="1"/>
          <w:color w:val="auto"/>
        </w:rPr>
        <w:t xml:space="preserve">Present value of accumulated benefits </w:t>
      </w:r>
      <w:r>
        <w:rPr>
          <w:rFonts w:ascii="Arial" w:cs="Arial" w:eastAsia="Arial" w:hAnsi="Arial"/>
          <w:sz w:val="16"/>
          <w:szCs w:val="16"/>
          <w:color w:val="auto"/>
        </w:rPr>
        <w:t>— The valuation method and all material assumptions used to calculate the amounts above are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those reflected in Note 8 to the Firm’s Consolidated Financial Statements in the 2025 Form 10-K on pages 223 - 225. Key assumptions include the discount rate (5.50%); interest rates (interest crediting rates of 4.61% for 2026 and 5.25% thereafter, to project cash balances; 5.46% to convert annuities to lump sums and lump sums to annuities) and mortality rates (for the present value of annuities, the Pri-2012 (white-collar) projected generational mortality table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506095</wp:posOffset>
            </wp:positionV>
            <wp:extent cx="651510" cy="8572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projection scale MP2021; for lump sums, the UP94 mortality table projected to 2002, with 50%/50% male/female weighting). We assumed benefits would commence at normal retirement date or unreduced retirement date, if earlier. Benefits paid from the Retirement Plan were assumed to be paid either as single-sum distributions (with probability of 86%) or life annuities (with probability of 14%). Benefits from the Excess Retirement Plan are paid as single-sum distributions. No death or other separation from service was assumed prior to retirement date.</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color w:val="auto"/>
        </w:rPr>
        <w:t>VI. 2025 Non-qualified deferred compensation</w:t>
      </w:r>
    </w:p>
    <w:p>
      <w:pPr>
        <w:spacing w:after="0" w:line="5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Deferred Compensation Plan allows eligible participants to defer their annual cash incentive compensation awards on a before-tax basis up to a maximum of $1 million. A lifetime $10 million cap applies to deferrals of cash made after 2005. No deferral elections have been permitted relative to equity awards since 2006. During 2025, there were no contributions made by the Firm nor withdrawals or distributions received by the Named Executive Officers.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00" w:type="dxa"/>
            <w:vAlign w:val="bottom"/>
            <w:shd w:val="clear" w:color="auto" w:fill="F4EFE7"/>
          </w:tcPr>
          <w:p>
            <w:pPr>
              <w:spacing w:after="0"/>
              <w:rPr>
                <w:sz w:val="16"/>
                <w:szCs w:val="16"/>
                <w:color w:val="auto"/>
              </w:rPr>
            </w:pPr>
          </w:p>
        </w:tc>
        <w:tc>
          <w:tcPr>
            <w:tcW w:w="2180" w:type="dxa"/>
            <w:vAlign w:val="bottom"/>
            <w:shd w:val="clear" w:color="auto" w:fill="F4EFE7"/>
          </w:tcPr>
          <w:p>
            <w:pPr>
              <w:spacing w:after="0"/>
              <w:rPr>
                <w:sz w:val="16"/>
                <w:szCs w:val="16"/>
                <w:color w:val="auto"/>
              </w:rPr>
            </w:pPr>
          </w:p>
        </w:tc>
        <w:tc>
          <w:tcPr>
            <w:tcW w:w="1260" w:type="dxa"/>
            <w:vAlign w:val="bottom"/>
            <w:shd w:val="clear" w:color="auto" w:fill="F4EFE7"/>
          </w:tcPr>
          <w:p>
            <w:pPr>
              <w:jc w:val="right"/>
              <w:ind w:right="320"/>
              <w:spacing w:after="0"/>
              <w:rPr>
                <w:sz w:val="20"/>
                <w:szCs w:val="20"/>
                <w:color w:val="auto"/>
              </w:rPr>
            </w:pPr>
            <w:r>
              <w:rPr>
                <w:rFonts w:ascii="Arial" w:cs="Arial" w:eastAsia="Arial" w:hAnsi="Arial"/>
                <w:sz w:val="14"/>
                <w:szCs w:val="14"/>
                <w:b w:val="1"/>
                <w:bCs w:val="1"/>
                <w:color w:val="8F5A39"/>
              </w:rPr>
              <w:t>Executive</w:t>
            </w:r>
          </w:p>
        </w:tc>
        <w:tc>
          <w:tcPr>
            <w:tcW w:w="2380" w:type="dxa"/>
            <w:vAlign w:val="bottom"/>
            <w:gridSpan w:val="2"/>
            <w:shd w:val="clear" w:color="auto" w:fill="F4EFE7"/>
          </w:tcPr>
          <w:p>
            <w:pPr>
              <w:jc w:val="right"/>
              <w:ind w:right="561"/>
              <w:spacing w:after="0"/>
              <w:rPr>
                <w:sz w:val="20"/>
                <w:szCs w:val="20"/>
                <w:color w:val="auto"/>
              </w:rPr>
            </w:pPr>
            <w:r>
              <w:rPr>
                <w:rFonts w:ascii="Arial" w:cs="Arial" w:eastAsia="Arial" w:hAnsi="Arial"/>
                <w:sz w:val="14"/>
                <w:szCs w:val="14"/>
                <w:b w:val="1"/>
                <w:bCs w:val="1"/>
                <w:color w:val="8F5A39"/>
              </w:rPr>
              <w:t>Aggregate earnings</w:t>
            </w:r>
          </w:p>
        </w:tc>
        <w:tc>
          <w:tcPr>
            <w:tcW w:w="860" w:type="dxa"/>
            <w:vAlign w:val="bottom"/>
            <w:shd w:val="clear" w:color="auto" w:fill="F4EFE7"/>
          </w:tcPr>
          <w:p>
            <w:pPr>
              <w:spacing w:after="0"/>
              <w:rPr>
                <w:sz w:val="16"/>
                <w:szCs w:val="16"/>
                <w:color w:val="auto"/>
              </w:rPr>
            </w:pPr>
          </w:p>
        </w:tc>
        <w:tc>
          <w:tcPr>
            <w:tcW w:w="106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Aggregate</w:t>
            </w:r>
          </w:p>
        </w:tc>
        <w:tc>
          <w:tcPr>
            <w:tcW w:w="0" w:type="dxa"/>
            <w:vAlign w:val="bottom"/>
          </w:tcPr>
          <w:p>
            <w:pPr>
              <w:spacing w:after="0"/>
              <w:rPr>
                <w:sz w:val="1"/>
                <w:szCs w:val="1"/>
                <w:color w:val="auto"/>
              </w:rPr>
            </w:pPr>
          </w:p>
        </w:tc>
      </w:tr>
      <w:tr>
        <w:trPr>
          <w:trHeight w:val="173"/>
        </w:trPr>
        <w:tc>
          <w:tcPr>
            <w:tcW w:w="3500" w:type="dxa"/>
            <w:vAlign w:val="bottom"/>
            <w:vMerge w:val="restart"/>
            <w:shd w:val="clear" w:color="auto" w:fill="F4EFE7"/>
          </w:tcPr>
          <w:p>
            <w:pPr>
              <w:ind w:left="20"/>
              <w:spacing w:after="0"/>
              <w:rPr>
                <w:sz w:val="20"/>
                <w:szCs w:val="20"/>
                <w:color w:val="auto"/>
              </w:rPr>
            </w:pPr>
            <w:r>
              <w:rPr>
                <w:rFonts w:ascii="Arial" w:cs="Arial" w:eastAsia="Arial" w:hAnsi="Arial"/>
                <w:sz w:val="14"/>
                <w:szCs w:val="14"/>
                <w:b w:val="1"/>
                <w:bCs w:val="1"/>
                <w:color w:val="8F5A39"/>
              </w:rPr>
              <w:t>Name</w:t>
            </w:r>
          </w:p>
        </w:tc>
        <w:tc>
          <w:tcPr>
            <w:tcW w:w="3440" w:type="dxa"/>
            <w:vAlign w:val="bottom"/>
            <w:gridSpan w:val="2"/>
            <w:shd w:val="clear" w:color="auto" w:fill="F4EFE7"/>
          </w:tcPr>
          <w:p>
            <w:pPr>
              <w:jc w:val="right"/>
              <w:ind w:right="320"/>
              <w:spacing w:after="0"/>
              <w:rPr>
                <w:sz w:val="20"/>
                <w:szCs w:val="20"/>
                <w:color w:val="auto"/>
              </w:rPr>
            </w:pPr>
            <w:r>
              <w:rPr>
                <w:rFonts w:ascii="Arial" w:cs="Arial" w:eastAsia="Arial" w:hAnsi="Arial"/>
                <w:sz w:val="14"/>
                <w:szCs w:val="14"/>
                <w:b w:val="1"/>
                <w:bCs w:val="1"/>
                <w:color w:val="8F5A39"/>
              </w:rPr>
              <w:t>contributions in</w:t>
            </w:r>
          </w:p>
        </w:tc>
        <w:tc>
          <w:tcPr>
            <w:tcW w:w="760" w:type="dxa"/>
            <w:vAlign w:val="bottom"/>
            <w:shd w:val="clear" w:color="auto" w:fill="F4EFE7"/>
          </w:tcPr>
          <w:p>
            <w:pPr>
              <w:spacing w:after="0"/>
              <w:rPr>
                <w:sz w:val="15"/>
                <w:szCs w:val="15"/>
                <w:color w:val="auto"/>
              </w:rPr>
            </w:pPr>
          </w:p>
        </w:tc>
        <w:tc>
          <w:tcPr>
            <w:tcW w:w="1620" w:type="dxa"/>
            <w:vAlign w:val="bottom"/>
            <w:shd w:val="clear" w:color="auto" w:fill="F4EFE7"/>
          </w:tcPr>
          <w:p>
            <w:pPr>
              <w:jc w:val="right"/>
              <w:ind w:right="561"/>
              <w:spacing w:after="0"/>
              <w:rPr>
                <w:sz w:val="20"/>
                <w:szCs w:val="20"/>
                <w:color w:val="auto"/>
              </w:rPr>
            </w:pPr>
            <w:r>
              <w:rPr>
                <w:rFonts w:ascii="Arial" w:cs="Arial" w:eastAsia="Arial" w:hAnsi="Arial"/>
                <w:sz w:val="14"/>
                <w:szCs w:val="14"/>
                <w:b w:val="1"/>
                <w:bCs w:val="1"/>
                <w:color w:val="8F5A39"/>
              </w:rPr>
              <w:t>(loss) in last</w:t>
            </w:r>
          </w:p>
        </w:tc>
        <w:tc>
          <w:tcPr>
            <w:tcW w:w="860" w:type="dxa"/>
            <w:vAlign w:val="bottom"/>
            <w:shd w:val="clear" w:color="auto" w:fill="F4EFE7"/>
          </w:tcPr>
          <w:p>
            <w:pPr>
              <w:spacing w:after="0"/>
              <w:rPr>
                <w:sz w:val="15"/>
                <w:szCs w:val="15"/>
                <w:color w:val="auto"/>
              </w:rPr>
            </w:pPr>
          </w:p>
        </w:tc>
        <w:tc>
          <w:tcPr>
            <w:tcW w:w="106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balance at last</w:t>
            </w:r>
          </w:p>
        </w:tc>
        <w:tc>
          <w:tcPr>
            <w:tcW w:w="0" w:type="dxa"/>
            <w:vAlign w:val="bottom"/>
          </w:tcPr>
          <w:p>
            <w:pPr>
              <w:spacing w:after="0"/>
              <w:rPr>
                <w:sz w:val="1"/>
                <w:szCs w:val="1"/>
                <w:color w:val="auto"/>
              </w:rPr>
            </w:pPr>
          </w:p>
        </w:tc>
      </w:tr>
      <w:tr>
        <w:trPr>
          <w:trHeight w:val="201"/>
        </w:trPr>
        <w:tc>
          <w:tcPr>
            <w:tcW w:w="3500" w:type="dxa"/>
            <w:vAlign w:val="bottom"/>
            <w:tcBorders>
              <w:bottom w:val="single" w:sz="8" w:color="auto"/>
            </w:tcBorders>
            <w:vMerge w:val="continue"/>
            <w:shd w:val="clear" w:color="auto" w:fill="F4EFE7"/>
          </w:tcPr>
          <w:p>
            <w:pPr>
              <w:spacing w:after="0"/>
              <w:rPr>
                <w:sz w:val="17"/>
                <w:szCs w:val="17"/>
                <w:color w:val="auto"/>
              </w:rPr>
            </w:pPr>
          </w:p>
        </w:tc>
        <w:tc>
          <w:tcPr>
            <w:tcW w:w="3440" w:type="dxa"/>
            <w:vAlign w:val="bottom"/>
            <w:tcBorders>
              <w:bottom w:val="single" w:sz="8" w:color="auto"/>
            </w:tcBorders>
            <w:gridSpan w:val="2"/>
            <w:shd w:val="clear" w:color="auto" w:fill="F4EFE7"/>
          </w:tcPr>
          <w:p>
            <w:pPr>
              <w:jc w:val="right"/>
              <w:ind w:right="320"/>
              <w:spacing w:after="0" w:line="201" w:lineRule="exact"/>
              <w:rPr>
                <w:sz w:val="20"/>
                <w:szCs w:val="20"/>
                <w:color w:val="auto"/>
              </w:rPr>
            </w:pPr>
            <w:r>
              <w:rPr>
                <w:rFonts w:ascii="Arial" w:cs="Arial" w:eastAsia="Arial" w:hAnsi="Arial"/>
                <w:sz w:val="14"/>
                <w:szCs w:val="14"/>
                <w:b w:val="1"/>
                <w:bCs w:val="1"/>
                <w:color w:val="8F5A39"/>
              </w:rPr>
              <w:t>last fiscal year ($)</w:t>
            </w:r>
            <w:r>
              <w:rPr>
                <w:rFonts w:ascii="Arial" w:cs="Arial" w:eastAsia="Arial" w:hAnsi="Arial"/>
                <w:sz w:val="18"/>
                <w:szCs w:val="18"/>
                <w:b w:val="1"/>
                <w:bCs w:val="1"/>
                <w:color w:val="8F5A39"/>
                <w:vertAlign w:val="superscript"/>
              </w:rPr>
              <w:t>1</w:t>
            </w:r>
          </w:p>
        </w:tc>
        <w:tc>
          <w:tcPr>
            <w:tcW w:w="760" w:type="dxa"/>
            <w:vAlign w:val="bottom"/>
            <w:tcBorders>
              <w:bottom w:val="single" w:sz="8" w:color="auto"/>
            </w:tcBorders>
            <w:shd w:val="clear" w:color="auto" w:fill="F4EFE7"/>
          </w:tcPr>
          <w:p>
            <w:pPr>
              <w:spacing w:after="0"/>
              <w:rPr>
                <w:sz w:val="17"/>
                <w:szCs w:val="17"/>
                <w:color w:val="auto"/>
              </w:rPr>
            </w:pPr>
          </w:p>
        </w:tc>
        <w:tc>
          <w:tcPr>
            <w:tcW w:w="1620" w:type="dxa"/>
            <w:vAlign w:val="bottom"/>
            <w:tcBorders>
              <w:bottom w:val="single" w:sz="8" w:color="auto"/>
            </w:tcBorders>
            <w:shd w:val="clear" w:color="auto" w:fill="F4EFE7"/>
          </w:tcPr>
          <w:p>
            <w:pPr>
              <w:jc w:val="right"/>
              <w:ind w:right="561"/>
              <w:spacing w:after="0" w:line="201" w:lineRule="exact"/>
              <w:rPr>
                <w:sz w:val="20"/>
                <w:szCs w:val="20"/>
                <w:color w:val="auto"/>
              </w:rPr>
            </w:pPr>
            <w:r>
              <w:rPr>
                <w:rFonts w:ascii="Arial" w:cs="Arial" w:eastAsia="Arial" w:hAnsi="Arial"/>
                <w:sz w:val="14"/>
                <w:szCs w:val="14"/>
                <w:b w:val="1"/>
                <w:bCs w:val="1"/>
                <w:color w:val="8F5A39"/>
                <w:w w:val="99"/>
              </w:rPr>
              <w:t>fiscal year ($)</w:t>
            </w:r>
            <w:r>
              <w:rPr>
                <w:rFonts w:ascii="Arial" w:cs="Arial" w:eastAsia="Arial" w:hAnsi="Arial"/>
                <w:sz w:val="18"/>
                <w:szCs w:val="18"/>
                <w:b w:val="1"/>
                <w:bCs w:val="1"/>
                <w:color w:val="8F5A39"/>
                <w:w w:val="99"/>
                <w:vertAlign w:val="superscript"/>
              </w:rPr>
              <w:t>2</w:t>
            </w:r>
          </w:p>
        </w:tc>
        <w:tc>
          <w:tcPr>
            <w:tcW w:w="1920" w:type="dxa"/>
            <w:vAlign w:val="bottom"/>
            <w:tcBorders>
              <w:bottom w:val="single" w:sz="8" w:color="auto"/>
            </w:tcBorders>
            <w:gridSpan w:val="2"/>
            <w:shd w:val="clear" w:color="auto" w:fill="F4EFE7"/>
          </w:tcPr>
          <w:p>
            <w:pPr>
              <w:jc w:val="right"/>
              <w:spacing w:after="0"/>
              <w:rPr>
                <w:sz w:val="20"/>
                <w:szCs w:val="20"/>
                <w:color w:val="auto"/>
              </w:rPr>
            </w:pPr>
            <w:r>
              <w:rPr>
                <w:rFonts w:ascii="Arial" w:cs="Arial" w:eastAsia="Arial" w:hAnsi="Arial"/>
                <w:sz w:val="14"/>
                <w:szCs w:val="14"/>
                <w:b w:val="1"/>
                <w:bCs w:val="1"/>
                <w:color w:val="8F5A39"/>
              </w:rPr>
              <w:t>fiscal year–end ($)</w:t>
            </w:r>
          </w:p>
        </w:tc>
        <w:tc>
          <w:tcPr>
            <w:tcW w:w="0" w:type="dxa"/>
            <w:vAlign w:val="bottom"/>
          </w:tcPr>
          <w:p>
            <w:pPr>
              <w:spacing w:after="0"/>
              <w:rPr>
                <w:sz w:val="1"/>
                <w:szCs w:val="1"/>
                <w:color w:val="auto"/>
              </w:rPr>
            </w:pPr>
          </w:p>
        </w:tc>
      </w:tr>
      <w:tr>
        <w:trPr>
          <w:trHeight w:val="233"/>
        </w:trPr>
        <w:tc>
          <w:tcPr>
            <w:tcW w:w="350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James Dimon</w:t>
            </w:r>
          </w:p>
        </w:tc>
        <w:tc>
          <w:tcPr>
            <w:tcW w:w="2180" w:type="dxa"/>
            <w:vAlign w:val="bottom"/>
            <w:tcBorders>
              <w:bottom w:val="single" w:sz="8" w:color="B2B2B2"/>
            </w:tcBorders>
          </w:tcPr>
          <w:p>
            <w:pPr>
              <w:jc w:val="right"/>
              <w:ind w:right="105"/>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ind w:left="6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B2B2B2"/>
            </w:tcBorders>
          </w:tcPr>
          <w:p>
            <w:pPr>
              <w:jc w:val="right"/>
              <w:ind w:right="601"/>
              <w:spacing w:after="0"/>
              <w:rPr>
                <w:sz w:val="20"/>
                <w:szCs w:val="20"/>
                <w:color w:val="auto"/>
              </w:rPr>
            </w:pPr>
            <w:r>
              <w:rPr>
                <w:rFonts w:ascii="Arial" w:cs="Arial" w:eastAsia="Arial" w:hAnsi="Arial"/>
                <w:sz w:val="16"/>
                <w:szCs w:val="16"/>
                <w:color w:val="auto"/>
              </w:rPr>
              <w:t>7,755</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178,870</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Mary Callahan Erdoes</w:t>
            </w:r>
          </w:p>
        </w:tc>
        <w:tc>
          <w:tcPr>
            <w:tcW w:w="21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ind w:left="6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spacing w:after="0"/>
              <w:rPr>
                <w:sz w:val="20"/>
                <w:szCs w:val="20"/>
                <w:color w:val="auto"/>
              </w:rPr>
            </w:pPr>
          </w:p>
        </w:tc>
        <w:tc>
          <w:tcPr>
            <w:tcW w:w="1620" w:type="dxa"/>
            <w:vAlign w:val="bottom"/>
            <w:tcBorders>
              <w:bottom w:val="single" w:sz="8" w:color="B2B2B2"/>
            </w:tcBorders>
          </w:tcPr>
          <w:p>
            <w:pPr>
              <w:jc w:val="right"/>
              <w:ind w:right="6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Troy Rohrbaugh</w:t>
            </w:r>
          </w:p>
        </w:tc>
        <w:tc>
          <w:tcPr>
            <w:tcW w:w="21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ind w:left="6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spacing w:after="0"/>
              <w:rPr>
                <w:sz w:val="20"/>
                <w:szCs w:val="20"/>
                <w:color w:val="auto"/>
              </w:rPr>
            </w:pPr>
          </w:p>
        </w:tc>
        <w:tc>
          <w:tcPr>
            <w:tcW w:w="1620" w:type="dxa"/>
            <w:vAlign w:val="bottom"/>
            <w:tcBorders>
              <w:bottom w:val="single" w:sz="8" w:color="B2B2B2"/>
            </w:tcBorders>
          </w:tcPr>
          <w:p>
            <w:pPr>
              <w:jc w:val="right"/>
              <w:ind w:right="6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Douglas Petno</w:t>
            </w:r>
          </w:p>
        </w:tc>
        <w:tc>
          <w:tcPr>
            <w:tcW w:w="21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ind w:right="320"/>
              <w:spacing w:after="0"/>
              <w:rPr>
                <w:sz w:val="20"/>
                <w:szCs w:val="20"/>
                <w:color w:val="auto"/>
              </w:rPr>
            </w:pPr>
            <w:r>
              <w:rPr>
                <w:rFonts w:ascii="Arial" w:cs="Arial" w:eastAsia="Arial" w:hAnsi="Arial"/>
                <w:sz w:val="16"/>
                <w:szCs w:val="16"/>
                <w:color w:val="auto"/>
              </w:rPr>
              <w:t>500,000</w:t>
            </w:r>
          </w:p>
        </w:tc>
        <w:tc>
          <w:tcPr>
            <w:tcW w:w="760" w:type="dxa"/>
            <w:vAlign w:val="bottom"/>
            <w:tcBorders>
              <w:bottom w:val="single" w:sz="8" w:color="B2B2B2"/>
            </w:tcBorders>
          </w:tcPr>
          <w:p>
            <w:pPr>
              <w:spacing w:after="0"/>
              <w:rPr>
                <w:sz w:val="20"/>
                <w:szCs w:val="20"/>
                <w:color w:val="auto"/>
              </w:rPr>
            </w:pPr>
          </w:p>
        </w:tc>
        <w:tc>
          <w:tcPr>
            <w:tcW w:w="1620" w:type="dxa"/>
            <w:vAlign w:val="bottom"/>
            <w:tcBorders>
              <w:bottom w:val="single" w:sz="8" w:color="B2B2B2"/>
            </w:tcBorders>
          </w:tcPr>
          <w:p>
            <w:pPr>
              <w:jc w:val="right"/>
              <w:ind w:right="601"/>
              <w:spacing w:after="0"/>
              <w:rPr>
                <w:sz w:val="20"/>
                <w:szCs w:val="20"/>
                <w:color w:val="auto"/>
              </w:rPr>
            </w:pPr>
            <w:r>
              <w:rPr>
                <w:rFonts w:ascii="Arial" w:cs="Arial" w:eastAsia="Arial" w:hAnsi="Arial"/>
                <w:sz w:val="16"/>
                <w:szCs w:val="16"/>
                <w:color w:val="auto"/>
              </w:rPr>
              <w:t>403,957</w:t>
            </w:r>
          </w:p>
        </w:tc>
        <w:tc>
          <w:tcPr>
            <w:tcW w:w="86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4,992,660</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Jeremy Barnum</w:t>
            </w:r>
          </w:p>
        </w:tc>
        <w:tc>
          <w:tcPr>
            <w:tcW w:w="21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ind w:left="6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spacing w:after="0"/>
              <w:rPr>
                <w:sz w:val="20"/>
                <w:szCs w:val="20"/>
                <w:color w:val="auto"/>
              </w:rPr>
            </w:pPr>
          </w:p>
        </w:tc>
        <w:tc>
          <w:tcPr>
            <w:tcW w:w="1620" w:type="dxa"/>
            <w:vAlign w:val="bottom"/>
            <w:tcBorders>
              <w:bottom w:val="single" w:sz="8" w:color="B2B2B2"/>
            </w:tcBorders>
          </w:tcPr>
          <w:p>
            <w:pPr>
              <w:jc w:val="right"/>
              <w:ind w:right="60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8F5A39"/>
              </w:rPr>
              <w:t>Daniel Pinto</w:t>
            </w:r>
          </w:p>
        </w:tc>
        <w:tc>
          <w:tcPr>
            <w:tcW w:w="2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904</w:t>
            </w:r>
          </w:p>
        </w:tc>
        <w:tc>
          <w:tcPr>
            <w:tcW w:w="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28,216</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0" w:hanging="192"/>
        <w:spacing w:after="0"/>
        <w:tabs>
          <w:tab w:leader="none" w:pos="200" w:val="left"/>
        </w:tabs>
        <w:numPr>
          <w:ilvl w:val="0"/>
          <w:numId w:val="247"/>
        </w:numPr>
        <w:rPr>
          <w:rFonts w:ascii="Arial" w:cs="Arial" w:eastAsia="Arial" w:hAnsi="Arial"/>
          <w:sz w:val="18"/>
          <w:szCs w:val="18"/>
          <w:color w:val="auto"/>
          <w:vertAlign w:val="superscript"/>
        </w:rPr>
      </w:pPr>
      <w:r>
        <w:rPr>
          <w:rFonts w:ascii="Arial" w:cs="Arial" w:eastAsia="Arial" w:hAnsi="Arial"/>
          <w:sz w:val="12"/>
          <w:szCs w:val="12"/>
          <w:color w:val="auto"/>
        </w:rPr>
        <w:t>Represents amounts deferred during calendar year 2025 in connection with the 2024 performance year. For Mr. Petno, this amount is not included in the Summary compensation table on page 63</w:t>
      </w:r>
    </w:p>
    <w:p>
      <w:pPr>
        <w:ind w:left="200"/>
        <w:spacing w:after="0" w:line="211" w:lineRule="auto"/>
        <w:rPr>
          <w:sz w:val="20"/>
          <w:szCs w:val="20"/>
          <w:color w:val="auto"/>
        </w:rPr>
      </w:pPr>
      <w:r>
        <w:rPr>
          <w:rFonts w:ascii="Arial" w:cs="Arial" w:eastAsia="Arial" w:hAnsi="Arial"/>
          <w:sz w:val="13"/>
          <w:szCs w:val="13"/>
          <w:color w:val="auto"/>
        </w:rPr>
        <w:t>which reports his bonus for the 2025 performance year.</w:t>
      </w:r>
    </w:p>
    <w:p>
      <w:pPr>
        <w:spacing w:after="0" w:line="13" w:lineRule="exact"/>
        <w:rPr>
          <w:sz w:val="20"/>
          <w:szCs w:val="20"/>
          <w:color w:val="auto"/>
        </w:rPr>
      </w:pPr>
    </w:p>
    <w:p>
      <w:pPr>
        <w:ind w:left="200" w:right="80" w:hanging="192"/>
        <w:spacing w:after="0" w:line="236" w:lineRule="auto"/>
        <w:tabs>
          <w:tab w:leader="none" w:pos="193" w:val="left"/>
        </w:tabs>
        <w:numPr>
          <w:ilvl w:val="0"/>
          <w:numId w:val="248"/>
        </w:numPr>
        <w:rPr>
          <w:rFonts w:ascii="Arial" w:cs="Arial" w:eastAsia="Arial" w:hAnsi="Arial"/>
          <w:sz w:val="18"/>
          <w:szCs w:val="18"/>
          <w:color w:val="auto"/>
          <w:vertAlign w:val="superscript"/>
        </w:rPr>
      </w:pPr>
      <w:r>
        <w:rPr>
          <w:rFonts w:ascii="Arial" w:cs="Arial" w:eastAsia="Arial" w:hAnsi="Arial"/>
          <w:sz w:val="12"/>
          <w:szCs w:val="12"/>
          <w:color w:val="auto"/>
        </w:rPr>
        <w:t>The Deferred Compensation Plan allows participants to direct their deferrals among several investment choices, including JPMorganChase common stock; an interest income fund based 50% on a weighted average of returns by Hartford Investment Management Company SVA Bond Index Division and 50% by Newport Group designated set of general account life insurance policies owned by JPMorganChase; Hartford funds indexed to fixed income, bond, balanced, S&amp;P 500, Russell 2000 and international portfolios; and Hartford investments in Vanguard Variable Insurance Fund high-yield bond, mid-cap and REIT index. In addition, there are balances in deemed investment choices from heritage company plans that are no longer open to new deferrals.</w:t>
      </w:r>
    </w:p>
    <w:p>
      <w:pPr>
        <w:ind w:left="200"/>
        <w:spacing w:after="0"/>
        <w:rPr>
          <w:rFonts w:ascii="Arial" w:cs="Arial" w:eastAsia="Arial" w:hAnsi="Arial"/>
          <w:sz w:val="18"/>
          <w:szCs w:val="18"/>
          <w:color w:val="auto"/>
          <w:vertAlign w:val="superscript"/>
        </w:rPr>
      </w:pPr>
      <w:r>
        <w:rPr>
          <w:rFonts w:ascii="Arial" w:cs="Arial" w:eastAsia="Arial" w:hAnsi="Arial"/>
          <w:sz w:val="12"/>
          <w:szCs w:val="12"/>
          <w:color w:val="auto"/>
        </w:rPr>
        <w:t>Investment returns in 2025 for the following investment choices were: Short-Term Fixed Income, 5.08%; Interest Income, 3.31%; Barclays Capital U.S. Aggregate Bond Index, 7.10%; High-Yield,</w:t>
      </w:r>
    </w:p>
    <w:p>
      <w:pPr>
        <w:spacing w:after="0" w:line="33" w:lineRule="exact"/>
        <w:rPr>
          <w:rFonts w:ascii="Arial" w:cs="Arial" w:eastAsia="Arial" w:hAnsi="Arial"/>
          <w:sz w:val="18"/>
          <w:szCs w:val="18"/>
          <w:color w:val="auto"/>
          <w:vertAlign w:val="superscript"/>
        </w:rPr>
      </w:pPr>
    </w:p>
    <w:p>
      <w:pPr>
        <w:ind w:left="200" w:right="160"/>
        <w:spacing w:after="0" w:line="263" w:lineRule="auto"/>
        <w:rPr>
          <w:rFonts w:ascii="Arial" w:cs="Arial" w:eastAsia="Arial" w:hAnsi="Arial"/>
          <w:sz w:val="18"/>
          <w:szCs w:val="18"/>
          <w:color w:val="auto"/>
          <w:vertAlign w:val="superscript"/>
        </w:rPr>
      </w:pPr>
      <w:r>
        <w:rPr>
          <w:rFonts w:ascii="Arial" w:cs="Arial" w:eastAsia="Arial" w:hAnsi="Arial"/>
          <w:sz w:val="13"/>
          <w:szCs w:val="13"/>
          <w:color w:val="auto"/>
        </w:rPr>
        <w:t>9.18%; Balanced Portfolio, 12.49%; S&amp;P 500 Index, 17.78%; Mid-Cap Index, 11.54%; Russell 2000 Index, 12.77%; REIT Index, 3.11%; International, 19.97%; and JPMorganChase common stock, including dividend equivalents, 37.32%.</w:t>
      </w:r>
    </w:p>
    <w:p>
      <w:pPr>
        <w:ind w:left="200" w:right="40"/>
        <w:spacing w:after="0" w:line="265" w:lineRule="auto"/>
        <w:rPr>
          <w:rFonts w:ascii="Arial" w:cs="Arial" w:eastAsia="Arial" w:hAnsi="Arial"/>
          <w:sz w:val="18"/>
          <w:szCs w:val="18"/>
          <w:color w:val="auto"/>
          <w:vertAlign w:val="superscript"/>
        </w:rPr>
      </w:pPr>
      <w:r>
        <w:rPr>
          <w:rFonts w:ascii="Arial" w:cs="Arial" w:eastAsia="Arial" w:hAnsi="Arial"/>
          <w:sz w:val="13"/>
          <w:szCs w:val="13"/>
          <w:color w:val="auto"/>
        </w:rPr>
        <w:t>Beginning with deferrals credited January 2005 under the Deferred Compensation Plan, participants were required to elect to receive distribution of the deferral balance beginning either following retirement or termination or in a specific year but no earlier than the second anniversary of the date the deferral would otherwise have been paid. If retirement or termination were elected, payments will commence during the calendar year following retirement or termination. Participants may elect the distribution to be lump sum or annual installments for a maximum of 15 years. With respect to deferrals made after December 31, 2004, under the Deferred Compensation Plan, account balances are automatically paid as a lump sum in the year following termination if employment terminates prior to the participant attaining 15 years of service. With respect to deferrals made after December 31, 2017, account balances are automatically paid as a lump sum in the year following termination if employment terminates prior to the participant attaining 5 years of service. The Supplemental Savings and Investment Plan (“SSIP”) is a heritage plan applicable to former Bank One employees which is closed to new participants and does not permit new deferrals. It functions similarly to the Deferred Compensation Plan. The investment return in 2025 for the following investment choice was: Short-Term Fixed Income, 4.53%. With respect to the SSIP, account balances are automatically paid as a lump sum in the year following termination unless an installment option is elected prior to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299720</wp:posOffset>
            </wp:positionV>
            <wp:extent cx="651510" cy="8572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68</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Executive compensation tables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color w:val="auto"/>
        </w:rPr>
        <w:t>VII. 2025 Potential payments upon termination or change in control</w:t>
      </w:r>
    </w:p>
    <w:p>
      <w:pPr>
        <w:spacing w:after="0" w:line="45"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We believe our pay practices relating to termination events, summarized below, illustrate our commitment to sound corporate governance, are consistent with best practices and are aligned with shareholder interests.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Termination policies aligned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ind w:left="20"/>
              <w:spacing w:after="0"/>
              <w:rPr>
                <w:sz w:val="20"/>
                <w:szCs w:val="20"/>
                <w:color w:val="auto"/>
              </w:rPr>
            </w:pPr>
            <w:r>
              <w:rPr>
                <w:rFonts w:ascii="Arial" w:cs="Arial" w:eastAsia="Arial" w:hAnsi="Arial"/>
                <w:sz w:val="16"/>
                <w:szCs w:val="16"/>
                <w:color w:val="auto"/>
              </w:rPr>
              <w:t>No golden parachute agreements</w:t>
            </w:r>
          </w:p>
        </w:tc>
        <w:tc>
          <w:tcPr>
            <w:tcW w:w="8000" w:type="dxa"/>
            <w:vAlign w:val="bottom"/>
            <w:gridSpan w:val="2"/>
          </w:tcPr>
          <w:p>
            <w:pPr>
              <w:ind w:left="8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NEOs are not entitled to any accelerated cash/equity payments or special benefits upon a change</w:t>
            </w:r>
          </w:p>
        </w:tc>
      </w:tr>
      <w:tr>
        <w:trPr>
          <w:trHeight w:val="215"/>
        </w:trPr>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80" w:type="dxa"/>
            <w:vAlign w:val="bottom"/>
          </w:tcPr>
          <w:p>
            <w:pPr>
              <w:ind w:left="60"/>
              <w:spacing w:after="0"/>
              <w:rPr>
                <w:sz w:val="20"/>
                <w:szCs w:val="20"/>
                <w:color w:val="auto"/>
              </w:rPr>
            </w:pPr>
            <w:r>
              <w:rPr>
                <w:rFonts w:ascii="Arial" w:cs="Arial" w:eastAsia="Arial" w:hAnsi="Arial"/>
                <w:sz w:val="16"/>
                <w:szCs w:val="16"/>
                <w:color w:val="auto"/>
              </w:rPr>
              <w:t>in control</w:t>
            </w:r>
          </w:p>
        </w:tc>
      </w:tr>
      <w:tr>
        <w:trPr>
          <w:trHeight w:val="123"/>
        </w:trPr>
        <w:tc>
          <w:tcPr>
            <w:tcW w:w="3240" w:type="dxa"/>
            <w:vAlign w:val="bottom"/>
            <w:tcBorders>
              <w:bottom w:val="single" w:sz="8" w:color="B2B2B2"/>
            </w:tcBorders>
          </w:tcPr>
          <w:p>
            <w:pPr>
              <w:spacing w:after="0"/>
              <w:rPr>
                <w:sz w:val="10"/>
                <w:szCs w:val="10"/>
                <w:color w:val="auto"/>
              </w:rPr>
            </w:pPr>
          </w:p>
        </w:tc>
        <w:tc>
          <w:tcPr>
            <w:tcW w:w="8000" w:type="dxa"/>
            <w:vAlign w:val="bottom"/>
            <w:tcBorders>
              <w:bottom w:val="single" w:sz="8" w:color="B2B2B2"/>
            </w:tcBorders>
            <w:gridSpan w:val="2"/>
          </w:tcPr>
          <w:p>
            <w:pPr>
              <w:spacing w:after="0"/>
              <w:rPr>
                <w:sz w:val="10"/>
                <w:szCs w:val="10"/>
                <w:color w:val="auto"/>
              </w:rPr>
            </w:pPr>
          </w:p>
        </w:tc>
      </w:tr>
      <w:tr>
        <w:trPr>
          <w:trHeight w:val="261"/>
        </w:trPr>
        <w:tc>
          <w:tcPr>
            <w:tcW w:w="3240" w:type="dxa"/>
            <w:vAlign w:val="bottom"/>
          </w:tcPr>
          <w:p>
            <w:pPr>
              <w:ind w:left="20"/>
              <w:spacing w:after="0"/>
              <w:rPr>
                <w:sz w:val="20"/>
                <w:szCs w:val="20"/>
                <w:color w:val="auto"/>
              </w:rPr>
            </w:pPr>
            <w:r>
              <w:rPr>
                <w:rFonts w:ascii="Arial" w:cs="Arial" w:eastAsia="Arial" w:hAnsi="Arial"/>
                <w:sz w:val="16"/>
                <w:szCs w:val="16"/>
                <w:color w:val="auto"/>
              </w:rPr>
              <w:t>No employment agreements</w:t>
            </w:r>
          </w:p>
        </w:tc>
        <w:tc>
          <w:tcPr>
            <w:tcW w:w="8000" w:type="dxa"/>
            <w:vAlign w:val="bottom"/>
            <w:gridSpan w:val="2"/>
          </w:tcPr>
          <w:p>
            <w:pPr>
              <w:ind w:left="8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NEOs are “at will” employees and are not covered by employment agreements</w:t>
            </w:r>
          </w:p>
        </w:tc>
      </w:tr>
      <w:tr>
        <w:trPr>
          <w:trHeight w:val="245"/>
        </w:trPr>
        <w:tc>
          <w:tcPr>
            <w:tcW w:w="3240" w:type="dxa"/>
            <w:vAlign w:val="bottom"/>
            <w:tcBorders>
              <w:bottom w:val="single" w:sz="8" w:color="B2B2B2"/>
            </w:tcBorders>
          </w:tcPr>
          <w:p>
            <w:pPr>
              <w:spacing w:after="0"/>
              <w:rPr>
                <w:sz w:val="21"/>
                <w:szCs w:val="21"/>
                <w:color w:val="auto"/>
              </w:rPr>
            </w:pPr>
          </w:p>
        </w:tc>
        <w:tc>
          <w:tcPr>
            <w:tcW w:w="920" w:type="dxa"/>
            <w:vAlign w:val="bottom"/>
            <w:tcBorders>
              <w:bottom w:val="single" w:sz="8" w:color="B2B2B2"/>
            </w:tcBorders>
          </w:tcPr>
          <w:p>
            <w:pPr>
              <w:spacing w:after="0"/>
              <w:rPr>
                <w:sz w:val="21"/>
                <w:szCs w:val="21"/>
                <w:color w:val="auto"/>
              </w:rPr>
            </w:pPr>
          </w:p>
        </w:tc>
        <w:tc>
          <w:tcPr>
            <w:tcW w:w="7080" w:type="dxa"/>
            <w:vAlign w:val="bottom"/>
            <w:tcBorders>
              <w:bottom w:val="single" w:sz="8" w:color="B2B2B2"/>
            </w:tcBorders>
          </w:tcPr>
          <w:p>
            <w:pPr>
              <w:spacing w:after="0"/>
              <w:rPr>
                <w:sz w:val="21"/>
                <w:szCs w:val="21"/>
                <w:color w:val="auto"/>
              </w:rPr>
            </w:pPr>
          </w:p>
        </w:tc>
      </w:tr>
      <w:tr>
        <w:trPr>
          <w:trHeight w:val="261"/>
        </w:trPr>
        <w:tc>
          <w:tcPr>
            <w:tcW w:w="3240" w:type="dxa"/>
            <w:vAlign w:val="bottom"/>
          </w:tcPr>
          <w:p>
            <w:pPr>
              <w:ind w:left="20"/>
              <w:spacing w:after="0"/>
              <w:rPr>
                <w:sz w:val="20"/>
                <w:szCs w:val="20"/>
                <w:color w:val="auto"/>
              </w:rPr>
            </w:pPr>
            <w:r>
              <w:rPr>
                <w:rFonts w:ascii="Arial" w:cs="Arial" w:eastAsia="Arial" w:hAnsi="Arial"/>
                <w:sz w:val="16"/>
                <w:szCs w:val="16"/>
                <w:color w:val="auto"/>
              </w:rPr>
              <w:t>No special cash severance</w:t>
            </w:r>
          </w:p>
        </w:tc>
        <w:tc>
          <w:tcPr>
            <w:tcW w:w="920" w:type="dxa"/>
            <w:vAlign w:val="bottom"/>
          </w:tcPr>
          <w:p>
            <w:pPr>
              <w:ind w:left="800"/>
              <w:spacing w:after="0"/>
              <w:rPr>
                <w:sz w:val="20"/>
                <w:szCs w:val="20"/>
                <w:color w:val="auto"/>
              </w:rPr>
            </w:pPr>
            <w:r>
              <w:rPr>
                <w:rFonts w:ascii="Arial" w:cs="Arial" w:eastAsia="Arial" w:hAnsi="Arial"/>
                <w:sz w:val="16"/>
                <w:szCs w:val="16"/>
                <w:b w:val="1"/>
                <w:bCs w:val="1"/>
                <w:color w:val="auto"/>
              </w:rPr>
              <w:t>•</w:t>
            </w:r>
          </w:p>
        </w:tc>
        <w:tc>
          <w:tcPr>
            <w:tcW w:w="7080" w:type="dxa"/>
            <w:vAlign w:val="bottom"/>
          </w:tcPr>
          <w:p>
            <w:pPr>
              <w:ind w:left="60"/>
              <w:spacing w:after="0"/>
              <w:rPr>
                <w:sz w:val="20"/>
                <w:szCs w:val="20"/>
                <w:color w:val="auto"/>
              </w:rPr>
            </w:pPr>
            <w:r>
              <w:rPr>
                <w:rFonts w:ascii="Arial" w:cs="Arial" w:eastAsia="Arial" w:hAnsi="Arial"/>
                <w:sz w:val="16"/>
                <w:szCs w:val="16"/>
                <w:color w:val="auto"/>
              </w:rPr>
              <w:t>Severance amounts for NEOs are capped at one-year salary, not to exceed $400,000</w:t>
            </w:r>
          </w:p>
        </w:tc>
      </w:tr>
      <w:tr>
        <w:trPr>
          <w:trHeight w:val="245"/>
        </w:trPr>
        <w:tc>
          <w:tcPr>
            <w:tcW w:w="3240" w:type="dxa"/>
            <w:vAlign w:val="bottom"/>
            <w:tcBorders>
              <w:bottom w:val="single" w:sz="8" w:color="B2B2B2"/>
            </w:tcBorders>
          </w:tcPr>
          <w:p>
            <w:pPr>
              <w:spacing w:after="0"/>
              <w:rPr>
                <w:sz w:val="21"/>
                <w:szCs w:val="21"/>
                <w:color w:val="auto"/>
              </w:rPr>
            </w:pPr>
          </w:p>
        </w:tc>
        <w:tc>
          <w:tcPr>
            <w:tcW w:w="920" w:type="dxa"/>
            <w:vAlign w:val="bottom"/>
            <w:tcBorders>
              <w:bottom w:val="single" w:sz="8" w:color="B2B2B2"/>
            </w:tcBorders>
          </w:tcPr>
          <w:p>
            <w:pPr>
              <w:spacing w:after="0"/>
              <w:rPr>
                <w:sz w:val="21"/>
                <w:szCs w:val="21"/>
                <w:color w:val="auto"/>
              </w:rPr>
            </w:pPr>
          </w:p>
        </w:tc>
        <w:tc>
          <w:tcPr>
            <w:tcW w:w="7080" w:type="dxa"/>
            <w:vAlign w:val="bottom"/>
            <w:tcBorders>
              <w:bottom w:val="single" w:sz="8" w:color="B2B2B2"/>
            </w:tcBorders>
          </w:tcPr>
          <w:p>
            <w:pPr>
              <w:spacing w:after="0"/>
              <w:rPr>
                <w:sz w:val="21"/>
                <w:szCs w:val="21"/>
                <w:color w:val="auto"/>
              </w:rPr>
            </w:pPr>
          </w:p>
        </w:tc>
      </w:tr>
      <w:tr>
        <w:trPr>
          <w:trHeight w:val="262"/>
        </w:trPr>
        <w:tc>
          <w:tcPr>
            <w:tcW w:w="3240" w:type="dxa"/>
            <w:vAlign w:val="bottom"/>
          </w:tcPr>
          <w:p>
            <w:pPr>
              <w:ind w:left="20"/>
              <w:spacing w:after="0"/>
              <w:rPr>
                <w:sz w:val="20"/>
                <w:szCs w:val="20"/>
                <w:color w:val="auto"/>
              </w:rPr>
            </w:pPr>
            <w:r>
              <w:rPr>
                <w:rFonts w:ascii="Arial" w:cs="Arial" w:eastAsia="Arial" w:hAnsi="Arial"/>
                <w:sz w:val="16"/>
                <w:szCs w:val="16"/>
                <w:color w:val="auto"/>
              </w:rPr>
              <w:t>No special executive benefits</w:t>
            </w:r>
          </w:p>
        </w:tc>
        <w:tc>
          <w:tcPr>
            <w:tcW w:w="920" w:type="dxa"/>
            <w:vAlign w:val="bottom"/>
          </w:tcPr>
          <w:p>
            <w:pPr>
              <w:ind w:left="800"/>
              <w:spacing w:after="0"/>
              <w:rPr>
                <w:sz w:val="20"/>
                <w:szCs w:val="20"/>
                <w:color w:val="auto"/>
              </w:rPr>
            </w:pPr>
            <w:r>
              <w:rPr>
                <w:rFonts w:ascii="Arial" w:cs="Arial" w:eastAsia="Arial" w:hAnsi="Arial"/>
                <w:sz w:val="16"/>
                <w:szCs w:val="16"/>
                <w:b w:val="1"/>
                <w:bCs w:val="1"/>
                <w:color w:val="auto"/>
              </w:rPr>
              <w:t>•</w:t>
            </w:r>
          </w:p>
        </w:tc>
        <w:tc>
          <w:tcPr>
            <w:tcW w:w="7080" w:type="dxa"/>
            <w:vAlign w:val="bottom"/>
          </w:tcPr>
          <w:p>
            <w:pPr>
              <w:ind w:left="60"/>
              <w:spacing w:after="0"/>
              <w:rPr>
                <w:sz w:val="20"/>
                <w:szCs w:val="20"/>
                <w:color w:val="auto"/>
              </w:rPr>
            </w:pPr>
            <w:r>
              <w:rPr>
                <w:rFonts w:ascii="Arial" w:cs="Arial" w:eastAsia="Arial" w:hAnsi="Arial"/>
                <w:sz w:val="16"/>
                <w:szCs w:val="16"/>
                <w:color w:val="auto"/>
              </w:rPr>
              <w:t>NEOs are not entitled to any special benefits upon termination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Standard, broad-based severance</w:t>
      </w:r>
    </w:p>
    <w:p>
      <w:pPr>
        <w:spacing w:after="0" w:line="31"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Our 2025 NEOs are covered under the Firm’s broad-based U.S. Severance Plan. Benefits under the U.S. Severance Plan are based on an employee’s base salary and length of service on termination of employment. Employees remain eligible for coverage at active employee rates under certain of the Firm’s employee welfare plans (such as medical and dental) for up to six months after their employment terminates. In addition, in the event of termination by the Firm for reasons other than cause, employees may be considered, at the discretion of the Firm, for a cash payment in lieu of an annual incentive compensation award, taking into consideration all circumstances the Firm deems relevant, including the circumstances of the employee’s leaving and the employee’s contributions to the Firm over his or her career. Severance benefits and any such discretionary payment are subject to execution of a release in favor of the Firm and certain post-termination restrictions.</w:t>
      </w:r>
    </w:p>
    <w:p>
      <w:pPr>
        <w:spacing w:after="0" w:line="11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table on the following page sets forth the benefits and compensation which the Named Executive Officers would have received if their employment had terminated on December 31, 2025. The amounts shown in the table on the following page do not include other payments and benefits available generally to salaried employees upon termination of employment, such as accrued vacation pay, distributions from the 401(k) Savings Plan, pension and deferred compensation plans, or any death, disability or post retirement welfare benefits available under broad-based employee plans. For information on the pension and deferred compensation plans, see “Table V: 2025 Pension benefits” on page 67 and 68 and “Table VI: 2025 Non-qualified deferred compensation” on page 68. Such tables also do not show the value of exercisable SARs, which would be listed in “Table III: Outstanding equity awards at fiscal year-end 2025” on pages 65 and 66; however, there were no exercisable SARs outstanding on December 31, 2025.</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NEOs are not entitled to any additional equity awards in connection with a potential termination. Rather, under certain termination scenarios including disability, death, termination without cause, or resignation (if full-career eligible), NEOs’ outstanding equity awards continue to vest in accordance with their terms (or accelerate in the event of death). The table on the following page shows the value of these unvested RSUs, PSUs and SARs based on the closing price of our common stock on December 31, 2025.</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Government Office provision</w:t>
      </w:r>
    </w:p>
    <w:p>
      <w:pPr>
        <w:spacing w:after="0" w:line="3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Employees with applicable awards, including NEOs, are covered under the Firm’s Government Office provision which allows for continued vesting of equity awards if the employee resigns to accept a covered government office. For such employees who are full-career eligible, outstanding performance year awards continue to vest in accordance with their terms whether they leave the Firm to enter government service or otherwise, so, for these awards, the Government Office provision does not provide any benefit to employees who are full-career eligible. All NEOs meet the full-career eligibility provision of their applicable awards.</w:t>
      </w:r>
      <w:r>
        <w:rPr>
          <w:rFonts w:ascii="Arial" w:cs="Arial" w:eastAsia="Arial" w:hAnsi="Arial"/>
          <w:sz w:val="21"/>
          <w:szCs w:val="21"/>
          <w:color w:val="auto"/>
          <w:vertAlign w:val="superscript"/>
        </w:rPr>
        <w:t>1</w:t>
      </w:r>
    </w:p>
    <w:p>
      <w:pPr>
        <w:spacing w:after="0" w:line="4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For employees who are not full-career eligible, and for awards that do not have full-career eligibility provisions, the value of awards that would continue to vest as a result of the Government Office provision of our equity plan would equal a percentage of the unvested stock awards ranging from 0% prior to three years of employment by the Firm to 50% after three years of employment increasing to 100% after five years.</w:t>
      </w:r>
    </w:p>
    <w:p>
      <w:pPr>
        <w:spacing w:after="0" w:line="181" w:lineRule="exact"/>
        <w:rPr>
          <w:sz w:val="20"/>
          <w:szCs w:val="20"/>
          <w:color w:val="auto"/>
        </w:rPr>
      </w:pPr>
    </w:p>
    <w:p>
      <w:pPr>
        <w:ind w:left="200" w:hanging="192"/>
        <w:spacing w:after="0"/>
        <w:tabs>
          <w:tab w:leader="none" w:pos="200" w:val="left"/>
        </w:tabs>
        <w:numPr>
          <w:ilvl w:val="0"/>
          <w:numId w:val="249"/>
        </w:numPr>
        <w:rPr>
          <w:rFonts w:ascii="Arial" w:cs="Arial" w:eastAsia="Arial" w:hAnsi="Arial"/>
          <w:sz w:val="19"/>
          <w:szCs w:val="19"/>
          <w:color w:val="auto"/>
          <w:vertAlign w:val="superscript"/>
        </w:rPr>
      </w:pPr>
      <w:r>
        <w:rPr>
          <w:rFonts w:ascii="Arial" w:cs="Arial" w:eastAsia="Arial" w:hAnsi="Arial"/>
          <w:sz w:val="13"/>
          <w:szCs w:val="13"/>
          <w:color w:val="auto"/>
        </w:rPr>
        <w:t>Refer to Notes 3 and 6 on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300355</wp:posOffset>
            </wp:positionV>
            <wp:extent cx="651510" cy="8572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9"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The Firm’s Government Office provision allows for accelerated vesting of the awards otherwise eligible for continued vesting, as described above, only if government ethics or conflicts of interest laws require divestiture of unvested awards and do not allow continued vesting.</w:t>
      </w:r>
    </w:p>
    <w:p>
      <w:pPr>
        <w:spacing w:after="0" w:line="21" w:lineRule="exact"/>
        <w:rPr>
          <w:sz w:val="20"/>
          <w:szCs w:val="20"/>
          <w:color w:val="auto"/>
        </w:rPr>
      </w:pPr>
    </w:p>
    <w:p>
      <w:pPr>
        <w:ind w:right="500"/>
        <w:spacing w:after="0" w:line="251" w:lineRule="auto"/>
        <w:rPr>
          <w:sz w:val="20"/>
          <w:szCs w:val="20"/>
          <w:color w:val="auto"/>
        </w:rPr>
      </w:pPr>
      <w:r>
        <w:rPr>
          <w:rFonts w:ascii="Arial" w:cs="Arial" w:eastAsia="Arial" w:hAnsi="Arial"/>
          <w:sz w:val="16"/>
          <w:szCs w:val="16"/>
          <w:color w:val="auto"/>
        </w:rPr>
        <w:t>Notwithstanding acceleration of any awards, the former employee remains subject to the applicable terms of the award agreement as if the award had remained outstanding for the duration of the original vesting period, including the clawback provisions and post-employment obligations.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Any awards not eligible for continued vesting under the terms of the plan are forfeited and they do not accelerate.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2025, no current or former OC member received any benefits under the Government Office provision.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POTENTIAL PAYMENTS UPON TERMINATION OR CHANGE IN CONTROL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Borders>
              <w:bottom w:val="single" w:sz="8" w:color="F4EFE7"/>
            </w:tcBorders>
            <w:shd w:val="clear" w:color="auto" w:fill="F4EFE7"/>
          </w:tcPr>
          <w:p>
            <w:pPr>
              <w:spacing w:after="0"/>
              <w:rPr>
                <w:sz w:val="17"/>
                <w:szCs w:val="17"/>
                <w:color w:val="auto"/>
              </w:rPr>
            </w:pPr>
          </w:p>
        </w:tc>
        <w:tc>
          <w:tcPr>
            <w:tcW w:w="1840" w:type="dxa"/>
            <w:vAlign w:val="bottom"/>
            <w:tcBorders>
              <w:bottom w:val="single" w:sz="8" w:color="F4EFE7"/>
            </w:tcBorders>
            <w:shd w:val="clear" w:color="auto" w:fill="F4EFE7"/>
          </w:tcPr>
          <w:p>
            <w:pPr>
              <w:spacing w:after="0"/>
              <w:rPr>
                <w:sz w:val="17"/>
                <w:szCs w:val="17"/>
                <w:color w:val="auto"/>
              </w:rPr>
            </w:pPr>
          </w:p>
        </w:tc>
        <w:tc>
          <w:tcPr>
            <w:tcW w:w="340" w:type="dxa"/>
            <w:vAlign w:val="bottom"/>
            <w:tcBorders>
              <w:bottom w:val="single" w:sz="8" w:color="auto"/>
            </w:tcBorders>
            <w:shd w:val="clear" w:color="auto" w:fill="F4EFE7"/>
          </w:tcPr>
          <w:p>
            <w:pPr>
              <w:spacing w:after="0"/>
              <w:rPr>
                <w:sz w:val="17"/>
                <w:szCs w:val="17"/>
                <w:color w:val="auto"/>
              </w:rPr>
            </w:pPr>
          </w:p>
        </w:tc>
        <w:tc>
          <w:tcPr>
            <w:tcW w:w="1040" w:type="dxa"/>
            <w:vAlign w:val="bottom"/>
            <w:tcBorders>
              <w:bottom w:val="single" w:sz="8" w:color="auto"/>
            </w:tcBorders>
            <w:shd w:val="clear" w:color="auto" w:fill="F4EFE7"/>
          </w:tcPr>
          <w:p>
            <w:pPr>
              <w:spacing w:after="0"/>
              <w:rPr>
                <w:sz w:val="17"/>
                <w:szCs w:val="17"/>
                <w:color w:val="auto"/>
              </w:rPr>
            </w:pPr>
          </w:p>
        </w:tc>
        <w:tc>
          <w:tcPr>
            <w:tcW w:w="200" w:type="dxa"/>
            <w:vAlign w:val="bottom"/>
            <w:tcBorders>
              <w:bottom w:val="single" w:sz="8" w:color="auto"/>
            </w:tcBorders>
            <w:shd w:val="clear" w:color="auto" w:fill="F4EFE7"/>
          </w:tcPr>
          <w:p>
            <w:pPr>
              <w:spacing w:after="0"/>
              <w:rPr>
                <w:sz w:val="17"/>
                <w:szCs w:val="17"/>
                <w:color w:val="auto"/>
              </w:rPr>
            </w:pPr>
          </w:p>
        </w:tc>
        <w:tc>
          <w:tcPr>
            <w:tcW w:w="1360" w:type="dxa"/>
            <w:vAlign w:val="bottom"/>
            <w:tcBorders>
              <w:bottom w:val="single" w:sz="8" w:color="auto"/>
            </w:tcBorders>
            <w:shd w:val="clear" w:color="auto" w:fill="F4EFE7"/>
          </w:tcPr>
          <w:p>
            <w:pPr>
              <w:spacing w:after="0"/>
              <w:rPr>
                <w:sz w:val="17"/>
                <w:szCs w:val="17"/>
                <w:color w:val="auto"/>
              </w:rPr>
            </w:pPr>
          </w:p>
        </w:tc>
        <w:tc>
          <w:tcPr>
            <w:tcW w:w="144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3"/>
                <w:szCs w:val="13"/>
                <w:b w:val="1"/>
                <w:bCs w:val="1"/>
                <w:color w:val="8F5A39"/>
              </w:rPr>
              <w:t>Termination reason</w:t>
            </w:r>
            <w:r>
              <w:rPr>
                <w:rFonts w:ascii="Arial" w:cs="Arial" w:eastAsia="Arial" w:hAnsi="Arial"/>
                <w:sz w:val="16"/>
                <w:szCs w:val="16"/>
                <w:b w:val="1"/>
                <w:bCs w:val="1"/>
                <w:color w:val="8F5A39"/>
                <w:vertAlign w:val="superscript"/>
              </w:rPr>
              <w:t>1</w:t>
            </w:r>
          </w:p>
        </w:tc>
        <w:tc>
          <w:tcPr>
            <w:tcW w:w="1200" w:type="dxa"/>
            <w:vAlign w:val="bottom"/>
            <w:tcBorders>
              <w:bottom w:val="single" w:sz="8" w:color="auto"/>
            </w:tcBorders>
            <w:shd w:val="clear" w:color="auto" w:fill="F4EFE7"/>
          </w:tcPr>
          <w:p>
            <w:pPr>
              <w:spacing w:after="0"/>
              <w:rPr>
                <w:sz w:val="17"/>
                <w:szCs w:val="17"/>
                <w:color w:val="auto"/>
              </w:rPr>
            </w:pPr>
          </w:p>
        </w:tc>
        <w:tc>
          <w:tcPr>
            <w:tcW w:w="1300" w:type="dxa"/>
            <w:vAlign w:val="bottom"/>
            <w:tcBorders>
              <w:bottom w:val="single" w:sz="8" w:color="auto"/>
            </w:tcBorders>
            <w:shd w:val="clear" w:color="auto" w:fill="F4EFE7"/>
          </w:tcPr>
          <w:p>
            <w:pPr>
              <w:spacing w:after="0"/>
              <w:rPr>
                <w:sz w:val="17"/>
                <w:szCs w:val="17"/>
                <w:color w:val="auto"/>
              </w:rPr>
            </w:pPr>
          </w:p>
        </w:tc>
        <w:tc>
          <w:tcPr>
            <w:tcW w:w="660" w:type="dxa"/>
            <w:vAlign w:val="bottom"/>
            <w:tcBorders>
              <w:bottom w:val="single" w:sz="8" w:color="auto"/>
            </w:tcBorders>
            <w:shd w:val="clear" w:color="auto" w:fill="F4EFE7"/>
          </w:tcPr>
          <w:p>
            <w:pPr>
              <w:spacing w:after="0"/>
              <w:rPr>
                <w:sz w:val="17"/>
                <w:szCs w:val="17"/>
                <w:color w:val="auto"/>
              </w:rPr>
            </w:pPr>
          </w:p>
        </w:tc>
      </w:tr>
      <w:tr>
        <w:trPr>
          <w:trHeight w:val="151"/>
        </w:trPr>
        <w:tc>
          <w:tcPr>
            <w:tcW w:w="1860" w:type="dxa"/>
            <w:vAlign w:val="bottom"/>
            <w:shd w:val="clear" w:color="auto" w:fill="F4EFE7"/>
          </w:tcPr>
          <w:p>
            <w:pPr>
              <w:spacing w:after="0"/>
              <w:rPr>
                <w:sz w:val="13"/>
                <w:szCs w:val="13"/>
                <w:color w:val="auto"/>
              </w:rPr>
            </w:pPr>
          </w:p>
        </w:tc>
        <w:tc>
          <w:tcPr>
            <w:tcW w:w="1840" w:type="dxa"/>
            <w:vAlign w:val="bottom"/>
            <w:shd w:val="clear" w:color="auto" w:fill="F4EFE7"/>
          </w:tcPr>
          <w:p>
            <w:pPr>
              <w:spacing w:after="0"/>
              <w:rPr>
                <w:sz w:val="13"/>
                <w:szCs w:val="13"/>
                <w:color w:val="auto"/>
              </w:rPr>
            </w:pPr>
          </w:p>
        </w:tc>
        <w:tc>
          <w:tcPr>
            <w:tcW w:w="340" w:type="dxa"/>
            <w:vAlign w:val="bottom"/>
            <w:shd w:val="clear" w:color="auto" w:fill="F4EFE7"/>
          </w:tcPr>
          <w:p>
            <w:pPr>
              <w:spacing w:after="0"/>
              <w:rPr>
                <w:sz w:val="13"/>
                <w:szCs w:val="13"/>
                <w:color w:val="auto"/>
              </w:rPr>
            </w:pPr>
          </w:p>
        </w:tc>
        <w:tc>
          <w:tcPr>
            <w:tcW w:w="1040" w:type="dxa"/>
            <w:vAlign w:val="bottom"/>
            <w:shd w:val="clear" w:color="auto" w:fill="F4EFE7"/>
          </w:tcPr>
          <w:p>
            <w:pPr>
              <w:spacing w:after="0"/>
              <w:rPr>
                <w:sz w:val="13"/>
                <w:szCs w:val="13"/>
                <w:color w:val="auto"/>
              </w:rPr>
            </w:pPr>
          </w:p>
        </w:tc>
        <w:tc>
          <w:tcPr>
            <w:tcW w:w="200" w:type="dxa"/>
            <w:vAlign w:val="bottom"/>
            <w:shd w:val="clear" w:color="auto" w:fill="F4EFE7"/>
          </w:tcPr>
          <w:p>
            <w:pPr>
              <w:spacing w:after="0"/>
              <w:rPr>
                <w:sz w:val="13"/>
                <w:szCs w:val="13"/>
                <w:color w:val="auto"/>
              </w:rPr>
            </w:pPr>
          </w:p>
        </w:tc>
        <w:tc>
          <w:tcPr>
            <w:tcW w:w="1360" w:type="dxa"/>
            <w:vAlign w:val="bottom"/>
            <w:shd w:val="clear" w:color="auto" w:fill="F4EFE7"/>
          </w:tcPr>
          <w:p>
            <w:pPr>
              <w:jc w:val="right"/>
              <w:ind w:right="310"/>
              <w:spacing w:after="0"/>
              <w:rPr>
                <w:sz w:val="20"/>
                <w:szCs w:val="20"/>
                <w:color w:val="auto"/>
              </w:rPr>
            </w:pPr>
            <w:r>
              <w:rPr>
                <w:rFonts w:ascii="Arial" w:cs="Arial" w:eastAsia="Arial" w:hAnsi="Arial"/>
                <w:sz w:val="13"/>
                <w:szCs w:val="13"/>
                <w:b w:val="1"/>
                <w:bCs w:val="1"/>
                <w:color w:val="8F5A39"/>
                <w:w w:val="97"/>
              </w:rPr>
              <w:t>Resignation per</w:t>
            </w:r>
          </w:p>
        </w:tc>
        <w:tc>
          <w:tcPr>
            <w:tcW w:w="1440" w:type="dxa"/>
            <w:vAlign w:val="bottom"/>
            <w:shd w:val="clear" w:color="auto" w:fill="F4EFE7"/>
          </w:tcPr>
          <w:p>
            <w:pPr>
              <w:spacing w:after="0"/>
              <w:rPr>
                <w:sz w:val="13"/>
                <w:szCs w:val="13"/>
                <w:color w:val="auto"/>
              </w:rPr>
            </w:pPr>
          </w:p>
        </w:tc>
        <w:tc>
          <w:tcPr>
            <w:tcW w:w="1200" w:type="dxa"/>
            <w:vAlign w:val="bottom"/>
            <w:shd w:val="clear" w:color="auto" w:fill="F4EFE7"/>
          </w:tcPr>
          <w:p>
            <w:pPr>
              <w:spacing w:after="0"/>
              <w:rPr>
                <w:sz w:val="13"/>
                <w:szCs w:val="13"/>
                <w:color w:val="auto"/>
              </w:rPr>
            </w:pPr>
          </w:p>
        </w:tc>
        <w:tc>
          <w:tcPr>
            <w:tcW w:w="1300" w:type="dxa"/>
            <w:vAlign w:val="bottom"/>
            <w:shd w:val="clear" w:color="auto" w:fill="F4EFE7"/>
          </w:tcPr>
          <w:p>
            <w:pPr>
              <w:spacing w:after="0"/>
              <w:rPr>
                <w:sz w:val="13"/>
                <w:szCs w:val="13"/>
                <w:color w:val="auto"/>
              </w:rPr>
            </w:pPr>
          </w:p>
        </w:tc>
        <w:tc>
          <w:tcPr>
            <w:tcW w:w="660" w:type="dxa"/>
            <w:vAlign w:val="bottom"/>
            <w:shd w:val="clear" w:color="auto" w:fill="F4EFE7"/>
          </w:tcPr>
          <w:p>
            <w:pPr>
              <w:spacing w:after="0"/>
              <w:rPr>
                <w:sz w:val="13"/>
                <w:szCs w:val="13"/>
                <w:color w:val="auto"/>
              </w:rPr>
            </w:pPr>
          </w:p>
        </w:tc>
      </w:tr>
      <w:tr>
        <w:trPr>
          <w:trHeight w:val="148"/>
        </w:trPr>
        <w:tc>
          <w:tcPr>
            <w:tcW w:w="1860" w:type="dxa"/>
            <w:vAlign w:val="bottom"/>
            <w:shd w:val="clear" w:color="auto" w:fill="F4EFE7"/>
          </w:tcPr>
          <w:p>
            <w:pPr>
              <w:spacing w:after="0"/>
              <w:rPr>
                <w:sz w:val="12"/>
                <w:szCs w:val="12"/>
                <w:color w:val="auto"/>
              </w:rPr>
            </w:pPr>
          </w:p>
        </w:tc>
        <w:tc>
          <w:tcPr>
            <w:tcW w:w="1840" w:type="dxa"/>
            <w:vAlign w:val="bottom"/>
            <w:shd w:val="clear" w:color="auto" w:fill="F4EFE7"/>
          </w:tcPr>
          <w:p>
            <w:pPr>
              <w:spacing w:after="0"/>
              <w:rPr>
                <w:sz w:val="12"/>
                <w:szCs w:val="12"/>
                <w:color w:val="auto"/>
              </w:rPr>
            </w:pPr>
          </w:p>
        </w:tc>
        <w:tc>
          <w:tcPr>
            <w:tcW w:w="340" w:type="dxa"/>
            <w:vAlign w:val="bottom"/>
            <w:shd w:val="clear" w:color="auto" w:fill="F4EFE7"/>
          </w:tcPr>
          <w:p>
            <w:pPr>
              <w:spacing w:after="0"/>
              <w:rPr>
                <w:sz w:val="12"/>
                <w:szCs w:val="12"/>
                <w:color w:val="auto"/>
              </w:rPr>
            </w:pPr>
          </w:p>
        </w:tc>
        <w:tc>
          <w:tcPr>
            <w:tcW w:w="1040" w:type="dxa"/>
            <w:vAlign w:val="bottom"/>
            <w:shd w:val="clear" w:color="auto" w:fill="F4EFE7"/>
          </w:tcPr>
          <w:p>
            <w:pPr>
              <w:spacing w:after="0"/>
              <w:rPr>
                <w:sz w:val="12"/>
                <w:szCs w:val="12"/>
                <w:color w:val="auto"/>
              </w:rPr>
            </w:pPr>
          </w:p>
        </w:tc>
        <w:tc>
          <w:tcPr>
            <w:tcW w:w="200" w:type="dxa"/>
            <w:vAlign w:val="bottom"/>
            <w:shd w:val="clear" w:color="auto" w:fill="F4EFE7"/>
          </w:tcPr>
          <w:p>
            <w:pPr>
              <w:spacing w:after="0"/>
              <w:rPr>
                <w:sz w:val="12"/>
                <w:szCs w:val="12"/>
                <w:color w:val="auto"/>
              </w:rPr>
            </w:pPr>
          </w:p>
        </w:tc>
        <w:tc>
          <w:tcPr>
            <w:tcW w:w="1360" w:type="dxa"/>
            <w:vAlign w:val="bottom"/>
            <w:shd w:val="clear" w:color="auto" w:fill="F4EFE7"/>
          </w:tcPr>
          <w:p>
            <w:pPr>
              <w:jc w:val="right"/>
              <w:ind w:right="310"/>
              <w:spacing w:after="0"/>
              <w:rPr>
                <w:sz w:val="20"/>
                <w:szCs w:val="20"/>
                <w:color w:val="auto"/>
              </w:rPr>
            </w:pPr>
            <w:r>
              <w:rPr>
                <w:rFonts w:ascii="Arial" w:cs="Arial" w:eastAsia="Arial" w:hAnsi="Arial"/>
                <w:sz w:val="13"/>
                <w:szCs w:val="13"/>
                <w:b w:val="1"/>
                <w:bCs w:val="1"/>
                <w:color w:val="8F5A39"/>
              </w:rPr>
              <w:t>Full-Career</w:t>
            </w:r>
          </w:p>
        </w:tc>
        <w:tc>
          <w:tcPr>
            <w:tcW w:w="1440" w:type="dxa"/>
            <w:vAlign w:val="bottom"/>
            <w:shd w:val="clear" w:color="auto" w:fill="F4EFE7"/>
          </w:tcPr>
          <w:p>
            <w:pPr>
              <w:spacing w:after="0"/>
              <w:rPr>
                <w:sz w:val="12"/>
                <w:szCs w:val="12"/>
                <w:color w:val="auto"/>
              </w:rPr>
            </w:pPr>
          </w:p>
        </w:tc>
        <w:tc>
          <w:tcPr>
            <w:tcW w:w="1200" w:type="dxa"/>
            <w:vAlign w:val="bottom"/>
            <w:shd w:val="clear" w:color="auto" w:fill="F4EFE7"/>
          </w:tcPr>
          <w:p>
            <w:pPr>
              <w:spacing w:after="0"/>
              <w:rPr>
                <w:sz w:val="12"/>
                <w:szCs w:val="12"/>
                <w:color w:val="auto"/>
              </w:rPr>
            </w:pPr>
          </w:p>
        </w:tc>
        <w:tc>
          <w:tcPr>
            <w:tcW w:w="1300" w:type="dxa"/>
            <w:vAlign w:val="bottom"/>
            <w:shd w:val="clear" w:color="auto" w:fill="F4EFE7"/>
          </w:tcPr>
          <w:p>
            <w:pPr>
              <w:jc w:val="right"/>
              <w:ind w:right="210"/>
              <w:spacing w:after="0"/>
              <w:rPr>
                <w:sz w:val="20"/>
                <w:szCs w:val="20"/>
                <w:color w:val="auto"/>
              </w:rPr>
            </w:pPr>
            <w:r>
              <w:rPr>
                <w:rFonts w:ascii="Arial" w:cs="Arial" w:eastAsia="Arial" w:hAnsi="Arial"/>
                <w:sz w:val="13"/>
                <w:szCs w:val="13"/>
                <w:b w:val="1"/>
                <w:bCs w:val="1"/>
                <w:color w:val="8F5A39"/>
              </w:rPr>
              <w:t>Resignation per</w:t>
            </w:r>
          </w:p>
        </w:tc>
        <w:tc>
          <w:tcPr>
            <w:tcW w:w="660" w:type="dxa"/>
            <w:vAlign w:val="bottom"/>
            <w:shd w:val="clear" w:color="auto" w:fill="F4EFE7"/>
          </w:tcPr>
          <w:p>
            <w:pPr>
              <w:spacing w:after="0"/>
              <w:rPr>
                <w:sz w:val="12"/>
                <w:szCs w:val="12"/>
                <w:color w:val="auto"/>
              </w:rPr>
            </w:pPr>
          </w:p>
        </w:tc>
      </w:tr>
      <w:tr>
        <w:trPr>
          <w:trHeight w:val="148"/>
        </w:trPr>
        <w:tc>
          <w:tcPr>
            <w:tcW w:w="1860" w:type="dxa"/>
            <w:vAlign w:val="bottom"/>
            <w:shd w:val="clear" w:color="auto" w:fill="F4EFE7"/>
          </w:tcPr>
          <w:p>
            <w:pPr>
              <w:spacing w:after="0"/>
              <w:rPr>
                <w:sz w:val="12"/>
                <w:szCs w:val="12"/>
                <w:color w:val="auto"/>
              </w:rPr>
            </w:pPr>
          </w:p>
        </w:tc>
        <w:tc>
          <w:tcPr>
            <w:tcW w:w="1840" w:type="dxa"/>
            <w:vAlign w:val="bottom"/>
            <w:shd w:val="clear" w:color="auto" w:fill="F4EFE7"/>
          </w:tcPr>
          <w:p>
            <w:pPr>
              <w:spacing w:after="0"/>
              <w:rPr>
                <w:sz w:val="12"/>
                <w:szCs w:val="12"/>
                <w:color w:val="auto"/>
              </w:rPr>
            </w:pPr>
          </w:p>
        </w:tc>
        <w:tc>
          <w:tcPr>
            <w:tcW w:w="340" w:type="dxa"/>
            <w:vAlign w:val="bottom"/>
            <w:shd w:val="clear" w:color="auto" w:fill="F4EFE7"/>
          </w:tcPr>
          <w:p>
            <w:pPr>
              <w:spacing w:after="0"/>
              <w:rPr>
                <w:sz w:val="12"/>
                <w:szCs w:val="12"/>
                <w:color w:val="auto"/>
              </w:rPr>
            </w:pPr>
          </w:p>
        </w:tc>
        <w:tc>
          <w:tcPr>
            <w:tcW w:w="1040" w:type="dxa"/>
            <w:vAlign w:val="bottom"/>
            <w:shd w:val="clear" w:color="auto" w:fill="F4EFE7"/>
          </w:tcPr>
          <w:p>
            <w:pPr>
              <w:jc w:val="right"/>
              <w:ind w:right="29"/>
              <w:spacing w:after="0"/>
              <w:rPr>
                <w:sz w:val="20"/>
                <w:szCs w:val="20"/>
                <w:color w:val="auto"/>
              </w:rPr>
            </w:pPr>
            <w:r>
              <w:rPr>
                <w:rFonts w:ascii="Arial" w:cs="Arial" w:eastAsia="Arial" w:hAnsi="Arial"/>
                <w:sz w:val="13"/>
                <w:szCs w:val="13"/>
                <w:b w:val="1"/>
                <w:bCs w:val="1"/>
                <w:color w:val="8F5A39"/>
              </w:rPr>
              <w:t>Involuntary</w:t>
            </w:r>
          </w:p>
        </w:tc>
        <w:tc>
          <w:tcPr>
            <w:tcW w:w="200" w:type="dxa"/>
            <w:vAlign w:val="bottom"/>
            <w:shd w:val="clear" w:color="auto" w:fill="F4EFE7"/>
          </w:tcPr>
          <w:p>
            <w:pPr>
              <w:spacing w:after="0"/>
              <w:rPr>
                <w:sz w:val="12"/>
                <w:szCs w:val="12"/>
                <w:color w:val="auto"/>
              </w:rPr>
            </w:pPr>
          </w:p>
        </w:tc>
        <w:tc>
          <w:tcPr>
            <w:tcW w:w="1360" w:type="dxa"/>
            <w:vAlign w:val="bottom"/>
            <w:shd w:val="clear" w:color="auto" w:fill="F4EFE7"/>
          </w:tcPr>
          <w:p>
            <w:pPr>
              <w:jc w:val="right"/>
              <w:ind w:right="310"/>
              <w:spacing w:after="0"/>
              <w:rPr>
                <w:sz w:val="20"/>
                <w:szCs w:val="20"/>
                <w:color w:val="auto"/>
              </w:rPr>
            </w:pPr>
            <w:r>
              <w:rPr>
                <w:rFonts w:ascii="Arial" w:cs="Arial" w:eastAsia="Arial" w:hAnsi="Arial"/>
                <w:sz w:val="13"/>
                <w:szCs w:val="13"/>
                <w:b w:val="1"/>
                <w:bCs w:val="1"/>
                <w:color w:val="8F5A39"/>
              </w:rPr>
              <w:t>Eligibility</w:t>
            </w:r>
          </w:p>
        </w:tc>
        <w:tc>
          <w:tcPr>
            <w:tcW w:w="1440" w:type="dxa"/>
            <w:vAlign w:val="bottom"/>
            <w:shd w:val="clear" w:color="auto" w:fill="F4EFE7"/>
          </w:tcPr>
          <w:p>
            <w:pPr>
              <w:spacing w:after="0"/>
              <w:rPr>
                <w:sz w:val="12"/>
                <w:szCs w:val="12"/>
                <w:color w:val="auto"/>
              </w:rPr>
            </w:pPr>
          </w:p>
        </w:tc>
        <w:tc>
          <w:tcPr>
            <w:tcW w:w="1200" w:type="dxa"/>
            <w:vAlign w:val="bottom"/>
            <w:shd w:val="clear" w:color="auto" w:fill="F4EFE7"/>
          </w:tcPr>
          <w:p>
            <w:pPr>
              <w:spacing w:after="0"/>
              <w:rPr>
                <w:sz w:val="12"/>
                <w:szCs w:val="12"/>
                <w:color w:val="auto"/>
              </w:rPr>
            </w:pPr>
          </w:p>
        </w:tc>
        <w:tc>
          <w:tcPr>
            <w:tcW w:w="1300" w:type="dxa"/>
            <w:vAlign w:val="bottom"/>
            <w:shd w:val="clear" w:color="auto" w:fill="F4EFE7"/>
          </w:tcPr>
          <w:p>
            <w:pPr>
              <w:jc w:val="right"/>
              <w:ind w:right="210"/>
              <w:spacing w:after="0"/>
              <w:rPr>
                <w:sz w:val="20"/>
                <w:szCs w:val="20"/>
                <w:color w:val="auto"/>
              </w:rPr>
            </w:pPr>
            <w:r>
              <w:rPr>
                <w:rFonts w:ascii="Arial" w:cs="Arial" w:eastAsia="Arial" w:hAnsi="Arial"/>
                <w:sz w:val="13"/>
                <w:szCs w:val="13"/>
                <w:b w:val="1"/>
                <w:bCs w:val="1"/>
                <w:color w:val="8F5A39"/>
              </w:rPr>
              <w:t>Government</w:t>
            </w:r>
          </w:p>
        </w:tc>
        <w:tc>
          <w:tcPr>
            <w:tcW w:w="66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w w:val="98"/>
              </w:rPr>
              <w:t>Change in</w:t>
            </w:r>
          </w:p>
        </w:tc>
      </w:tr>
      <w:tr>
        <w:trPr>
          <w:trHeight w:val="152"/>
        </w:trPr>
        <w:tc>
          <w:tcPr>
            <w:tcW w:w="1860" w:type="dxa"/>
            <w:vAlign w:val="bottom"/>
            <w:shd w:val="clear" w:color="auto" w:fill="F4EFE7"/>
          </w:tcPr>
          <w:p>
            <w:pPr>
              <w:spacing w:after="0"/>
              <w:rPr>
                <w:sz w:val="13"/>
                <w:szCs w:val="13"/>
                <w:color w:val="auto"/>
              </w:rPr>
            </w:pPr>
          </w:p>
        </w:tc>
        <w:tc>
          <w:tcPr>
            <w:tcW w:w="1840" w:type="dxa"/>
            <w:vAlign w:val="bottom"/>
            <w:shd w:val="clear" w:color="auto" w:fill="F4EFE7"/>
          </w:tcPr>
          <w:p>
            <w:pPr>
              <w:spacing w:after="0"/>
              <w:rPr>
                <w:sz w:val="13"/>
                <w:szCs w:val="13"/>
                <w:color w:val="auto"/>
              </w:rPr>
            </w:pPr>
          </w:p>
        </w:tc>
        <w:tc>
          <w:tcPr>
            <w:tcW w:w="340" w:type="dxa"/>
            <w:vAlign w:val="bottom"/>
            <w:shd w:val="clear" w:color="auto" w:fill="F4EFE7"/>
          </w:tcPr>
          <w:p>
            <w:pPr>
              <w:spacing w:after="0"/>
              <w:rPr>
                <w:sz w:val="13"/>
                <w:szCs w:val="13"/>
                <w:color w:val="auto"/>
              </w:rPr>
            </w:pPr>
          </w:p>
        </w:tc>
        <w:tc>
          <w:tcPr>
            <w:tcW w:w="1040" w:type="dxa"/>
            <w:vAlign w:val="bottom"/>
            <w:shd w:val="clear" w:color="auto" w:fill="F4EFE7"/>
          </w:tcPr>
          <w:p>
            <w:pPr>
              <w:jc w:val="right"/>
              <w:ind w:right="29"/>
              <w:spacing w:after="0"/>
              <w:rPr>
                <w:sz w:val="20"/>
                <w:szCs w:val="20"/>
                <w:color w:val="auto"/>
              </w:rPr>
            </w:pPr>
            <w:r>
              <w:rPr>
                <w:rFonts w:ascii="Arial" w:cs="Arial" w:eastAsia="Arial" w:hAnsi="Arial"/>
                <w:sz w:val="13"/>
                <w:szCs w:val="13"/>
                <w:b w:val="1"/>
                <w:bCs w:val="1"/>
                <w:color w:val="8F5A39"/>
              </w:rPr>
              <w:t>without cause</w:t>
            </w:r>
          </w:p>
        </w:tc>
        <w:tc>
          <w:tcPr>
            <w:tcW w:w="200" w:type="dxa"/>
            <w:vAlign w:val="bottom"/>
            <w:shd w:val="clear" w:color="auto" w:fill="F4EFE7"/>
          </w:tcPr>
          <w:p>
            <w:pPr>
              <w:spacing w:after="0"/>
              <w:rPr>
                <w:sz w:val="13"/>
                <w:szCs w:val="13"/>
                <w:color w:val="auto"/>
              </w:rPr>
            </w:pPr>
          </w:p>
        </w:tc>
        <w:tc>
          <w:tcPr>
            <w:tcW w:w="1360" w:type="dxa"/>
            <w:vAlign w:val="bottom"/>
            <w:shd w:val="clear" w:color="auto" w:fill="F4EFE7"/>
          </w:tcPr>
          <w:p>
            <w:pPr>
              <w:jc w:val="right"/>
              <w:ind w:right="310"/>
              <w:spacing w:after="0"/>
              <w:rPr>
                <w:sz w:val="20"/>
                <w:szCs w:val="20"/>
                <w:color w:val="auto"/>
              </w:rPr>
            </w:pPr>
            <w:r>
              <w:rPr>
                <w:rFonts w:ascii="Arial" w:cs="Arial" w:eastAsia="Arial" w:hAnsi="Arial"/>
                <w:sz w:val="13"/>
                <w:szCs w:val="13"/>
                <w:b w:val="1"/>
                <w:bCs w:val="1"/>
                <w:color w:val="8F5A39"/>
              </w:rPr>
              <w:t>provision</w:t>
            </w:r>
          </w:p>
        </w:tc>
        <w:tc>
          <w:tcPr>
            <w:tcW w:w="1440" w:type="dxa"/>
            <w:vAlign w:val="bottom"/>
            <w:shd w:val="clear" w:color="auto" w:fill="F4EFE7"/>
          </w:tcPr>
          <w:p>
            <w:pPr>
              <w:jc w:val="right"/>
              <w:ind w:right="409"/>
              <w:spacing w:after="0"/>
              <w:rPr>
                <w:sz w:val="20"/>
                <w:szCs w:val="20"/>
                <w:color w:val="auto"/>
              </w:rPr>
            </w:pPr>
            <w:r>
              <w:rPr>
                <w:rFonts w:ascii="Arial" w:cs="Arial" w:eastAsia="Arial" w:hAnsi="Arial"/>
                <w:sz w:val="13"/>
                <w:szCs w:val="13"/>
                <w:b w:val="1"/>
                <w:bCs w:val="1"/>
                <w:color w:val="8F5A39"/>
              </w:rPr>
              <w:t>Disability</w:t>
            </w:r>
          </w:p>
        </w:tc>
        <w:tc>
          <w:tcPr>
            <w:tcW w:w="1200" w:type="dxa"/>
            <w:vAlign w:val="bottom"/>
            <w:shd w:val="clear" w:color="auto" w:fill="F4EFE7"/>
          </w:tcPr>
          <w:p>
            <w:pPr>
              <w:jc w:val="right"/>
              <w:ind w:right="269"/>
              <w:spacing w:after="0"/>
              <w:rPr>
                <w:sz w:val="20"/>
                <w:szCs w:val="20"/>
                <w:color w:val="auto"/>
              </w:rPr>
            </w:pPr>
            <w:r>
              <w:rPr>
                <w:rFonts w:ascii="Arial" w:cs="Arial" w:eastAsia="Arial" w:hAnsi="Arial"/>
                <w:sz w:val="13"/>
                <w:szCs w:val="13"/>
                <w:b w:val="1"/>
                <w:bCs w:val="1"/>
                <w:color w:val="8F5A39"/>
              </w:rPr>
              <w:t>Death</w:t>
            </w:r>
          </w:p>
        </w:tc>
        <w:tc>
          <w:tcPr>
            <w:tcW w:w="1300" w:type="dxa"/>
            <w:vAlign w:val="bottom"/>
            <w:shd w:val="clear" w:color="auto" w:fill="F4EFE7"/>
          </w:tcPr>
          <w:p>
            <w:pPr>
              <w:jc w:val="right"/>
              <w:ind w:right="210"/>
              <w:spacing w:after="0"/>
              <w:rPr>
                <w:sz w:val="20"/>
                <w:szCs w:val="20"/>
                <w:color w:val="auto"/>
              </w:rPr>
            </w:pPr>
            <w:r>
              <w:rPr>
                <w:rFonts w:ascii="Arial" w:cs="Arial" w:eastAsia="Arial" w:hAnsi="Arial"/>
                <w:sz w:val="13"/>
                <w:szCs w:val="13"/>
                <w:b w:val="1"/>
                <w:bCs w:val="1"/>
                <w:color w:val="8F5A39"/>
              </w:rPr>
              <w:t>Office provision</w:t>
            </w:r>
          </w:p>
        </w:tc>
        <w:tc>
          <w:tcPr>
            <w:tcW w:w="660" w:type="dxa"/>
            <w:vAlign w:val="bottom"/>
            <w:shd w:val="clear" w:color="auto" w:fill="F4EFE7"/>
          </w:tcPr>
          <w:p>
            <w:pPr>
              <w:jc w:val="right"/>
              <w:spacing w:after="0"/>
              <w:rPr>
                <w:sz w:val="20"/>
                <w:szCs w:val="20"/>
                <w:color w:val="auto"/>
              </w:rPr>
            </w:pPr>
            <w:r>
              <w:rPr>
                <w:rFonts w:ascii="Arial" w:cs="Arial" w:eastAsia="Arial" w:hAnsi="Arial"/>
                <w:sz w:val="13"/>
                <w:szCs w:val="13"/>
                <w:b w:val="1"/>
                <w:bCs w:val="1"/>
                <w:color w:val="8F5A39"/>
              </w:rPr>
              <w:t>control</w:t>
            </w:r>
          </w:p>
        </w:tc>
      </w:tr>
      <w:tr>
        <w:trPr>
          <w:trHeight w:val="204"/>
        </w:trPr>
        <w:tc>
          <w:tcPr>
            <w:tcW w:w="186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3"/>
                <w:szCs w:val="13"/>
                <w:b w:val="1"/>
                <w:bCs w:val="1"/>
                <w:color w:val="8F5A39"/>
              </w:rPr>
              <w:t>Name</w:t>
            </w:r>
          </w:p>
        </w:tc>
        <w:tc>
          <w:tcPr>
            <w:tcW w:w="1840" w:type="dxa"/>
            <w:vAlign w:val="bottom"/>
            <w:tcBorders>
              <w:bottom w:val="single" w:sz="8" w:color="auto"/>
            </w:tcBorders>
            <w:shd w:val="clear" w:color="auto" w:fill="F4EFE7"/>
          </w:tcPr>
          <w:p>
            <w:pPr>
              <w:spacing w:after="0"/>
              <w:rPr>
                <w:sz w:val="17"/>
                <w:szCs w:val="17"/>
                <w:color w:val="auto"/>
              </w:rPr>
            </w:pPr>
          </w:p>
        </w:tc>
        <w:tc>
          <w:tcPr>
            <w:tcW w:w="340" w:type="dxa"/>
            <w:vAlign w:val="bottom"/>
            <w:tcBorders>
              <w:bottom w:val="single" w:sz="8" w:color="auto"/>
            </w:tcBorders>
            <w:shd w:val="clear" w:color="auto" w:fill="F4EFE7"/>
          </w:tcPr>
          <w:p>
            <w:pPr>
              <w:spacing w:after="0"/>
              <w:rPr>
                <w:sz w:val="17"/>
                <w:szCs w:val="17"/>
                <w:color w:val="auto"/>
              </w:rPr>
            </w:pPr>
          </w:p>
        </w:tc>
        <w:tc>
          <w:tcPr>
            <w:tcW w:w="1040" w:type="dxa"/>
            <w:vAlign w:val="bottom"/>
            <w:tcBorders>
              <w:bottom w:val="single" w:sz="8" w:color="auto"/>
            </w:tcBorders>
            <w:shd w:val="clear" w:color="auto" w:fill="F4EFE7"/>
          </w:tcPr>
          <w:p>
            <w:pPr>
              <w:jc w:val="right"/>
              <w:ind w:right="29"/>
              <w:spacing w:after="0"/>
              <w:rPr>
                <w:sz w:val="20"/>
                <w:szCs w:val="20"/>
                <w:color w:val="auto"/>
              </w:rPr>
            </w:pPr>
            <w:r>
              <w:rPr>
                <w:rFonts w:ascii="Arial" w:cs="Arial" w:eastAsia="Arial" w:hAnsi="Arial"/>
                <w:sz w:val="13"/>
                <w:szCs w:val="13"/>
                <w:b w:val="1"/>
                <w:bCs w:val="1"/>
                <w:color w:val="8F5A39"/>
              </w:rPr>
              <w:t>($)</w:t>
            </w:r>
            <w:r>
              <w:rPr>
                <w:rFonts w:ascii="Arial" w:cs="Arial" w:eastAsia="Arial" w:hAnsi="Arial"/>
                <w:sz w:val="16"/>
                <w:szCs w:val="16"/>
                <w:b w:val="1"/>
                <w:bCs w:val="1"/>
                <w:color w:val="8F5A39"/>
                <w:vertAlign w:val="superscript"/>
              </w:rPr>
              <w:t>2</w:t>
            </w:r>
          </w:p>
        </w:tc>
        <w:tc>
          <w:tcPr>
            <w:tcW w:w="200" w:type="dxa"/>
            <w:vAlign w:val="bottom"/>
            <w:tcBorders>
              <w:bottom w:val="single" w:sz="8" w:color="auto"/>
            </w:tcBorders>
            <w:shd w:val="clear" w:color="auto" w:fill="F4EFE7"/>
          </w:tcPr>
          <w:p>
            <w:pPr>
              <w:spacing w:after="0"/>
              <w:rPr>
                <w:sz w:val="17"/>
                <w:szCs w:val="17"/>
                <w:color w:val="auto"/>
              </w:rPr>
            </w:pPr>
          </w:p>
        </w:tc>
        <w:tc>
          <w:tcPr>
            <w:tcW w:w="1360" w:type="dxa"/>
            <w:vAlign w:val="bottom"/>
            <w:tcBorders>
              <w:bottom w:val="single" w:sz="8" w:color="auto"/>
            </w:tcBorders>
            <w:shd w:val="clear" w:color="auto" w:fill="F4EFE7"/>
          </w:tcPr>
          <w:p>
            <w:pPr>
              <w:ind w:left="780"/>
              <w:spacing w:after="0"/>
              <w:rPr>
                <w:sz w:val="20"/>
                <w:szCs w:val="20"/>
                <w:color w:val="auto"/>
              </w:rPr>
            </w:pPr>
            <w:r>
              <w:rPr>
                <w:rFonts w:ascii="Arial" w:cs="Arial" w:eastAsia="Arial" w:hAnsi="Arial"/>
                <w:sz w:val="13"/>
                <w:szCs w:val="13"/>
                <w:b w:val="1"/>
                <w:bCs w:val="1"/>
                <w:color w:val="8F5A39"/>
              </w:rPr>
              <w:t>($)</w:t>
            </w:r>
            <w:r>
              <w:rPr>
                <w:rFonts w:ascii="Arial" w:cs="Arial" w:eastAsia="Arial" w:hAnsi="Arial"/>
                <w:sz w:val="16"/>
                <w:szCs w:val="16"/>
                <w:b w:val="1"/>
                <w:bCs w:val="1"/>
                <w:color w:val="8F5A39"/>
                <w:vertAlign w:val="superscript"/>
              </w:rPr>
              <w:t>3</w:t>
            </w:r>
          </w:p>
        </w:tc>
        <w:tc>
          <w:tcPr>
            <w:tcW w:w="1440" w:type="dxa"/>
            <w:vAlign w:val="bottom"/>
            <w:tcBorders>
              <w:bottom w:val="single" w:sz="8" w:color="auto"/>
            </w:tcBorders>
            <w:shd w:val="clear" w:color="auto" w:fill="F4EFE7"/>
          </w:tcPr>
          <w:p>
            <w:pPr>
              <w:ind w:left="760"/>
              <w:spacing w:after="0"/>
              <w:rPr>
                <w:sz w:val="20"/>
                <w:szCs w:val="20"/>
                <w:color w:val="auto"/>
              </w:rPr>
            </w:pPr>
            <w:r>
              <w:rPr>
                <w:rFonts w:ascii="Arial" w:cs="Arial" w:eastAsia="Arial" w:hAnsi="Arial"/>
                <w:sz w:val="13"/>
                <w:szCs w:val="13"/>
                <w:b w:val="1"/>
                <w:bCs w:val="1"/>
                <w:color w:val="8F5A39"/>
              </w:rPr>
              <w:t>($)</w:t>
            </w:r>
            <w:r>
              <w:rPr>
                <w:rFonts w:ascii="Arial" w:cs="Arial" w:eastAsia="Arial" w:hAnsi="Arial"/>
                <w:sz w:val="16"/>
                <w:szCs w:val="16"/>
                <w:b w:val="1"/>
                <w:bCs w:val="1"/>
                <w:color w:val="8F5A39"/>
                <w:vertAlign w:val="superscript"/>
              </w:rPr>
              <w:t>4</w:t>
            </w:r>
          </w:p>
        </w:tc>
        <w:tc>
          <w:tcPr>
            <w:tcW w:w="1200" w:type="dxa"/>
            <w:vAlign w:val="bottom"/>
            <w:tcBorders>
              <w:bottom w:val="single" w:sz="8" w:color="auto"/>
            </w:tcBorders>
            <w:shd w:val="clear" w:color="auto" w:fill="F4EFE7"/>
          </w:tcPr>
          <w:p>
            <w:pPr>
              <w:ind w:left="660"/>
              <w:spacing w:after="0"/>
              <w:rPr>
                <w:sz w:val="20"/>
                <w:szCs w:val="20"/>
                <w:color w:val="auto"/>
              </w:rPr>
            </w:pPr>
            <w:r>
              <w:rPr>
                <w:rFonts w:ascii="Arial" w:cs="Arial" w:eastAsia="Arial" w:hAnsi="Arial"/>
                <w:sz w:val="13"/>
                <w:szCs w:val="13"/>
                <w:b w:val="1"/>
                <w:bCs w:val="1"/>
                <w:color w:val="8F5A39"/>
              </w:rPr>
              <w:t>($)</w:t>
            </w:r>
            <w:r>
              <w:rPr>
                <w:rFonts w:ascii="Arial" w:cs="Arial" w:eastAsia="Arial" w:hAnsi="Arial"/>
                <w:sz w:val="16"/>
                <w:szCs w:val="16"/>
                <w:b w:val="1"/>
                <w:bCs w:val="1"/>
                <w:color w:val="8F5A39"/>
                <w:vertAlign w:val="superscript"/>
              </w:rPr>
              <w:t>5</w:t>
            </w:r>
          </w:p>
        </w:tc>
        <w:tc>
          <w:tcPr>
            <w:tcW w:w="1300" w:type="dxa"/>
            <w:vAlign w:val="bottom"/>
            <w:tcBorders>
              <w:bottom w:val="single" w:sz="8" w:color="auto"/>
            </w:tcBorders>
            <w:shd w:val="clear" w:color="auto" w:fill="F4EFE7"/>
          </w:tcPr>
          <w:p>
            <w:pPr>
              <w:ind w:left="820"/>
              <w:spacing w:after="0"/>
              <w:rPr>
                <w:sz w:val="20"/>
                <w:szCs w:val="20"/>
                <w:color w:val="auto"/>
              </w:rPr>
            </w:pPr>
            <w:r>
              <w:rPr>
                <w:rFonts w:ascii="Arial" w:cs="Arial" w:eastAsia="Arial" w:hAnsi="Arial"/>
                <w:sz w:val="13"/>
                <w:szCs w:val="13"/>
                <w:b w:val="1"/>
                <w:bCs w:val="1"/>
                <w:color w:val="8F5A39"/>
              </w:rPr>
              <w:t>($)</w:t>
            </w:r>
            <w:r>
              <w:rPr>
                <w:rFonts w:ascii="Arial" w:cs="Arial" w:eastAsia="Arial" w:hAnsi="Arial"/>
                <w:sz w:val="16"/>
                <w:szCs w:val="16"/>
                <w:b w:val="1"/>
                <w:bCs w:val="1"/>
                <w:color w:val="8F5A39"/>
                <w:vertAlign w:val="superscript"/>
              </w:rPr>
              <w:t>6</w:t>
            </w:r>
          </w:p>
        </w:tc>
        <w:tc>
          <w:tcPr>
            <w:tcW w:w="66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3"/>
                <w:szCs w:val="13"/>
                <w:b w:val="1"/>
                <w:bCs w:val="1"/>
                <w:color w:val="8F5A39"/>
              </w:rPr>
              <w:t>($)</w:t>
            </w:r>
          </w:p>
        </w:tc>
      </w:tr>
      <w:tr>
        <w:trPr>
          <w:trHeight w:val="228"/>
        </w:trPr>
        <w:tc>
          <w:tcPr>
            <w:tcW w:w="1860" w:type="dxa"/>
            <w:vAlign w:val="bottom"/>
          </w:tcPr>
          <w:p>
            <w:pPr>
              <w:ind w:left="20"/>
              <w:spacing w:after="0"/>
              <w:rPr>
                <w:sz w:val="20"/>
                <w:szCs w:val="20"/>
                <w:color w:val="auto"/>
              </w:rPr>
            </w:pPr>
            <w:r>
              <w:rPr>
                <w:rFonts w:ascii="Arial" w:cs="Arial" w:eastAsia="Arial" w:hAnsi="Arial"/>
                <w:sz w:val="14"/>
                <w:szCs w:val="14"/>
                <w:b w:val="1"/>
                <w:bCs w:val="1"/>
                <w:color w:val="8F5A39"/>
              </w:rPr>
              <w:t>James Dimon</w:t>
            </w:r>
          </w:p>
        </w:tc>
        <w:tc>
          <w:tcPr>
            <w:tcW w:w="1840" w:type="dxa"/>
            <w:vAlign w:val="bottom"/>
          </w:tcPr>
          <w:p>
            <w:pPr>
              <w:ind w:left="20"/>
              <w:spacing w:after="0"/>
              <w:rPr>
                <w:sz w:val="20"/>
                <w:szCs w:val="20"/>
                <w:color w:val="auto"/>
              </w:rPr>
            </w:pPr>
            <w:r>
              <w:rPr>
                <w:rFonts w:ascii="Arial" w:cs="Arial" w:eastAsia="Arial" w:hAnsi="Arial"/>
                <w:sz w:val="14"/>
                <w:szCs w:val="14"/>
                <w:color w:val="auto"/>
              </w:rPr>
              <w:t>Severance and other</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400,000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800"/>
              <w:spacing w:after="0"/>
              <w:rPr>
                <w:sz w:val="20"/>
                <w:szCs w:val="20"/>
                <w:color w:val="auto"/>
              </w:rPr>
            </w:pPr>
            <w:r>
              <w:rPr>
                <w:rFonts w:ascii="Arial" w:cs="Arial" w:eastAsia="Arial" w:hAnsi="Arial"/>
                <w:sz w:val="14"/>
                <w:szCs w:val="14"/>
                <w:color w:val="auto"/>
              </w:rPr>
              <w:t>—   $</w:t>
            </w:r>
          </w:p>
        </w:tc>
        <w:tc>
          <w:tcPr>
            <w:tcW w:w="1440" w:type="dxa"/>
            <w:vAlign w:val="bottom"/>
          </w:tcPr>
          <w:p>
            <w:pPr>
              <w:ind w:left="760"/>
              <w:spacing w:after="0"/>
              <w:rPr>
                <w:sz w:val="20"/>
                <w:szCs w:val="20"/>
                <w:color w:val="auto"/>
              </w:rPr>
            </w:pPr>
            <w:r>
              <w:rPr>
                <w:rFonts w:ascii="Arial" w:cs="Arial" w:eastAsia="Arial" w:hAnsi="Arial"/>
                <w:sz w:val="14"/>
                <w:szCs w:val="14"/>
                <w:color w:val="auto"/>
              </w:rPr>
              <w:t>—   $</w:t>
            </w:r>
          </w:p>
        </w:tc>
        <w:tc>
          <w:tcPr>
            <w:tcW w:w="1200" w:type="dxa"/>
            <w:vAlign w:val="bottom"/>
          </w:tcPr>
          <w:p>
            <w:pPr>
              <w:ind w:left="660"/>
              <w:spacing w:after="0"/>
              <w:rPr>
                <w:sz w:val="20"/>
                <w:szCs w:val="20"/>
                <w:color w:val="auto"/>
              </w:rPr>
            </w:pPr>
            <w:r>
              <w:rPr>
                <w:rFonts w:ascii="Arial" w:cs="Arial" w:eastAsia="Arial" w:hAnsi="Arial"/>
                <w:sz w:val="14"/>
                <w:szCs w:val="14"/>
                <w:color w:val="auto"/>
              </w:rPr>
              <w:t>—   $</w:t>
            </w:r>
          </w:p>
        </w:tc>
        <w:tc>
          <w:tcPr>
            <w:tcW w:w="1300" w:type="dxa"/>
            <w:vAlign w:val="bottom"/>
          </w:tcPr>
          <w:p>
            <w:pPr>
              <w:ind w:left="820"/>
              <w:spacing w:after="0"/>
              <w:rPr>
                <w:sz w:val="20"/>
                <w:szCs w:val="20"/>
                <w:color w:val="auto"/>
              </w:rPr>
            </w:pPr>
            <w:r>
              <w:rPr>
                <w:rFonts w:ascii="Arial" w:cs="Arial" w:eastAsia="Arial" w:hAnsi="Arial"/>
                <w:sz w:val="14"/>
                <w:szCs w:val="14"/>
                <w:color w:val="auto"/>
              </w:rPr>
              <w:t>—   $</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15"/>
        </w:trPr>
        <w:tc>
          <w:tcPr>
            <w:tcW w:w="186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SARs</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260,235,000</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260,235,000</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260,235,000</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260,235,000</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15"/>
        </w:trPr>
        <w:tc>
          <w:tcPr>
            <w:tcW w:w="186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RSUs</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37"/>
        </w:trPr>
        <w:tc>
          <w:tcPr>
            <w:tcW w:w="1860" w:type="dxa"/>
            <w:vAlign w:val="bottom"/>
          </w:tcPr>
          <w:p>
            <w:pPr>
              <w:spacing w:after="0"/>
              <w:rPr>
                <w:sz w:val="20"/>
                <w:szCs w:val="20"/>
                <w:color w:val="auto"/>
              </w:rPr>
            </w:pPr>
          </w:p>
        </w:tc>
        <w:tc>
          <w:tcPr>
            <w:tcW w:w="18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7</w:t>
            </w:r>
          </w:p>
        </w:tc>
        <w:tc>
          <w:tcPr>
            <w:tcW w:w="34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ind w:right="89"/>
              <w:spacing w:after="0"/>
              <w:rPr>
                <w:sz w:val="20"/>
                <w:szCs w:val="20"/>
                <w:color w:val="auto"/>
              </w:rPr>
            </w:pPr>
            <w:r>
              <w:rPr>
                <w:rFonts w:ascii="Arial" w:cs="Arial" w:eastAsia="Arial" w:hAnsi="Arial"/>
                <w:sz w:val="14"/>
                <w:szCs w:val="14"/>
                <w:color w:val="auto"/>
              </w:rPr>
              <w:t>202,699,955</w:t>
            </w:r>
          </w:p>
        </w:tc>
        <w:tc>
          <w:tcPr>
            <w:tcW w:w="200" w:type="dxa"/>
            <w:vAlign w:val="bottom"/>
            <w:tcBorders>
              <w:bottom w:val="single" w:sz="8" w:color="B2B2B2"/>
            </w:tcBorders>
          </w:tcPr>
          <w:p>
            <w:pPr>
              <w:spacing w:after="0"/>
              <w:rPr>
                <w:sz w:val="20"/>
                <w:szCs w:val="20"/>
                <w:color w:val="auto"/>
              </w:rPr>
            </w:pPr>
          </w:p>
        </w:tc>
        <w:tc>
          <w:tcPr>
            <w:tcW w:w="1360" w:type="dxa"/>
            <w:vAlign w:val="bottom"/>
            <w:tcBorders>
              <w:bottom w:val="single" w:sz="8" w:color="B2B2B2"/>
            </w:tcBorders>
          </w:tcPr>
          <w:p>
            <w:pPr>
              <w:jc w:val="right"/>
              <w:ind w:right="350"/>
              <w:spacing w:after="0"/>
              <w:rPr>
                <w:sz w:val="20"/>
                <w:szCs w:val="20"/>
                <w:color w:val="auto"/>
              </w:rPr>
            </w:pPr>
            <w:r>
              <w:rPr>
                <w:rFonts w:ascii="Arial" w:cs="Arial" w:eastAsia="Arial" w:hAnsi="Arial"/>
                <w:sz w:val="14"/>
                <w:szCs w:val="14"/>
                <w:color w:val="auto"/>
              </w:rPr>
              <w:t>202,699,955</w:t>
            </w:r>
          </w:p>
        </w:tc>
        <w:tc>
          <w:tcPr>
            <w:tcW w:w="1440" w:type="dxa"/>
            <w:vAlign w:val="bottom"/>
            <w:tcBorders>
              <w:bottom w:val="single" w:sz="8" w:color="B2B2B2"/>
            </w:tcBorders>
          </w:tcPr>
          <w:p>
            <w:pPr>
              <w:jc w:val="right"/>
              <w:ind w:right="469"/>
              <w:spacing w:after="0"/>
              <w:rPr>
                <w:sz w:val="20"/>
                <w:szCs w:val="20"/>
                <w:color w:val="auto"/>
              </w:rPr>
            </w:pPr>
            <w:r>
              <w:rPr>
                <w:rFonts w:ascii="Arial" w:cs="Arial" w:eastAsia="Arial" w:hAnsi="Arial"/>
                <w:sz w:val="14"/>
                <w:szCs w:val="14"/>
                <w:color w:val="auto"/>
              </w:rPr>
              <w:t>202,699,955</w:t>
            </w:r>
          </w:p>
        </w:tc>
        <w:tc>
          <w:tcPr>
            <w:tcW w:w="1200" w:type="dxa"/>
            <w:vAlign w:val="bottom"/>
            <w:tcBorders>
              <w:bottom w:val="single" w:sz="8" w:color="B2B2B2"/>
            </w:tcBorders>
          </w:tcPr>
          <w:p>
            <w:pPr>
              <w:jc w:val="right"/>
              <w:ind w:right="309"/>
              <w:spacing w:after="0"/>
              <w:rPr>
                <w:sz w:val="20"/>
                <w:szCs w:val="20"/>
                <w:color w:val="auto"/>
              </w:rPr>
            </w:pPr>
            <w:r>
              <w:rPr>
                <w:rFonts w:ascii="Arial" w:cs="Arial" w:eastAsia="Arial" w:hAnsi="Arial"/>
                <w:sz w:val="14"/>
                <w:szCs w:val="14"/>
                <w:color w:val="auto"/>
              </w:rPr>
              <w:t>229,246,482</w:t>
            </w:r>
          </w:p>
        </w:tc>
        <w:tc>
          <w:tcPr>
            <w:tcW w:w="1300" w:type="dxa"/>
            <w:vAlign w:val="bottom"/>
            <w:tcBorders>
              <w:bottom w:val="single" w:sz="8" w:color="B2B2B2"/>
            </w:tcBorders>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2B2B2"/>
            </w:tcBorders>
          </w:tcPr>
          <w:p>
            <w:pPr>
              <w:ind w:left="440"/>
              <w:spacing w:after="0"/>
              <w:rPr>
                <w:sz w:val="20"/>
                <w:szCs w:val="20"/>
                <w:color w:val="auto"/>
              </w:rPr>
            </w:pPr>
            <w:r>
              <w:rPr>
                <w:rFonts w:ascii="Arial" w:cs="Arial" w:eastAsia="Arial" w:hAnsi="Arial"/>
                <w:sz w:val="14"/>
                <w:szCs w:val="14"/>
                <w:color w:val="auto"/>
              </w:rPr>
              <w:t>—</w:t>
            </w:r>
          </w:p>
        </w:tc>
      </w:tr>
      <w:tr>
        <w:trPr>
          <w:trHeight w:val="215"/>
        </w:trPr>
        <w:tc>
          <w:tcPr>
            <w:tcW w:w="1860" w:type="dxa"/>
            <w:vAlign w:val="bottom"/>
          </w:tcPr>
          <w:p>
            <w:pPr>
              <w:ind w:left="20"/>
              <w:spacing w:after="0"/>
              <w:rPr>
                <w:sz w:val="20"/>
                <w:szCs w:val="20"/>
                <w:color w:val="auto"/>
              </w:rPr>
            </w:pPr>
            <w:r>
              <w:rPr>
                <w:rFonts w:ascii="Arial" w:cs="Arial" w:eastAsia="Arial" w:hAnsi="Arial"/>
                <w:sz w:val="14"/>
                <w:szCs w:val="14"/>
                <w:b w:val="1"/>
                <w:bCs w:val="1"/>
                <w:color w:val="8F5A39"/>
              </w:rPr>
              <w:t>Mary Callahan Erdoes</w:t>
            </w:r>
          </w:p>
        </w:tc>
        <w:tc>
          <w:tcPr>
            <w:tcW w:w="1840" w:type="dxa"/>
            <w:vAlign w:val="bottom"/>
          </w:tcPr>
          <w:p>
            <w:pPr>
              <w:ind w:left="20"/>
              <w:spacing w:after="0"/>
              <w:rPr>
                <w:sz w:val="20"/>
                <w:szCs w:val="20"/>
                <w:color w:val="auto"/>
              </w:rPr>
            </w:pPr>
            <w:r>
              <w:rPr>
                <w:rFonts w:ascii="Arial" w:cs="Arial" w:eastAsia="Arial" w:hAnsi="Arial"/>
                <w:sz w:val="14"/>
                <w:szCs w:val="14"/>
                <w:color w:val="auto"/>
              </w:rPr>
              <w:t>Severance and other</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400,000</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15"/>
        </w:trPr>
        <w:tc>
          <w:tcPr>
            <w:tcW w:w="186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RSUs</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33,941,044</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33,941,044</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33,941,044</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33,941,044</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37"/>
        </w:trPr>
        <w:tc>
          <w:tcPr>
            <w:tcW w:w="1860" w:type="dxa"/>
            <w:vAlign w:val="bottom"/>
          </w:tcPr>
          <w:p>
            <w:pPr>
              <w:spacing w:after="0"/>
              <w:rPr>
                <w:sz w:val="20"/>
                <w:szCs w:val="20"/>
                <w:color w:val="auto"/>
              </w:rPr>
            </w:pPr>
          </w:p>
        </w:tc>
        <w:tc>
          <w:tcPr>
            <w:tcW w:w="18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7</w:t>
            </w:r>
          </w:p>
        </w:tc>
        <w:tc>
          <w:tcPr>
            <w:tcW w:w="34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ind w:right="89"/>
              <w:spacing w:after="0"/>
              <w:rPr>
                <w:sz w:val="20"/>
                <w:szCs w:val="20"/>
                <w:color w:val="auto"/>
              </w:rPr>
            </w:pPr>
            <w:r>
              <w:rPr>
                <w:rFonts w:ascii="Arial" w:cs="Arial" w:eastAsia="Arial" w:hAnsi="Arial"/>
                <w:sz w:val="14"/>
                <w:szCs w:val="14"/>
                <w:color w:val="auto"/>
              </w:rPr>
              <w:t>53,397,254</w:t>
            </w:r>
          </w:p>
        </w:tc>
        <w:tc>
          <w:tcPr>
            <w:tcW w:w="200" w:type="dxa"/>
            <w:vAlign w:val="bottom"/>
            <w:tcBorders>
              <w:bottom w:val="single" w:sz="8" w:color="B2B2B2"/>
            </w:tcBorders>
          </w:tcPr>
          <w:p>
            <w:pPr>
              <w:spacing w:after="0"/>
              <w:rPr>
                <w:sz w:val="20"/>
                <w:szCs w:val="20"/>
                <w:color w:val="auto"/>
              </w:rPr>
            </w:pPr>
          </w:p>
        </w:tc>
        <w:tc>
          <w:tcPr>
            <w:tcW w:w="1360" w:type="dxa"/>
            <w:vAlign w:val="bottom"/>
            <w:tcBorders>
              <w:bottom w:val="single" w:sz="8" w:color="B2B2B2"/>
            </w:tcBorders>
          </w:tcPr>
          <w:p>
            <w:pPr>
              <w:jc w:val="right"/>
              <w:ind w:right="350"/>
              <w:spacing w:after="0"/>
              <w:rPr>
                <w:sz w:val="20"/>
                <w:szCs w:val="20"/>
                <w:color w:val="auto"/>
              </w:rPr>
            </w:pPr>
            <w:r>
              <w:rPr>
                <w:rFonts w:ascii="Arial" w:cs="Arial" w:eastAsia="Arial" w:hAnsi="Arial"/>
                <w:sz w:val="14"/>
                <w:szCs w:val="14"/>
                <w:color w:val="auto"/>
              </w:rPr>
              <w:t>53,397,254</w:t>
            </w:r>
          </w:p>
        </w:tc>
        <w:tc>
          <w:tcPr>
            <w:tcW w:w="1440" w:type="dxa"/>
            <w:vAlign w:val="bottom"/>
            <w:tcBorders>
              <w:bottom w:val="single" w:sz="8" w:color="B2B2B2"/>
            </w:tcBorders>
          </w:tcPr>
          <w:p>
            <w:pPr>
              <w:jc w:val="right"/>
              <w:ind w:right="469"/>
              <w:spacing w:after="0"/>
              <w:rPr>
                <w:sz w:val="20"/>
                <w:szCs w:val="20"/>
                <w:color w:val="auto"/>
              </w:rPr>
            </w:pPr>
            <w:r>
              <w:rPr>
                <w:rFonts w:ascii="Arial" w:cs="Arial" w:eastAsia="Arial" w:hAnsi="Arial"/>
                <w:sz w:val="14"/>
                <w:szCs w:val="14"/>
                <w:color w:val="auto"/>
              </w:rPr>
              <w:t>53,397,254</w:t>
            </w:r>
          </w:p>
        </w:tc>
        <w:tc>
          <w:tcPr>
            <w:tcW w:w="1200" w:type="dxa"/>
            <w:vAlign w:val="bottom"/>
            <w:tcBorders>
              <w:bottom w:val="single" w:sz="8" w:color="B2B2B2"/>
            </w:tcBorders>
          </w:tcPr>
          <w:p>
            <w:pPr>
              <w:jc w:val="right"/>
              <w:ind w:right="309"/>
              <w:spacing w:after="0"/>
              <w:rPr>
                <w:sz w:val="20"/>
                <w:szCs w:val="20"/>
                <w:color w:val="auto"/>
              </w:rPr>
            </w:pPr>
            <w:r>
              <w:rPr>
                <w:rFonts w:ascii="Arial" w:cs="Arial" w:eastAsia="Arial" w:hAnsi="Arial"/>
                <w:sz w:val="14"/>
                <w:szCs w:val="14"/>
                <w:color w:val="auto"/>
              </w:rPr>
              <w:t>60,395,256</w:t>
            </w:r>
          </w:p>
        </w:tc>
        <w:tc>
          <w:tcPr>
            <w:tcW w:w="1300" w:type="dxa"/>
            <w:vAlign w:val="bottom"/>
            <w:tcBorders>
              <w:bottom w:val="single" w:sz="8" w:color="B2B2B2"/>
            </w:tcBorders>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2B2B2"/>
            </w:tcBorders>
          </w:tcPr>
          <w:p>
            <w:pPr>
              <w:ind w:left="440"/>
              <w:spacing w:after="0"/>
              <w:rPr>
                <w:sz w:val="20"/>
                <w:szCs w:val="20"/>
                <w:color w:val="auto"/>
              </w:rPr>
            </w:pPr>
            <w:r>
              <w:rPr>
                <w:rFonts w:ascii="Arial" w:cs="Arial" w:eastAsia="Arial" w:hAnsi="Arial"/>
                <w:sz w:val="14"/>
                <w:szCs w:val="14"/>
                <w:color w:val="auto"/>
              </w:rPr>
              <w:t>—</w:t>
            </w:r>
          </w:p>
        </w:tc>
      </w:tr>
      <w:tr>
        <w:trPr>
          <w:trHeight w:val="215"/>
        </w:trPr>
        <w:tc>
          <w:tcPr>
            <w:tcW w:w="1860" w:type="dxa"/>
            <w:vAlign w:val="bottom"/>
          </w:tcPr>
          <w:p>
            <w:pPr>
              <w:ind w:left="20"/>
              <w:spacing w:after="0"/>
              <w:rPr>
                <w:sz w:val="20"/>
                <w:szCs w:val="20"/>
                <w:color w:val="auto"/>
              </w:rPr>
            </w:pPr>
            <w:r>
              <w:rPr>
                <w:rFonts w:ascii="Arial" w:cs="Arial" w:eastAsia="Arial" w:hAnsi="Arial"/>
                <w:sz w:val="14"/>
                <w:szCs w:val="14"/>
                <w:b w:val="1"/>
                <w:bCs w:val="1"/>
                <w:color w:val="8F5A39"/>
              </w:rPr>
              <w:t>Troy Rohrbaugh</w:t>
            </w:r>
          </w:p>
        </w:tc>
        <w:tc>
          <w:tcPr>
            <w:tcW w:w="1840" w:type="dxa"/>
            <w:vAlign w:val="bottom"/>
          </w:tcPr>
          <w:p>
            <w:pPr>
              <w:ind w:left="20"/>
              <w:spacing w:after="0"/>
              <w:rPr>
                <w:sz w:val="20"/>
                <w:szCs w:val="20"/>
                <w:color w:val="auto"/>
              </w:rPr>
            </w:pPr>
            <w:r>
              <w:rPr>
                <w:rFonts w:ascii="Arial" w:cs="Arial" w:eastAsia="Arial" w:hAnsi="Arial"/>
                <w:sz w:val="14"/>
                <w:szCs w:val="14"/>
                <w:color w:val="auto"/>
              </w:rPr>
              <w:t>Severance and other</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400,000</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15"/>
        </w:trPr>
        <w:tc>
          <w:tcPr>
            <w:tcW w:w="186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RSUs</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28,748,146</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28,748,146</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28,748,146</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28,748,146</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36"/>
        </w:trPr>
        <w:tc>
          <w:tcPr>
            <w:tcW w:w="1860" w:type="dxa"/>
            <w:vAlign w:val="bottom"/>
          </w:tcPr>
          <w:p>
            <w:pPr>
              <w:spacing w:after="0"/>
              <w:rPr>
                <w:sz w:val="20"/>
                <w:szCs w:val="20"/>
                <w:color w:val="auto"/>
              </w:rPr>
            </w:pPr>
          </w:p>
        </w:tc>
        <w:tc>
          <w:tcPr>
            <w:tcW w:w="18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7</w:t>
            </w:r>
          </w:p>
        </w:tc>
        <w:tc>
          <w:tcPr>
            <w:tcW w:w="34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ind w:right="89"/>
              <w:spacing w:after="0"/>
              <w:rPr>
                <w:sz w:val="20"/>
                <w:szCs w:val="20"/>
                <w:color w:val="auto"/>
              </w:rPr>
            </w:pPr>
            <w:r>
              <w:rPr>
                <w:rFonts w:ascii="Arial" w:cs="Arial" w:eastAsia="Arial" w:hAnsi="Arial"/>
                <w:sz w:val="14"/>
                <w:szCs w:val="14"/>
                <w:color w:val="auto"/>
              </w:rPr>
              <w:t>45,443,109</w:t>
            </w:r>
          </w:p>
        </w:tc>
        <w:tc>
          <w:tcPr>
            <w:tcW w:w="200" w:type="dxa"/>
            <w:vAlign w:val="bottom"/>
            <w:tcBorders>
              <w:bottom w:val="single" w:sz="8" w:color="B2B2B2"/>
            </w:tcBorders>
          </w:tcPr>
          <w:p>
            <w:pPr>
              <w:spacing w:after="0"/>
              <w:rPr>
                <w:sz w:val="20"/>
                <w:szCs w:val="20"/>
                <w:color w:val="auto"/>
              </w:rPr>
            </w:pPr>
          </w:p>
        </w:tc>
        <w:tc>
          <w:tcPr>
            <w:tcW w:w="1360" w:type="dxa"/>
            <w:vAlign w:val="bottom"/>
            <w:tcBorders>
              <w:bottom w:val="single" w:sz="8" w:color="B2B2B2"/>
            </w:tcBorders>
          </w:tcPr>
          <w:p>
            <w:pPr>
              <w:jc w:val="right"/>
              <w:ind w:right="350"/>
              <w:spacing w:after="0"/>
              <w:rPr>
                <w:sz w:val="20"/>
                <w:szCs w:val="20"/>
                <w:color w:val="auto"/>
              </w:rPr>
            </w:pPr>
            <w:r>
              <w:rPr>
                <w:rFonts w:ascii="Arial" w:cs="Arial" w:eastAsia="Arial" w:hAnsi="Arial"/>
                <w:sz w:val="14"/>
                <w:szCs w:val="14"/>
                <w:color w:val="auto"/>
              </w:rPr>
              <w:t>45,443,109</w:t>
            </w:r>
          </w:p>
        </w:tc>
        <w:tc>
          <w:tcPr>
            <w:tcW w:w="1440" w:type="dxa"/>
            <w:vAlign w:val="bottom"/>
            <w:tcBorders>
              <w:bottom w:val="single" w:sz="8" w:color="B2B2B2"/>
            </w:tcBorders>
          </w:tcPr>
          <w:p>
            <w:pPr>
              <w:jc w:val="right"/>
              <w:ind w:right="469"/>
              <w:spacing w:after="0"/>
              <w:rPr>
                <w:sz w:val="20"/>
                <w:szCs w:val="20"/>
                <w:color w:val="auto"/>
              </w:rPr>
            </w:pPr>
            <w:r>
              <w:rPr>
                <w:rFonts w:ascii="Arial" w:cs="Arial" w:eastAsia="Arial" w:hAnsi="Arial"/>
                <w:sz w:val="14"/>
                <w:szCs w:val="14"/>
                <w:color w:val="auto"/>
              </w:rPr>
              <w:t>45,443,109</w:t>
            </w:r>
          </w:p>
        </w:tc>
        <w:tc>
          <w:tcPr>
            <w:tcW w:w="1200" w:type="dxa"/>
            <w:vAlign w:val="bottom"/>
            <w:tcBorders>
              <w:bottom w:val="single" w:sz="8" w:color="B2B2B2"/>
            </w:tcBorders>
          </w:tcPr>
          <w:p>
            <w:pPr>
              <w:jc w:val="right"/>
              <w:ind w:right="309"/>
              <w:spacing w:after="0"/>
              <w:rPr>
                <w:sz w:val="20"/>
                <w:szCs w:val="20"/>
                <w:color w:val="auto"/>
              </w:rPr>
            </w:pPr>
            <w:r>
              <w:rPr>
                <w:rFonts w:ascii="Arial" w:cs="Arial" w:eastAsia="Arial" w:hAnsi="Arial"/>
                <w:sz w:val="14"/>
                <w:szCs w:val="14"/>
                <w:color w:val="auto"/>
              </w:rPr>
              <w:t>51,355,377</w:t>
            </w:r>
          </w:p>
        </w:tc>
        <w:tc>
          <w:tcPr>
            <w:tcW w:w="1300" w:type="dxa"/>
            <w:vAlign w:val="bottom"/>
            <w:tcBorders>
              <w:bottom w:val="single" w:sz="8" w:color="B2B2B2"/>
            </w:tcBorders>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2B2B2"/>
            </w:tcBorders>
          </w:tcPr>
          <w:p>
            <w:pPr>
              <w:ind w:left="440"/>
              <w:spacing w:after="0"/>
              <w:rPr>
                <w:sz w:val="20"/>
                <w:szCs w:val="20"/>
                <w:color w:val="auto"/>
              </w:rPr>
            </w:pPr>
            <w:r>
              <w:rPr>
                <w:rFonts w:ascii="Arial" w:cs="Arial" w:eastAsia="Arial" w:hAnsi="Arial"/>
                <w:sz w:val="14"/>
                <w:szCs w:val="14"/>
                <w:color w:val="auto"/>
              </w:rPr>
              <w:t>—</w:t>
            </w:r>
          </w:p>
        </w:tc>
      </w:tr>
      <w:tr>
        <w:trPr>
          <w:trHeight w:val="215"/>
        </w:trPr>
        <w:tc>
          <w:tcPr>
            <w:tcW w:w="1860" w:type="dxa"/>
            <w:vAlign w:val="bottom"/>
          </w:tcPr>
          <w:p>
            <w:pPr>
              <w:ind w:left="20"/>
              <w:spacing w:after="0"/>
              <w:rPr>
                <w:sz w:val="20"/>
                <w:szCs w:val="20"/>
                <w:color w:val="auto"/>
              </w:rPr>
            </w:pPr>
            <w:r>
              <w:rPr>
                <w:rFonts w:ascii="Arial" w:cs="Arial" w:eastAsia="Arial" w:hAnsi="Arial"/>
                <w:sz w:val="14"/>
                <w:szCs w:val="14"/>
                <w:b w:val="1"/>
                <w:bCs w:val="1"/>
                <w:color w:val="8F5A39"/>
              </w:rPr>
              <w:t>Douglas Petno</w:t>
            </w:r>
          </w:p>
        </w:tc>
        <w:tc>
          <w:tcPr>
            <w:tcW w:w="1840" w:type="dxa"/>
            <w:vAlign w:val="bottom"/>
          </w:tcPr>
          <w:p>
            <w:pPr>
              <w:ind w:left="20"/>
              <w:spacing w:after="0"/>
              <w:rPr>
                <w:sz w:val="20"/>
                <w:szCs w:val="20"/>
                <w:color w:val="auto"/>
              </w:rPr>
            </w:pPr>
            <w:r>
              <w:rPr>
                <w:rFonts w:ascii="Arial" w:cs="Arial" w:eastAsia="Arial" w:hAnsi="Arial"/>
                <w:sz w:val="14"/>
                <w:szCs w:val="14"/>
                <w:color w:val="auto"/>
              </w:rPr>
              <w:t>Severance and other</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400,000</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15"/>
        </w:trPr>
        <w:tc>
          <w:tcPr>
            <w:tcW w:w="186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RSUs</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21,252,987</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21,252,987</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21,252,987</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21,252,987</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37"/>
        </w:trPr>
        <w:tc>
          <w:tcPr>
            <w:tcW w:w="1860" w:type="dxa"/>
            <w:vAlign w:val="bottom"/>
          </w:tcPr>
          <w:p>
            <w:pPr>
              <w:spacing w:after="0"/>
              <w:rPr>
                <w:sz w:val="20"/>
                <w:szCs w:val="20"/>
                <w:color w:val="auto"/>
              </w:rPr>
            </w:pPr>
          </w:p>
        </w:tc>
        <w:tc>
          <w:tcPr>
            <w:tcW w:w="18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7</w:t>
            </w:r>
          </w:p>
        </w:tc>
        <w:tc>
          <w:tcPr>
            <w:tcW w:w="34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ind w:right="89"/>
              <w:spacing w:after="0"/>
              <w:rPr>
                <w:sz w:val="20"/>
                <w:szCs w:val="20"/>
                <w:color w:val="auto"/>
              </w:rPr>
            </w:pPr>
            <w:r>
              <w:rPr>
                <w:rFonts w:ascii="Arial" w:cs="Arial" w:eastAsia="Arial" w:hAnsi="Arial"/>
                <w:sz w:val="14"/>
                <w:szCs w:val="14"/>
                <w:color w:val="auto"/>
              </w:rPr>
              <w:t>32,865,432</w:t>
            </w:r>
          </w:p>
        </w:tc>
        <w:tc>
          <w:tcPr>
            <w:tcW w:w="200" w:type="dxa"/>
            <w:vAlign w:val="bottom"/>
            <w:tcBorders>
              <w:bottom w:val="single" w:sz="8" w:color="B2B2B2"/>
            </w:tcBorders>
          </w:tcPr>
          <w:p>
            <w:pPr>
              <w:spacing w:after="0"/>
              <w:rPr>
                <w:sz w:val="20"/>
                <w:szCs w:val="20"/>
                <w:color w:val="auto"/>
              </w:rPr>
            </w:pPr>
          </w:p>
        </w:tc>
        <w:tc>
          <w:tcPr>
            <w:tcW w:w="1360" w:type="dxa"/>
            <w:vAlign w:val="bottom"/>
            <w:tcBorders>
              <w:bottom w:val="single" w:sz="8" w:color="B2B2B2"/>
            </w:tcBorders>
          </w:tcPr>
          <w:p>
            <w:pPr>
              <w:jc w:val="right"/>
              <w:ind w:right="350"/>
              <w:spacing w:after="0"/>
              <w:rPr>
                <w:sz w:val="20"/>
                <w:szCs w:val="20"/>
                <w:color w:val="auto"/>
              </w:rPr>
            </w:pPr>
            <w:r>
              <w:rPr>
                <w:rFonts w:ascii="Arial" w:cs="Arial" w:eastAsia="Arial" w:hAnsi="Arial"/>
                <w:sz w:val="14"/>
                <w:szCs w:val="14"/>
                <w:color w:val="auto"/>
              </w:rPr>
              <w:t>32,865,432</w:t>
            </w:r>
          </w:p>
        </w:tc>
        <w:tc>
          <w:tcPr>
            <w:tcW w:w="1440" w:type="dxa"/>
            <w:vAlign w:val="bottom"/>
            <w:tcBorders>
              <w:bottom w:val="single" w:sz="8" w:color="B2B2B2"/>
            </w:tcBorders>
          </w:tcPr>
          <w:p>
            <w:pPr>
              <w:jc w:val="right"/>
              <w:ind w:right="469"/>
              <w:spacing w:after="0"/>
              <w:rPr>
                <w:sz w:val="20"/>
                <w:szCs w:val="20"/>
                <w:color w:val="auto"/>
              </w:rPr>
            </w:pPr>
            <w:r>
              <w:rPr>
                <w:rFonts w:ascii="Arial" w:cs="Arial" w:eastAsia="Arial" w:hAnsi="Arial"/>
                <w:sz w:val="14"/>
                <w:szCs w:val="14"/>
                <w:color w:val="auto"/>
              </w:rPr>
              <w:t>32,865,432</w:t>
            </w:r>
          </w:p>
        </w:tc>
        <w:tc>
          <w:tcPr>
            <w:tcW w:w="1200" w:type="dxa"/>
            <w:vAlign w:val="bottom"/>
            <w:tcBorders>
              <w:bottom w:val="single" w:sz="8" w:color="B2B2B2"/>
            </w:tcBorders>
          </w:tcPr>
          <w:p>
            <w:pPr>
              <w:jc w:val="right"/>
              <w:ind w:right="309"/>
              <w:spacing w:after="0"/>
              <w:rPr>
                <w:sz w:val="20"/>
                <w:szCs w:val="20"/>
                <w:color w:val="auto"/>
              </w:rPr>
            </w:pPr>
            <w:r>
              <w:rPr>
                <w:rFonts w:ascii="Arial" w:cs="Arial" w:eastAsia="Arial" w:hAnsi="Arial"/>
                <w:sz w:val="14"/>
                <w:szCs w:val="14"/>
                <w:color w:val="auto"/>
              </w:rPr>
              <w:t>37,220,386</w:t>
            </w:r>
          </w:p>
        </w:tc>
        <w:tc>
          <w:tcPr>
            <w:tcW w:w="1300" w:type="dxa"/>
            <w:vAlign w:val="bottom"/>
            <w:tcBorders>
              <w:bottom w:val="single" w:sz="8" w:color="B2B2B2"/>
            </w:tcBorders>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2B2B2"/>
            </w:tcBorders>
          </w:tcPr>
          <w:p>
            <w:pPr>
              <w:ind w:left="440"/>
              <w:spacing w:after="0"/>
              <w:rPr>
                <w:sz w:val="20"/>
                <w:szCs w:val="20"/>
                <w:color w:val="auto"/>
              </w:rPr>
            </w:pPr>
            <w:r>
              <w:rPr>
                <w:rFonts w:ascii="Arial" w:cs="Arial" w:eastAsia="Arial" w:hAnsi="Arial"/>
                <w:sz w:val="14"/>
                <w:szCs w:val="14"/>
                <w:color w:val="auto"/>
              </w:rPr>
              <w:t>—</w:t>
            </w:r>
          </w:p>
        </w:tc>
      </w:tr>
      <w:tr>
        <w:trPr>
          <w:trHeight w:val="215"/>
        </w:trPr>
        <w:tc>
          <w:tcPr>
            <w:tcW w:w="1860" w:type="dxa"/>
            <w:vAlign w:val="bottom"/>
          </w:tcPr>
          <w:p>
            <w:pPr>
              <w:ind w:left="20"/>
              <w:spacing w:after="0"/>
              <w:rPr>
                <w:sz w:val="20"/>
                <w:szCs w:val="20"/>
                <w:color w:val="auto"/>
              </w:rPr>
            </w:pPr>
            <w:r>
              <w:rPr>
                <w:rFonts w:ascii="Arial" w:cs="Arial" w:eastAsia="Arial" w:hAnsi="Arial"/>
                <w:sz w:val="14"/>
                <w:szCs w:val="14"/>
                <w:b w:val="1"/>
                <w:bCs w:val="1"/>
                <w:color w:val="8F5A39"/>
              </w:rPr>
              <w:t>Jeremy Barnum</w:t>
            </w:r>
          </w:p>
        </w:tc>
        <w:tc>
          <w:tcPr>
            <w:tcW w:w="1840" w:type="dxa"/>
            <w:vAlign w:val="bottom"/>
          </w:tcPr>
          <w:p>
            <w:pPr>
              <w:ind w:left="20"/>
              <w:spacing w:after="0"/>
              <w:rPr>
                <w:sz w:val="20"/>
                <w:szCs w:val="20"/>
                <w:color w:val="auto"/>
              </w:rPr>
            </w:pPr>
            <w:r>
              <w:rPr>
                <w:rFonts w:ascii="Arial" w:cs="Arial" w:eastAsia="Arial" w:hAnsi="Arial"/>
                <w:sz w:val="14"/>
                <w:szCs w:val="14"/>
                <w:color w:val="auto"/>
              </w:rPr>
              <w:t>Severance and other</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384,615</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15"/>
        </w:trPr>
        <w:tc>
          <w:tcPr>
            <w:tcW w:w="186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RSUs</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18,188,030</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18,188,030</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18,188,030</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18,188,030</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36"/>
        </w:trPr>
        <w:tc>
          <w:tcPr>
            <w:tcW w:w="1860" w:type="dxa"/>
            <w:vAlign w:val="bottom"/>
          </w:tcPr>
          <w:p>
            <w:pPr>
              <w:spacing w:after="0"/>
              <w:rPr>
                <w:sz w:val="20"/>
                <w:szCs w:val="20"/>
                <w:color w:val="auto"/>
              </w:rPr>
            </w:pPr>
          </w:p>
        </w:tc>
        <w:tc>
          <w:tcPr>
            <w:tcW w:w="184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7</w:t>
            </w:r>
          </w:p>
        </w:tc>
        <w:tc>
          <w:tcPr>
            <w:tcW w:w="34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ind w:right="89"/>
              <w:spacing w:after="0"/>
              <w:rPr>
                <w:sz w:val="20"/>
                <w:szCs w:val="20"/>
                <w:color w:val="auto"/>
              </w:rPr>
            </w:pPr>
            <w:r>
              <w:rPr>
                <w:rFonts w:ascii="Arial" w:cs="Arial" w:eastAsia="Arial" w:hAnsi="Arial"/>
                <w:sz w:val="14"/>
                <w:szCs w:val="14"/>
                <w:color w:val="auto"/>
              </w:rPr>
              <w:t>27,104,067</w:t>
            </w:r>
          </w:p>
        </w:tc>
        <w:tc>
          <w:tcPr>
            <w:tcW w:w="200" w:type="dxa"/>
            <w:vAlign w:val="bottom"/>
            <w:tcBorders>
              <w:bottom w:val="single" w:sz="8" w:color="B2B2B2"/>
            </w:tcBorders>
          </w:tcPr>
          <w:p>
            <w:pPr>
              <w:spacing w:after="0"/>
              <w:rPr>
                <w:sz w:val="20"/>
                <w:szCs w:val="20"/>
                <w:color w:val="auto"/>
              </w:rPr>
            </w:pPr>
          </w:p>
        </w:tc>
        <w:tc>
          <w:tcPr>
            <w:tcW w:w="1360" w:type="dxa"/>
            <w:vAlign w:val="bottom"/>
            <w:tcBorders>
              <w:bottom w:val="single" w:sz="8" w:color="B2B2B2"/>
            </w:tcBorders>
          </w:tcPr>
          <w:p>
            <w:pPr>
              <w:jc w:val="right"/>
              <w:ind w:right="350"/>
              <w:spacing w:after="0"/>
              <w:rPr>
                <w:sz w:val="20"/>
                <w:szCs w:val="20"/>
                <w:color w:val="auto"/>
              </w:rPr>
            </w:pPr>
            <w:r>
              <w:rPr>
                <w:rFonts w:ascii="Arial" w:cs="Arial" w:eastAsia="Arial" w:hAnsi="Arial"/>
                <w:sz w:val="14"/>
                <w:szCs w:val="14"/>
                <w:color w:val="auto"/>
              </w:rPr>
              <w:t>27,104,067</w:t>
            </w:r>
          </w:p>
        </w:tc>
        <w:tc>
          <w:tcPr>
            <w:tcW w:w="1440" w:type="dxa"/>
            <w:vAlign w:val="bottom"/>
            <w:tcBorders>
              <w:bottom w:val="single" w:sz="8" w:color="B2B2B2"/>
            </w:tcBorders>
          </w:tcPr>
          <w:p>
            <w:pPr>
              <w:jc w:val="right"/>
              <w:ind w:right="469"/>
              <w:spacing w:after="0"/>
              <w:rPr>
                <w:sz w:val="20"/>
                <w:szCs w:val="20"/>
                <w:color w:val="auto"/>
              </w:rPr>
            </w:pPr>
            <w:r>
              <w:rPr>
                <w:rFonts w:ascii="Arial" w:cs="Arial" w:eastAsia="Arial" w:hAnsi="Arial"/>
                <w:sz w:val="14"/>
                <w:szCs w:val="14"/>
                <w:color w:val="auto"/>
              </w:rPr>
              <w:t>27,104,067</w:t>
            </w:r>
          </w:p>
        </w:tc>
        <w:tc>
          <w:tcPr>
            <w:tcW w:w="1200" w:type="dxa"/>
            <w:vAlign w:val="bottom"/>
            <w:tcBorders>
              <w:bottom w:val="single" w:sz="8" w:color="B2B2B2"/>
            </w:tcBorders>
          </w:tcPr>
          <w:p>
            <w:pPr>
              <w:jc w:val="right"/>
              <w:ind w:right="309"/>
              <w:spacing w:after="0"/>
              <w:rPr>
                <w:sz w:val="20"/>
                <w:szCs w:val="20"/>
                <w:color w:val="auto"/>
              </w:rPr>
            </w:pPr>
            <w:r>
              <w:rPr>
                <w:rFonts w:ascii="Arial" w:cs="Arial" w:eastAsia="Arial" w:hAnsi="Arial"/>
                <w:sz w:val="14"/>
                <w:szCs w:val="14"/>
                <w:color w:val="auto"/>
              </w:rPr>
              <w:t>30,990,189</w:t>
            </w:r>
          </w:p>
        </w:tc>
        <w:tc>
          <w:tcPr>
            <w:tcW w:w="1300" w:type="dxa"/>
            <w:vAlign w:val="bottom"/>
            <w:tcBorders>
              <w:bottom w:val="single" w:sz="8" w:color="B2B2B2"/>
            </w:tcBorders>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B2B2B2"/>
            </w:tcBorders>
          </w:tcPr>
          <w:p>
            <w:pPr>
              <w:ind w:left="440"/>
              <w:spacing w:after="0"/>
              <w:rPr>
                <w:sz w:val="20"/>
                <w:szCs w:val="20"/>
                <w:color w:val="auto"/>
              </w:rPr>
            </w:pPr>
            <w:r>
              <w:rPr>
                <w:rFonts w:ascii="Arial" w:cs="Arial" w:eastAsia="Arial" w:hAnsi="Arial"/>
                <w:sz w:val="14"/>
                <w:szCs w:val="14"/>
                <w:color w:val="auto"/>
              </w:rPr>
              <w:t>—</w:t>
            </w:r>
          </w:p>
        </w:tc>
      </w:tr>
      <w:tr>
        <w:trPr>
          <w:trHeight w:val="215"/>
        </w:trPr>
        <w:tc>
          <w:tcPr>
            <w:tcW w:w="1860" w:type="dxa"/>
            <w:vAlign w:val="bottom"/>
          </w:tcPr>
          <w:p>
            <w:pPr>
              <w:ind w:left="20"/>
              <w:spacing w:after="0"/>
              <w:rPr>
                <w:sz w:val="20"/>
                <w:szCs w:val="20"/>
                <w:color w:val="auto"/>
              </w:rPr>
            </w:pPr>
            <w:r>
              <w:rPr>
                <w:rFonts w:ascii="Arial" w:cs="Arial" w:eastAsia="Arial" w:hAnsi="Arial"/>
                <w:sz w:val="14"/>
                <w:szCs w:val="14"/>
                <w:b w:val="1"/>
                <w:bCs w:val="1"/>
                <w:color w:val="8F5A39"/>
              </w:rPr>
              <w:t>Daniel Pinto</w:t>
            </w:r>
          </w:p>
        </w:tc>
        <w:tc>
          <w:tcPr>
            <w:tcW w:w="1840" w:type="dxa"/>
            <w:vAlign w:val="bottom"/>
          </w:tcPr>
          <w:p>
            <w:pPr>
              <w:ind w:left="20"/>
              <w:spacing w:after="0"/>
              <w:rPr>
                <w:sz w:val="20"/>
                <w:szCs w:val="20"/>
                <w:color w:val="auto"/>
              </w:rPr>
            </w:pPr>
            <w:r>
              <w:rPr>
                <w:rFonts w:ascii="Arial" w:cs="Arial" w:eastAsia="Arial" w:hAnsi="Arial"/>
                <w:sz w:val="14"/>
                <w:szCs w:val="14"/>
                <w:color w:val="auto"/>
              </w:rPr>
              <w:t>Severance and other</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400,000</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15"/>
        </w:trPr>
        <w:tc>
          <w:tcPr>
            <w:tcW w:w="186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SARs</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122,343,750</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122,343,750</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122,343,750</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122,343,750</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15"/>
        </w:trPr>
        <w:tc>
          <w:tcPr>
            <w:tcW w:w="186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RSUs</w:t>
            </w:r>
          </w:p>
        </w:tc>
        <w:tc>
          <w:tcPr>
            <w:tcW w:w="340" w:type="dxa"/>
            <w:vAlign w:val="bottom"/>
          </w:tcPr>
          <w:p>
            <w:pPr>
              <w:spacing w:after="0"/>
              <w:rPr>
                <w:sz w:val="18"/>
                <w:szCs w:val="18"/>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114,492,499</w:t>
            </w:r>
          </w:p>
        </w:tc>
        <w:tc>
          <w:tcPr>
            <w:tcW w:w="2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4"/>
                <w:szCs w:val="14"/>
                <w:color w:val="auto"/>
              </w:rPr>
              <w:t>114,492,499</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114,492,499</w:t>
            </w:r>
          </w:p>
        </w:tc>
        <w:tc>
          <w:tcPr>
            <w:tcW w:w="1200" w:type="dxa"/>
            <w:vAlign w:val="bottom"/>
          </w:tcPr>
          <w:p>
            <w:pPr>
              <w:jc w:val="right"/>
              <w:ind w:right="309"/>
              <w:spacing w:after="0"/>
              <w:rPr>
                <w:sz w:val="20"/>
                <w:szCs w:val="20"/>
                <w:color w:val="auto"/>
              </w:rPr>
            </w:pPr>
            <w:r>
              <w:rPr>
                <w:rFonts w:ascii="Arial" w:cs="Arial" w:eastAsia="Arial" w:hAnsi="Arial"/>
                <w:sz w:val="14"/>
                <w:szCs w:val="14"/>
                <w:color w:val="auto"/>
              </w:rPr>
              <w:t>114,492,499</w:t>
            </w:r>
          </w:p>
        </w:tc>
        <w:tc>
          <w:tcPr>
            <w:tcW w:w="13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2"/>
        </w:trPr>
        <w:tc>
          <w:tcPr>
            <w:tcW w:w="1860" w:type="dxa"/>
            <w:vAlign w:val="bottom"/>
          </w:tcPr>
          <w:p>
            <w:pPr>
              <w:spacing w:after="0" w:line="20" w:lineRule="exact"/>
              <w:rPr>
                <w:sz w:val="1"/>
                <w:szCs w:val="1"/>
                <w:color w:val="auto"/>
              </w:rPr>
            </w:pPr>
          </w:p>
        </w:tc>
        <w:tc>
          <w:tcPr>
            <w:tcW w:w="184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360" w:type="dxa"/>
            <w:vAlign w:val="bottom"/>
            <w:tcBorders>
              <w:bottom w:val="single" w:sz="8" w:color="B2B2B2"/>
            </w:tcBorders>
          </w:tcPr>
          <w:p>
            <w:pPr>
              <w:spacing w:after="0" w:line="20" w:lineRule="exact"/>
              <w:rPr>
                <w:sz w:val="1"/>
                <w:szCs w:val="1"/>
                <w:color w:val="auto"/>
              </w:rPr>
            </w:pPr>
          </w:p>
        </w:tc>
        <w:tc>
          <w:tcPr>
            <w:tcW w:w="144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1300" w:type="dxa"/>
            <w:vAlign w:val="bottom"/>
            <w:tcBorders>
              <w:bottom w:val="single" w:sz="8" w:color="B2B2B2"/>
            </w:tcBorders>
          </w:tcPr>
          <w:p>
            <w:pPr>
              <w:spacing w:after="0" w:line="20" w:lineRule="exact"/>
              <w:rPr>
                <w:sz w:val="1"/>
                <w:szCs w:val="1"/>
                <w:color w:val="auto"/>
              </w:rPr>
            </w:pPr>
          </w:p>
        </w:tc>
        <w:tc>
          <w:tcPr>
            <w:tcW w:w="660" w:type="dxa"/>
            <w:vAlign w:val="bottom"/>
            <w:tcBorders>
              <w:bottom w:val="single" w:sz="8" w:color="B2B2B2"/>
            </w:tcBorders>
          </w:tcPr>
          <w:p>
            <w:pPr>
              <w:spacing w:after="0" w:line="20" w:lineRule="exact"/>
              <w:rPr>
                <w:sz w:val="1"/>
                <w:szCs w:val="1"/>
                <w:color w:val="auto"/>
              </w:rPr>
            </w:pPr>
          </w:p>
        </w:tc>
      </w:tr>
      <w:tr>
        <w:trPr>
          <w:trHeight w:val="236"/>
        </w:trPr>
        <w:tc>
          <w:tcPr>
            <w:tcW w:w="18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7</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159,241,224</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159,241,224</w:t>
            </w:r>
          </w:p>
        </w:tc>
        <w:tc>
          <w:tcPr>
            <w:tcW w:w="14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159,241,224</w:t>
            </w:r>
          </w:p>
        </w:tc>
        <w:tc>
          <w:tcPr>
            <w:tcW w:w="12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180,203,181</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r>
    </w:tbl>
    <w:p>
      <w:pPr>
        <w:spacing w:after="0" w:line="144" w:lineRule="exact"/>
        <w:rPr>
          <w:sz w:val="20"/>
          <w:szCs w:val="20"/>
          <w:color w:val="auto"/>
        </w:rPr>
      </w:pPr>
    </w:p>
    <w:p>
      <w:pPr>
        <w:ind w:left="200" w:right="520" w:hanging="192"/>
        <w:spacing w:after="0" w:line="188" w:lineRule="auto"/>
        <w:tabs>
          <w:tab w:leader="none" w:pos="206" w:val="left"/>
        </w:tabs>
        <w:numPr>
          <w:ilvl w:val="0"/>
          <w:numId w:val="250"/>
        </w:numPr>
        <w:rPr>
          <w:rFonts w:ascii="Arial" w:cs="Arial" w:eastAsia="Arial" w:hAnsi="Arial"/>
          <w:sz w:val="18"/>
          <w:szCs w:val="18"/>
          <w:color w:val="auto"/>
          <w:vertAlign w:val="superscript"/>
        </w:rPr>
      </w:pPr>
      <w:r>
        <w:rPr>
          <w:rFonts w:ascii="Arial" w:cs="Arial" w:eastAsia="Arial" w:hAnsi="Arial"/>
          <w:sz w:val="12"/>
          <w:szCs w:val="12"/>
          <w:color w:val="auto"/>
        </w:rPr>
        <w:t>"SARs," “RSUs” and “PSUs” refer to previously granted, outstanding equity awards. NEOs are not entitled to any additional equity awards in connection with a potential termination. Potential payments upon termination would be subject to compliance with applicable terms and conditions of each outstanding equity award, including confidentiality and non-solicitation obligations.</w:t>
      </w:r>
    </w:p>
    <w:tbl>
      <w:tblPr>
        <w:tblLayout w:type="fixed"/>
        <w:tblInd w:w="0" w:type="dxa"/>
        <w:tblCellMar>
          <w:top w:w="0" w:type="dxa"/>
          <w:left w:w="0" w:type="dxa"/>
          <w:bottom w:w="0" w:type="dxa"/>
          <w:right w:w="0" w:type="dxa"/>
        </w:tblCellMar>
      </w:tblPr>
      <w:tr>
        <w:trPr>
          <w:trHeight w:val="148"/>
        </w:trPr>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2</w:t>
            </w:r>
          </w:p>
        </w:tc>
        <w:tc>
          <w:tcPr>
            <w:tcW w:w="11060" w:type="dxa"/>
            <w:vAlign w:val="bottom"/>
          </w:tcPr>
          <w:p>
            <w:pPr>
              <w:ind w:left="80"/>
              <w:spacing w:after="0" w:line="149" w:lineRule="exact"/>
              <w:rPr>
                <w:sz w:val="20"/>
                <w:szCs w:val="20"/>
                <w:color w:val="auto"/>
              </w:rPr>
            </w:pPr>
            <w:r>
              <w:rPr>
                <w:rFonts w:ascii="Arial" w:cs="Arial" w:eastAsia="Arial" w:hAnsi="Arial"/>
                <w:sz w:val="13"/>
                <w:szCs w:val="13"/>
                <w:color w:val="auto"/>
                <w:w w:val="96"/>
              </w:rPr>
              <w:t>Involuntary terminations without cause include involuntary terminations due to redundancies and involuntary terminations without alternative employment. For “Severance and other,” amounts shown</w:t>
            </w:r>
          </w:p>
        </w:tc>
        <w:tc>
          <w:tcPr>
            <w:tcW w:w="0" w:type="dxa"/>
            <w:vAlign w:val="bottom"/>
          </w:tcPr>
          <w:p>
            <w:pPr>
              <w:spacing w:after="0"/>
              <w:rPr>
                <w:sz w:val="1"/>
                <w:szCs w:val="1"/>
                <w:color w:val="auto"/>
              </w:rPr>
            </w:pPr>
          </w:p>
        </w:tc>
      </w:tr>
      <w:tr>
        <w:trPr>
          <w:trHeight w:val="135"/>
        </w:trPr>
        <w:tc>
          <w:tcPr>
            <w:tcW w:w="120" w:type="dxa"/>
            <w:vAlign w:val="bottom"/>
            <w:vMerge w:val="restart"/>
          </w:tcPr>
          <w:p>
            <w:pPr>
              <w:jc w:val="right"/>
              <w:ind w:right="13"/>
              <w:spacing w:after="0"/>
              <w:rPr>
                <w:sz w:val="20"/>
                <w:szCs w:val="20"/>
                <w:color w:val="auto"/>
              </w:rPr>
            </w:pPr>
            <w:r>
              <w:rPr>
                <w:rFonts w:ascii="Arial" w:cs="Arial" w:eastAsia="Arial" w:hAnsi="Arial"/>
                <w:sz w:val="9"/>
                <w:szCs w:val="9"/>
                <w:color w:val="auto"/>
                <w:w w:val="78"/>
              </w:rPr>
              <w:t>3</w:t>
            </w:r>
          </w:p>
        </w:tc>
        <w:tc>
          <w:tcPr>
            <w:tcW w:w="11060" w:type="dxa"/>
            <w:vAlign w:val="bottom"/>
          </w:tcPr>
          <w:p>
            <w:pPr>
              <w:ind w:left="80"/>
              <w:spacing w:after="0" w:line="135" w:lineRule="exact"/>
              <w:rPr>
                <w:sz w:val="20"/>
                <w:szCs w:val="20"/>
                <w:color w:val="auto"/>
              </w:rPr>
            </w:pPr>
            <w:r>
              <w:rPr>
                <w:rFonts w:ascii="Arial" w:cs="Arial" w:eastAsia="Arial" w:hAnsi="Arial"/>
                <w:sz w:val="13"/>
                <w:szCs w:val="13"/>
                <w:color w:val="auto"/>
              </w:rPr>
              <w:t>represent severance under the Firm’s broad-based U.S. Severance Plan. Base salary greater than $400,000 per year is disregarded for purposes of determining severance amounts.</w:t>
            </w:r>
          </w:p>
        </w:tc>
        <w:tc>
          <w:tcPr>
            <w:tcW w:w="0" w:type="dxa"/>
            <w:vAlign w:val="bottom"/>
          </w:tcPr>
          <w:p>
            <w:pPr>
              <w:spacing w:after="0"/>
              <w:rPr>
                <w:sz w:val="1"/>
                <w:szCs w:val="1"/>
                <w:color w:val="auto"/>
              </w:rPr>
            </w:pPr>
          </w:p>
        </w:tc>
      </w:tr>
      <w:tr>
        <w:trPr>
          <w:trHeight w:val="147"/>
        </w:trPr>
        <w:tc>
          <w:tcPr>
            <w:tcW w:w="120" w:type="dxa"/>
            <w:vAlign w:val="bottom"/>
            <w:vMerge w:val="continue"/>
          </w:tcPr>
          <w:p>
            <w:pPr>
              <w:spacing w:after="0"/>
              <w:rPr>
                <w:sz w:val="12"/>
                <w:szCs w:val="12"/>
                <w:color w:val="auto"/>
              </w:rPr>
            </w:pPr>
          </w:p>
        </w:tc>
        <w:tc>
          <w:tcPr>
            <w:tcW w:w="11060" w:type="dxa"/>
            <w:vAlign w:val="bottom"/>
          </w:tcPr>
          <w:p>
            <w:pPr>
              <w:ind w:left="80"/>
              <w:spacing w:after="0" w:line="147" w:lineRule="exact"/>
              <w:rPr>
                <w:sz w:val="20"/>
                <w:szCs w:val="20"/>
                <w:color w:val="auto"/>
              </w:rPr>
            </w:pPr>
            <w:r>
              <w:rPr>
                <w:rFonts w:ascii="Arial" w:cs="Arial" w:eastAsia="Arial" w:hAnsi="Arial"/>
                <w:sz w:val="13"/>
                <w:szCs w:val="13"/>
                <w:color w:val="auto"/>
                <w:w w:val="99"/>
              </w:rPr>
              <w:t>For employees in good standing who have resigned and have met full-career eligibility or other acceptable criteria, awards continue to vest over time on their original schedule, provided that the</w:t>
            </w: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2"/>
          <w:szCs w:val="12"/>
          <w:color w:val="auto"/>
        </w:rPr>
        <w:t>employees, for the remainder of the vesting period, do not perform services for a financial services company or work in their profession (whether or not for a financial services company); provided</w:t>
      </w:r>
    </w:p>
    <w:p>
      <w:pPr>
        <w:spacing w:after="0" w:line="11" w:lineRule="exact"/>
        <w:rPr>
          <w:sz w:val="20"/>
          <w:szCs w:val="20"/>
          <w:color w:val="auto"/>
        </w:rPr>
      </w:pPr>
    </w:p>
    <w:p>
      <w:pPr>
        <w:ind w:left="200" w:right="140"/>
        <w:spacing w:after="0" w:line="207" w:lineRule="auto"/>
        <w:rPr>
          <w:sz w:val="20"/>
          <w:szCs w:val="20"/>
          <w:color w:val="auto"/>
        </w:rPr>
      </w:pPr>
      <w:r>
        <w:rPr>
          <w:rFonts w:ascii="Arial" w:cs="Arial" w:eastAsia="Arial" w:hAnsi="Arial"/>
          <w:sz w:val="13"/>
          <w:szCs w:val="13"/>
          <w:color w:val="auto"/>
        </w:rPr>
        <w:t>that employees may work for a government, education or not-for-profit organization. The awards shown represent RSUs and PSUs that would continue to vest because the NEOs have met the full-career eligibility criteria. The awards are subject to continuing post-employment obligations to the Firm during this period.</w:t>
      </w:r>
    </w:p>
    <w:p>
      <w:pPr>
        <w:ind w:left="200" w:hanging="192"/>
        <w:spacing w:after="0" w:line="189" w:lineRule="auto"/>
        <w:tabs>
          <w:tab w:leader="none" w:pos="200" w:val="left"/>
        </w:tabs>
        <w:numPr>
          <w:ilvl w:val="0"/>
          <w:numId w:val="251"/>
        </w:numPr>
        <w:rPr>
          <w:rFonts w:ascii="Arial" w:cs="Arial" w:eastAsia="Arial" w:hAnsi="Arial"/>
          <w:sz w:val="15"/>
          <w:szCs w:val="15"/>
          <w:color w:val="auto"/>
          <w:vertAlign w:val="superscript"/>
        </w:rPr>
      </w:pPr>
      <w:r>
        <w:rPr>
          <w:rFonts w:ascii="Arial" w:cs="Arial" w:eastAsia="Arial" w:hAnsi="Arial"/>
          <w:sz w:val="10"/>
          <w:szCs w:val="10"/>
          <w:color w:val="auto"/>
        </w:rPr>
        <w:t>In the case of disability, stock awards continue to vest pursuant to their original vesting schedule.</w:t>
      </w:r>
    </w:p>
    <w:tbl>
      <w:tblPr>
        <w:tblLayout w:type="fixed"/>
        <w:tblInd w:w="0" w:type="dxa"/>
        <w:tblCellMar>
          <w:top w:w="0" w:type="dxa"/>
          <w:left w:w="0" w:type="dxa"/>
          <w:bottom w:w="0" w:type="dxa"/>
          <w:right w:w="0" w:type="dxa"/>
        </w:tblCellMar>
      </w:tblPr>
      <w:tr>
        <w:trPr>
          <w:trHeight w:val="139"/>
        </w:trPr>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5</w:t>
            </w:r>
          </w:p>
        </w:tc>
        <w:tc>
          <w:tcPr>
            <w:tcW w:w="10720" w:type="dxa"/>
            <w:vAlign w:val="bottom"/>
          </w:tcPr>
          <w:p>
            <w:pPr>
              <w:ind w:left="80"/>
              <w:spacing w:after="0" w:line="139" w:lineRule="exact"/>
              <w:rPr>
                <w:sz w:val="20"/>
                <w:szCs w:val="20"/>
                <w:color w:val="auto"/>
              </w:rPr>
            </w:pPr>
            <w:r>
              <w:rPr>
                <w:rFonts w:ascii="Arial" w:cs="Arial" w:eastAsia="Arial" w:hAnsi="Arial"/>
                <w:sz w:val="13"/>
                <w:szCs w:val="13"/>
                <w:color w:val="auto"/>
              </w:rPr>
              <w:t>Vesting restrictions on stock awards and restrictions upon exercise of SARs lapse immediately upon death.</w:t>
            </w:r>
          </w:p>
        </w:tc>
      </w:tr>
      <w:tr>
        <w:trPr>
          <w:trHeight w:val="156"/>
        </w:trPr>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6</w:t>
            </w:r>
          </w:p>
        </w:tc>
        <w:tc>
          <w:tcPr>
            <w:tcW w:w="10720" w:type="dxa"/>
            <w:vAlign w:val="bottom"/>
          </w:tcPr>
          <w:p>
            <w:pPr>
              <w:ind w:left="80"/>
              <w:spacing w:after="0"/>
              <w:rPr>
                <w:sz w:val="20"/>
                <w:szCs w:val="20"/>
                <w:color w:val="auto"/>
              </w:rPr>
            </w:pPr>
            <w:r>
              <w:rPr>
                <w:rFonts w:ascii="Arial" w:cs="Arial" w:eastAsia="Arial" w:hAnsi="Arial"/>
                <w:sz w:val="13"/>
                <w:szCs w:val="13"/>
                <w:color w:val="auto"/>
                <w:w w:val="96"/>
              </w:rPr>
              <w:t>The Government Office provision of an award does not provide any benefit to employees who have met the full-career eligibility provision of that same award. Therefore, under the terms of the</w:t>
            </w:r>
          </w:p>
        </w:tc>
      </w:tr>
    </w:tbl>
    <w:p>
      <w:pPr>
        <w:ind w:left="200" w:right="360"/>
        <w:spacing w:after="0" w:line="246" w:lineRule="auto"/>
        <w:rPr>
          <w:sz w:val="20"/>
          <w:szCs w:val="20"/>
          <w:color w:val="auto"/>
        </w:rPr>
      </w:pPr>
      <w:r>
        <w:rPr>
          <w:rFonts w:ascii="Arial" w:cs="Arial" w:eastAsia="Arial" w:hAnsi="Arial"/>
          <w:sz w:val="12"/>
          <w:szCs w:val="12"/>
          <w:color w:val="auto"/>
        </w:rPr>
        <w:t>Government Office provision, NEOs would generally not receive any benefit upon termination since they meet the full-career eligibility provision entitling them to continued vesting of their equity awards (see preceding Note 3). For awards that do not have the full-career eligibility provision, the amount reported is based on the December 31, 2025 value of the award in which the NEO is</w:t>
      </w:r>
    </w:p>
    <w:p>
      <w:pPr>
        <w:ind w:left="200"/>
        <w:spacing w:after="0" w:line="192" w:lineRule="auto"/>
        <w:rPr>
          <w:sz w:val="20"/>
          <w:szCs w:val="20"/>
          <w:color w:val="auto"/>
        </w:rPr>
      </w:pPr>
      <w:r>
        <w:rPr>
          <w:rFonts w:ascii="Arial" w:cs="Arial" w:eastAsia="Arial" w:hAnsi="Arial"/>
          <w:sz w:val="12"/>
          <w:szCs w:val="12"/>
          <w:color w:val="auto"/>
        </w:rPr>
        <w:t>eligible to continue to vest.</w:t>
      </w:r>
    </w:p>
    <w:p>
      <w:pPr>
        <w:ind w:left="200" w:hanging="192"/>
        <w:spacing w:after="0" w:line="185" w:lineRule="auto"/>
        <w:tabs>
          <w:tab w:leader="none" w:pos="200" w:val="left"/>
        </w:tabs>
        <w:numPr>
          <w:ilvl w:val="0"/>
          <w:numId w:val="252"/>
        </w:numPr>
        <w:rPr>
          <w:rFonts w:ascii="Arial" w:cs="Arial" w:eastAsia="Arial" w:hAnsi="Arial"/>
          <w:sz w:val="18"/>
          <w:szCs w:val="18"/>
          <w:color w:val="auto"/>
          <w:vertAlign w:val="superscript"/>
        </w:rPr>
      </w:pPr>
      <w:r>
        <w:rPr>
          <w:rFonts w:ascii="Arial" w:cs="Arial" w:eastAsia="Arial" w:hAnsi="Arial"/>
          <w:sz w:val="12"/>
          <w:szCs w:val="12"/>
          <w:color w:val="auto"/>
        </w:rPr>
        <w:t>For death, represents the value of PSUs granted on January 17, 2023, January 16, 2024, and January 21, 2025 assuming: (a) maximum payout related to 2023, 2024, and 2025 performance years;</w:t>
      </w:r>
    </w:p>
    <w:p>
      <w:pPr>
        <w:ind w:left="200" w:right="280"/>
        <w:spacing w:after="0" w:line="234" w:lineRule="auto"/>
        <w:rPr>
          <w:rFonts w:ascii="Arial" w:cs="Arial" w:eastAsia="Arial" w:hAnsi="Arial"/>
          <w:sz w:val="18"/>
          <w:szCs w:val="18"/>
          <w:color w:val="auto"/>
          <w:vertAlign w:val="superscript"/>
        </w:rPr>
      </w:pPr>
      <w:r>
        <w:rPr>
          <w:rFonts w:ascii="Arial" w:cs="Arial" w:eastAsia="Arial" w:hAnsi="Arial"/>
          <w:sz w:val="13"/>
          <w:szCs w:val="13"/>
          <w:color w:val="auto"/>
        </w:rPr>
        <w:t>(b) target payout related to 2026 and 2027 performance years; and (c) accumulated reinvested dividend equivalent shares as of December 31, 2025. For involuntary without cause, full-career eligibility provision and disability, represents the value of PSUs granted on January 17, 2023, January 16, 2024, and January 21, 2025 assuming: (a) maximum payout related to PSUs granted in 2023; (b) target payout related to PSUs granted in 2024 and 2025; and (c) accumulated reinvested dividend equivalent shares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300355</wp:posOffset>
            </wp:positionV>
            <wp:extent cx="651510" cy="8572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70</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Pay versus Performance disclosure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4"/>
          <w:szCs w:val="14"/>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color w:val="auto"/>
        </w:rPr>
        <w:t>Pay versus Performance disclosure</w:t>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auto"/>
        </w:rPr>
        <w:t>Pay versus Performance table</w:t>
      </w:r>
    </w:p>
    <w:p>
      <w:pPr>
        <w:spacing w:after="0" w:line="45"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The following table presents the executive Compensation Actually Paid (“CAP”) for our Principal Executive Officer (“PEO”) and non-PEO NEOs relative to the Firm’s financial performance in the format specified by the SEC pursuant to Item 402(v) of Regulation S-K. The CMDC does not utilize CAP for compensation considerations and determinations; for more information on our compensation philosophy and pay decisions for our Named Executive Officers, see our “Compensation discussion and analysis” which starts on page 39.</w:t>
      </w:r>
    </w:p>
    <w:p>
      <w:pPr>
        <w:spacing w:after="0" w:line="10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Firm continues to consider ROTCE its most important company-selected financial performance measure for compensation. ROTCE is a comprehensive performance metric that measures the Firm’s net income applicable to common equity as a percentage of average tangible common equity, and reflects how well management is using shareholders’ equity to generate profit. It is a fundamental performance metric that is widely used by the Firm, investors and analysts in assessing the earnings power of common shareholders’ equity capital, and is useful for comparing the profitability of the Firm with that of our competitors.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shd w:val="clear" w:color="auto" w:fill="F4EFE7"/>
          </w:tcPr>
          <w:p>
            <w:pPr>
              <w:spacing w:after="0"/>
              <w:rPr>
                <w:sz w:val="17"/>
                <w:szCs w:val="17"/>
                <w:color w:val="auto"/>
              </w:rPr>
            </w:pPr>
          </w:p>
        </w:tc>
        <w:tc>
          <w:tcPr>
            <w:tcW w:w="360" w:type="dxa"/>
            <w:vAlign w:val="bottom"/>
            <w:shd w:val="clear" w:color="auto" w:fill="F4EFE7"/>
          </w:tcPr>
          <w:p>
            <w:pPr>
              <w:spacing w:after="0"/>
              <w:rPr>
                <w:sz w:val="17"/>
                <w:szCs w:val="17"/>
                <w:color w:val="auto"/>
              </w:rPr>
            </w:pPr>
          </w:p>
        </w:tc>
        <w:tc>
          <w:tcPr>
            <w:tcW w:w="1220" w:type="dxa"/>
            <w:vAlign w:val="bottom"/>
            <w:shd w:val="clear" w:color="auto" w:fill="F4EFE7"/>
          </w:tcPr>
          <w:p>
            <w:pPr>
              <w:spacing w:after="0"/>
              <w:rPr>
                <w:sz w:val="17"/>
                <w:szCs w:val="17"/>
                <w:color w:val="auto"/>
              </w:rPr>
            </w:pPr>
          </w:p>
        </w:tc>
        <w:tc>
          <w:tcPr>
            <w:tcW w:w="340" w:type="dxa"/>
            <w:vAlign w:val="bottom"/>
            <w:shd w:val="clear" w:color="auto" w:fill="F4EFE7"/>
          </w:tcPr>
          <w:p>
            <w:pPr>
              <w:spacing w:after="0"/>
              <w:rPr>
                <w:sz w:val="17"/>
                <w:szCs w:val="17"/>
                <w:color w:val="auto"/>
              </w:rPr>
            </w:pPr>
          </w:p>
        </w:tc>
        <w:tc>
          <w:tcPr>
            <w:tcW w:w="1320" w:type="dxa"/>
            <w:vAlign w:val="bottom"/>
            <w:shd w:val="clear" w:color="auto" w:fill="F4EFE7"/>
          </w:tcPr>
          <w:p>
            <w:pPr>
              <w:spacing w:after="0"/>
              <w:rPr>
                <w:sz w:val="17"/>
                <w:szCs w:val="17"/>
                <w:color w:val="auto"/>
              </w:rPr>
            </w:pPr>
          </w:p>
        </w:tc>
        <w:tc>
          <w:tcPr>
            <w:tcW w:w="280" w:type="dxa"/>
            <w:vAlign w:val="bottom"/>
            <w:shd w:val="clear" w:color="auto" w:fill="F4EFE7"/>
          </w:tcPr>
          <w:p>
            <w:pPr>
              <w:spacing w:after="0"/>
              <w:rPr>
                <w:sz w:val="17"/>
                <w:szCs w:val="17"/>
                <w:color w:val="auto"/>
              </w:rPr>
            </w:pPr>
          </w:p>
        </w:tc>
        <w:tc>
          <w:tcPr>
            <w:tcW w:w="1260" w:type="dxa"/>
            <w:vAlign w:val="bottom"/>
            <w:shd w:val="clear" w:color="auto" w:fill="F4EFE7"/>
          </w:tcPr>
          <w:p>
            <w:pPr>
              <w:spacing w:after="0"/>
              <w:rPr>
                <w:sz w:val="17"/>
                <w:szCs w:val="17"/>
                <w:color w:val="auto"/>
              </w:rPr>
            </w:pPr>
          </w:p>
        </w:tc>
        <w:tc>
          <w:tcPr>
            <w:tcW w:w="280" w:type="dxa"/>
            <w:vAlign w:val="bottom"/>
            <w:shd w:val="clear" w:color="auto" w:fill="F4EFE7"/>
          </w:tcPr>
          <w:p>
            <w:pPr>
              <w:spacing w:after="0"/>
              <w:rPr>
                <w:sz w:val="17"/>
                <w:szCs w:val="17"/>
                <w:color w:val="auto"/>
              </w:rPr>
            </w:pPr>
          </w:p>
        </w:tc>
        <w:tc>
          <w:tcPr>
            <w:tcW w:w="1180" w:type="dxa"/>
            <w:vAlign w:val="bottom"/>
            <w:shd w:val="clear" w:color="auto" w:fill="F4EFE7"/>
          </w:tcPr>
          <w:p>
            <w:pPr>
              <w:spacing w:after="0"/>
              <w:rPr>
                <w:sz w:val="17"/>
                <w:szCs w:val="17"/>
                <w:color w:val="auto"/>
              </w:rPr>
            </w:pPr>
          </w:p>
        </w:tc>
        <w:tc>
          <w:tcPr>
            <w:tcW w:w="2140" w:type="dxa"/>
            <w:vAlign w:val="bottom"/>
            <w:gridSpan w:val="3"/>
            <w:shd w:val="clear" w:color="auto" w:fill="F4EFE7"/>
          </w:tcPr>
          <w:p>
            <w:pPr>
              <w:jc w:val="center"/>
              <w:spacing w:after="0"/>
              <w:rPr>
                <w:sz w:val="20"/>
                <w:szCs w:val="20"/>
                <w:color w:val="auto"/>
              </w:rPr>
            </w:pPr>
            <w:r>
              <w:rPr>
                <w:rFonts w:ascii="Arial" w:cs="Arial" w:eastAsia="Arial" w:hAnsi="Arial"/>
                <w:sz w:val="14"/>
                <w:szCs w:val="14"/>
                <w:b w:val="1"/>
                <w:bCs w:val="1"/>
                <w:color w:val="8F5A39"/>
              </w:rPr>
              <w:t>Value of Initial Fixed</w:t>
            </w:r>
          </w:p>
        </w:tc>
        <w:tc>
          <w:tcPr>
            <w:tcW w:w="1200" w:type="dxa"/>
            <w:vAlign w:val="bottom"/>
            <w:shd w:val="clear" w:color="auto" w:fill="F4EFE7"/>
          </w:tcPr>
          <w:p>
            <w:pPr>
              <w:spacing w:after="0"/>
              <w:rPr>
                <w:sz w:val="17"/>
                <w:szCs w:val="17"/>
                <w:color w:val="auto"/>
              </w:rPr>
            </w:pPr>
          </w:p>
        </w:tc>
        <w:tc>
          <w:tcPr>
            <w:tcW w:w="860" w:type="dxa"/>
            <w:vAlign w:val="bottom"/>
            <w:shd w:val="clear" w:color="auto" w:fill="F4EFE7"/>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00" w:type="dxa"/>
            <w:vAlign w:val="bottom"/>
            <w:shd w:val="clear" w:color="auto" w:fill="F4EFE7"/>
          </w:tcPr>
          <w:p>
            <w:pPr>
              <w:spacing w:after="0"/>
              <w:rPr>
                <w:sz w:val="15"/>
                <w:szCs w:val="15"/>
                <w:color w:val="auto"/>
              </w:rPr>
            </w:pPr>
          </w:p>
        </w:tc>
        <w:tc>
          <w:tcPr>
            <w:tcW w:w="360" w:type="dxa"/>
            <w:vAlign w:val="bottom"/>
            <w:shd w:val="clear" w:color="auto" w:fill="F4EFE7"/>
          </w:tcPr>
          <w:p>
            <w:pPr>
              <w:spacing w:after="0"/>
              <w:rPr>
                <w:sz w:val="15"/>
                <w:szCs w:val="15"/>
                <w:color w:val="auto"/>
              </w:rPr>
            </w:pPr>
          </w:p>
        </w:tc>
        <w:tc>
          <w:tcPr>
            <w:tcW w:w="1220" w:type="dxa"/>
            <w:vAlign w:val="bottom"/>
            <w:shd w:val="clear" w:color="auto" w:fill="F4EFE7"/>
          </w:tcPr>
          <w:p>
            <w:pPr>
              <w:spacing w:after="0"/>
              <w:rPr>
                <w:sz w:val="15"/>
                <w:szCs w:val="15"/>
                <w:color w:val="auto"/>
              </w:rPr>
            </w:pPr>
          </w:p>
        </w:tc>
        <w:tc>
          <w:tcPr>
            <w:tcW w:w="340" w:type="dxa"/>
            <w:vAlign w:val="bottom"/>
            <w:shd w:val="clear" w:color="auto" w:fill="F4EFE7"/>
          </w:tcPr>
          <w:p>
            <w:pPr>
              <w:spacing w:after="0"/>
              <w:rPr>
                <w:sz w:val="15"/>
                <w:szCs w:val="15"/>
                <w:color w:val="auto"/>
              </w:rPr>
            </w:pPr>
          </w:p>
        </w:tc>
        <w:tc>
          <w:tcPr>
            <w:tcW w:w="1320" w:type="dxa"/>
            <w:vAlign w:val="bottom"/>
            <w:shd w:val="clear" w:color="auto" w:fill="F4EFE7"/>
          </w:tcPr>
          <w:p>
            <w:pPr>
              <w:spacing w:after="0"/>
              <w:rPr>
                <w:sz w:val="15"/>
                <w:szCs w:val="15"/>
                <w:color w:val="auto"/>
              </w:rPr>
            </w:pPr>
          </w:p>
        </w:tc>
        <w:tc>
          <w:tcPr>
            <w:tcW w:w="280" w:type="dxa"/>
            <w:vAlign w:val="bottom"/>
            <w:shd w:val="clear" w:color="auto" w:fill="F4EFE7"/>
          </w:tcPr>
          <w:p>
            <w:pPr>
              <w:spacing w:after="0"/>
              <w:rPr>
                <w:sz w:val="15"/>
                <w:szCs w:val="15"/>
                <w:color w:val="auto"/>
              </w:rPr>
            </w:pPr>
          </w:p>
        </w:tc>
        <w:tc>
          <w:tcPr>
            <w:tcW w:w="1260" w:type="dxa"/>
            <w:vAlign w:val="bottom"/>
            <w:vMerge w:val="restart"/>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Average</w:t>
            </w:r>
          </w:p>
        </w:tc>
        <w:tc>
          <w:tcPr>
            <w:tcW w:w="280" w:type="dxa"/>
            <w:vAlign w:val="bottom"/>
            <w:shd w:val="clear" w:color="auto" w:fill="F4EFE7"/>
          </w:tcPr>
          <w:p>
            <w:pPr>
              <w:spacing w:after="0"/>
              <w:rPr>
                <w:sz w:val="15"/>
                <w:szCs w:val="15"/>
                <w:color w:val="auto"/>
              </w:rPr>
            </w:pPr>
          </w:p>
        </w:tc>
        <w:tc>
          <w:tcPr>
            <w:tcW w:w="1180" w:type="dxa"/>
            <w:vAlign w:val="bottom"/>
            <w:shd w:val="clear" w:color="auto" w:fill="F4EFE7"/>
          </w:tcPr>
          <w:p>
            <w:pPr>
              <w:spacing w:after="0"/>
              <w:rPr>
                <w:sz w:val="15"/>
                <w:szCs w:val="15"/>
                <w:color w:val="auto"/>
              </w:rPr>
            </w:pPr>
          </w:p>
        </w:tc>
        <w:tc>
          <w:tcPr>
            <w:tcW w:w="1640" w:type="dxa"/>
            <w:vAlign w:val="bottom"/>
            <w:gridSpan w:val="2"/>
            <w:shd w:val="clear" w:color="auto" w:fill="F4EFE7"/>
          </w:tcPr>
          <w:p>
            <w:pPr>
              <w:jc w:val="center"/>
              <w:ind w:left="448"/>
              <w:spacing w:after="0"/>
              <w:rPr>
                <w:sz w:val="20"/>
                <w:szCs w:val="20"/>
                <w:color w:val="auto"/>
              </w:rPr>
            </w:pPr>
            <w:r>
              <w:rPr>
                <w:rFonts w:ascii="Arial" w:cs="Arial" w:eastAsia="Arial" w:hAnsi="Arial"/>
                <w:sz w:val="14"/>
                <w:szCs w:val="14"/>
                <w:b w:val="1"/>
                <w:bCs w:val="1"/>
                <w:color w:val="8F5A39"/>
              </w:rPr>
              <w:t>$100 Investment</w:t>
            </w:r>
          </w:p>
        </w:tc>
        <w:tc>
          <w:tcPr>
            <w:tcW w:w="500" w:type="dxa"/>
            <w:vAlign w:val="bottom"/>
            <w:shd w:val="clear" w:color="auto" w:fill="F4EFE7"/>
          </w:tcPr>
          <w:p>
            <w:pPr>
              <w:spacing w:after="0"/>
              <w:rPr>
                <w:sz w:val="15"/>
                <w:szCs w:val="15"/>
                <w:color w:val="auto"/>
              </w:rPr>
            </w:pPr>
          </w:p>
        </w:tc>
        <w:tc>
          <w:tcPr>
            <w:tcW w:w="1200" w:type="dxa"/>
            <w:vAlign w:val="bottom"/>
            <w:shd w:val="clear" w:color="auto" w:fill="F4EFE7"/>
          </w:tcPr>
          <w:p>
            <w:pPr>
              <w:spacing w:after="0"/>
              <w:rPr>
                <w:sz w:val="15"/>
                <w:szCs w:val="15"/>
                <w:color w:val="auto"/>
              </w:rPr>
            </w:pPr>
          </w:p>
        </w:tc>
        <w:tc>
          <w:tcPr>
            <w:tcW w:w="860" w:type="dxa"/>
            <w:vAlign w:val="bottom"/>
            <w:shd w:val="clear" w:color="auto" w:fill="F4EFE7"/>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0" w:type="dxa"/>
            <w:vAlign w:val="bottom"/>
            <w:shd w:val="clear" w:color="auto" w:fill="F4EFE7"/>
          </w:tcPr>
          <w:p>
            <w:pPr>
              <w:spacing w:after="0"/>
              <w:rPr>
                <w:sz w:val="8"/>
                <w:szCs w:val="8"/>
                <w:color w:val="auto"/>
              </w:rPr>
            </w:pPr>
          </w:p>
        </w:tc>
        <w:tc>
          <w:tcPr>
            <w:tcW w:w="360" w:type="dxa"/>
            <w:vAlign w:val="bottom"/>
            <w:shd w:val="clear" w:color="auto" w:fill="F4EFE7"/>
          </w:tcPr>
          <w:p>
            <w:pPr>
              <w:spacing w:after="0"/>
              <w:rPr>
                <w:sz w:val="8"/>
                <w:szCs w:val="8"/>
                <w:color w:val="auto"/>
              </w:rPr>
            </w:pPr>
          </w:p>
        </w:tc>
        <w:tc>
          <w:tcPr>
            <w:tcW w:w="1220" w:type="dxa"/>
            <w:vAlign w:val="bottom"/>
            <w:shd w:val="clear" w:color="auto" w:fill="F4EFE7"/>
          </w:tcPr>
          <w:p>
            <w:pPr>
              <w:spacing w:after="0"/>
              <w:rPr>
                <w:sz w:val="8"/>
                <w:szCs w:val="8"/>
                <w:color w:val="auto"/>
              </w:rPr>
            </w:pPr>
          </w:p>
        </w:tc>
        <w:tc>
          <w:tcPr>
            <w:tcW w:w="340" w:type="dxa"/>
            <w:vAlign w:val="bottom"/>
            <w:shd w:val="clear" w:color="auto" w:fill="F4EFE7"/>
          </w:tcPr>
          <w:p>
            <w:pPr>
              <w:spacing w:after="0"/>
              <w:rPr>
                <w:sz w:val="8"/>
                <w:szCs w:val="8"/>
                <w:color w:val="auto"/>
              </w:rPr>
            </w:pPr>
          </w:p>
        </w:tc>
        <w:tc>
          <w:tcPr>
            <w:tcW w:w="1320" w:type="dxa"/>
            <w:vAlign w:val="bottom"/>
            <w:shd w:val="clear" w:color="auto" w:fill="F4EFE7"/>
          </w:tcPr>
          <w:p>
            <w:pPr>
              <w:spacing w:after="0"/>
              <w:rPr>
                <w:sz w:val="8"/>
                <w:szCs w:val="8"/>
                <w:color w:val="auto"/>
              </w:rPr>
            </w:pPr>
          </w:p>
        </w:tc>
        <w:tc>
          <w:tcPr>
            <w:tcW w:w="280" w:type="dxa"/>
            <w:vAlign w:val="bottom"/>
            <w:shd w:val="clear" w:color="auto" w:fill="F4EFE7"/>
          </w:tcPr>
          <w:p>
            <w:pPr>
              <w:spacing w:after="0"/>
              <w:rPr>
                <w:sz w:val="8"/>
                <w:szCs w:val="8"/>
                <w:color w:val="auto"/>
              </w:rPr>
            </w:pPr>
          </w:p>
        </w:tc>
        <w:tc>
          <w:tcPr>
            <w:tcW w:w="1260" w:type="dxa"/>
            <w:vAlign w:val="bottom"/>
            <w:vMerge w:val="continue"/>
            <w:shd w:val="clear" w:color="auto" w:fill="F4EFE7"/>
          </w:tcPr>
          <w:p>
            <w:pPr>
              <w:spacing w:after="0"/>
              <w:rPr>
                <w:sz w:val="8"/>
                <w:szCs w:val="8"/>
                <w:color w:val="auto"/>
              </w:rPr>
            </w:pPr>
          </w:p>
        </w:tc>
        <w:tc>
          <w:tcPr>
            <w:tcW w:w="280" w:type="dxa"/>
            <w:vAlign w:val="bottom"/>
            <w:shd w:val="clear" w:color="auto" w:fill="F4EFE7"/>
          </w:tcPr>
          <w:p>
            <w:pPr>
              <w:spacing w:after="0"/>
              <w:rPr>
                <w:sz w:val="8"/>
                <w:szCs w:val="8"/>
                <w:color w:val="auto"/>
              </w:rPr>
            </w:pPr>
          </w:p>
        </w:tc>
        <w:tc>
          <w:tcPr>
            <w:tcW w:w="1180" w:type="dxa"/>
            <w:vAlign w:val="bottom"/>
            <w:shd w:val="clear" w:color="auto" w:fill="F4EFE7"/>
          </w:tcPr>
          <w:p>
            <w:pPr>
              <w:spacing w:after="0"/>
              <w:rPr>
                <w:sz w:val="8"/>
                <w:szCs w:val="8"/>
                <w:color w:val="auto"/>
              </w:rPr>
            </w:pPr>
          </w:p>
        </w:tc>
        <w:tc>
          <w:tcPr>
            <w:tcW w:w="1640" w:type="dxa"/>
            <w:vAlign w:val="bottom"/>
            <w:gridSpan w:val="2"/>
            <w:vMerge w:val="restart"/>
            <w:shd w:val="clear" w:color="auto" w:fill="F4EFE7"/>
          </w:tcPr>
          <w:p>
            <w:pPr>
              <w:jc w:val="center"/>
              <w:ind w:left="448"/>
              <w:spacing w:after="0"/>
              <w:rPr>
                <w:sz w:val="20"/>
                <w:szCs w:val="20"/>
                <w:color w:val="auto"/>
              </w:rPr>
            </w:pPr>
            <w:r>
              <w:rPr>
                <w:rFonts w:ascii="Arial" w:cs="Arial" w:eastAsia="Arial" w:hAnsi="Arial"/>
                <w:sz w:val="14"/>
                <w:szCs w:val="14"/>
                <w:b w:val="1"/>
                <w:bCs w:val="1"/>
                <w:color w:val="8F5A39"/>
              </w:rPr>
              <w:t>Based On:</w:t>
            </w:r>
          </w:p>
        </w:tc>
        <w:tc>
          <w:tcPr>
            <w:tcW w:w="500" w:type="dxa"/>
            <w:vAlign w:val="bottom"/>
            <w:shd w:val="clear" w:color="auto" w:fill="F4EFE7"/>
          </w:tcPr>
          <w:p>
            <w:pPr>
              <w:spacing w:after="0"/>
              <w:rPr>
                <w:sz w:val="8"/>
                <w:szCs w:val="8"/>
                <w:color w:val="auto"/>
              </w:rPr>
            </w:pPr>
          </w:p>
        </w:tc>
        <w:tc>
          <w:tcPr>
            <w:tcW w:w="1200" w:type="dxa"/>
            <w:vAlign w:val="bottom"/>
            <w:shd w:val="clear" w:color="auto" w:fill="F4EFE7"/>
          </w:tcPr>
          <w:p>
            <w:pPr>
              <w:spacing w:after="0"/>
              <w:rPr>
                <w:sz w:val="8"/>
                <w:szCs w:val="8"/>
                <w:color w:val="auto"/>
              </w:rPr>
            </w:pPr>
          </w:p>
        </w:tc>
        <w:tc>
          <w:tcPr>
            <w:tcW w:w="860" w:type="dxa"/>
            <w:vAlign w:val="bottom"/>
            <w:shd w:val="clear" w:color="auto" w:fill="F4EFE7"/>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00" w:type="dxa"/>
            <w:vAlign w:val="bottom"/>
            <w:tcBorders>
              <w:bottom w:val="single" w:sz="8" w:color="F4EFE7"/>
            </w:tcBorders>
            <w:shd w:val="clear" w:color="auto" w:fill="F4EFE7"/>
          </w:tcPr>
          <w:p>
            <w:pPr>
              <w:spacing w:after="0"/>
              <w:rPr>
                <w:sz w:val="8"/>
                <w:szCs w:val="8"/>
                <w:color w:val="auto"/>
              </w:rPr>
            </w:pPr>
          </w:p>
        </w:tc>
        <w:tc>
          <w:tcPr>
            <w:tcW w:w="360" w:type="dxa"/>
            <w:vAlign w:val="bottom"/>
            <w:tcBorders>
              <w:bottom w:val="single" w:sz="8" w:color="F4EFE7"/>
            </w:tcBorders>
            <w:shd w:val="clear" w:color="auto" w:fill="F4EFE7"/>
          </w:tcPr>
          <w:p>
            <w:pPr>
              <w:spacing w:after="0"/>
              <w:rPr>
                <w:sz w:val="8"/>
                <w:szCs w:val="8"/>
                <w:color w:val="auto"/>
              </w:rPr>
            </w:pPr>
          </w:p>
        </w:tc>
        <w:tc>
          <w:tcPr>
            <w:tcW w:w="1220" w:type="dxa"/>
            <w:vAlign w:val="bottom"/>
            <w:tcBorders>
              <w:bottom w:val="single" w:sz="8" w:color="F4EFE7"/>
            </w:tcBorders>
            <w:vMerge w:val="restart"/>
            <w:shd w:val="clear" w:color="auto" w:fill="F4EFE7"/>
          </w:tcPr>
          <w:p>
            <w:pPr>
              <w:jc w:val="right"/>
              <w:ind w:right="28"/>
              <w:spacing w:after="0"/>
              <w:rPr>
                <w:sz w:val="20"/>
                <w:szCs w:val="20"/>
                <w:color w:val="auto"/>
              </w:rPr>
            </w:pPr>
            <w:r>
              <w:rPr>
                <w:rFonts w:ascii="Arial" w:cs="Arial" w:eastAsia="Arial" w:hAnsi="Arial"/>
                <w:sz w:val="14"/>
                <w:szCs w:val="14"/>
                <w:b w:val="1"/>
                <w:bCs w:val="1"/>
                <w:color w:val="8F5A39"/>
              </w:rPr>
              <w:t>Summary</w:t>
            </w:r>
          </w:p>
        </w:tc>
        <w:tc>
          <w:tcPr>
            <w:tcW w:w="340" w:type="dxa"/>
            <w:vAlign w:val="bottom"/>
            <w:tcBorders>
              <w:bottom w:val="single" w:sz="8" w:color="F4EFE7"/>
            </w:tcBorders>
            <w:shd w:val="clear" w:color="auto" w:fill="F4EFE7"/>
          </w:tcPr>
          <w:p>
            <w:pPr>
              <w:spacing w:after="0"/>
              <w:rPr>
                <w:sz w:val="8"/>
                <w:szCs w:val="8"/>
                <w:color w:val="auto"/>
              </w:rPr>
            </w:pPr>
          </w:p>
        </w:tc>
        <w:tc>
          <w:tcPr>
            <w:tcW w:w="1320" w:type="dxa"/>
            <w:vAlign w:val="bottom"/>
            <w:tcBorders>
              <w:bottom w:val="single" w:sz="8" w:color="F4EFE7"/>
            </w:tcBorders>
            <w:shd w:val="clear" w:color="auto" w:fill="F4EFE7"/>
          </w:tcPr>
          <w:p>
            <w:pPr>
              <w:spacing w:after="0"/>
              <w:rPr>
                <w:sz w:val="8"/>
                <w:szCs w:val="8"/>
                <w:color w:val="auto"/>
              </w:rPr>
            </w:pPr>
          </w:p>
        </w:tc>
        <w:tc>
          <w:tcPr>
            <w:tcW w:w="280" w:type="dxa"/>
            <w:vAlign w:val="bottom"/>
            <w:tcBorders>
              <w:bottom w:val="single" w:sz="8" w:color="F4EFE7"/>
            </w:tcBorders>
            <w:shd w:val="clear" w:color="auto" w:fill="F4EFE7"/>
          </w:tcPr>
          <w:p>
            <w:pPr>
              <w:spacing w:after="0"/>
              <w:rPr>
                <w:sz w:val="8"/>
                <w:szCs w:val="8"/>
                <w:color w:val="auto"/>
              </w:rPr>
            </w:pPr>
          </w:p>
        </w:tc>
        <w:tc>
          <w:tcPr>
            <w:tcW w:w="1260" w:type="dxa"/>
            <w:vAlign w:val="bottom"/>
            <w:tcBorders>
              <w:bottom w:val="single" w:sz="8" w:color="F4EFE7"/>
            </w:tcBorders>
            <w:vMerge w:val="restart"/>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Summary</w:t>
            </w:r>
          </w:p>
        </w:tc>
        <w:tc>
          <w:tcPr>
            <w:tcW w:w="280" w:type="dxa"/>
            <w:vAlign w:val="bottom"/>
            <w:tcBorders>
              <w:bottom w:val="single" w:sz="8" w:color="F4EFE7"/>
            </w:tcBorders>
            <w:shd w:val="clear" w:color="auto" w:fill="F4EFE7"/>
          </w:tcPr>
          <w:p>
            <w:pPr>
              <w:spacing w:after="0"/>
              <w:rPr>
                <w:sz w:val="8"/>
                <w:szCs w:val="8"/>
                <w:color w:val="auto"/>
              </w:rPr>
            </w:pPr>
          </w:p>
        </w:tc>
        <w:tc>
          <w:tcPr>
            <w:tcW w:w="1180" w:type="dxa"/>
            <w:vAlign w:val="bottom"/>
            <w:tcBorders>
              <w:bottom w:val="single" w:sz="8" w:color="F4EFE7"/>
            </w:tcBorders>
            <w:vMerge w:val="restart"/>
            <w:shd w:val="clear" w:color="auto" w:fill="F4EFE7"/>
          </w:tcPr>
          <w:p>
            <w:pPr>
              <w:jc w:val="right"/>
              <w:spacing w:after="0"/>
              <w:rPr>
                <w:sz w:val="20"/>
                <w:szCs w:val="20"/>
                <w:color w:val="auto"/>
              </w:rPr>
            </w:pPr>
            <w:r>
              <w:rPr>
                <w:rFonts w:ascii="Arial" w:cs="Arial" w:eastAsia="Arial" w:hAnsi="Arial"/>
                <w:sz w:val="14"/>
                <w:szCs w:val="14"/>
                <w:b w:val="1"/>
                <w:bCs w:val="1"/>
                <w:color w:val="8F5A39"/>
              </w:rPr>
              <w:t>Average</w:t>
            </w:r>
          </w:p>
        </w:tc>
        <w:tc>
          <w:tcPr>
            <w:tcW w:w="1640" w:type="dxa"/>
            <w:vAlign w:val="bottom"/>
            <w:tcBorders>
              <w:bottom w:val="single" w:sz="8" w:color="auto"/>
            </w:tcBorders>
            <w:gridSpan w:val="2"/>
            <w:vMerge w:val="continue"/>
            <w:shd w:val="clear" w:color="auto" w:fill="F4EFE7"/>
          </w:tcPr>
          <w:p>
            <w:pPr>
              <w:spacing w:after="0"/>
              <w:rPr>
                <w:sz w:val="8"/>
                <w:szCs w:val="8"/>
                <w:color w:val="auto"/>
              </w:rPr>
            </w:pPr>
          </w:p>
        </w:tc>
        <w:tc>
          <w:tcPr>
            <w:tcW w:w="500" w:type="dxa"/>
            <w:vAlign w:val="bottom"/>
            <w:tcBorders>
              <w:bottom w:val="single" w:sz="8" w:color="auto"/>
            </w:tcBorders>
            <w:shd w:val="clear" w:color="auto" w:fill="F4EFE7"/>
          </w:tcPr>
          <w:p>
            <w:pPr>
              <w:spacing w:after="0"/>
              <w:rPr>
                <w:sz w:val="8"/>
                <w:szCs w:val="8"/>
                <w:color w:val="auto"/>
              </w:rPr>
            </w:pPr>
          </w:p>
        </w:tc>
        <w:tc>
          <w:tcPr>
            <w:tcW w:w="1200" w:type="dxa"/>
            <w:vAlign w:val="bottom"/>
            <w:tcBorders>
              <w:bottom w:val="single" w:sz="8" w:color="F4EFE7"/>
            </w:tcBorders>
            <w:shd w:val="clear" w:color="auto" w:fill="F4EFE7"/>
          </w:tcPr>
          <w:p>
            <w:pPr>
              <w:spacing w:after="0"/>
              <w:rPr>
                <w:sz w:val="8"/>
                <w:szCs w:val="8"/>
                <w:color w:val="auto"/>
              </w:rPr>
            </w:pPr>
          </w:p>
        </w:tc>
        <w:tc>
          <w:tcPr>
            <w:tcW w:w="860" w:type="dxa"/>
            <w:vAlign w:val="bottom"/>
            <w:tcBorders>
              <w:bottom w:val="single" w:sz="8" w:color="F4EFE7"/>
            </w:tcBorders>
            <w:shd w:val="clear" w:color="auto" w:fill="F4EFE7"/>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700" w:type="dxa"/>
            <w:vAlign w:val="bottom"/>
            <w:shd w:val="clear" w:color="auto" w:fill="F4EFE7"/>
          </w:tcPr>
          <w:p>
            <w:pPr>
              <w:spacing w:after="0"/>
              <w:rPr>
                <w:sz w:val="4"/>
                <w:szCs w:val="4"/>
                <w:color w:val="auto"/>
              </w:rPr>
            </w:pPr>
          </w:p>
        </w:tc>
        <w:tc>
          <w:tcPr>
            <w:tcW w:w="360" w:type="dxa"/>
            <w:vAlign w:val="bottom"/>
            <w:shd w:val="clear" w:color="auto" w:fill="F4EFE7"/>
          </w:tcPr>
          <w:p>
            <w:pPr>
              <w:spacing w:after="0"/>
              <w:rPr>
                <w:sz w:val="4"/>
                <w:szCs w:val="4"/>
                <w:color w:val="auto"/>
              </w:rPr>
            </w:pPr>
          </w:p>
        </w:tc>
        <w:tc>
          <w:tcPr>
            <w:tcW w:w="1220" w:type="dxa"/>
            <w:vAlign w:val="bottom"/>
            <w:vMerge w:val="continue"/>
            <w:shd w:val="clear" w:color="auto" w:fill="F4EFE7"/>
          </w:tcPr>
          <w:p>
            <w:pPr>
              <w:spacing w:after="0"/>
              <w:rPr>
                <w:sz w:val="4"/>
                <w:szCs w:val="4"/>
                <w:color w:val="auto"/>
              </w:rPr>
            </w:pPr>
          </w:p>
        </w:tc>
        <w:tc>
          <w:tcPr>
            <w:tcW w:w="340" w:type="dxa"/>
            <w:vAlign w:val="bottom"/>
            <w:shd w:val="clear" w:color="auto" w:fill="F4EFE7"/>
          </w:tcPr>
          <w:p>
            <w:pPr>
              <w:spacing w:after="0"/>
              <w:rPr>
                <w:sz w:val="4"/>
                <w:szCs w:val="4"/>
                <w:color w:val="auto"/>
              </w:rPr>
            </w:pPr>
          </w:p>
        </w:tc>
        <w:tc>
          <w:tcPr>
            <w:tcW w:w="1320" w:type="dxa"/>
            <w:vAlign w:val="bottom"/>
            <w:shd w:val="clear" w:color="auto" w:fill="F4EFE7"/>
          </w:tcPr>
          <w:p>
            <w:pPr>
              <w:spacing w:after="0"/>
              <w:rPr>
                <w:sz w:val="4"/>
                <w:szCs w:val="4"/>
                <w:color w:val="auto"/>
              </w:rPr>
            </w:pPr>
          </w:p>
        </w:tc>
        <w:tc>
          <w:tcPr>
            <w:tcW w:w="280" w:type="dxa"/>
            <w:vAlign w:val="bottom"/>
            <w:shd w:val="clear" w:color="auto" w:fill="F4EFE7"/>
          </w:tcPr>
          <w:p>
            <w:pPr>
              <w:spacing w:after="0"/>
              <w:rPr>
                <w:sz w:val="4"/>
                <w:szCs w:val="4"/>
                <w:color w:val="auto"/>
              </w:rPr>
            </w:pPr>
          </w:p>
        </w:tc>
        <w:tc>
          <w:tcPr>
            <w:tcW w:w="1260" w:type="dxa"/>
            <w:vAlign w:val="bottom"/>
            <w:vMerge w:val="continue"/>
            <w:shd w:val="clear" w:color="auto" w:fill="F4EFE7"/>
          </w:tcPr>
          <w:p>
            <w:pPr>
              <w:spacing w:after="0"/>
              <w:rPr>
                <w:sz w:val="4"/>
                <w:szCs w:val="4"/>
                <w:color w:val="auto"/>
              </w:rPr>
            </w:pPr>
          </w:p>
        </w:tc>
        <w:tc>
          <w:tcPr>
            <w:tcW w:w="280" w:type="dxa"/>
            <w:vAlign w:val="bottom"/>
            <w:shd w:val="clear" w:color="auto" w:fill="F4EFE7"/>
          </w:tcPr>
          <w:p>
            <w:pPr>
              <w:spacing w:after="0"/>
              <w:rPr>
                <w:sz w:val="4"/>
                <w:szCs w:val="4"/>
                <w:color w:val="auto"/>
              </w:rPr>
            </w:pPr>
          </w:p>
        </w:tc>
        <w:tc>
          <w:tcPr>
            <w:tcW w:w="1180" w:type="dxa"/>
            <w:vAlign w:val="bottom"/>
            <w:vMerge w:val="continue"/>
            <w:shd w:val="clear" w:color="auto" w:fill="F4EFE7"/>
          </w:tcPr>
          <w:p>
            <w:pPr>
              <w:spacing w:after="0"/>
              <w:rPr>
                <w:sz w:val="4"/>
                <w:szCs w:val="4"/>
                <w:color w:val="auto"/>
              </w:rPr>
            </w:pPr>
          </w:p>
        </w:tc>
        <w:tc>
          <w:tcPr>
            <w:tcW w:w="1180" w:type="dxa"/>
            <w:vAlign w:val="bottom"/>
            <w:shd w:val="clear" w:color="auto" w:fill="F4EFE7"/>
          </w:tcPr>
          <w:p>
            <w:pPr>
              <w:spacing w:after="0"/>
              <w:rPr>
                <w:sz w:val="4"/>
                <w:szCs w:val="4"/>
                <w:color w:val="auto"/>
              </w:rPr>
            </w:pPr>
          </w:p>
        </w:tc>
        <w:tc>
          <w:tcPr>
            <w:tcW w:w="460" w:type="dxa"/>
            <w:vAlign w:val="bottom"/>
            <w:shd w:val="clear" w:color="auto" w:fill="F4EFE7"/>
          </w:tcPr>
          <w:p>
            <w:pPr>
              <w:spacing w:after="0"/>
              <w:rPr>
                <w:sz w:val="4"/>
                <w:szCs w:val="4"/>
                <w:color w:val="auto"/>
              </w:rPr>
            </w:pPr>
          </w:p>
        </w:tc>
        <w:tc>
          <w:tcPr>
            <w:tcW w:w="500" w:type="dxa"/>
            <w:vAlign w:val="bottom"/>
            <w:shd w:val="clear" w:color="auto" w:fill="F4EFE7"/>
          </w:tcPr>
          <w:p>
            <w:pPr>
              <w:spacing w:after="0"/>
              <w:rPr>
                <w:sz w:val="4"/>
                <w:szCs w:val="4"/>
                <w:color w:val="auto"/>
              </w:rPr>
            </w:pPr>
          </w:p>
        </w:tc>
        <w:tc>
          <w:tcPr>
            <w:tcW w:w="1200" w:type="dxa"/>
            <w:vAlign w:val="bottom"/>
            <w:shd w:val="clear" w:color="auto" w:fill="F4EFE7"/>
          </w:tcPr>
          <w:p>
            <w:pPr>
              <w:spacing w:after="0"/>
              <w:rPr>
                <w:sz w:val="4"/>
                <w:szCs w:val="4"/>
                <w:color w:val="auto"/>
              </w:rPr>
            </w:pPr>
          </w:p>
        </w:tc>
        <w:tc>
          <w:tcPr>
            <w:tcW w:w="860" w:type="dxa"/>
            <w:vAlign w:val="bottom"/>
            <w:shd w:val="clear" w:color="auto" w:fill="F4EFE7"/>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700" w:type="dxa"/>
            <w:vAlign w:val="bottom"/>
            <w:shd w:val="clear" w:color="auto" w:fill="F4EFE7"/>
          </w:tcPr>
          <w:p>
            <w:pPr>
              <w:spacing w:after="0"/>
              <w:rPr>
                <w:sz w:val="15"/>
                <w:szCs w:val="15"/>
                <w:color w:val="auto"/>
              </w:rPr>
            </w:pPr>
          </w:p>
        </w:tc>
        <w:tc>
          <w:tcPr>
            <w:tcW w:w="360" w:type="dxa"/>
            <w:vAlign w:val="bottom"/>
            <w:shd w:val="clear" w:color="auto" w:fill="F4EFE7"/>
          </w:tcPr>
          <w:p>
            <w:pPr>
              <w:spacing w:after="0"/>
              <w:rPr>
                <w:sz w:val="15"/>
                <w:szCs w:val="15"/>
                <w:color w:val="auto"/>
              </w:rPr>
            </w:pPr>
          </w:p>
        </w:tc>
        <w:tc>
          <w:tcPr>
            <w:tcW w:w="1220" w:type="dxa"/>
            <w:vAlign w:val="bottom"/>
            <w:shd w:val="clear" w:color="auto" w:fill="F4EFE7"/>
          </w:tcPr>
          <w:p>
            <w:pPr>
              <w:jc w:val="right"/>
              <w:ind w:right="28"/>
              <w:spacing w:after="0"/>
              <w:rPr>
                <w:sz w:val="20"/>
                <w:szCs w:val="20"/>
                <w:color w:val="auto"/>
              </w:rPr>
            </w:pPr>
            <w:r>
              <w:rPr>
                <w:rFonts w:ascii="Arial" w:cs="Arial" w:eastAsia="Arial" w:hAnsi="Arial"/>
                <w:sz w:val="14"/>
                <w:szCs w:val="14"/>
                <w:b w:val="1"/>
                <w:bCs w:val="1"/>
                <w:color w:val="8F5A39"/>
              </w:rPr>
              <w:t>Compensation</w:t>
            </w:r>
          </w:p>
        </w:tc>
        <w:tc>
          <w:tcPr>
            <w:tcW w:w="340" w:type="dxa"/>
            <w:vAlign w:val="bottom"/>
            <w:shd w:val="clear" w:color="auto" w:fill="F4EFE7"/>
          </w:tcPr>
          <w:p>
            <w:pPr>
              <w:spacing w:after="0"/>
              <w:rPr>
                <w:sz w:val="15"/>
                <w:szCs w:val="15"/>
                <w:color w:val="auto"/>
              </w:rPr>
            </w:pPr>
          </w:p>
        </w:tc>
        <w:tc>
          <w:tcPr>
            <w:tcW w:w="1320" w:type="dxa"/>
            <w:vAlign w:val="bottom"/>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Compensation</w:t>
            </w:r>
          </w:p>
        </w:tc>
        <w:tc>
          <w:tcPr>
            <w:tcW w:w="280" w:type="dxa"/>
            <w:vAlign w:val="bottom"/>
            <w:shd w:val="clear" w:color="auto" w:fill="F4EFE7"/>
          </w:tcPr>
          <w:p>
            <w:pPr>
              <w:spacing w:after="0"/>
              <w:rPr>
                <w:sz w:val="15"/>
                <w:szCs w:val="15"/>
                <w:color w:val="auto"/>
              </w:rPr>
            </w:pPr>
          </w:p>
        </w:tc>
        <w:tc>
          <w:tcPr>
            <w:tcW w:w="1260" w:type="dxa"/>
            <w:vAlign w:val="bottom"/>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Compensation</w:t>
            </w:r>
          </w:p>
        </w:tc>
        <w:tc>
          <w:tcPr>
            <w:tcW w:w="280" w:type="dxa"/>
            <w:vAlign w:val="bottom"/>
            <w:shd w:val="clear" w:color="auto" w:fill="F4EFE7"/>
          </w:tcPr>
          <w:p>
            <w:pPr>
              <w:spacing w:after="0"/>
              <w:rPr>
                <w:sz w:val="15"/>
                <w:szCs w:val="15"/>
                <w:color w:val="auto"/>
              </w:rPr>
            </w:pPr>
          </w:p>
        </w:tc>
        <w:tc>
          <w:tcPr>
            <w:tcW w:w="118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Compensation</w:t>
            </w:r>
          </w:p>
        </w:tc>
        <w:tc>
          <w:tcPr>
            <w:tcW w:w="1180" w:type="dxa"/>
            <w:vAlign w:val="bottom"/>
            <w:shd w:val="clear" w:color="auto" w:fill="F4EFE7"/>
          </w:tcPr>
          <w:p>
            <w:pPr>
              <w:spacing w:after="0"/>
              <w:rPr>
                <w:sz w:val="15"/>
                <w:szCs w:val="15"/>
                <w:color w:val="auto"/>
              </w:rPr>
            </w:pPr>
          </w:p>
        </w:tc>
        <w:tc>
          <w:tcPr>
            <w:tcW w:w="460" w:type="dxa"/>
            <w:vAlign w:val="bottom"/>
            <w:shd w:val="clear" w:color="auto" w:fill="F4EFE7"/>
          </w:tcPr>
          <w:p>
            <w:pPr>
              <w:spacing w:after="0"/>
              <w:rPr>
                <w:sz w:val="15"/>
                <w:szCs w:val="15"/>
                <w:color w:val="auto"/>
              </w:rPr>
            </w:pPr>
          </w:p>
        </w:tc>
        <w:tc>
          <w:tcPr>
            <w:tcW w:w="50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Peer</w:t>
            </w:r>
          </w:p>
        </w:tc>
        <w:tc>
          <w:tcPr>
            <w:tcW w:w="1200" w:type="dxa"/>
            <w:vAlign w:val="bottom"/>
            <w:shd w:val="clear" w:color="auto" w:fill="F4EFE7"/>
          </w:tcPr>
          <w:p>
            <w:pPr>
              <w:spacing w:after="0"/>
              <w:rPr>
                <w:sz w:val="15"/>
                <w:szCs w:val="15"/>
                <w:color w:val="auto"/>
              </w:rPr>
            </w:pPr>
          </w:p>
        </w:tc>
        <w:tc>
          <w:tcPr>
            <w:tcW w:w="860" w:type="dxa"/>
            <w:vAlign w:val="bottom"/>
            <w:shd w:val="clear" w:color="auto" w:fill="F4EFE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0" w:type="dxa"/>
            <w:vAlign w:val="bottom"/>
            <w:shd w:val="clear" w:color="auto" w:fill="F4EFE7"/>
          </w:tcPr>
          <w:p>
            <w:pPr>
              <w:spacing w:after="0"/>
              <w:rPr>
                <w:sz w:val="14"/>
                <w:szCs w:val="14"/>
                <w:color w:val="auto"/>
              </w:rPr>
            </w:pPr>
          </w:p>
        </w:tc>
        <w:tc>
          <w:tcPr>
            <w:tcW w:w="360" w:type="dxa"/>
            <w:vAlign w:val="bottom"/>
            <w:shd w:val="clear" w:color="auto" w:fill="F4EFE7"/>
          </w:tcPr>
          <w:p>
            <w:pPr>
              <w:spacing w:after="0"/>
              <w:rPr>
                <w:sz w:val="14"/>
                <w:szCs w:val="14"/>
                <w:color w:val="auto"/>
              </w:rPr>
            </w:pPr>
          </w:p>
        </w:tc>
        <w:tc>
          <w:tcPr>
            <w:tcW w:w="1220" w:type="dxa"/>
            <w:vAlign w:val="bottom"/>
            <w:shd w:val="clear" w:color="auto" w:fill="F4EFE7"/>
          </w:tcPr>
          <w:p>
            <w:pPr>
              <w:jc w:val="right"/>
              <w:ind w:right="28"/>
              <w:spacing w:after="0"/>
              <w:rPr>
                <w:sz w:val="20"/>
                <w:szCs w:val="20"/>
                <w:color w:val="auto"/>
              </w:rPr>
            </w:pPr>
            <w:r>
              <w:rPr>
                <w:rFonts w:ascii="Arial" w:cs="Arial" w:eastAsia="Arial" w:hAnsi="Arial"/>
                <w:sz w:val="14"/>
                <w:szCs w:val="14"/>
                <w:b w:val="1"/>
                <w:bCs w:val="1"/>
                <w:color w:val="8F5A39"/>
              </w:rPr>
              <w:t>Table Total for</w:t>
            </w:r>
          </w:p>
        </w:tc>
        <w:tc>
          <w:tcPr>
            <w:tcW w:w="340" w:type="dxa"/>
            <w:vAlign w:val="bottom"/>
            <w:shd w:val="clear" w:color="auto" w:fill="F4EFE7"/>
          </w:tcPr>
          <w:p>
            <w:pPr>
              <w:spacing w:after="0"/>
              <w:rPr>
                <w:sz w:val="14"/>
                <w:szCs w:val="14"/>
                <w:color w:val="auto"/>
              </w:rPr>
            </w:pPr>
          </w:p>
        </w:tc>
        <w:tc>
          <w:tcPr>
            <w:tcW w:w="1320" w:type="dxa"/>
            <w:vAlign w:val="bottom"/>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Actually Paid to</w:t>
            </w:r>
          </w:p>
        </w:tc>
        <w:tc>
          <w:tcPr>
            <w:tcW w:w="280" w:type="dxa"/>
            <w:vAlign w:val="bottom"/>
            <w:shd w:val="clear" w:color="auto" w:fill="F4EFE7"/>
          </w:tcPr>
          <w:p>
            <w:pPr>
              <w:spacing w:after="0"/>
              <w:rPr>
                <w:sz w:val="14"/>
                <w:szCs w:val="14"/>
                <w:color w:val="auto"/>
              </w:rPr>
            </w:pPr>
          </w:p>
        </w:tc>
        <w:tc>
          <w:tcPr>
            <w:tcW w:w="1260" w:type="dxa"/>
            <w:vAlign w:val="bottom"/>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Table Total for</w:t>
            </w:r>
          </w:p>
        </w:tc>
        <w:tc>
          <w:tcPr>
            <w:tcW w:w="280" w:type="dxa"/>
            <w:vAlign w:val="bottom"/>
            <w:shd w:val="clear" w:color="auto" w:fill="F4EFE7"/>
          </w:tcPr>
          <w:p>
            <w:pPr>
              <w:spacing w:after="0"/>
              <w:rPr>
                <w:sz w:val="14"/>
                <w:szCs w:val="14"/>
                <w:color w:val="auto"/>
              </w:rPr>
            </w:pPr>
          </w:p>
        </w:tc>
        <w:tc>
          <w:tcPr>
            <w:tcW w:w="118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Actually Paid to</w:t>
            </w:r>
          </w:p>
        </w:tc>
        <w:tc>
          <w:tcPr>
            <w:tcW w:w="1180" w:type="dxa"/>
            <w:vAlign w:val="bottom"/>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Company</w:t>
            </w:r>
          </w:p>
        </w:tc>
        <w:tc>
          <w:tcPr>
            <w:tcW w:w="460" w:type="dxa"/>
            <w:vAlign w:val="bottom"/>
            <w:shd w:val="clear" w:color="auto" w:fill="F4EFE7"/>
          </w:tcPr>
          <w:p>
            <w:pPr>
              <w:spacing w:after="0"/>
              <w:rPr>
                <w:sz w:val="14"/>
                <w:szCs w:val="14"/>
                <w:color w:val="auto"/>
              </w:rPr>
            </w:pPr>
          </w:p>
        </w:tc>
        <w:tc>
          <w:tcPr>
            <w:tcW w:w="50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Group</w:t>
            </w:r>
          </w:p>
        </w:tc>
        <w:tc>
          <w:tcPr>
            <w:tcW w:w="1200" w:type="dxa"/>
            <w:vAlign w:val="bottom"/>
            <w:shd w:val="clear" w:color="auto" w:fill="F4EFE7"/>
          </w:tcPr>
          <w:p>
            <w:pPr>
              <w:jc w:val="right"/>
              <w:ind w:right="228"/>
              <w:spacing w:after="0"/>
              <w:rPr>
                <w:sz w:val="20"/>
                <w:szCs w:val="20"/>
                <w:color w:val="auto"/>
              </w:rPr>
            </w:pPr>
            <w:r>
              <w:rPr>
                <w:rFonts w:ascii="Arial" w:cs="Arial" w:eastAsia="Arial" w:hAnsi="Arial"/>
                <w:sz w:val="14"/>
                <w:szCs w:val="14"/>
                <w:b w:val="1"/>
                <w:bCs w:val="1"/>
                <w:color w:val="8F5A39"/>
              </w:rPr>
              <w:t>Net</w:t>
            </w:r>
          </w:p>
        </w:tc>
        <w:tc>
          <w:tcPr>
            <w:tcW w:w="860" w:type="dxa"/>
            <w:vAlign w:val="bottom"/>
            <w:shd w:val="clear" w:color="auto" w:fill="F4EFE7"/>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0" w:type="dxa"/>
            <w:vAlign w:val="bottom"/>
            <w:shd w:val="clear" w:color="auto" w:fill="F4EFE7"/>
          </w:tcPr>
          <w:p>
            <w:pPr>
              <w:spacing w:after="0"/>
              <w:rPr>
                <w:sz w:val="15"/>
                <w:szCs w:val="15"/>
                <w:color w:val="auto"/>
              </w:rPr>
            </w:pPr>
          </w:p>
        </w:tc>
        <w:tc>
          <w:tcPr>
            <w:tcW w:w="360" w:type="dxa"/>
            <w:vAlign w:val="bottom"/>
            <w:shd w:val="clear" w:color="auto" w:fill="F4EFE7"/>
          </w:tcPr>
          <w:p>
            <w:pPr>
              <w:spacing w:after="0"/>
              <w:rPr>
                <w:sz w:val="15"/>
                <w:szCs w:val="15"/>
                <w:color w:val="auto"/>
              </w:rPr>
            </w:pPr>
          </w:p>
        </w:tc>
        <w:tc>
          <w:tcPr>
            <w:tcW w:w="1220" w:type="dxa"/>
            <w:vAlign w:val="bottom"/>
            <w:shd w:val="clear" w:color="auto" w:fill="F4EFE7"/>
          </w:tcPr>
          <w:p>
            <w:pPr>
              <w:jc w:val="right"/>
              <w:ind w:right="28"/>
              <w:spacing w:after="0"/>
              <w:rPr>
                <w:sz w:val="20"/>
                <w:szCs w:val="20"/>
                <w:color w:val="auto"/>
              </w:rPr>
            </w:pPr>
            <w:r>
              <w:rPr>
                <w:rFonts w:ascii="Arial" w:cs="Arial" w:eastAsia="Arial" w:hAnsi="Arial"/>
                <w:sz w:val="14"/>
                <w:szCs w:val="14"/>
                <w:b w:val="1"/>
                <w:bCs w:val="1"/>
                <w:color w:val="8F5A39"/>
              </w:rPr>
              <w:t>PEO</w:t>
            </w:r>
          </w:p>
        </w:tc>
        <w:tc>
          <w:tcPr>
            <w:tcW w:w="340" w:type="dxa"/>
            <w:vAlign w:val="bottom"/>
            <w:shd w:val="clear" w:color="auto" w:fill="F4EFE7"/>
          </w:tcPr>
          <w:p>
            <w:pPr>
              <w:spacing w:after="0"/>
              <w:rPr>
                <w:sz w:val="15"/>
                <w:szCs w:val="15"/>
                <w:color w:val="auto"/>
              </w:rPr>
            </w:pPr>
          </w:p>
        </w:tc>
        <w:tc>
          <w:tcPr>
            <w:tcW w:w="1320" w:type="dxa"/>
            <w:vAlign w:val="bottom"/>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PEO</w:t>
            </w:r>
          </w:p>
        </w:tc>
        <w:tc>
          <w:tcPr>
            <w:tcW w:w="280" w:type="dxa"/>
            <w:vAlign w:val="bottom"/>
            <w:shd w:val="clear" w:color="auto" w:fill="F4EFE7"/>
          </w:tcPr>
          <w:p>
            <w:pPr>
              <w:spacing w:after="0"/>
              <w:rPr>
                <w:sz w:val="15"/>
                <w:szCs w:val="15"/>
                <w:color w:val="auto"/>
              </w:rPr>
            </w:pPr>
          </w:p>
        </w:tc>
        <w:tc>
          <w:tcPr>
            <w:tcW w:w="1260" w:type="dxa"/>
            <w:vAlign w:val="bottom"/>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non-PEO NEOs</w:t>
            </w:r>
          </w:p>
        </w:tc>
        <w:tc>
          <w:tcPr>
            <w:tcW w:w="280" w:type="dxa"/>
            <w:vAlign w:val="bottom"/>
            <w:shd w:val="clear" w:color="auto" w:fill="F4EFE7"/>
          </w:tcPr>
          <w:p>
            <w:pPr>
              <w:spacing w:after="0"/>
              <w:rPr>
                <w:sz w:val="15"/>
                <w:szCs w:val="15"/>
                <w:color w:val="auto"/>
              </w:rPr>
            </w:pPr>
          </w:p>
        </w:tc>
        <w:tc>
          <w:tcPr>
            <w:tcW w:w="118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non-PEO NEOs</w:t>
            </w:r>
          </w:p>
        </w:tc>
        <w:tc>
          <w:tcPr>
            <w:tcW w:w="1180" w:type="dxa"/>
            <w:vAlign w:val="bottom"/>
            <w:shd w:val="clear" w:color="auto" w:fill="F4EFE7"/>
          </w:tcPr>
          <w:p>
            <w:pPr>
              <w:jc w:val="right"/>
              <w:ind w:right="48"/>
              <w:spacing w:after="0" w:line="176" w:lineRule="exact"/>
              <w:rPr>
                <w:sz w:val="20"/>
                <w:szCs w:val="20"/>
                <w:color w:val="auto"/>
              </w:rPr>
            </w:pPr>
            <w:r>
              <w:rPr>
                <w:rFonts w:ascii="Arial" w:cs="Arial" w:eastAsia="Arial" w:hAnsi="Arial"/>
                <w:sz w:val="14"/>
                <w:szCs w:val="14"/>
                <w:b w:val="1"/>
                <w:bCs w:val="1"/>
                <w:color w:val="8F5A39"/>
              </w:rPr>
              <w:t>TSR</w:t>
            </w:r>
            <w:r>
              <w:rPr>
                <w:rFonts w:ascii="Arial" w:cs="Arial" w:eastAsia="Arial" w:hAnsi="Arial"/>
                <w:sz w:val="18"/>
                <w:szCs w:val="18"/>
                <w:b w:val="1"/>
                <w:bCs w:val="1"/>
                <w:color w:val="8F5A39"/>
                <w:vertAlign w:val="superscript"/>
              </w:rPr>
              <w:t>3</w:t>
            </w:r>
          </w:p>
        </w:tc>
        <w:tc>
          <w:tcPr>
            <w:tcW w:w="460" w:type="dxa"/>
            <w:vAlign w:val="bottom"/>
            <w:shd w:val="clear" w:color="auto" w:fill="F4EFE7"/>
          </w:tcPr>
          <w:p>
            <w:pPr>
              <w:spacing w:after="0"/>
              <w:rPr>
                <w:sz w:val="15"/>
                <w:szCs w:val="15"/>
                <w:color w:val="auto"/>
              </w:rPr>
            </w:pPr>
          </w:p>
        </w:tc>
        <w:tc>
          <w:tcPr>
            <w:tcW w:w="500" w:type="dxa"/>
            <w:vAlign w:val="bottom"/>
            <w:shd w:val="clear" w:color="auto" w:fill="F4EFE7"/>
          </w:tcPr>
          <w:p>
            <w:pPr>
              <w:jc w:val="right"/>
              <w:spacing w:after="0" w:line="176" w:lineRule="exact"/>
              <w:rPr>
                <w:sz w:val="20"/>
                <w:szCs w:val="20"/>
                <w:color w:val="auto"/>
              </w:rPr>
            </w:pPr>
            <w:r>
              <w:rPr>
                <w:rFonts w:ascii="Arial" w:cs="Arial" w:eastAsia="Arial" w:hAnsi="Arial"/>
                <w:sz w:val="14"/>
                <w:szCs w:val="14"/>
                <w:b w:val="1"/>
                <w:bCs w:val="1"/>
                <w:color w:val="8F5A39"/>
              </w:rPr>
              <w:t>TSR</w:t>
            </w:r>
            <w:r>
              <w:rPr>
                <w:rFonts w:ascii="Arial" w:cs="Arial" w:eastAsia="Arial" w:hAnsi="Arial"/>
                <w:sz w:val="18"/>
                <w:szCs w:val="18"/>
                <w:b w:val="1"/>
                <w:bCs w:val="1"/>
                <w:color w:val="8F5A39"/>
                <w:vertAlign w:val="superscript"/>
              </w:rPr>
              <w:t>3</w:t>
            </w:r>
          </w:p>
        </w:tc>
        <w:tc>
          <w:tcPr>
            <w:tcW w:w="1200" w:type="dxa"/>
            <w:vAlign w:val="bottom"/>
            <w:shd w:val="clear" w:color="auto" w:fill="F4EFE7"/>
          </w:tcPr>
          <w:p>
            <w:pPr>
              <w:jc w:val="right"/>
              <w:ind w:right="228"/>
              <w:spacing w:after="0"/>
              <w:rPr>
                <w:sz w:val="20"/>
                <w:szCs w:val="20"/>
                <w:color w:val="auto"/>
              </w:rPr>
            </w:pPr>
            <w:r>
              <w:rPr>
                <w:rFonts w:ascii="Arial" w:cs="Arial" w:eastAsia="Arial" w:hAnsi="Arial"/>
                <w:sz w:val="14"/>
                <w:szCs w:val="14"/>
                <w:b w:val="1"/>
                <w:bCs w:val="1"/>
                <w:color w:val="8F5A39"/>
              </w:rPr>
              <w:t>Income</w:t>
            </w:r>
          </w:p>
        </w:tc>
        <w:tc>
          <w:tcPr>
            <w:tcW w:w="86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ROTCE</w:t>
            </w:r>
            <w:r>
              <w:rPr>
                <w:rFonts w:ascii="Arial" w:cs="Arial" w:eastAsia="Arial" w:hAnsi="Arial"/>
                <w:sz w:val="9"/>
                <w:szCs w:val="9"/>
                <w:b w:val="1"/>
                <w:bCs w:val="1"/>
                <w:color w:val="8F5A39"/>
              </w:rPr>
              <w:t>4</w:t>
            </w:r>
          </w:p>
        </w:tc>
        <w:tc>
          <w:tcPr>
            <w:tcW w:w="0" w:type="dxa"/>
            <w:vAlign w:val="bottom"/>
          </w:tcPr>
          <w:p>
            <w:pPr>
              <w:spacing w:after="0"/>
              <w:rPr>
                <w:sz w:val="1"/>
                <w:szCs w:val="1"/>
                <w:color w:val="auto"/>
              </w:rPr>
            </w:pPr>
          </w:p>
        </w:tc>
      </w:tr>
      <w:tr>
        <w:trPr>
          <w:trHeight w:val="212"/>
        </w:trPr>
        <w:tc>
          <w:tcPr>
            <w:tcW w:w="700" w:type="dxa"/>
            <w:vAlign w:val="bottom"/>
            <w:tcBorders>
              <w:bottom w:val="single" w:sz="8" w:color="auto"/>
            </w:tcBorders>
            <w:shd w:val="clear" w:color="auto" w:fill="F4EFE7"/>
          </w:tcPr>
          <w:p>
            <w:pPr>
              <w:ind w:left="160"/>
              <w:spacing w:after="0"/>
              <w:rPr>
                <w:sz w:val="20"/>
                <w:szCs w:val="20"/>
                <w:color w:val="auto"/>
              </w:rPr>
            </w:pPr>
            <w:r>
              <w:rPr>
                <w:rFonts w:ascii="Arial" w:cs="Arial" w:eastAsia="Arial" w:hAnsi="Arial"/>
                <w:sz w:val="14"/>
                <w:szCs w:val="14"/>
                <w:b w:val="1"/>
                <w:bCs w:val="1"/>
                <w:color w:val="8F5A39"/>
              </w:rPr>
              <w:t>Year</w:t>
            </w:r>
            <w:r>
              <w:rPr>
                <w:rFonts w:ascii="Arial" w:cs="Arial" w:eastAsia="Arial" w:hAnsi="Arial"/>
                <w:sz w:val="9"/>
                <w:szCs w:val="9"/>
                <w:b w:val="1"/>
                <w:bCs w:val="1"/>
                <w:color w:val="8F5A39"/>
              </w:rPr>
              <w:t>1</w:t>
            </w:r>
          </w:p>
        </w:tc>
        <w:tc>
          <w:tcPr>
            <w:tcW w:w="360" w:type="dxa"/>
            <w:vAlign w:val="bottom"/>
            <w:tcBorders>
              <w:bottom w:val="single" w:sz="8" w:color="auto"/>
            </w:tcBorders>
            <w:shd w:val="clear" w:color="auto" w:fill="F4EFE7"/>
          </w:tcPr>
          <w:p>
            <w:pPr>
              <w:spacing w:after="0"/>
              <w:rPr>
                <w:sz w:val="18"/>
                <w:szCs w:val="18"/>
                <w:color w:val="auto"/>
              </w:rPr>
            </w:pPr>
          </w:p>
        </w:tc>
        <w:tc>
          <w:tcPr>
            <w:tcW w:w="1220" w:type="dxa"/>
            <w:vAlign w:val="bottom"/>
            <w:tcBorders>
              <w:bottom w:val="single" w:sz="8" w:color="auto"/>
            </w:tcBorders>
            <w:shd w:val="clear" w:color="auto" w:fill="F4EFE7"/>
          </w:tcPr>
          <w:p>
            <w:pPr>
              <w:jc w:val="right"/>
              <w:ind w:right="28"/>
              <w:spacing w:after="0"/>
              <w:rPr>
                <w:sz w:val="20"/>
                <w:szCs w:val="20"/>
                <w:color w:val="auto"/>
              </w:rPr>
            </w:pPr>
            <w:r>
              <w:rPr>
                <w:rFonts w:ascii="Arial" w:cs="Arial" w:eastAsia="Arial" w:hAnsi="Arial"/>
                <w:sz w:val="14"/>
                <w:szCs w:val="14"/>
                <w:b w:val="1"/>
                <w:bCs w:val="1"/>
                <w:color w:val="8F5A39"/>
              </w:rPr>
              <w:t>($)</w:t>
            </w:r>
          </w:p>
        </w:tc>
        <w:tc>
          <w:tcPr>
            <w:tcW w:w="340" w:type="dxa"/>
            <w:vAlign w:val="bottom"/>
            <w:tcBorders>
              <w:bottom w:val="single" w:sz="8" w:color="auto"/>
            </w:tcBorders>
            <w:shd w:val="clear" w:color="auto" w:fill="F4EFE7"/>
          </w:tcPr>
          <w:p>
            <w:pPr>
              <w:spacing w:after="0"/>
              <w:rPr>
                <w:sz w:val="18"/>
                <w:szCs w:val="18"/>
                <w:color w:val="auto"/>
              </w:rPr>
            </w:pPr>
          </w:p>
        </w:tc>
        <w:tc>
          <w:tcPr>
            <w:tcW w:w="1320" w:type="dxa"/>
            <w:vAlign w:val="bottom"/>
            <w:tcBorders>
              <w:bottom w:val="single" w:sz="8" w:color="auto"/>
            </w:tcBorders>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w:t>
            </w:r>
            <w:r>
              <w:rPr>
                <w:rFonts w:ascii="Arial" w:cs="Arial" w:eastAsia="Arial" w:hAnsi="Arial"/>
                <w:sz w:val="18"/>
                <w:szCs w:val="18"/>
                <w:b w:val="1"/>
                <w:bCs w:val="1"/>
                <w:color w:val="8F5A39"/>
                <w:vertAlign w:val="superscript"/>
              </w:rPr>
              <w:t>2</w:t>
            </w:r>
          </w:p>
        </w:tc>
        <w:tc>
          <w:tcPr>
            <w:tcW w:w="280" w:type="dxa"/>
            <w:vAlign w:val="bottom"/>
            <w:tcBorders>
              <w:bottom w:val="single" w:sz="8" w:color="auto"/>
            </w:tcBorders>
            <w:shd w:val="clear" w:color="auto" w:fill="F4EFE7"/>
          </w:tcPr>
          <w:p>
            <w:pPr>
              <w:spacing w:after="0"/>
              <w:rPr>
                <w:sz w:val="18"/>
                <w:szCs w:val="18"/>
                <w:color w:val="auto"/>
              </w:rPr>
            </w:pPr>
          </w:p>
        </w:tc>
        <w:tc>
          <w:tcPr>
            <w:tcW w:w="1260" w:type="dxa"/>
            <w:vAlign w:val="bottom"/>
            <w:tcBorders>
              <w:bottom w:val="single" w:sz="8" w:color="auto"/>
            </w:tcBorders>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w:t>
            </w:r>
          </w:p>
        </w:tc>
        <w:tc>
          <w:tcPr>
            <w:tcW w:w="280" w:type="dxa"/>
            <w:vAlign w:val="bottom"/>
            <w:tcBorders>
              <w:bottom w:val="single" w:sz="8" w:color="auto"/>
            </w:tcBorders>
            <w:shd w:val="clear" w:color="auto" w:fill="F4EFE7"/>
          </w:tcPr>
          <w:p>
            <w:pPr>
              <w:spacing w:after="0"/>
              <w:rPr>
                <w:sz w:val="18"/>
                <w:szCs w:val="18"/>
                <w:color w:val="auto"/>
              </w:rPr>
            </w:pPr>
          </w:p>
        </w:tc>
        <w:tc>
          <w:tcPr>
            <w:tcW w:w="118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w:t>
            </w:r>
            <w:r>
              <w:rPr>
                <w:rFonts w:ascii="Arial" w:cs="Arial" w:eastAsia="Arial" w:hAnsi="Arial"/>
                <w:sz w:val="9"/>
                <w:szCs w:val="9"/>
                <w:b w:val="1"/>
                <w:bCs w:val="1"/>
                <w:color w:val="8F5A39"/>
              </w:rPr>
              <w:t>2</w:t>
            </w:r>
          </w:p>
        </w:tc>
        <w:tc>
          <w:tcPr>
            <w:tcW w:w="1180" w:type="dxa"/>
            <w:vAlign w:val="bottom"/>
            <w:tcBorders>
              <w:bottom w:val="single" w:sz="8" w:color="auto"/>
            </w:tcBorders>
            <w:shd w:val="clear" w:color="auto" w:fill="F4EFE7"/>
          </w:tcPr>
          <w:p>
            <w:pPr>
              <w:jc w:val="right"/>
              <w:ind w:right="48"/>
              <w:spacing w:after="0"/>
              <w:rPr>
                <w:sz w:val="20"/>
                <w:szCs w:val="20"/>
                <w:color w:val="auto"/>
              </w:rPr>
            </w:pPr>
            <w:r>
              <w:rPr>
                <w:rFonts w:ascii="Arial" w:cs="Arial" w:eastAsia="Arial" w:hAnsi="Arial"/>
                <w:sz w:val="14"/>
                <w:szCs w:val="14"/>
                <w:b w:val="1"/>
                <w:bCs w:val="1"/>
                <w:color w:val="8F5A39"/>
              </w:rPr>
              <w:t>($)</w:t>
            </w:r>
          </w:p>
        </w:tc>
        <w:tc>
          <w:tcPr>
            <w:tcW w:w="460" w:type="dxa"/>
            <w:vAlign w:val="bottom"/>
            <w:tcBorders>
              <w:bottom w:val="single" w:sz="8" w:color="auto"/>
            </w:tcBorders>
            <w:shd w:val="clear" w:color="auto" w:fill="F4EFE7"/>
          </w:tcPr>
          <w:p>
            <w:pPr>
              <w:spacing w:after="0"/>
              <w:rPr>
                <w:sz w:val="18"/>
                <w:szCs w:val="18"/>
                <w:color w:val="auto"/>
              </w:rPr>
            </w:pPr>
          </w:p>
        </w:tc>
        <w:tc>
          <w:tcPr>
            <w:tcW w:w="50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w:t>
            </w:r>
          </w:p>
        </w:tc>
        <w:tc>
          <w:tcPr>
            <w:tcW w:w="1200" w:type="dxa"/>
            <w:vAlign w:val="bottom"/>
            <w:tcBorders>
              <w:bottom w:val="single" w:sz="8" w:color="auto"/>
            </w:tcBorders>
            <w:shd w:val="clear" w:color="auto" w:fill="F4EFE7"/>
          </w:tcPr>
          <w:p>
            <w:pPr>
              <w:jc w:val="right"/>
              <w:ind w:right="228"/>
              <w:spacing w:after="0"/>
              <w:rPr>
                <w:sz w:val="20"/>
                <w:szCs w:val="20"/>
                <w:color w:val="auto"/>
              </w:rPr>
            </w:pPr>
            <w:r>
              <w:rPr>
                <w:rFonts w:ascii="Arial" w:cs="Arial" w:eastAsia="Arial" w:hAnsi="Arial"/>
                <w:sz w:val="14"/>
                <w:szCs w:val="14"/>
                <w:b w:val="1"/>
                <w:bCs w:val="1"/>
                <w:color w:val="8F5A39"/>
              </w:rPr>
              <w:t>($B)</w:t>
            </w:r>
          </w:p>
        </w:tc>
        <w:tc>
          <w:tcPr>
            <w:tcW w:w="86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w:t>
            </w:r>
          </w:p>
        </w:tc>
        <w:tc>
          <w:tcPr>
            <w:tcW w:w="0" w:type="dxa"/>
            <w:vAlign w:val="bottom"/>
          </w:tcPr>
          <w:p>
            <w:pPr>
              <w:spacing w:after="0"/>
              <w:rPr>
                <w:sz w:val="1"/>
                <w:szCs w:val="1"/>
                <w:color w:val="auto"/>
              </w:rPr>
            </w:pPr>
          </w:p>
        </w:tc>
      </w:tr>
      <w:tr>
        <w:trPr>
          <w:trHeight w:val="217"/>
        </w:trPr>
        <w:tc>
          <w:tcPr>
            <w:tcW w:w="700" w:type="dxa"/>
            <w:vAlign w:val="bottom"/>
            <w:tcBorders>
              <w:bottom w:val="single" w:sz="8" w:color="B2B2B2"/>
            </w:tcBorders>
          </w:tcPr>
          <w:p>
            <w:pPr>
              <w:ind w:left="180"/>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40,632,724</w:t>
            </w:r>
          </w:p>
        </w:tc>
        <w:tc>
          <w:tcPr>
            <w:tcW w:w="340" w:type="dxa"/>
            <w:vAlign w:val="bottom"/>
            <w:tcBorders>
              <w:bottom w:val="single" w:sz="8" w:color="B2B2B2"/>
            </w:tcBorders>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246,827,058</w:t>
            </w:r>
          </w:p>
        </w:tc>
        <w:tc>
          <w:tcPr>
            <w:tcW w:w="28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25,569,609</w:t>
            </w:r>
          </w:p>
        </w:tc>
        <w:tc>
          <w:tcPr>
            <w:tcW w:w="28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74,899,476</w:t>
            </w:r>
          </w:p>
        </w:tc>
        <w:tc>
          <w:tcPr>
            <w:tcW w:w="11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    289.18</w:t>
            </w:r>
          </w:p>
        </w:tc>
        <w:tc>
          <w:tcPr>
            <w:tcW w:w="460" w:type="dxa"/>
            <w:vAlign w:val="bottom"/>
            <w:tcBorders>
              <w:bottom w:val="single" w:sz="8" w:color="B2B2B2"/>
            </w:tcBorders>
          </w:tcPr>
          <w:p>
            <w:pPr>
              <w:jc w:val="right"/>
              <w:ind w:right="1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w w:val="97"/>
              </w:rPr>
              <w:t>203.21</w:t>
            </w:r>
          </w:p>
        </w:tc>
        <w:tc>
          <w:tcPr>
            <w:tcW w:w="120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   57.0</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3"/>
        </w:trPr>
        <w:tc>
          <w:tcPr>
            <w:tcW w:w="700" w:type="dxa"/>
            <w:vAlign w:val="bottom"/>
            <w:tcBorders>
              <w:bottom w:val="single" w:sz="8" w:color="B2B2B2"/>
            </w:tcBorders>
          </w:tcPr>
          <w:p>
            <w:pPr>
              <w:ind w:left="180"/>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B2B2B2"/>
            </w:tcBorders>
          </w:tcPr>
          <w:p>
            <w:pPr>
              <w:spacing w:after="0"/>
              <w:rPr>
                <w:sz w:val="19"/>
                <w:szCs w:val="19"/>
                <w:color w:val="auto"/>
              </w:rPr>
            </w:pPr>
          </w:p>
        </w:tc>
        <w:tc>
          <w:tcPr>
            <w:tcW w:w="12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37,683,462</w:t>
            </w:r>
          </w:p>
        </w:tc>
        <w:tc>
          <w:tcPr>
            <w:tcW w:w="340" w:type="dxa"/>
            <w:vAlign w:val="bottom"/>
            <w:tcBorders>
              <w:bottom w:val="single" w:sz="8" w:color="B2B2B2"/>
            </w:tcBorders>
          </w:tcPr>
          <w:p>
            <w:pPr>
              <w:spacing w:after="0"/>
              <w:rPr>
                <w:sz w:val="19"/>
                <w:szCs w:val="19"/>
                <w:color w:val="auto"/>
              </w:rPr>
            </w:pPr>
          </w:p>
        </w:tc>
        <w:tc>
          <w:tcPr>
            <w:tcW w:w="13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226,833,211</w:t>
            </w:r>
          </w:p>
        </w:tc>
        <w:tc>
          <w:tcPr>
            <w:tcW w:w="280" w:type="dxa"/>
            <w:vAlign w:val="bottom"/>
            <w:tcBorders>
              <w:bottom w:val="single" w:sz="8" w:color="B2B2B2"/>
            </w:tcBorders>
          </w:tcPr>
          <w:p>
            <w:pPr>
              <w:spacing w:after="0"/>
              <w:rPr>
                <w:sz w:val="19"/>
                <w:szCs w:val="19"/>
                <w:color w:val="auto"/>
              </w:rPr>
            </w:pPr>
          </w:p>
        </w:tc>
        <w:tc>
          <w:tcPr>
            <w:tcW w:w="12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24,383,634</w:t>
            </w:r>
          </w:p>
        </w:tc>
        <w:tc>
          <w:tcPr>
            <w:tcW w:w="280" w:type="dxa"/>
            <w:vAlign w:val="bottom"/>
            <w:tcBorders>
              <w:bottom w:val="single" w:sz="8" w:color="B2B2B2"/>
            </w:tcBorders>
          </w:tcPr>
          <w:p>
            <w:pPr>
              <w:spacing w:after="0"/>
              <w:rPr>
                <w:sz w:val="19"/>
                <w:szCs w:val="19"/>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80,891,387</w:t>
            </w:r>
          </w:p>
        </w:tc>
        <w:tc>
          <w:tcPr>
            <w:tcW w:w="11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210.58</w:t>
            </w:r>
          </w:p>
        </w:tc>
        <w:tc>
          <w:tcPr>
            <w:tcW w:w="460" w:type="dxa"/>
            <w:vAlign w:val="bottom"/>
            <w:tcBorders>
              <w:bottom w:val="single" w:sz="8" w:color="B2B2B2"/>
            </w:tcBorders>
          </w:tcPr>
          <w:p>
            <w:pPr>
              <w:spacing w:after="0"/>
              <w:rPr>
                <w:sz w:val="19"/>
                <w:szCs w:val="19"/>
                <w:color w:val="auto"/>
              </w:rPr>
            </w:pPr>
          </w:p>
        </w:tc>
        <w:tc>
          <w:tcPr>
            <w:tcW w:w="5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w w:val="97"/>
              </w:rPr>
              <w:t>176.67</w:t>
            </w:r>
          </w:p>
        </w:tc>
        <w:tc>
          <w:tcPr>
            <w:tcW w:w="120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58.5</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23"/>
        </w:trPr>
        <w:tc>
          <w:tcPr>
            <w:tcW w:w="700" w:type="dxa"/>
            <w:vAlign w:val="bottom"/>
            <w:tcBorders>
              <w:bottom w:val="single" w:sz="8" w:color="B2B2B2"/>
            </w:tcBorders>
          </w:tcPr>
          <w:p>
            <w:pPr>
              <w:ind w:left="180"/>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B2B2B2"/>
            </w:tcBorders>
          </w:tcPr>
          <w:p>
            <w:pPr>
              <w:spacing w:after="0"/>
              <w:rPr>
                <w:sz w:val="19"/>
                <w:szCs w:val="19"/>
                <w:color w:val="auto"/>
              </w:rPr>
            </w:pPr>
          </w:p>
        </w:tc>
        <w:tc>
          <w:tcPr>
            <w:tcW w:w="12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35,960,259</w:t>
            </w:r>
          </w:p>
        </w:tc>
        <w:tc>
          <w:tcPr>
            <w:tcW w:w="340" w:type="dxa"/>
            <w:vAlign w:val="bottom"/>
            <w:tcBorders>
              <w:bottom w:val="single" w:sz="8" w:color="B2B2B2"/>
            </w:tcBorders>
          </w:tcPr>
          <w:p>
            <w:pPr>
              <w:spacing w:after="0"/>
              <w:rPr>
                <w:sz w:val="19"/>
                <w:szCs w:val="19"/>
                <w:color w:val="auto"/>
              </w:rPr>
            </w:pPr>
          </w:p>
        </w:tc>
        <w:tc>
          <w:tcPr>
            <w:tcW w:w="13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104,594,286</w:t>
            </w:r>
          </w:p>
        </w:tc>
        <w:tc>
          <w:tcPr>
            <w:tcW w:w="280" w:type="dxa"/>
            <w:vAlign w:val="bottom"/>
            <w:tcBorders>
              <w:bottom w:val="single" w:sz="8" w:color="B2B2B2"/>
            </w:tcBorders>
          </w:tcPr>
          <w:p>
            <w:pPr>
              <w:spacing w:after="0"/>
              <w:rPr>
                <w:sz w:val="19"/>
                <w:szCs w:val="19"/>
                <w:color w:val="auto"/>
              </w:rPr>
            </w:pPr>
          </w:p>
        </w:tc>
        <w:tc>
          <w:tcPr>
            <w:tcW w:w="12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21,481,873</w:t>
            </w:r>
          </w:p>
        </w:tc>
        <w:tc>
          <w:tcPr>
            <w:tcW w:w="280" w:type="dxa"/>
            <w:vAlign w:val="bottom"/>
            <w:tcBorders>
              <w:bottom w:val="single" w:sz="8" w:color="B2B2B2"/>
            </w:tcBorders>
          </w:tcPr>
          <w:p>
            <w:pPr>
              <w:spacing w:after="0"/>
              <w:rPr>
                <w:sz w:val="19"/>
                <w:szCs w:val="19"/>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41,047,384</w:t>
            </w:r>
          </w:p>
        </w:tc>
        <w:tc>
          <w:tcPr>
            <w:tcW w:w="11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145.96</w:t>
            </w:r>
          </w:p>
        </w:tc>
        <w:tc>
          <w:tcPr>
            <w:tcW w:w="460" w:type="dxa"/>
            <w:vAlign w:val="bottom"/>
            <w:tcBorders>
              <w:bottom w:val="single" w:sz="8" w:color="B2B2B2"/>
            </w:tcBorders>
          </w:tcPr>
          <w:p>
            <w:pPr>
              <w:spacing w:after="0"/>
              <w:rPr>
                <w:sz w:val="19"/>
                <w:szCs w:val="19"/>
                <w:color w:val="auto"/>
              </w:rPr>
            </w:pPr>
          </w:p>
        </w:tc>
        <w:tc>
          <w:tcPr>
            <w:tcW w:w="5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w w:val="97"/>
              </w:rPr>
              <w:t>135.32</w:t>
            </w:r>
          </w:p>
        </w:tc>
        <w:tc>
          <w:tcPr>
            <w:tcW w:w="120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49.6</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3"/>
        </w:trPr>
        <w:tc>
          <w:tcPr>
            <w:tcW w:w="700" w:type="dxa"/>
            <w:vAlign w:val="bottom"/>
            <w:tcBorders>
              <w:bottom w:val="single" w:sz="8" w:color="B2B2B2"/>
            </w:tcBorders>
          </w:tcPr>
          <w:p>
            <w:pPr>
              <w:ind w:left="18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B2B2B2"/>
            </w:tcBorders>
          </w:tcPr>
          <w:p>
            <w:pPr>
              <w:spacing w:after="0"/>
              <w:rPr>
                <w:sz w:val="19"/>
                <w:szCs w:val="19"/>
                <w:color w:val="auto"/>
              </w:rPr>
            </w:pPr>
          </w:p>
        </w:tc>
        <w:tc>
          <w:tcPr>
            <w:tcW w:w="12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35,610,013</w:t>
            </w:r>
          </w:p>
        </w:tc>
        <w:tc>
          <w:tcPr>
            <w:tcW w:w="340" w:type="dxa"/>
            <w:vAlign w:val="bottom"/>
            <w:tcBorders>
              <w:bottom w:val="single" w:sz="8" w:color="B2B2B2"/>
            </w:tcBorders>
          </w:tcPr>
          <w:p>
            <w:pPr>
              <w:spacing w:after="0"/>
              <w:rPr>
                <w:sz w:val="19"/>
                <w:szCs w:val="19"/>
                <w:color w:val="auto"/>
              </w:rPr>
            </w:pPr>
          </w:p>
        </w:tc>
        <w:tc>
          <w:tcPr>
            <w:tcW w:w="13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38,222,111</w:t>
            </w:r>
          </w:p>
        </w:tc>
        <w:tc>
          <w:tcPr>
            <w:tcW w:w="280" w:type="dxa"/>
            <w:vAlign w:val="bottom"/>
            <w:tcBorders>
              <w:bottom w:val="single" w:sz="8" w:color="B2B2B2"/>
            </w:tcBorders>
          </w:tcPr>
          <w:p>
            <w:pPr>
              <w:spacing w:after="0"/>
              <w:rPr>
                <w:sz w:val="19"/>
                <w:szCs w:val="19"/>
                <w:color w:val="auto"/>
              </w:rPr>
            </w:pPr>
          </w:p>
        </w:tc>
        <w:tc>
          <w:tcPr>
            <w:tcW w:w="12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19,230,223</w:t>
            </w:r>
          </w:p>
        </w:tc>
        <w:tc>
          <w:tcPr>
            <w:tcW w:w="280" w:type="dxa"/>
            <w:vAlign w:val="bottom"/>
            <w:tcBorders>
              <w:bottom w:val="single" w:sz="8" w:color="B2B2B2"/>
            </w:tcBorders>
          </w:tcPr>
          <w:p>
            <w:pPr>
              <w:spacing w:after="0"/>
              <w:rPr>
                <w:sz w:val="19"/>
                <w:szCs w:val="19"/>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17,207,207</w:t>
            </w:r>
          </w:p>
        </w:tc>
        <w:tc>
          <w:tcPr>
            <w:tcW w:w="11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111.64</w:t>
            </w:r>
          </w:p>
        </w:tc>
        <w:tc>
          <w:tcPr>
            <w:tcW w:w="460" w:type="dxa"/>
            <w:vAlign w:val="bottom"/>
            <w:tcBorders>
              <w:bottom w:val="single" w:sz="8" w:color="B2B2B2"/>
            </w:tcBorders>
          </w:tcPr>
          <w:p>
            <w:pPr>
              <w:spacing w:after="0"/>
              <w:rPr>
                <w:sz w:val="19"/>
                <w:szCs w:val="19"/>
                <w:color w:val="auto"/>
              </w:rPr>
            </w:pPr>
          </w:p>
        </w:tc>
        <w:tc>
          <w:tcPr>
            <w:tcW w:w="5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w w:val="97"/>
              </w:rPr>
              <w:t>120.66</w:t>
            </w:r>
          </w:p>
        </w:tc>
        <w:tc>
          <w:tcPr>
            <w:tcW w:w="120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37.7</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3"/>
        </w:trPr>
        <w:tc>
          <w:tcPr>
            <w:tcW w:w="700" w:type="dxa"/>
            <w:vAlign w:val="bottom"/>
            <w:tcBorders>
              <w:bottom w:val="single" w:sz="8" w:color="B2B2B2"/>
            </w:tcBorders>
          </w:tcPr>
          <w:p>
            <w:pPr>
              <w:ind w:left="18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B2B2B2"/>
            </w:tcBorders>
          </w:tcPr>
          <w:p>
            <w:pPr>
              <w:spacing w:after="0"/>
              <w:rPr>
                <w:sz w:val="19"/>
                <w:szCs w:val="19"/>
                <w:color w:val="auto"/>
              </w:rPr>
            </w:pPr>
          </w:p>
        </w:tc>
        <w:tc>
          <w:tcPr>
            <w:tcW w:w="12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85,159,860</w:t>
            </w:r>
          </w:p>
        </w:tc>
        <w:tc>
          <w:tcPr>
            <w:tcW w:w="340" w:type="dxa"/>
            <w:vAlign w:val="bottom"/>
            <w:tcBorders>
              <w:bottom w:val="single" w:sz="8" w:color="B2B2B2"/>
            </w:tcBorders>
          </w:tcPr>
          <w:p>
            <w:pPr>
              <w:spacing w:after="0"/>
              <w:rPr>
                <w:sz w:val="19"/>
                <w:szCs w:val="19"/>
                <w:color w:val="auto"/>
              </w:rPr>
            </w:pPr>
          </w:p>
        </w:tc>
        <w:tc>
          <w:tcPr>
            <w:tcW w:w="132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131,255,455</w:t>
            </w:r>
          </w:p>
        </w:tc>
        <w:tc>
          <w:tcPr>
            <w:tcW w:w="280" w:type="dxa"/>
            <w:vAlign w:val="bottom"/>
            <w:tcBorders>
              <w:bottom w:val="single" w:sz="8" w:color="B2B2B2"/>
            </w:tcBorders>
          </w:tcPr>
          <w:p>
            <w:pPr>
              <w:spacing w:after="0"/>
              <w:rPr>
                <w:sz w:val="19"/>
                <w:szCs w:val="19"/>
                <w:color w:val="auto"/>
              </w:rPr>
            </w:pPr>
          </w:p>
        </w:tc>
        <w:tc>
          <w:tcPr>
            <w:tcW w:w="1260" w:type="dxa"/>
            <w:vAlign w:val="bottom"/>
            <w:tcBorders>
              <w:bottom w:val="single" w:sz="8" w:color="B2B2B2"/>
            </w:tcBorders>
          </w:tcPr>
          <w:p>
            <w:pPr>
              <w:jc w:val="right"/>
              <w:ind w:right="88"/>
              <w:spacing w:after="0"/>
              <w:rPr>
                <w:sz w:val="20"/>
                <w:szCs w:val="20"/>
                <w:color w:val="auto"/>
              </w:rPr>
            </w:pPr>
            <w:r>
              <w:rPr>
                <w:rFonts w:ascii="Arial" w:cs="Arial" w:eastAsia="Arial" w:hAnsi="Arial"/>
                <w:sz w:val="14"/>
                <w:szCs w:val="14"/>
                <w:color w:val="auto"/>
              </w:rPr>
              <w:t>23,472,201</w:t>
            </w:r>
          </w:p>
        </w:tc>
        <w:tc>
          <w:tcPr>
            <w:tcW w:w="280" w:type="dxa"/>
            <w:vAlign w:val="bottom"/>
            <w:tcBorders>
              <w:bottom w:val="single" w:sz="8" w:color="B2B2B2"/>
            </w:tcBorders>
          </w:tcPr>
          <w:p>
            <w:pPr>
              <w:spacing w:after="0"/>
              <w:rPr>
                <w:sz w:val="19"/>
                <w:szCs w:val="19"/>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35,685,622</w:t>
            </w:r>
          </w:p>
        </w:tc>
        <w:tc>
          <w:tcPr>
            <w:tcW w:w="1180" w:type="dxa"/>
            <w:vAlign w:val="bottom"/>
            <w:tcBorders>
              <w:bottom w:val="single" w:sz="8" w:color="B2B2B2"/>
            </w:tcBorders>
          </w:tcPr>
          <w:p>
            <w:pPr>
              <w:jc w:val="right"/>
              <w:ind w:right="108"/>
              <w:spacing w:after="0"/>
              <w:rPr>
                <w:sz w:val="20"/>
                <w:szCs w:val="20"/>
                <w:color w:val="auto"/>
              </w:rPr>
            </w:pPr>
            <w:r>
              <w:rPr>
                <w:rFonts w:ascii="Arial" w:cs="Arial" w:eastAsia="Arial" w:hAnsi="Arial"/>
                <w:sz w:val="14"/>
                <w:szCs w:val="14"/>
                <w:color w:val="auto"/>
              </w:rPr>
              <w:t>127.73</w:t>
            </w:r>
          </w:p>
        </w:tc>
        <w:tc>
          <w:tcPr>
            <w:tcW w:w="460" w:type="dxa"/>
            <w:vAlign w:val="bottom"/>
            <w:tcBorders>
              <w:bottom w:val="single" w:sz="8" w:color="B2B2B2"/>
            </w:tcBorders>
          </w:tcPr>
          <w:p>
            <w:pPr>
              <w:spacing w:after="0"/>
              <w:rPr>
                <w:sz w:val="19"/>
                <w:szCs w:val="19"/>
                <w:color w:val="auto"/>
              </w:rPr>
            </w:pPr>
          </w:p>
        </w:tc>
        <w:tc>
          <w:tcPr>
            <w:tcW w:w="5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w w:val="97"/>
              </w:rPr>
              <w:t>134.87</w:t>
            </w:r>
          </w:p>
        </w:tc>
        <w:tc>
          <w:tcPr>
            <w:tcW w:w="1200" w:type="dxa"/>
            <w:vAlign w:val="bottom"/>
            <w:tcBorders>
              <w:bottom w:val="single" w:sz="8" w:color="B2B2B2"/>
            </w:tcBorders>
          </w:tcPr>
          <w:p>
            <w:pPr>
              <w:jc w:val="right"/>
              <w:ind w:right="268"/>
              <w:spacing w:after="0"/>
              <w:rPr>
                <w:sz w:val="20"/>
                <w:szCs w:val="20"/>
                <w:color w:val="auto"/>
              </w:rPr>
            </w:pPr>
            <w:r>
              <w:rPr>
                <w:rFonts w:ascii="Arial" w:cs="Arial" w:eastAsia="Arial" w:hAnsi="Arial"/>
                <w:sz w:val="14"/>
                <w:szCs w:val="14"/>
                <w:color w:val="auto"/>
              </w:rPr>
              <w:t>48.3</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0" w:right="440" w:hanging="192"/>
        <w:spacing w:after="0" w:line="205" w:lineRule="auto"/>
        <w:tabs>
          <w:tab w:leader="none" w:pos="206" w:val="left"/>
        </w:tabs>
        <w:numPr>
          <w:ilvl w:val="0"/>
          <w:numId w:val="253"/>
        </w:numPr>
        <w:rPr>
          <w:rFonts w:ascii="Arial" w:cs="Arial" w:eastAsia="Arial" w:hAnsi="Arial"/>
          <w:sz w:val="19"/>
          <w:szCs w:val="19"/>
          <w:color w:val="auto"/>
          <w:vertAlign w:val="superscript"/>
        </w:rPr>
      </w:pPr>
      <w:r>
        <w:rPr>
          <w:rFonts w:ascii="Arial" w:cs="Arial" w:eastAsia="Arial" w:hAnsi="Arial"/>
          <w:sz w:val="13"/>
          <w:szCs w:val="13"/>
          <w:color w:val="auto"/>
        </w:rPr>
        <w:t>NEOs included in the above table are comprised of the following individuals. In accordance with SEC rules, only the Firm’s CEO, CFO and the other NEOs as required pursuant to Item 402 of Regulation S-K from each year's SCT have been included.</w:t>
      </w:r>
    </w:p>
    <w:p>
      <w:pPr>
        <w:spacing w:after="0" w:line="109" w:lineRule="exact"/>
        <w:rPr>
          <w:sz w:val="20"/>
          <w:szCs w:val="20"/>
          <w:color w:val="auto"/>
        </w:rPr>
      </w:pPr>
    </w:p>
    <w:tbl>
      <w:tblPr>
        <w:tblLayout w:type="fixed"/>
        <w:tblInd w:w="200" w:type="dxa"/>
        <w:tblCellMar>
          <w:top w:w="0" w:type="dxa"/>
          <w:left w:w="0" w:type="dxa"/>
          <w:bottom w:w="0" w:type="dxa"/>
          <w:right w:w="0" w:type="dxa"/>
        </w:tblCellMar>
      </w:tblPr>
      <w:tr>
        <w:trPr>
          <w:trHeight w:val="194"/>
        </w:trPr>
        <w:tc>
          <w:tcPr>
            <w:tcW w:w="480" w:type="dxa"/>
            <w:vAlign w:val="bottom"/>
            <w:tcBorders>
              <w:bottom w:val="single" w:sz="8" w:color="F4EFE7"/>
            </w:tcBorders>
            <w:shd w:val="clear" w:color="auto" w:fill="F4EFE7"/>
          </w:tcPr>
          <w:p>
            <w:pPr>
              <w:ind w:left="20"/>
              <w:spacing w:after="0"/>
              <w:rPr>
                <w:sz w:val="20"/>
                <w:szCs w:val="20"/>
                <w:color w:val="auto"/>
              </w:rPr>
            </w:pPr>
            <w:r>
              <w:rPr>
                <w:rFonts w:ascii="Arial" w:cs="Arial" w:eastAsia="Arial" w:hAnsi="Arial"/>
                <w:sz w:val="11"/>
                <w:szCs w:val="11"/>
                <w:b w:val="1"/>
                <w:bCs w:val="1"/>
                <w:color w:val="8F5A39"/>
              </w:rPr>
              <w:t>Year</w:t>
            </w:r>
          </w:p>
        </w:tc>
        <w:tc>
          <w:tcPr>
            <w:tcW w:w="1180" w:type="dxa"/>
            <w:vAlign w:val="bottom"/>
            <w:tcBorders>
              <w:bottom w:val="single" w:sz="8" w:color="F4EFE7"/>
            </w:tcBorders>
            <w:shd w:val="clear" w:color="auto" w:fill="F4EFE7"/>
          </w:tcPr>
          <w:p>
            <w:pPr>
              <w:ind w:left="200"/>
              <w:spacing w:after="0"/>
              <w:rPr>
                <w:sz w:val="20"/>
                <w:szCs w:val="20"/>
                <w:color w:val="auto"/>
              </w:rPr>
            </w:pPr>
            <w:r>
              <w:rPr>
                <w:rFonts w:ascii="Arial" w:cs="Arial" w:eastAsia="Arial" w:hAnsi="Arial"/>
                <w:sz w:val="11"/>
                <w:szCs w:val="11"/>
                <w:b w:val="1"/>
                <w:bCs w:val="1"/>
                <w:color w:val="8F5A39"/>
              </w:rPr>
              <w:t>PEO</w:t>
            </w:r>
          </w:p>
        </w:tc>
        <w:tc>
          <w:tcPr>
            <w:tcW w:w="9120" w:type="dxa"/>
            <w:vAlign w:val="bottom"/>
            <w:tcBorders>
              <w:bottom w:val="single" w:sz="8" w:color="F4EFE7"/>
            </w:tcBorders>
            <w:shd w:val="clear" w:color="auto" w:fill="F4EFE7"/>
          </w:tcPr>
          <w:p>
            <w:pPr>
              <w:ind w:left="340"/>
              <w:spacing w:after="0"/>
              <w:rPr>
                <w:sz w:val="20"/>
                <w:szCs w:val="20"/>
                <w:color w:val="auto"/>
              </w:rPr>
            </w:pPr>
            <w:r>
              <w:rPr>
                <w:rFonts w:ascii="Arial" w:cs="Arial" w:eastAsia="Arial" w:hAnsi="Arial"/>
                <w:sz w:val="11"/>
                <w:szCs w:val="11"/>
                <w:b w:val="1"/>
                <w:bCs w:val="1"/>
                <w:color w:val="8F5A39"/>
              </w:rPr>
              <w:t>Non-PEO NEOs</w:t>
            </w:r>
          </w:p>
        </w:tc>
      </w:tr>
      <w:tr>
        <w:trPr>
          <w:trHeight w:val="149"/>
        </w:trPr>
        <w:tc>
          <w:tcPr>
            <w:tcW w:w="4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2025</w:t>
            </w:r>
          </w:p>
        </w:tc>
        <w:tc>
          <w:tcPr>
            <w:tcW w:w="1180" w:type="dxa"/>
            <w:vAlign w:val="bottom"/>
            <w:tcBorders>
              <w:top w:val="single" w:sz="8" w:color="auto"/>
            </w:tcBorders>
          </w:tcPr>
          <w:p>
            <w:pPr>
              <w:ind w:left="200"/>
              <w:spacing w:after="0"/>
              <w:rPr>
                <w:sz w:val="20"/>
                <w:szCs w:val="20"/>
                <w:color w:val="auto"/>
              </w:rPr>
            </w:pPr>
            <w:r>
              <w:rPr>
                <w:rFonts w:ascii="Arial" w:cs="Arial" w:eastAsia="Arial" w:hAnsi="Arial"/>
                <w:sz w:val="11"/>
                <w:szCs w:val="11"/>
                <w:color w:val="auto"/>
              </w:rPr>
              <w:t>James Dimon</w:t>
            </w:r>
          </w:p>
        </w:tc>
        <w:tc>
          <w:tcPr>
            <w:tcW w:w="9120" w:type="dxa"/>
            <w:vAlign w:val="bottom"/>
            <w:tcBorders>
              <w:top w:val="single" w:sz="8" w:color="auto"/>
            </w:tcBorders>
          </w:tcPr>
          <w:p>
            <w:pPr>
              <w:ind w:left="340"/>
              <w:spacing w:after="0"/>
              <w:rPr>
                <w:sz w:val="20"/>
                <w:szCs w:val="20"/>
                <w:color w:val="auto"/>
              </w:rPr>
            </w:pPr>
            <w:r>
              <w:rPr>
                <w:rFonts w:ascii="Arial" w:cs="Arial" w:eastAsia="Arial" w:hAnsi="Arial"/>
                <w:sz w:val="11"/>
                <w:szCs w:val="11"/>
                <w:color w:val="auto"/>
              </w:rPr>
              <w:t>Mary Callahan Erdoes, Troy Rohrbaugh, Douglas Petno, Jeremy Barnum, Daniel Pinto</w:t>
            </w:r>
          </w:p>
        </w:tc>
      </w:tr>
      <w:tr>
        <w:trPr>
          <w:trHeight w:val="33"/>
        </w:trPr>
        <w:tc>
          <w:tcPr>
            <w:tcW w:w="480" w:type="dxa"/>
            <w:vAlign w:val="bottom"/>
            <w:tcBorders>
              <w:bottom w:val="single" w:sz="8" w:color="B2B2B2"/>
            </w:tcBorders>
          </w:tcPr>
          <w:p>
            <w:pPr>
              <w:spacing w:after="0"/>
              <w:rPr>
                <w:sz w:val="2"/>
                <w:szCs w:val="2"/>
                <w:color w:val="auto"/>
              </w:rPr>
            </w:pPr>
          </w:p>
        </w:tc>
        <w:tc>
          <w:tcPr>
            <w:tcW w:w="1180" w:type="dxa"/>
            <w:vAlign w:val="bottom"/>
            <w:tcBorders>
              <w:bottom w:val="single" w:sz="8" w:color="B2B2B2"/>
            </w:tcBorders>
          </w:tcPr>
          <w:p>
            <w:pPr>
              <w:spacing w:after="0"/>
              <w:rPr>
                <w:sz w:val="2"/>
                <w:szCs w:val="2"/>
                <w:color w:val="auto"/>
              </w:rPr>
            </w:pPr>
          </w:p>
        </w:tc>
        <w:tc>
          <w:tcPr>
            <w:tcW w:w="9120" w:type="dxa"/>
            <w:vAlign w:val="bottom"/>
            <w:tcBorders>
              <w:bottom w:val="single" w:sz="8" w:color="B2B2B2"/>
            </w:tcBorders>
          </w:tcPr>
          <w:p>
            <w:pPr>
              <w:spacing w:after="0"/>
              <w:rPr>
                <w:sz w:val="2"/>
                <w:szCs w:val="2"/>
                <w:color w:val="auto"/>
              </w:rPr>
            </w:pPr>
          </w:p>
        </w:tc>
      </w:tr>
      <w:tr>
        <w:trPr>
          <w:trHeight w:val="149"/>
        </w:trPr>
        <w:tc>
          <w:tcPr>
            <w:tcW w:w="480" w:type="dxa"/>
            <w:vAlign w:val="bottom"/>
          </w:tcPr>
          <w:p>
            <w:pPr>
              <w:ind w:left="20"/>
              <w:spacing w:after="0"/>
              <w:rPr>
                <w:sz w:val="20"/>
                <w:szCs w:val="20"/>
                <w:color w:val="auto"/>
              </w:rPr>
            </w:pPr>
            <w:r>
              <w:rPr>
                <w:rFonts w:ascii="Arial" w:cs="Arial" w:eastAsia="Arial" w:hAnsi="Arial"/>
                <w:sz w:val="11"/>
                <w:szCs w:val="11"/>
                <w:color w:val="auto"/>
              </w:rPr>
              <w:t>2024</w:t>
            </w:r>
          </w:p>
        </w:tc>
        <w:tc>
          <w:tcPr>
            <w:tcW w:w="1180" w:type="dxa"/>
            <w:vAlign w:val="bottom"/>
          </w:tcPr>
          <w:p>
            <w:pPr>
              <w:ind w:left="200"/>
              <w:spacing w:after="0"/>
              <w:rPr>
                <w:sz w:val="20"/>
                <w:szCs w:val="20"/>
                <w:color w:val="auto"/>
              </w:rPr>
            </w:pPr>
            <w:r>
              <w:rPr>
                <w:rFonts w:ascii="Arial" w:cs="Arial" w:eastAsia="Arial" w:hAnsi="Arial"/>
                <w:sz w:val="11"/>
                <w:szCs w:val="11"/>
                <w:color w:val="auto"/>
              </w:rPr>
              <w:t>James Dimon</w:t>
            </w:r>
          </w:p>
        </w:tc>
        <w:tc>
          <w:tcPr>
            <w:tcW w:w="9120" w:type="dxa"/>
            <w:vAlign w:val="bottom"/>
          </w:tcPr>
          <w:p>
            <w:pPr>
              <w:ind w:left="340"/>
              <w:spacing w:after="0"/>
              <w:rPr>
                <w:sz w:val="20"/>
                <w:szCs w:val="20"/>
                <w:color w:val="auto"/>
              </w:rPr>
            </w:pPr>
            <w:r>
              <w:rPr>
                <w:rFonts w:ascii="Arial" w:cs="Arial" w:eastAsia="Arial" w:hAnsi="Arial"/>
                <w:sz w:val="11"/>
                <w:szCs w:val="11"/>
                <w:color w:val="auto"/>
              </w:rPr>
              <w:t>Daniel Pinto, Mary Callahan Erdoes, Troy Rohrbaugh, Jeremy Barnum</w:t>
            </w:r>
          </w:p>
        </w:tc>
      </w:tr>
      <w:tr>
        <w:trPr>
          <w:trHeight w:val="33"/>
        </w:trPr>
        <w:tc>
          <w:tcPr>
            <w:tcW w:w="480" w:type="dxa"/>
            <w:vAlign w:val="bottom"/>
            <w:tcBorders>
              <w:bottom w:val="single" w:sz="8" w:color="B2B2B2"/>
            </w:tcBorders>
          </w:tcPr>
          <w:p>
            <w:pPr>
              <w:spacing w:after="0"/>
              <w:rPr>
                <w:sz w:val="2"/>
                <w:szCs w:val="2"/>
                <w:color w:val="auto"/>
              </w:rPr>
            </w:pPr>
          </w:p>
        </w:tc>
        <w:tc>
          <w:tcPr>
            <w:tcW w:w="1180" w:type="dxa"/>
            <w:vAlign w:val="bottom"/>
            <w:tcBorders>
              <w:bottom w:val="single" w:sz="8" w:color="B2B2B2"/>
            </w:tcBorders>
          </w:tcPr>
          <w:p>
            <w:pPr>
              <w:spacing w:after="0"/>
              <w:rPr>
                <w:sz w:val="2"/>
                <w:szCs w:val="2"/>
                <w:color w:val="auto"/>
              </w:rPr>
            </w:pPr>
          </w:p>
        </w:tc>
        <w:tc>
          <w:tcPr>
            <w:tcW w:w="9120" w:type="dxa"/>
            <w:vAlign w:val="bottom"/>
            <w:tcBorders>
              <w:bottom w:val="single" w:sz="8" w:color="B2B2B2"/>
            </w:tcBorders>
          </w:tcPr>
          <w:p>
            <w:pPr>
              <w:spacing w:after="0"/>
              <w:rPr>
                <w:sz w:val="2"/>
                <w:szCs w:val="2"/>
                <w:color w:val="auto"/>
              </w:rPr>
            </w:pPr>
          </w:p>
        </w:tc>
      </w:tr>
      <w:tr>
        <w:trPr>
          <w:trHeight w:val="149"/>
        </w:trPr>
        <w:tc>
          <w:tcPr>
            <w:tcW w:w="480" w:type="dxa"/>
            <w:vAlign w:val="bottom"/>
          </w:tcPr>
          <w:p>
            <w:pPr>
              <w:ind w:left="20"/>
              <w:spacing w:after="0"/>
              <w:rPr>
                <w:sz w:val="20"/>
                <w:szCs w:val="20"/>
                <w:color w:val="auto"/>
              </w:rPr>
            </w:pPr>
            <w:r>
              <w:rPr>
                <w:rFonts w:ascii="Arial" w:cs="Arial" w:eastAsia="Arial" w:hAnsi="Arial"/>
                <w:sz w:val="11"/>
                <w:szCs w:val="11"/>
                <w:color w:val="auto"/>
              </w:rPr>
              <w:t>2023</w:t>
            </w:r>
          </w:p>
        </w:tc>
        <w:tc>
          <w:tcPr>
            <w:tcW w:w="1180" w:type="dxa"/>
            <w:vAlign w:val="bottom"/>
          </w:tcPr>
          <w:p>
            <w:pPr>
              <w:ind w:left="200"/>
              <w:spacing w:after="0"/>
              <w:rPr>
                <w:sz w:val="20"/>
                <w:szCs w:val="20"/>
                <w:color w:val="auto"/>
              </w:rPr>
            </w:pPr>
            <w:r>
              <w:rPr>
                <w:rFonts w:ascii="Arial" w:cs="Arial" w:eastAsia="Arial" w:hAnsi="Arial"/>
                <w:sz w:val="11"/>
                <w:szCs w:val="11"/>
                <w:color w:val="auto"/>
              </w:rPr>
              <w:t>James Dimon</w:t>
            </w:r>
          </w:p>
        </w:tc>
        <w:tc>
          <w:tcPr>
            <w:tcW w:w="9120" w:type="dxa"/>
            <w:vAlign w:val="bottom"/>
          </w:tcPr>
          <w:p>
            <w:pPr>
              <w:ind w:left="340"/>
              <w:spacing w:after="0"/>
              <w:rPr>
                <w:sz w:val="20"/>
                <w:szCs w:val="20"/>
                <w:color w:val="auto"/>
              </w:rPr>
            </w:pPr>
            <w:r>
              <w:rPr>
                <w:rFonts w:ascii="Arial" w:cs="Arial" w:eastAsia="Arial" w:hAnsi="Arial"/>
                <w:sz w:val="11"/>
                <w:szCs w:val="11"/>
                <w:color w:val="auto"/>
              </w:rPr>
              <w:t>Daniel Pinto, Mary Callahan Erdoes, Marianne Lake, Jeremy Barnum</w:t>
            </w:r>
          </w:p>
        </w:tc>
      </w:tr>
      <w:tr>
        <w:trPr>
          <w:trHeight w:val="33"/>
        </w:trPr>
        <w:tc>
          <w:tcPr>
            <w:tcW w:w="480" w:type="dxa"/>
            <w:vAlign w:val="bottom"/>
            <w:tcBorders>
              <w:bottom w:val="single" w:sz="8" w:color="B2B2B2"/>
            </w:tcBorders>
          </w:tcPr>
          <w:p>
            <w:pPr>
              <w:spacing w:after="0"/>
              <w:rPr>
                <w:sz w:val="2"/>
                <w:szCs w:val="2"/>
                <w:color w:val="auto"/>
              </w:rPr>
            </w:pPr>
          </w:p>
        </w:tc>
        <w:tc>
          <w:tcPr>
            <w:tcW w:w="1180" w:type="dxa"/>
            <w:vAlign w:val="bottom"/>
            <w:tcBorders>
              <w:bottom w:val="single" w:sz="8" w:color="B2B2B2"/>
            </w:tcBorders>
          </w:tcPr>
          <w:p>
            <w:pPr>
              <w:spacing w:after="0"/>
              <w:rPr>
                <w:sz w:val="2"/>
                <w:szCs w:val="2"/>
                <w:color w:val="auto"/>
              </w:rPr>
            </w:pPr>
          </w:p>
        </w:tc>
        <w:tc>
          <w:tcPr>
            <w:tcW w:w="9120" w:type="dxa"/>
            <w:vAlign w:val="bottom"/>
            <w:tcBorders>
              <w:bottom w:val="single" w:sz="8" w:color="B2B2B2"/>
            </w:tcBorders>
          </w:tcPr>
          <w:p>
            <w:pPr>
              <w:spacing w:after="0"/>
              <w:rPr>
                <w:sz w:val="2"/>
                <w:szCs w:val="2"/>
                <w:color w:val="auto"/>
              </w:rPr>
            </w:pPr>
          </w:p>
        </w:tc>
      </w:tr>
      <w:tr>
        <w:trPr>
          <w:trHeight w:val="149"/>
        </w:trPr>
        <w:tc>
          <w:tcPr>
            <w:tcW w:w="480" w:type="dxa"/>
            <w:vAlign w:val="bottom"/>
          </w:tcPr>
          <w:p>
            <w:pPr>
              <w:ind w:left="20"/>
              <w:spacing w:after="0"/>
              <w:rPr>
                <w:sz w:val="20"/>
                <w:szCs w:val="20"/>
                <w:color w:val="auto"/>
              </w:rPr>
            </w:pPr>
            <w:r>
              <w:rPr>
                <w:rFonts w:ascii="Arial" w:cs="Arial" w:eastAsia="Arial" w:hAnsi="Arial"/>
                <w:sz w:val="11"/>
                <w:szCs w:val="11"/>
                <w:color w:val="auto"/>
              </w:rPr>
              <w:t>2022</w:t>
            </w:r>
          </w:p>
        </w:tc>
        <w:tc>
          <w:tcPr>
            <w:tcW w:w="1180" w:type="dxa"/>
            <w:vAlign w:val="bottom"/>
          </w:tcPr>
          <w:p>
            <w:pPr>
              <w:ind w:left="200"/>
              <w:spacing w:after="0"/>
              <w:rPr>
                <w:sz w:val="20"/>
                <w:szCs w:val="20"/>
                <w:color w:val="auto"/>
              </w:rPr>
            </w:pPr>
            <w:r>
              <w:rPr>
                <w:rFonts w:ascii="Arial" w:cs="Arial" w:eastAsia="Arial" w:hAnsi="Arial"/>
                <w:sz w:val="11"/>
                <w:szCs w:val="11"/>
                <w:color w:val="auto"/>
              </w:rPr>
              <w:t>James Dimon</w:t>
            </w:r>
          </w:p>
        </w:tc>
        <w:tc>
          <w:tcPr>
            <w:tcW w:w="9120" w:type="dxa"/>
            <w:vAlign w:val="bottom"/>
          </w:tcPr>
          <w:p>
            <w:pPr>
              <w:ind w:left="340"/>
              <w:spacing w:after="0"/>
              <w:rPr>
                <w:sz w:val="20"/>
                <w:szCs w:val="20"/>
                <w:color w:val="auto"/>
              </w:rPr>
            </w:pPr>
            <w:r>
              <w:rPr>
                <w:rFonts w:ascii="Arial" w:cs="Arial" w:eastAsia="Arial" w:hAnsi="Arial"/>
                <w:sz w:val="11"/>
                <w:szCs w:val="11"/>
                <w:color w:val="auto"/>
              </w:rPr>
              <w:t>Daniel Pinto, Mary Callahan Erdoes, Marianne Lake, Jeremy Barnum</w:t>
            </w:r>
          </w:p>
        </w:tc>
      </w:tr>
      <w:tr>
        <w:trPr>
          <w:trHeight w:val="33"/>
        </w:trPr>
        <w:tc>
          <w:tcPr>
            <w:tcW w:w="480" w:type="dxa"/>
            <w:vAlign w:val="bottom"/>
            <w:tcBorders>
              <w:bottom w:val="single" w:sz="8" w:color="B2B2B2"/>
            </w:tcBorders>
          </w:tcPr>
          <w:p>
            <w:pPr>
              <w:spacing w:after="0"/>
              <w:rPr>
                <w:sz w:val="2"/>
                <w:szCs w:val="2"/>
                <w:color w:val="auto"/>
              </w:rPr>
            </w:pPr>
          </w:p>
        </w:tc>
        <w:tc>
          <w:tcPr>
            <w:tcW w:w="1180" w:type="dxa"/>
            <w:vAlign w:val="bottom"/>
            <w:tcBorders>
              <w:bottom w:val="single" w:sz="8" w:color="B2B2B2"/>
            </w:tcBorders>
          </w:tcPr>
          <w:p>
            <w:pPr>
              <w:spacing w:after="0"/>
              <w:rPr>
                <w:sz w:val="2"/>
                <w:szCs w:val="2"/>
                <w:color w:val="auto"/>
              </w:rPr>
            </w:pPr>
          </w:p>
        </w:tc>
        <w:tc>
          <w:tcPr>
            <w:tcW w:w="9120" w:type="dxa"/>
            <w:vAlign w:val="bottom"/>
            <w:tcBorders>
              <w:bottom w:val="single" w:sz="8" w:color="B2B2B2"/>
            </w:tcBorders>
          </w:tcPr>
          <w:p>
            <w:pPr>
              <w:spacing w:after="0"/>
              <w:rPr>
                <w:sz w:val="2"/>
                <w:szCs w:val="2"/>
                <w:color w:val="auto"/>
              </w:rPr>
            </w:pPr>
          </w:p>
        </w:tc>
      </w:tr>
      <w:tr>
        <w:trPr>
          <w:trHeight w:val="149"/>
        </w:trPr>
        <w:tc>
          <w:tcPr>
            <w:tcW w:w="480" w:type="dxa"/>
            <w:vAlign w:val="bottom"/>
          </w:tcPr>
          <w:p>
            <w:pPr>
              <w:ind w:left="20"/>
              <w:spacing w:after="0"/>
              <w:rPr>
                <w:sz w:val="20"/>
                <w:szCs w:val="20"/>
                <w:color w:val="auto"/>
              </w:rPr>
            </w:pPr>
            <w:r>
              <w:rPr>
                <w:rFonts w:ascii="Arial" w:cs="Arial" w:eastAsia="Arial" w:hAnsi="Arial"/>
                <w:sz w:val="11"/>
                <w:szCs w:val="11"/>
                <w:color w:val="auto"/>
              </w:rPr>
              <w:t>2021</w:t>
            </w:r>
          </w:p>
        </w:tc>
        <w:tc>
          <w:tcPr>
            <w:tcW w:w="1180" w:type="dxa"/>
            <w:vAlign w:val="bottom"/>
          </w:tcPr>
          <w:p>
            <w:pPr>
              <w:ind w:left="200"/>
              <w:spacing w:after="0"/>
              <w:rPr>
                <w:sz w:val="20"/>
                <w:szCs w:val="20"/>
                <w:color w:val="auto"/>
              </w:rPr>
            </w:pPr>
            <w:r>
              <w:rPr>
                <w:rFonts w:ascii="Arial" w:cs="Arial" w:eastAsia="Arial" w:hAnsi="Arial"/>
                <w:sz w:val="11"/>
                <w:szCs w:val="11"/>
                <w:color w:val="auto"/>
              </w:rPr>
              <w:t>James Dimon</w:t>
            </w:r>
          </w:p>
        </w:tc>
        <w:tc>
          <w:tcPr>
            <w:tcW w:w="9120" w:type="dxa"/>
            <w:vAlign w:val="bottom"/>
          </w:tcPr>
          <w:p>
            <w:pPr>
              <w:ind w:left="340"/>
              <w:spacing w:after="0"/>
              <w:rPr>
                <w:sz w:val="20"/>
                <w:szCs w:val="20"/>
                <w:color w:val="auto"/>
              </w:rPr>
            </w:pPr>
            <w:r>
              <w:rPr>
                <w:rFonts w:ascii="Arial" w:cs="Arial" w:eastAsia="Arial" w:hAnsi="Arial"/>
                <w:sz w:val="11"/>
                <w:szCs w:val="11"/>
                <w:color w:val="auto"/>
              </w:rPr>
              <w:t>Daniel Pinto, Gordon Smith, Mary Callahan Erdoes, Jennifer Piepszak, Jeremy Barnum</w:t>
            </w:r>
          </w:p>
        </w:tc>
      </w:tr>
      <w:tr>
        <w:trPr>
          <w:trHeight w:val="33"/>
        </w:trPr>
        <w:tc>
          <w:tcPr>
            <w:tcW w:w="480" w:type="dxa"/>
            <w:vAlign w:val="bottom"/>
            <w:tcBorders>
              <w:bottom w:val="single" w:sz="8" w:color="B2B2B2"/>
            </w:tcBorders>
          </w:tcPr>
          <w:p>
            <w:pPr>
              <w:spacing w:after="0"/>
              <w:rPr>
                <w:sz w:val="2"/>
                <w:szCs w:val="2"/>
                <w:color w:val="auto"/>
              </w:rPr>
            </w:pPr>
          </w:p>
        </w:tc>
        <w:tc>
          <w:tcPr>
            <w:tcW w:w="1180" w:type="dxa"/>
            <w:vAlign w:val="bottom"/>
            <w:tcBorders>
              <w:bottom w:val="single" w:sz="8" w:color="B2B2B2"/>
            </w:tcBorders>
          </w:tcPr>
          <w:p>
            <w:pPr>
              <w:spacing w:after="0"/>
              <w:rPr>
                <w:sz w:val="2"/>
                <w:szCs w:val="2"/>
                <w:color w:val="auto"/>
              </w:rPr>
            </w:pPr>
          </w:p>
        </w:tc>
        <w:tc>
          <w:tcPr>
            <w:tcW w:w="9120" w:type="dxa"/>
            <w:vAlign w:val="bottom"/>
            <w:tcBorders>
              <w:bottom w:val="single" w:sz="8" w:color="B2B2B2"/>
            </w:tcBorders>
          </w:tcPr>
          <w:p>
            <w:pPr>
              <w:spacing w:after="0"/>
              <w:rPr>
                <w:sz w:val="2"/>
                <w:szCs w:val="2"/>
                <w:color w:val="auto"/>
              </w:rPr>
            </w:pPr>
          </w:p>
        </w:tc>
      </w:tr>
    </w:tbl>
    <w:p>
      <w:pPr>
        <w:spacing w:after="0" w:line="144" w:lineRule="exact"/>
        <w:rPr>
          <w:sz w:val="20"/>
          <w:szCs w:val="20"/>
          <w:color w:val="auto"/>
        </w:rPr>
      </w:pPr>
    </w:p>
    <w:p>
      <w:pPr>
        <w:ind w:left="200" w:right="80" w:hanging="192"/>
        <w:spacing w:after="0" w:line="242" w:lineRule="auto"/>
        <w:tabs>
          <w:tab w:leader="none" w:pos="193" w:val="left"/>
        </w:tabs>
        <w:numPr>
          <w:ilvl w:val="0"/>
          <w:numId w:val="254"/>
        </w:numPr>
        <w:rPr>
          <w:rFonts w:ascii="Arial" w:cs="Arial" w:eastAsia="Arial" w:hAnsi="Arial"/>
          <w:sz w:val="18"/>
          <w:szCs w:val="18"/>
          <w:color w:val="auto"/>
          <w:vertAlign w:val="superscript"/>
        </w:rPr>
      </w:pPr>
      <w:r>
        <w:rPr>
          <w:rFonts w:ascii="Arial" w:cs="Arial" w:eastAsia="Arial" w:hAnsi="Arial"/>
          <w:sz w:val="12"/>
          <w:szCs w:val="12"/>
          <w:color w:val="auto"/>
        </w:rPr>
        <w:t>The following table details the adjustments that were made to SCT values to determine CAP, as presented in the above table. For the CAP portions that are calculated based on the average of the high and low JPM stock price at the end of the reporting year, the following prices were used: 2025 $323.46; 2024 $240.24; 2023 $170.16; 2022 $133.39; 2021 $158.63. There are no U.S. GAAP pension service costs as pension plans are frozen, and there are no changes in defined benefit plan projected benefit obligations attributable to a plan amendment. Fair value amounts were computed in a manner consistent with the fair value methodology used to account for share-based payments in the Firm’s financial statements. All amounts shown for non-PEO NEOs are averages.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290830</wp:posOffset>
            </wp:positionV>
            <wp:extent cx="651510" cy="8572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shd w:val="clear" w:color="auto" w:fill="F4EFE7"/>
          </w:tcPr>
          <w:p>
            <w:pPr>
              <w:spacing w:after="0"/>
              <w:rPr>
                <w:sz w:val="12"/>
                <w:szCs w:val="12"/>
                <w:color w:val="auto"/>
              </w:rPr>
            </w:pPr>
          </w:p>
        </w:tc>
        <w:tc>
          <w:tcPr>
            <w:tcW w:w="900" w:type="dxa"/>
            <w:vAlign w:val="bottom"/>
            <w:shd w:val="clear" w:color="auto" w:fill="F4EFE7"/>
          </w:tcPr>
          <w:p>
            <w:pPr>
              <w:spacing w:after="0"/>
              <w:rPr>
                <w:sz w:val="12"/>
                <w:szCs w:val="12"/>
                <w:color w:val="auto"/>
              </w:rPr>
            </w:pPr>
          </w:p>
        </w:tc>
        <w:tc>
          <w:tcPr>
            <w:tcW w:w="280" w:type="dxa"/>
            <w:vAlign w:val="bottom"/>
            <w:shd w:val="clear" w:color="auto" w:fill="F4EFE7"/>
          </w:tcPr>
          <w:p>
            <w:pPr>
              <w:spacing w:after="0"/>
              <w:rPr>
                <w:sz w:val="12"/>
                <w:szCs w:val="12"/>
                <w:color w:val="auto"/>
              </w:rPr>
            </w:pPr>
          </w:p>
        </w:tc>
        <w:tc>
          <w:tcPr>
            <w:tcW w:w="740" w:type="dxa"/>
            <w:vAlign w:val="bottom"/>
            <w:shd w:val="clear" w:color="auto" w:fill="F4EFE7"/>
          </w:tcPr>
          <w:p>
            <w:pPr>
              <w:spacing w:after="0"/>
              <w:rPr>
                <w:sz w:val="12"/>
                <w:szCs w:val="12"/>
                <w:color w:val="auto"/>
              </w:rPr>
            </w:pPr>
          </w:p>
        </w:tc>
        <w:tc>
          <w:tcPr>
            <w:tcW w:w="220" w:type="dxa"/>
            <w:vAlign w:val="bottom"/>
            <w:shd w:val="clear" w:color="auto" w:fill="F4EFE7"/>
          </w:tcPr>
          <w:p>
            <w:pPr>
              <w:spacing w:after="0"/>
              <w:rPr>
                <w:sz w:val="12"/>
                <w:szCs w:val="12"/>
                <w:color w:val="auto"/>
              </w:rPr>
            </w:pPr>
          </w:p>
        </w:tc>
        <w:tc>
          <w:tcPr>
            <w:tcW w:w="800" w:type="dxa"/>
            <w:vAlign w:val="bottom"/>
            <w:shd w:val="clear" w:color="auto" w:fill="F4EFE7"/>
          </w:tcPr>
          <w:p>
            <w:pPr>
              <w:spacing w:after="0"/>
              <w:rPr>
                <w:sz w:val="12"/>
                <w:szCs w:val="12"/>
                <w:color w:val="auto"/>
              </w:rPr>
            </w:pPr>
          </w:p>
        </w:tc>
        <w:tc>
          <w:tcPr>
            <w:tcW w:w="220" w:type="dxa"/>
            <w:vAlign w:val="bottom"/>
            <w:shd w:val="clear" w:color="auto" w:fill="F4EFE7"/>
          </w:tcPr>
          <w:p>
            <w:pPr>
              <w:spacing w:after="0"/>
              <w:rPr>
                <w:sz w:val="12"/>
                <w:szCs w:val="12"/>
                <w:color w:val="auto"/>
              </w:rPr>
            </w:pPr>
          </w:p>
        </w:tc>
        <w:tc>
          <w:tcPr>
            <w:tcW w:w="860" w:type="dxa"/>
            <w:vAlign w:val="bottom"/>
            <w:shd w:val="clear" w:color="auto" w:fill="F4EFE7"/>
          </w:tcPr>
          <w:p>
            <w:pPr>
              <w:spacing w:after="0"/>
              <w:rPr>
                <w:sz w:val="12"/>
                <w:szCs w:val="12"/>
                <w:color w:val="auto"/>
              </w:rPr>
            </w:pPr>
          </w:p>
        </w:tc>
        <w:tc>
          <w:tcPr>
            <w:tcW w:w="220" w:type="dxa"/>
            <w:vAlign w:val="bottom"/>
            <w:shd w:val="clear" w:color="auto" w:fill="F4EFE7"/>
          </w:tcPr>
          <w:p>
            <w:pPr>
              <w:spacing w:after="0"/>
              <w:rPr>
                <w:sz w:val="12"/>
                <w:szCs w:val="12"/>
                <w:color w:val="auto"/>
              </w:rPr>
            </w:pPr>
          </w:p>
        </w:tc>
        <w:tc>
          <w:tcPr>
            <w:tcW w:w="620" w:type="dxa"/>
            <w:vAlign w:val="bottom"/>
            <w:shd w:val="clear" w:color="auto" w:fill="F4EFE7"/>
          </w:tcPr>
          <w:p>
            <w:pPr>
              <w:spacing w:after="0"/>
              <w:rPr>
                <w:sz w:val="12"/>
                <w:szCs w:val="12"/>
                <w:color w:val="auto"/>
              </w:rPr>
            </w:pPr>
          </w:p>
        </w:tc>
        <w:tc>
          <w:tcPr>
            <w:tcW w:w="180" w:type="dxa"/>
            <w:vAlign w:val="bottom"/>
            <w:shd w:val="clear" w:color="auto" w:fill="F4EFE7"/>
          </w:tcPr>
          <w:p>
            <w:pPr>
              <w:spacing w:after="0"/>
              <w:rPr>
                <w:sz w:val="12"/>
                <w:szCs w:val="12"/>
                <w:color w:val="auto"/>
              </w:rPr>
            </w:pPr>
          </w:p>
        </w:tc>
        <w:tc>
          <w:tcPr>
            <w:tcW w:w="820" w:type="dxa"/>
            <w:vAlign w:val="bottom"/>
            <w:vMerge w:val="restart"/>
            <w:shd w:val="clear" w:color="auto" w:fill="F4EFE7"/>
          </w:tcPr>
          <w:p>
            <w:pPr>
              <w:jc w:val="right"/>
              <w:ind w:right="26"/>
              <w:spacing w:after="0"/>
              <w:rPr>
                <w:sz w:val="20"/>
                <w:szCs w:val="20"/>
                <w:color w:val="auto"/>
              </w:rPr>
            </w:pPr>
            <w:r>
              <w:rPr>
                <w:rFonts w:ascii="Arial" w:cs="Arial" w:eastAsia="Arial" w:hAnsi="Arial"/>
                <w:sz w:val="11"/>
                <w:szCs w:val="11"/>
                <w:b w:val="1"/>
                <w:bCs w:val="1"/>
                <w:color w:val="8F5A39"/>
              </w:rPr>
              <w:t>Plus:</w:t>
            </w:r>
          </w:p>
        </w:tc>
        <w:tc>
          <w:tcPr>
            <w:tcW w:w="220" w:type="dxa"/>
            <w:vAlign w:val="bottom"/>
            <w:shd w:val="clear" w:color="auto" w:fill="F4EFE7"/>
          </w:tcPr>
          <w:p>
            <w:pPr>
              <w:spacing w:after="0"/>
              <w:rPr>
                <w:sz w:val="12"/>
                <w:szCs w:val="12"/>
                <w:color w:val="auto"/>
              </w:rPr>
            </w:pPr>
          </w:p>
        </w:tc>
        <w:tc>
          <w:tcPr>
            <w:tcW w:w="800" w:type="dxa"/>
            <w:vAlign w:val="bottom"/>
            <w:vMerge w:val="restart"/>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Change in</w:t>
            </w:r>
          </w:p>
        </w:tc>
        <w:tc>
          <w:tcPr>
            <w:tcW w:w="200" w:type="dxa"/>
            <w:vAlign w:val="bottom"/>
            <w:shd w:val="clear" w:color="auto" w:fill="F4EFE7"/>
          </w:tcPr>
          <w:p>
            <w:pPr>
              <w:spacing w:after="0"/>
              <w:rPr>
                <w:sz w:val="12"/>
                <w:szCs w:val="12"/>
                <w:color w:val="auto"/>
              </w:rPr>
            </w:pPr>
          </w:p>
        </w:tc>
        <w:tc>
          <w:tcPr>
            <w:tcW w:w="76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Change in</w:t>
            </w:r>
          </w:p>
        </w:tc>
        <w:tc>
          <w:tcPr>
            <w:tcW w:w="200" w:type="dxa"/>
            <w:vAlign w:val="bottom"/>
            <w:shd w:val="clear" w:color="auto" w:fill="F4EFE7"/>
          </w:tcPr>
          <w:p>
            <w:pPr>
              <w:spacing w:after="0"/>
              <w:rPr>
                <w:sz w:val="12"/>
                <w:szCs w:val="12"/>
                <w:color w:val="auto"/>
              </w:rPr>
            </w:pPr>
          </w:p>
        </w:tc>
        <w:tc>
          <w:tcPr>
            <w:tcW w:w="700" w:type="dxa"/>
            <w:vAlign w:val="bottom"/>
            <w:shd w:val="clear" w:color="auto" w:fill="F4EFE7"/>
          </w:tcPr>
          <w:p>
            <w:pPr>
              <w:spacing w:after="0"/>
              <w:rPr>
                <w:sz w:val="12"/>
                <w:szCs w:val="12"/>
                <w:color w:val="auto"/>
              </w:rPr>
            </w:pPr>
          </w:p>
        </w:tc>
        <w:tc>
          <w:tcPr>
            <w:tcW w:w="180" w:type="dxa"/>
            <w:vAlign w:val="bottom"/>
            <w:shd w:val="clear" w:color="auto" w:fill="F4EFE7"/>
          </w:tcPr>
          <w:p>
            <w:pPr>
              <w:spacing w:after="0"/>
              <w:rPr>
                <w:sz w:val="12"/>
                <w:szCs w:val="12"/>
                <w:color w:val="auto"/>
              </w:rPr>
            </w:pPr>
          </w:p>
        </w:tc>
        <w:tc>
          <w:tcPr>
            <w:tcW w:w="820" w:type="dxa"/>
            <w:vAlign w:val="bottom"/>
            <w:shd w:val="clear" w:color="auto" w:fill="F4EFE7"/>
          </w:tcPr>
          <w:p>
            <w:pPr>
              <w:spacing w:after="0"/>
              <w:rPr>
                <w:sz w:val="12"/>
                <w:szCs w:val="12"/>
                <w:color w:val="auto"/>
              </w:rPr>
            </w:pPr>
          </w:p>
        </w:tc>
        <w:tc>
          <w:tcPr>
            <w:tcW w:w="240" w:type="dxa"/>
            <w:vAlign w:val="bottom"/>
            <w:shd w:val="clear" w:color="auto" w:fill="F4EFE7"/>
          </w:tcPr>
          <w:p>
            <w:pPr>
              <w:spacing w:after="0"/>
              <w:rPr>
                <w:sz w:val="12"/>
                <w:szCs w:val="12"/>
                <w:color w:val="auto"/>
              </w:rPr>
            </w:pPr>
          </w:p>
        </w:tc>
        <w:tc>
          <w:tcPr>
            <w:tcW w:w="780" w:type="dxa"/>
            <w:vAlign w:val="bottom"/>
            <w:shd w:val="clear" w:color="auto" w:fill="F4EFE7"/>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F4EFE7"/>
          </w:tcPr>
          <w:p>
            <w:pPr>
              <w:spacing w:after="0"/>
              <w:rPr>
                <w:sz w:val="10"/>
                <w:szCs w:val="10"/>
                <w:color w:val="auto"/>
              </w:rPr>
            </w:pPr>
          </w:p>
        </w:tc>
        <w:tc>
          <w:tcPr>
            <w:tcW w:w="900" w:type="dxa"/>
            <w:vAlign w:val="bottom"/>
            <w:shd w:val="clear" w:color="auto" w:fill="F4EFE7"/>
          </w:tcPr>
          <w:p>
            <w:pPr>
              <w:spacing w:after="0"/>
              <w:rPr>
                <w:sz w:val="10"/>
                <w:szCs w:val="10"/>
                <w:color w:val="auto"/>
              </w:rPr>
            </w:pPr>
          </w:p>
        </w:tc>
        <w:tc>
          <w:tcPr>
            <w:tcW w:w="280" w:type="dxa"/>
            <w:vAlign w:val="bottom"/>
            <w:shd w:val="clear" w:color="auto" w:fill="F4EFE7"/>
          </w:tcPr>
          <w:p>
            <w:pPr>
              <w:spacing w:after="0"/>
              <w:rPr>
                <w:sz w:val="10"/>
                <w:szCs w:val="10"/>
                <w:color w:val="auto"/>
              </w:rPr>
            </w:pPr>
          </w:p>
        </w:tc>
        <w:tc>
          <w:tcPr>
            <w:tcW w:w="740" w:type="dxa"/>
            <w:vAlign w:val="bottom"/>
            <w:shd w:val="clear" w:color="auto" w:fill="F4EFE7"/>
          </w:tcPr>
          <w:p>
            <w:pPr>
              <w:spacing w:after="0"/>
              <w:rPr>
                <w:sz w:val="10"/>
                <w:szCs w:val="10"/>
                <w:color w:val="auto"/>
              </w:rPr>
            </w:pPr>
          </w:p>
        </w:tc>
        <w:tc>
          <w:tcPr>
            <w:tcW w:w="220" w:type="dxa"/>
            <w:vAlign w:val="bottom"/>
            <w:shd w:val="clear" w:color="auto" w:fill="F4EFE7"/>
          </w:tcPr>
          <w:p>
            <w:pPr>
              <w:spacing w:after="0"/>
              <w:rPr>
                <w:sz w:val="10"/>
                <w:szCs w:val="10"/>
                <w:color w:val="auto"/>
              </w:rPr>
            </w:pPr>
          </w:p>
        </w:tc>
        <w:tc>
          <w:tcPr>
            <w:tcW w:w="800" w:type="dxa"/>
            <w:vAlign w:val="bottom"/>
            <w:shd w:val="clear" w:color="auto" w:fill="F4EFE7"/>
          </w:tcPr>
          <w:p>
            <w:pPr>
              <w:spacing w:after="0"/>
              <w:rPr>
                <w:sz w:val="10"/>
                <w:szCs w:val="10"/>
                <w:color w:val="auto"/>
              </w:rPr>
            </w:pPr>
          </w:p>
        </w:tc>
        <w:tc>
          <w:tcPr>
            <w:tcW w:w="220" w:type="dxa"/>
            <w:vAlign w:val="bottom"/>
            <w:shd w:val="clear" w:color="auto" w:fill="F4EFE7"/>
          </w:tcPr>
          <w:p>
            <w:pPr>
              <w:spacing w:after="0"/>
              <w:rPr>
                <w:sz w:val="10"/>
                <w:szCs w:val="10"/>
                <w:color w:val="auto"/>
              </w:rPr>
            </w:pPr>
          </w:p>
        </w:tc>
        <w:tc>
          <w:tcPr>
            <w:tcW w:w="860" w:type="dxa"/>
            <w:vAlign w:val="bottom"/>
            <w:shd w:val="clear" w:color="auto" w:fill="F4EFE7"/>
          </w:tcPr>
          <w:p>
            <w:pPr>
              <w:spacing w:after="0"/>
              <w:rPr>
                <w:sz w:val="10"/>
                <w:szCs w:val="10"/>
                <w:color w:val="auto"/>
              </w:rPr>
            </w:pPr>
          </w:p>
        </w:tc>
        <w:tc>
          <w:tcPr>
            <w:tcW w:w="220" w:type="dxa"/>
            <w:vAlign w:val="bottom"/>
            <w:shd w:val="clear" w:color="auto" w:fill="F4EFE7"/>
          </w:tcPr>
          <w:p>
            <w:pPr>
              <w:spacing w:after="0"/>
              <w:rPr>
                <w:sz w:val="10"/>
                <w:szCs w:val="10"/>
                <w:color w:val="auto"/>
              </w:rPr>
            </w:pPr>
          </w:p>
        </w:tc>
        <w:tc>
          <w:tcPr>
            <w:tcW w:w="620" w:type="dxa"/>
            <w:vAlign w:val="bottom"/>
            <w:shd w:val="clear" w:color="auto" w:fill="F4EFE7"/>
          </w:tcPr>
          <w:p>
            <w:pPr>
              <w:spacing w:after="0"/>
              <w:rPr>
                <w:sz w:val="10"/>
                <w:szCs w:val="10"/>
                <w:color w:val="auto"/>
              </w:rPr>
            </w:pPr>
          </w:p>
        </w:tc>
        <w:tc>
          <w:tcPr>
            <w:tcW w:w="180" w:type="dxa"/>
            <w:vAlign w:val="bottom"/>
            <w:shd w:val="clear" w:color="auto" w:fill="F4EFE7"/>
          </w:tcPr>
          <w:p>
            <w:pPr>
              <w:spacing w:after="0"/>
              <w:rPr>
                <w:sz w:val="10"/>
                <w:szCs w:val="10"/>
                <w:color w:val="auto"/>
              </w:rPr>
            </w:pPr>
          </w:p>
        </w:tc>
        <w:tc>
          <w:tcPr>
            <w:tcW w:w="820" w:type="dxa"/>
            <w:vAlign w:val="bottom"/>
            <w:vMerge w:val="continue"/>
            <w:shd w:val="clear" w:color="auto" w:fill="F4EFE7"/>
          </w:tcPr>
          <w:p>
            <w:pPr>
              <w:spacing w:after="0"/>
              <w:rPr>
                <w:sz w:val="10"/>
                <w:szCs w:val="10"/>
                <w:color w:val="auto"/>
              </w:rPr>
            </w:pPr>
          </w:p>
        </w:tc>
        <w:tc>
          <w:tcPr>
            <w:tcW w:w="220" w:type="dxa"/>
            <w:vAlign w:val="bottom"/>
            <w:shd w:val="clear" w:color="auto" w:fill="F4EFE7"/>
          </w:tcPr>
          <w:p>
            <w:pPr>
              <w:spacing w:after="0"/>
              <w:rPr>
                <w:sz w:val="10"/>
                <w:szCs w:val="10"/>
                <w:color w:val="auto"/>
              </w:rPr>
            </w:pPr>
          </w:p>
        </w:tc>
        <w:tc>
          <w:tcPr>
            <w:tcW w:w="800" w:type="dxa"/>
            <w:vAlign w:val="bottom"/>
            <w:vMerge w:val="continue"/>
            <w:shd w:val="clear" w:color="auto" w:fill="F4EFE7"/>
          </w:tcPr>
          <w:p>
            <w:pPr>
              <w:spacing w:after="0"/>
              <w:rPr>
                <w:sz w:val="10"/>
                <w:szCs w:val="10"/>
                <w:color w:val="auto"/>
              </w:rPr>
            </w:pPr>
          </w:p>
        </w:tc>
        <w:tc>
          <w:tcPr>
            <w:tcW w:w="200" w:type="dxa"/>
            <w:vAlign w:val="bottom"/>
            <w:shd w:val="clear" w:color="auto" w:fill="F4EFE7"/>
          </w:tcPr>
          <w:p>
            <w:pPr>
              <w:spacing w:after="0"/>
              <w:rPr>
                <w:sz w:val="10"/>
                <w:szCs w:val="10"/>
                <w:color w:val="auto"/>
              </w:rPr>
            </w:pPr>
          </w:p>
        </w:tc>
        <w:tc>
          <w:tcPr>
            <w:tcW w:w="760" w:type="dxa"/>
            <w:vAlign w:val="bottom"/>
            <w:shd w:val="clear" w:color="auto" w:fill="F4EFE7"/>
          </w:tcPr>
          <w:p>
            <w:pPr>
              <w:jc w:val="right"/>
              <w:ind w:right="6"/>
              <w:spacing w:after="0" w:line="122" w:lineRule="exact"/>
              <w:rPr>
                <w:sz w:val="20"/>
                <w:szCs w:val="20"/>
                <w:color w:val="auto"/>
              </w:rPr>
            </w:pPr>
            <w:r>
              <w:rPr>
                <w:rFonts w:ascii="Arial" w:cs="Arial" w:eastAsia="Arial" w:hAnsi="Arial"/>
                <w:sz w:val="11"/>
                <w:szCs w:val="11"/>
                <w:b w:val="1"/>
                <w:bCs w:val="1"/>
                <w:color w:val="8F5A39"/>
              </w:rPr>
              <w:t>fair value of</w:t>
            </w:r>
          </w:p>
        </w:tc>
        <w:tc>
          <w:tcPr>
            <w:tcW w:w="200" w:type="dxa"/>
            <w:vAlign w:val="bottom"/>
            <w:shd w:val="clear" w:color="auto" w:fill="F4EFE7"/>
          </w:tcPr>
          <w:p>
            <w:pPr>
              <w:spacing w:after="0"/>
              <w:rPr>
                <w:sz w:val="10"/>
                <w:szCs w:val="10"/>
                <w:color w:val="auto"/>
              </w:rPr>
            </w:pPr>
          </w:p>
        </w:tc>
        <w:tc>
          <w:tcPr>
            <w:tcW w:w="700" w:type="dxa"/>
            <w:vAlign w:val="bottom"/>
            <w:shd w:val="clear" w:color="auto" w:fill="F4EFE7"/>
          </w:tcPr>
          <w:p>
            <w:pPr>
              <w:spacing w:after="0"/>
              <w:rPr>
                <w:sz w:val="10"/>
                <w:szCs w:val="10"/>
                <w:color w:val="auto"/>
              </w:rPr>
            </w:pPr>
          </w:p>
        </w:tc>
        <w:tc>
          <w:tcPr>
            <w:tcW w:w="180" w:type="dxa"/>
            <w:vAlign w:val="bottom"/>
            <w:shd w:val="clear" w:color="auto" w:fill="F4EFE7"/>
          </w:tcPr>
          <w:p>
            <w:pPr>
              <w:spacing w:after="0"/>
              <w:rPr>
                <w:sz w:val="10"/>
                <w:szCs w:val="10"/>
                <w:color w:val="auto"/>
              </w:rPr>
            </w:pPr>
          </w:p>
        </w:tc>
        <w:tc>
          <w:tcPr>
            <w:tcW w:w="820" w:type="dxa"/>
            <w:vAlign w:val="bottom"/>
            <w:shd w:val="clear" w:color="auto" w:fill="F4EFE7"/>
          </w:tcPr>
          <w:p>
            <w:pPr>
              <w:spacing w:after="0"/>
              <w:rPr>
                <w:sz w:val="10"/>
                <w:szCs w:val="10"/>
                <w:color w:val="auto"/>
              </w:rPr>
            </w:pPr>
          </w:p>
        </w:tc>
        <w:tc>
          <w:tcPr>
            <w:tcW w:w="240" w:type="dxa"/>
            <w:vAlign w:val="bottom"/>
            <w:shd w:val="clear" w:color="auto" w:fill="F4EFE7"/>
          </w:tcPr>
          <w:p>
            <w:pPr>
              <w:spacing w:after="0"/>
              <w:rPr>
                <w:sz w:val="10"/>
                <w:szCs w:val="10"/>
                <w:color w:val="auto"/>
              </w:rPr>
            </w:pPr>
          </w:p>
        </w:tc>
        <w:tc>
          <w:tcPr>
            <w:tcW w:w="780" w:type="dxa"/>
            <w:vAlign w:val="bottom"/>
            <w:shd w:val="clear" w:color="auto" w:fill="F4EFE7"/>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F4EFE7"/>
          </w:tcPr>
          <w:p>
            <w:pPr>
              <w:spacing w:after="0"/>
              <w:rPr>
                <w:sz w:val="10"/>
                <w:szCs w:val="10"/>
                <w:color w:val="auto"/>
              </w:rPr>
            </w:pPr>
          </w:p>
        </w:tc>
        <w:tc>
          <w:tcPr>
            <w:tcW w:w="900" w:type="dxa"/>
            <w:vAlign w:val="bottom"/>
            <w:shd w:val="clear" w:color="auto" w:fill="F4EFE7"/>
          </w:tcPr>
          <w:p>
            <w:pPr>
              <w:spacing w:after="0"/>
              <w:rPr>
                <w:sz w:val="10"/>
                <w:szCs w:val="10"/>
                <w:color w:val="auto"/>
              </w:rPr>
            </w:pPr>
          </w:p>
        </w:tc>
        <w:tc>
          <w:tcPr>
            <w:tcW w:w="280" w:type="dxa"/>
            <w:vAlign w:val="bottom"/>
            <w:shd w:val="clear" w:color="auto" w:fill="F4EFE7"/>
          </w:tcPr>
          <w:p>
            <w:pPr>
              <w:spacing w:after="0"/>
              <w:rPr>
                <w:sz w:val="10"/>
                <w:szCs w:val="10"/>
                <w:color w:val="auto"/>
              </w:rPr>
            </w:pPr>
          </w:p>
        </w:tc>
        <w:tc>
          <w:tcPr>
            <w:tcW w:w="740" w:type="dxa"/>
            <w:vAlign w:val="bottom"/>
            <w:shd w:val="clear" w:color="auto" w:fill="F4EFE7"/>
          </w:tcPr>
          <w:p>
            <w:pPr>
              <w:spacing w:after="0"/>
              <w:rPr>
                <w:sz w:val="10"/>
                <w:szCs w:val="10"/>
                <w:color w:val="auto"/>
              </w:rPr>
            </w:pPr>
          </w:p>
        </w:tc>
        <w:tc>
          <w:tcPr>
            <w:tcW w:w="220" w:type="dxa"/>
            <w:vAlign w:val="bottom"/>
            <w:shd w:val="clear" w:color="auto" w:fill="F4EFE7"/>
          </w:tcPr>
          <w:p>
            <w:pPr>
              <w:spacing w:after="0"/>
              <w:rPr>
                <w:sz w:val="10"/>
                <w:szCs w:val="10"/>
                <w:color w:val="auto"/>
              </w:rPr>
            </w:pPr>
          </w:p>
        </w:tc>
        <w:tc>
          <w:tcPr>
            <w:tcW w:w="800" w:type="dxa"/>
            <w:vAlign w:val="bottom"/>
            <w:shd w:val="clear" w:color="auto" w:fill="F4EFE7"/>
          </w:tcPr>
          <w:p>
            <w:pPr>
              <w:spacing w:after="0"/>
              <w:rPr>
                <w:sz w:val="10"/>
                <w:szCs w:val="10"/>
                <w:color w:val="auto"/>
              </w:rPr>
            </w:pPr>
          </w:p>
        </w:tc>
        <w:tc>
          <w:tcPr>
            <w:tcW w:w="220" w:type="dxa"/>
            <w:vAlign w:val="bottom"/>
            <w:shd w:val="clear" w:color="auto" w:fill="F4EFE7"/>
          </w:tcPr>
          <w:p>
            <w:pPr>
              <w:spacing w:after="0"/>
              <w:rPr>
                <w:sz w:val="10"/>
                <w:szCs w:val="10"/>
                <w:color w:val="auto"/>
              </w:rPr>
            </w:pPr>
          </w:p>
        </w:tc>
        <w:tc>
          <w:tcPr>
            <w:tcW w:w="860" w:type="dxa"/>
            <w:vAlign w:val="bottom"/>
            <w:shd w:val="clear" w:color="auto" w:fill="F4EFE7"/>
          </w:tcPr>
          <w:p>
            <w:pPr>
              <w:spacing w:after="0"/>
              <w:rPr>
                <w:sz w:val="10"/>
                <w:szCs w:val="10"/>
                <w:color w:val="auto"/>
              </w:rPr>
            </w:pPr>
          </w:p>
        </w:tc>
        <w:tc>
          <w:tcPr>
            <w:tcW w:w="220" w:type="dxa"/>
            <w:vAlign w:val="bottom"/>
            <w:shd w:val="clear" w:color="auto" w:fill="F4EFE7"/>
          </w:tcPr>
          <w:p>
            <w:pPr>
              <w:spacing w:after="0"/>
              <w:rPr>
                <w:sz w:val="10"/>
                <w:szCs w:val="10"/>
                <w:color w:val="auto"/>
              </w:rPr>
            </w:pPr>
          </w:p>
        </w:tc>
        <w:tc>
          <w:tcPr>
            <w:tcW w:w="620" w:type="dxa"/>
            <w:vAlign w:val="bottom"/>
            <w:shd w:val="clear" w:color="auto" w:fill="F4EFE7"/>
          </w:tcPr>
          <w:p>
            <w:pPr>
              <w:jc w:val="right"/>
              <w:ind w:right="66"/>
              <w:spacing w:after="0" w:line="122" w:lineRule="exact"/>
              <w:rPr>
                <w:sz w:val="20"/>
                <w:szCs w:val="20"/>
                <w:color w:val="auto"/>
              </w:rPr>
            </w:pPr>
            <w:r>
              <w:rPr>
                <w:rFonts w:ascii="Arial" w:cs="Arial" w:eastAsia="Arial" w:hAnsi="Arial"/>
                <w:sz w:val="11"/>
                <w:szCs w:val="11"/>
                <w:b w:val="1"/>
                <w:bCs w:val="1"/>
                <w:color w:val="8F5A39"/>
              </w:rPr>
              <w:t>Less:</w:t>
            </w:r>
          </w:p>
        </w:tc>
        <w:tc>
          <w:tcPr>
            <w:tcW w:w="180" w:type="dxa"/>
            <w:vAlign w:val="bottom"/>
            <w:shd w:val="clear" w:color="auto" w:fill="F4EFE7"/>
          </w:tcPr>
          <w:p>
            <w:pPr>
              <w:spacing w:after="0"/>
              <w:rPr>
                <w:sz w:val="10"/>
                <w:szCs w:val="10"/>
                <w:color w:val="auto"/>
              </w:rPr>
            </w:pPr>
          </w:p>
        </w:tc>
        <w:tc>
          <w:tcPr>
            <w:tcW w:w="820" w:type="dxa"/>
            <w:vAlign w:val="bottom"/>
            <w:shd w:val="clear" w:color="auto" w:fill="F4EFE7"/>
          </w:tcPr>
          <w:p>
            <w:pPr>
              <w:jc w:val="right"/>
              <w:ind w:right="26"/>
              <w:spacing w:after="0" w:line="122" w:lineRule="exact"/>
              <w:rPr>
                <w:sz w:val="20"/>
                <w:szCs w:val="20"/>
                <w:color w:val="auto"/>
              </w:rPr>
            </w:pPr>
            <w:r>
              <w:rPr>
                <w:rFonts w:ascii="Arial" w:cs="Arial" w:eastAsia="Arial" w:hAnsi="Arial"/>
                <w:sz w:val="11"/>
                <w:szCs w:val="11"/>
                <w:b w:val="1"/>
                <w:bCs w:val="1"/>
                <w:color w:val="8F5A39"/>
              </w:rPr>
              <w:t>year-end</w:t>
            </w:r>
          </w:p>
        </w:tc>
        <w:tc>
          <w:tcPr>
            <w:tcW w:w="220" w:type="dxa"/>
            <w:vAlign w:val="bottom"/>
            <w:shd w:val="clear" w:color="auto" w:fill="F4EFE7"/>
          </w:tcPr>
          <w:p>
            <w:pPr>
              <w:spacing w:after="0"/>
              <w:rPr>
                <w:sz w:val="10"/>
                <w:szCs w:val="10"/>
                <w:color w:val="auto"/>
              </w:rPr>
            </w:pPr>
          </w:p>
        </w:tc>
        <w:tc>
          <w:tcPr>
            <w:tcW w:w="800" w:type="dxa"/>
            <w:vAlign w:val="bottom"/>
            <w:shd w:val="clear" w:color="auto" w:fill="F4EFE7"/>
          </w:tcPr>
          <w:p>
            <w:pPr>
              <w:jc w:val="right"/>
              <w:ind w:right="6"/>
              <w:spacing w:after="0" w:line="122" w:lineRule="exact"/>
              <w:rPr>
                <w:sz w:val="20"/>
                <w:szCs w:val="20"/>
                <w:color w:val="auto"/>
              </w:rPr>
            </w:pPr>
            <w:r>
              <w:rPr>
                <w:rFonts w:ascii="Arial" w:cs="Arial" w:eastAsia="Arial" w:hAnsi="Arial"/>
                <w:sz w:val="11"/>
                <w:szCs w:val="11"/>
                <w:b w:val="1"/>
                <w:bCs w:val="1"/>
                <w:color w:val="8F5A39"/>
              </w:rPr>
              <w:t>fair value of</w:t>
            </w:r>
          </w:p>
        </w:tc>
        <w:tc>
          <w:tcPr>
            <w:tcW w:w="200" w:type="dxa"/>
            <w:vAlign w:val="bottom"/>
            <w:shd w:val="clear" w:color="auto" w:fill="F4EFE7"/>
          </w:tcPr>
          <w:p>
            <w:pPr>
              <w:spacing w:after="0"/>
              <w:rPr>
                <w:sz w:val="10"/>
                <w:szCs w:val="10"/>
                <w:color w:val="auto"/>
              </w:rPr>
            </w:pPr>
          </w:p>
        </w:tc>
        <w:tc>
          <w:tcPr>
            <w:tcW w:w="760" w:type="dxa"/>
            <w:vAlign w:val="bottom"/>
            <w:shd w:val="clear" w:color="auto" w:fill="F4EFE7"/>
          </w:tcPr>
          <w:p>
            <w:pPr>
              <w:jc w:val="right"/>
              <w:ind w:right="6"/>
              <w:spacing w:after="0" w:line="122" w:lineRule="exact"/>
              <w:rPr>
                <w:sz w:val="20"/>
                <w:szCs w:val="20"/>
                <w:color w:val="auto"/>
              </w:rPr>
            </w:pPr>
            <w:r>
              <w:rPr>
                <w:rFonts w:ascii="Arial" w:cs="Arial" w:eastAsia="Arial" w:hAnsi="Arial"/>
                <w:sz w:val="11"/>
                <w:szCs w:val="11"/>
                <w:b w:val="1"/>
                <w:bCs w:val="1"/>
                <w:color w:val="8F5A39"/>
              </w:rPr>
              <w:t>equity</w:t>
            </w:r>
          </w:p>
        </w:tc>
        <w:tc>
          <w:tcPr>
            <w:tcW w:w="200" w:type="dxa"/>
            <w:vAlign w:val="bottom"/>
            <w:shd w:val="clear" w:color="auto" w:fill="F4EFE7"/>
          </w:tcPr>
          <w:p>
            <w:pPr>
              <w:spacing w:after="0"/>
              <w:rPr>
                <w:sz w:val="10"/>
                <w:szCs w:val="10"/>
                <w:color w:val="auto"/>
              </w:rPr>
            </w:pPr>
          </w:p>
        </w:tc>
        <w:tc>
          <w:tcPr>
            <w:tcW w:w="700" w:type="dxa"/>
            <w:vAlign w:val="bottom"/>
            <w:shd w:val="clear" w:color="auto" w:fill="F4EFE7"/>
          </w:tcPr>
          <w:p>
            <w:pPr>
              <w:spacing w:after="0"/>
              <w:rPr>
                <w:sz w:val="10"/>
                <w:szCs w:val="10"/>
                <w:color w:val="auto"/>
              </w:rPr>
            </w:pPr>
          </w:p>
        </w:tc>
        <w:tc>
          <w:tcPr>
            <w:tcW w:w="180" w:type="dxa"/>
            <w:vAlign w:val="bottom"/>
            <w:shd w:val="clear" w:color="auto" w:fill="F4EFE7"/>
          </w:tcPr>
          <w:p>
            <w:pPr>
              <w:spacing w:after="0"/>
              <w:rPr>
                <w:sz w:val="10"/>
                <w:szCs w:val="10"/>
                <w:color w:val="auto"/>
              </w:rPr>
            </w:pPr>
          </w:p>
        </w:tc>
        <w:tc>
          <w:tcPr>
            <w:tcW w:w="820" w:type="dxa"/>
            <w:vAlign w:val="bottom"/>
            <w:shd w:val="clear" w:color="auto" w:fill="F4EFE7"/>
          </w:tcPr>
          <w:p>
            <w:pPr>
              <w:spacing w:after="0"/>
              <w:rPr>
                <w:sz w:val="10"/>
                <w:szCs w:val="10"/>
                <w:color w:val="auto"/>
              </w:rPr>
            </w:pPr>
          </w:p>
        </w:tc>
        <w:tc>
          <w:tcPr>
            <w:tcW w:w="240" w:type="dxa"/>
            <w:vAlign w:val="bottom"/>
            <w:shd w:val="clear" w:color="auto" w:fill="F4EFE7"/>
          </w:tcPr>
          <w:p>
            <w:pPr>
              <w:spacing w:after="0"/>
              <w:rPr>
                <w:sz w:val="10"/>
                <w:szCs w:val="10"/>
                <w:color w:val="auto"/>
              </w:rPr>
            </w:pPr>
          </w:p>
        </w:tc>
        <w:tc>
          <w:tcPr>
            <w:tcW w:w="780" w:type="dxa"/>
            <w:vAlign w:val="bottom"/>
            <w:shd w:val="clear" w:color="auto" w:fill="F4EFE7"/>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F4EFE7"/>
          </w:tcPr>
          <w:p>
            <w:pPr>
              <w:spacing w:after="0"/>
              <w:rPr>
                <w:sz w:val="11"/>
                <w:szCs w:val="11"/>
                <w:color w:val="auto"/>
              </w:rPr>
            </w:pPr>
          </w:p>
        </w:tc>
        <w:tc>
          <w:tcPr>
            <w:tcW w:w="900" w:type="dxa"/>
            <w:vAlign w:val="bottom"/>
            <w:shd w:val="clear" w:color="auto" w:fill="F4EFE7"/>
          </w:tcPr>
          <w:p>
            <w:pPr>
              <w:spacing w:after="0"/>
              <w:rPr>
                <w:sz w:val="11"/>
                <w:szCs w:val="11"/>
                <w:color w:val="auto"/>
              </w:rPr>
            </w:pPr>
          </w:p>
        </w:tc>
        <w:tc>
          <w:tcPr>
            <w:tcW w:w="280" w:type="dxa"/>
            <w:vAlign w:val="bottom"/>
            <w:shd w:val="clear" w:color="auto" w:fill="F4EFE7"/>
          </w:tcPr>
          <w:p>
            <w:pPr>
              <w:spacing w:after="0"/>
              <w:rPr>
                <w:sz w:val="11"/>
                <w:szCs w:val="11"/>
                <w:color w:val="auto"/>
              </w:rPr>
            </w:pPr>
          </w:p>
        </w:tc>
        <w:tc>
          <w:tcPr>
            <w:tcW w:w="740" w:type="dxa"/>
            <w:vAlign w:val="bottom"/>
            <w:shd w:val="clear" w:color="auto" w:fill="F4EFE7"/>
          </w:tcPr>
          <w:p>
            <w:pPr>
              <w:spacing w:after="0"/>
              <w:rPr>
                <w:sz w:val="11"/>
                <w:szCs w:val="11"/>
                <w:color w:val="auto"/>
              </w:rPr>
            </w:pPr>
          </w:p>
        </w:tc>
        <w:tc>
          <w:tcPr>
            <w:tcW w:w="220" w:type="dxa"/>
            <w:vAlign w:val="bottom"/>
            <w:shd w:val="clear" w:color="auto" w:fill="F4EFE7"/>
          </w:tcPr>
          <w:p>
            <w:pPr>
              <w:spacing w:after="0"/>
              <w:rPr>
                <w:sz w:val="11"/>
                <w:szCs w:val="11"/>
                <w:color w:val="auto"/>
              </w:rPr>
            </w:pPr>
          </w:p>
        </w:tc>
        <w:tc>
          <w:tcPr>
            <w:tcW w:w="800" w:type="dxa"/>
            <w:vAlign w:val="bottom"/>
            <w:shd w:val="clear" w:color="auto" w:fill="F4EFE7"/>
          </w:tcPr>
          <w:p>
            <w:pPr>
              <w:spacing w:after="0"/>
              <w:rPr>
                <w:sz w:val="11"/>
                <w:szCs w:val="11"/>
                <w:color w:val="auto"/>
              </w:rPr>
            </w:pPr>
          </w:p>
        </w:tc>
        <w:tc>
          <w:tcPr>
            <w:tcW w:w="220" w:type="dxa"/>
            <w:vAlign w:val="bottom"/>
            <w:shd w:val="clear" w:color="auto" w:fill="F4EFE7"/>
          </w:tcPr>
          <w:p>
            <w:pPr>
              <w:spacing w:after="0"/>
              <w:rPr>
                <w:sz w:val="11"/>
                <w:szCs w:val="11"/>
                <w:color w:val="auto"/>
              </w:rPr>
            </w:pPr>
          </w:p>
        </w:tc>
        <w:tc>
          <w:tcPr>
            <w:tcW w:w="860" w:type="dxa"/>
            <w:vAlign w:val="bottom"/>
            <w:shd w:val="clear" w:color="auto" w:fill="F4EFE7"/>
          </w:tcPr>
          <w:p>
            <w:pPr>
              <w:spacing w:after="0"/>
              <w:rPr>
                <w:sz w:val="11"/>
                <w:szCs w:val="11"/>
                <w:color w:val="auto"/>
              </w:rPr>
            </w:pPr>
          </w:p>
        </w:tc>
        <w:tc>
          <w:tcPr>
            <w:tcW w:w="220" w:type="dxa"/>
            <w:vAlign w:val="bottom"/>
            <w:shd w:val="clear" w:color="auto" w:fill="F4EFE7"/>
          </w:tcPr>
          <w:p>
            <w:pPr>
              <w:spacing w:after="0"/>
              <w:rPr>
                <w:sz w:val="11"/>
                <w:szCs w:val="11"/>
                <w:color w:val="auto"/>
              </w:rPr>
            </w:pPr>
          </w:p>
        </w:tc>
        <w:tc>
          <w:tcPr>
            <w:tcW w:w="620" w:type="dxa"/>
            <w:vAlign w:val="bottom"/>
            <w:shd w:val="clear" w:color="auto" w:fill="F4EFE7"/>
          </w:tcPr>
          <w:p>
            <w:pPr>
              <w:jc w:val="right"/>
              <w:ind w:right="66"/>
              <w:spacing w:after="0"/>
              <w:rPr>
                <w:sz w:val="20"/>
                <w:szCs w:val="20"/>
                <w:color w:val="auto"/>
              </w:rPr>
            </w:pPr>
            <w:r>
              <w:rPr>
                <w:rFonts w:ascii="Arial" w:cs="Arial" w:eastAsia="Arial" w:hAnsi="Arial"/>
                <w:sz w:val="11"/>
                <w:szCs w:val="11"/>
                <w:b w:val="1"/>
                <w:bCs w:val="1"/>
                <w:color w:val="8F5A39"/>
              </w:rPr>
              <w:t>actuarial</w:t>
            </w:r>
          </w:p>
        </w:tc>
        <w:tc>
          <w:tcPr>
            <w:tcW w:w="180" w:type="dxa"/>
            <w:vAlign w:val="bottom"/>
            <w:shd w:val="clear" w:color="auto" w:fill="F4EFE7"/>
          </w:tcPr>
          <w:p>
            <w:pPr>
              <w:spacing w:after="0"/>
              <w:rPr>
                <w:sz w:val="11"/>
                <w:szCs w:val="11"/>
                <w:color w:val="auto"/>
              </w:rPr>
            </w:pPr>
          </w:p>
        </w:tc>
        <w:tc>
          <w:tcPr>
            <w:tcW w:w="820" w:type="dxa"/>
            <w:vAlign w:val="bottom"/>
            <w:shd w:val="clear" w:color="auto" w:fill="F4EFE7"/>
          </w:tcPr>
          <w:p>
            <w:pPr>
              <w:jc w:val="center"/>
              <w:ind w:left="6"/>
              <w:spacing w:after="0"/>
              <w:rPr>
                <w:sz w:val="20"/>
                <w:szCs w:val="20"/>
                <w:color w:val="auto"/>
              </w:rPr>
            </w:pPr>
            <w:r>
              <w:rPr>
                <w:rFonts w:ascii="Arial" w:cs="Arial" w:eastAsia="Arial" w:hAnsi="Arial"/>
                <w:sz w:val="11"/>
                <w:szCs w:val="11"/>
                <w:b w:val="1"/>
                <w:bCs w:val="1"/>
                <w:color w:val="8F5A39"/>
                <w:w w:val="97"/>
              </w:rPr>
              <w:t>fair value of</w:t>
            </w:r>
          </w:p>
        </w:tc>
        <w:tc>
          <w:tcPr>
            <w:tcW w:w="220" w:type="dxa"/>
            <w:vAlign w:val="bottom"/>
            <w:shd w:val="clear" w:color="auto" w:fill="F4EFE7"/>
          </w:tcPr>
          <w:p>
            <w:pPr>
              <w:spacing w:after="0"/>
              <w:rPr>
                <w:sz w:val="11"/>
                <w:szCs w:val="11"/>
                <w:color w:val="auto"/>
              </w:rPr>
            </w:pPr>
          </w:p>
        </w:tc>
        <w:tc>
          <w:tcPr>
            <w:tcW w:w="80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unvested</w:t>
            </w:r>
          </w:p>
        </w:tc>
        <w:tc>
          <w:tcPr>
            <w:tcW w:w="200" w:type="dxa"/>
            <w:vAlign w:val="bottom"/>
            <w:shd w:val="clear" w:color="auto" w:fill="F4EFE7"/>
          </w:tcPr>
          <w:p>
            <w:pPr>
              <w:spacing w:after="0"/>
              <w:rPr>
                <w:sz w:val="11"/>
                <w:szCs w:val="11"/>
                <w:color w:val="auto"/>
              </w:rPr>
            </w:pPr>
          </w:p>
        </w:tc>
        <w:tc>
          <w:tcPr>
            <w:tcW w:w="76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awards</w:t>
            </w:r>
          </w:p>
        </w:tc>
        <w:tc>
          <w:tcPr>
            <w:tcW w:w="200" w:type="dxa"/>
            <w:vAlign w:val="bottom"/>
            <w:shd w:val="clear" w:color="auto" w:fill="F4EFE7"/>
          </w:tcPr>
          <w:p>
            <w:pPr>
              <w:spacing w:after="0"/>
              <w:rPr>
                <w:sz w:val="11"/>
                <w:szCs w:val="11"/>
                <w:color w:val="auto"/>
              </w:rPr>
            </w:pPr>
          </w:p>
        </w:tc>
        <w:tc>
          <w:tcPr>
            <w:tcW w:w="70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Plus:</w:t>
            </w:r>
          </w:p>
        </w:tc>
        <w:tc>
          <w:tcPr>
            <w:tcW w:w="180" w:type="dxa"/>
            <w:vAlign w:val="bottom"/>
            <w:shd w:val="clear" w:color="auto" w:fill="F4EFE7"/>
          </w:tcPr>
          <w:p>
            <w:pPr>
              <w:spacing w:after="0"/>
              <w:rPr>
                <w:sz w:val="11"/>
                <w:szCs w:val="11"/>
                <w:color w:val="auto"/>
              </w:rPr>
            </w:pPr>
          </w:p>
        </w:tc>
        <w:tc>
          <w:tcPr>
            <w:tcW w:w="820" w:type="dxa"/>
            <w:vAlign w:val="bottom"/>
            <w:shd w:val="clear" w:color="auto" w:fill="F4EFE7"/>
          </w:tcPr>
          <w:p>
            <w:pPr>
              <w:spacing w:after="0"/>
              <w:rPr>
                <w:sz w:val="11"/>
                <w:szCs w:val="11"/>
                <w:color w:val="auto"/>
              </w:rPr>
            </w:pPr>
          </w:p>
        </w:tc>
        <w:tc>
          <w:tcPr>
            <w:tcW w:w="240" w:type="dxa"/>
            <w:vAlign w:val="bottom"/>
            <w:shd w:val="clear" w:color="auto" w:fill="F4EFE7"/>
          </w:tcPr>
          <w:p>
            <w:pPr>
              <w:spacing w:after="0"/>
              <w:rPr>
                <w:sz w:val="11"/>
                <w:szCs w:val="11"/>
                <w:color w:val="auto"/>
              </w:rPr>
            </w:pPr>
          </w:p>
        </w:tc>
        <w:tc>
          <w:tcPr>
            <w:tcW w:w="780" w:type="dxa"/>
            <w:vAlign w:val="bottom"/>
            <w:shd w:val="clear" w:color="auto" w:fill="F4EFE7"/>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F4EFE7"/>
          </w:tcPr>
          <w:p>
            <w:pPr>
              <w:spacing w:after="0"/>
              <w:rPr>
                <w:sz w:val="10"/>
                <w:szCs w:val="10"/>
                <w:color w:val="auto"/>
              </w:rPr>
            </w:pPr>
          </w:p>
        </w:tc>
        <w:tc>
          <w:tcPr>
            <w:tcW w:w="900" w:type="dxa"/>
            <w:vAlign w:val="bottom"/>
            <w:shd w:val="clear" w:color="auto" w:fill="F4EFE7"/>
          </w:tcPr>
          <w:p>
            <w:pPr>
              <w:spacing w:after="0"/>
              <w:rPr>
                <w:sz w:val="10"/>
                <w:szCs w:val="10"/>
                <w:color w:val="auto"/>
              </w:rPr>
            </w:pPr>
          </w:p>
        </w:tc>
        <w:tc>
          <w:tcPr>
            <w:tcW w:w="280" w:type="dxa"/>
            <w:vAlign w:val="bottom"/>
            <w:shd w:val="clear" w:color="auto" w:fill="F4EFE7"/>
          </w:tcPr>
          <w:p>
            <w:pPr>
              <w:spacing w:after="0"/>
              <w:rPr>
                <w:sz w:val="10"/>
                <w:szCs w:val="10"/>
                <w:color w:val="auto"/>
              </w:rPr>
            </w:pPr>
          </w:p>
        </w:tc>
        <w:tc>
          <w:tcPr>
            <w:tcW w:w="740" w:type="dxa"/>
            <w:vAlign w:val="bottom"/>
            <w:shd w:val="clear" w:color="auto" w:fill="F4EFE7"/>
          </w:tcPr>
          <w:p>
            <w:pPr>
              <w:spacing w:after="0"/>
              <w:rPr>
                <w:sz w:val="10"/>
                <w:szCs w:val="10"/>
                <w:color w:val="auto"/>
              </w:rPr>
            </w:pPr>
          </w:p>
        </w:tc>
        <w:tc>
          <w:tcPr>
            <w:tcW w:w="220" w:type="dxa"/>
            <w:vAlign w:val="bottom"/>
            <w:shd w:val="clear" w:color="auto" w:fill="F4EFE7"/>
          </w:tcPr>
          <w:p>
            <w:pPr>
              <w:spacing w:after="0"/>
              <w:rPr>
                <w:sz w:val="10"/>
                <w:szCs w:val="10"/>
                <w:color w:val="auto"/>
              </w:rPr>
            </w:pPr>
          </w:p>
        </w:tc>
        <w:tc>
          <w:tcPr>
            <w:tcW w:w="800" w:type="dxa"/>
            <w:vAlign w:val="bottom"/>
            <w:shd w:val="clear" w:color="auto" w:fill="F4EFE7"/>
          </w:tcPr>
          <w:p>
            <w:pPr>
              <w:jc w:val="right"/>
              <w:ind w:right="6"/>
              <w:spacing w:after="0" w:line="122" w:lineRule="exact"/>
              <w:rPr>
                <w:sz w:val="20"/>
                <w:szCs w:val="20"/>
                <w:color w:val="auto"/>
              </w:rPr>
            </w:pPr>
            <w:r>
              <w:rPr>
                <w:rFonts w:ascii="Arial" w:cs="Arial" w:eastAsia="Arial" w:hAnsi="Arial"/>
                <w:sz w:val="11"/>
                <w:szCs w:val="11"/>
                <w:b w:val="1"/>
                <w:bCs w:val="1"/>
                <w:color w:val="8F5A39"/>
              </w:rPr>
              <w:t>Less: value</w:t>
            </w:r>
          </w:p>
        </w:tc>
        <w:tc>
          <w:tcPr>
            <w:tcW w:w="220" w:type="dxa"/>
            <w:vAlign w:val="bottom"/>
            <w:shd w:val="clear" w:color="auto" w:fill="F4EFE7"/>
          </w:tcPr>
          <w:p>
            <w:pPr>
              <w:spacing w:after="0"/>
              <w:rPr>
                <w:sz w:val="10"/>
                <w:szCs w:val="10"/>
                <w:color w:val="auto"/>
              </w:rPr>
            </w:pPr>
          </w:p>
        </w:tc>
        <w:tc>
          <w:tcPr>
            <w:tcW w:w="860" w:type="dxa"/>
            <w:vAlign w:val="bottom"/>
            <w:shd w:val="clear" w:color="auto" w:fill="F4EFE7"/>
          </w:tcPr>
          <w:p>
            <w:pPr>
              <w:jc w:val="right"/>
              <w:ind w:right="66"/>
              <w:spacing w:after="0" w:line="122" w:lineRule="exact"/>
              <w:rPr>
                <w:sz w:val="20"/>
                <w:szCs w:val="20"/>
                <w:color w:val="auto"/>
              </w:rPr>
            </w:pPr>
            <w:r>
              <w:rPr>
                <w:rFonts w:ascii="Arial" w:cs="Arial" w:eastAsia="Arial" w:hAnsi="Arial"/>
                <w:sz w:val="11"/>
                <w:szCs w:val="11"/>
                <w:b w:val="1"/>
                <w:bCs w:val="1"/>
                <w:color w:val="8F5A39"/>
              </w:rPr>
              <w:t>Less: value</w:t>
            </w:r>
          </w:p>
        </w:tc>
        <w:tc>
          <w:tcPr>
            <w:tcW w:w="220" w:type="dxa"/>
            <w:vAlign w:val="bottom"/>
            <w:shd w:val="clear" w:color="auto" w:fill="F4EFE7"/>
          </w:tcPr>
          <w:p>
            <w:pPr>
              <w:spacing w:after="0"/>
              <w:rPr>
                <w:sz w:val="10"/>
                <w:szCs w:val="10"/>
                <w:color w:val="auto"/>
              </w:rPr>
            </w:pPr>
          </w:p>
        </w:tc>
        <w:tc>
          <w:tcPr>
            <w:tcW w:w="620" w:type="dxa"/>
            <w:vAlign w:val="bottom"/>
            <w:shd w:val="clear" w:color="auto" w:fill="F4EFE7"/>
          </w:tcPr>
          <w:p>
            <w:pPr>
              <w:jc w:val="right"/>
              <w:ind w:right="66"/>
              <w:spacing w:after="0" w:line="122" w:lineRule="exact"/>
              <w:rPr>
                <w:sz w:val="20"/>
                <w:szCs w:val="20"/>
                <w:color w:val="auto"/>
              </w:rPr>
            </w:pPr>
            <w:r>
              <w:rPr>
                <w:rFonts w:ascii="Arial" w:cs="Arial" w:eastAsia="Arial" w:hAnsi="Arial"/>
                <w:sz w:val="11"/>
                <w:szCs w:val="11"/>
                <w:b w:val="1"/>
                <w:bCs w:val="1"/>
                <w:color w:val="8F5A39"/>
              </w:rPr>
              <w:t>present</w:t>
            </w:r>
          </w:p>
        </w:tc>
        <w:tc>
          <w:tcPr>
            <w:tcW w:w="180" w:type="dxa"/>
            <w:vAlign w:val="bottom"/>
            <w:shd w:val="clear" w:color="auto" w:fill="F4EFE7"/>
          </w:tcPr>
          <w:p>
            <w:pPr>
              <w:spacing w:after="0"/>
              <w:rPr>
                <w:sz w:val="10"/>
                <w:szCs w:val="10"/>
                <w:color w:val="auto"/>
              </w:rPr>
            </w:pPr>
          </w:p>
        </w:tc>
        <w:tc>
          <w:tcPr>
            <w:tcW w:w="820" w:type="dxa"/>
            <w:vAlign w:val="bottom"/>
            <w:shd w:val="clear" w:color="auto" w:fill="F4EFE7"/>
          </w:tcPr>
          <w:p>
            <w:pPr>
              <w:jc w:val="right"/>
              <w:ind w:right="26"/>
              <w:spacing w:after="0" w:line="122" w:lineRule="exact"/>
              <w:rPr>
                <w:sz w:val="20"/>
                <w:szCs w:val="20"/>
                <w:color w:val="auto"/>
              </w:rPr>
            </w:pPr>
            <w:r>
              <w:rPr>
                <w:rFonts w:ascii="Arial" w:cs="Arial" w:eastAsia="Arial" w:hAnsi="Arial"/>
                <w:sz w:val="11"/>
                <w:szCs w:val="11"/>
                <w:b w:val="1"/>
                <w:bCs w:val="1"/>
                <w:color w:val="8F5A39"/>
              </w:rPr>
              <w:t>unvested</w:t>
            </w:r>
          </w:p>
        </w:tc>
        <w:tc>
          <w:tcPr>
            <w:tcW w:w="220" w:type="dxa"/>
            <w:vAlign w:val="bottom"/>
            <w:shd w:val="clear" w:color="auto" w:fill="F4EFE7"/>
          </w:tcPr>
          <w:p>
            <w:pPr>
              <w:spacing w:after="0"/>
              <w:rPr>
                <w:sz w:val="10"/>
                <w:szCs w:val="10"/>
                <w:color w:val="auto"/>
              </w:rPr>
            </w:pPr>
          </w:p>
        </w:tc>
        <w:tc>
          <w:tcPr>
            <w:tcW w:w="800" w:type="dxa"/>
            <w:vAlign w:val="bottom"/>
            <w:shd w:val="clear" w:color="auto" w:fill="F4EFE7"/>
          </w:tcPr>
          <w:p>
            <w:pPr>
              <w:jc w:val="right"/>
              <w:ind w:right="6"/>
              <w:spacing w:after="0" w:line="122" w:lineRule="exact"/>
              <w:rPr>
                <w:sz w:val="20"/>
                <w:szCs w:val="20"/>
                <w:color w:val="auto"/>
              </w:rPr>
            </w:pPr>
            <w:r>
              <w:rPr>
                <w:rFonts w:ascii="Arial" w:cs="Arial" w:eastAsia="Arial" w:hAnsi="Arial"/>
                <w:sz w:val="11"/>
                <w:szCs w:val="11"/>
                <w:b w:val="1"/>
                <w:bCs w:val="1"/>
                <w:color w:val="8F5A39"/>
              </w:rPr>
              <w:t>equity</w:t>
            </w:r>
          </w:p>
        </w:tc>
        <w:tc>
          <w:tcPr>
            <w:tcW w:w="200" w:type="dxa"/>
            <w:vAlign w:val="bottom"/>
            <w:shd w:val="clear" w:color="auto" w:fill="F4EFE7"/>
          </w:tcPr>
          <w:p>
            <w:pPr>
              <w:spacing w:after="0"/>
              <w:rPr>
                <w:sz w:val="10"/>
                <w:szCs w:val="10"/>
                <w:color w:val="auto"/>
              </w:rPr>
            </w:pPr>
          </w:p>
        </w:tc>
        <w:tc>
          <w:tcPr>
            <w:tcW w:w="760" w:type="dxa"/>
            <w:vAlign w:val="bottom"/>
            <w:shd w:val="clear" w:color="auto" w:fill="F4EFE7"/>
          </w:tcPr>
          <w:p>
            <w:pPr>
              <w:jc w:val="right"/>
              <w:ind w:right="6"/>
              <w:spacing w:after="0" w:line="122" w:lineRule="exact"/>
              <w:rPr>
                <w:sz w:val="20"/>
                <w:szCs w:val="20"/>
                <w:color w:val="auto"/>
              </w:rPr>
            </w:pPr>
            <w:r>
              <w:rPr>
                <w:rFonts w:ascii="Arial" w:cs="Arial" w:eastAsia="Arial" w:hAnsi="Arial"/>
                <w:sz w:val="11"/>
                <w:szCs w:val="11"/>
                <w:b w:val="1"/>
                <w:bCs w:val="1"/>
                <w:color w:val="8F5A39"/>
              </w:rPr>
              <w:t>granted in</w:t>
            </w:r>
          </w:p>
        </w:tc>
        <w:tc>
          <w:tcPr>
            <w:tcW w:w="200" w:type="dxa"/>
            <w:vAlign w:val="bottom"/>
            <w:shd w:val="clear" w:color="auto" w:fill="F4EFE7"/>
          </w:tcPr>
          <w:p>
            <w:pPr>
              <w:spacing w:after="0"/>
              <w:rPr>
                <w:sz w:val="10"/>
                <w:szCs w:val="10"/>
                <w:color w:val="auto"/>
              </w:rPr>
            </w:pPr>
          </w:p>
        </w:tc>
        <w:tc>
          <w:tcPr>
            <w:tcW w:w="700" w:type="dxa"/>
            <w:vAlign w:val="bottom"/>
            <w:shd w:val="clear" w:color="auto" w:fill="F4EFE7"/>
          </w:tcPr>
          <w:p>
            <w:pPr>
              <w:jc w:val="right"/>
              <w:ind w:right="6"/>
              <w:spacing w:after="0" w:line="122" w:lineRule="exact"/>
              <w:rPr>
                <w:sz w:val="20"/>
                <w:szCs w:val="20"/>
                <w:color w:val="auto"/>
              </w:rPr>
            </w:pPr>
            <w:r>
              <w:rPr>
                <w:rFonts w:ascii="Arial" w:cs="Arial" w:eastAsia="Arial" w:hAnsi="Arial"/>
                <w:sz w:val="11"/>
                <w:szCs w:val="11"/>
                <w:b w:val="1"/>
                <w:bCs w:val="1"/>
                <w:color w:val="8F5A39"/>
              </w:rPr>
              <w:t>total fair</w:t>
            </w:r>
          </w:p>
        </w:tc>
        <w:tc>
          <w:tcPr>
            <w:tcW w:w="180" w:type="dxa"/>
            <w:vAlign w:val="bottom"/>
            <w:shd w:val="clear" w:color="auto" w:fill="F4EFE7"/>
          </w:tcPr>
          <w:p>
            <w:pPr>
              <w:spacing w:after="0"/>
              <w:rPr>
                <w:sz w:val="10"/>
                <w:szCs w:val="10"/>
                <w:color w:val="auto"/>
              </w:rPr>
            </w:pPr>
          </w:p>
        </w:tc>
        <w:tc>
          <w:tcPr>
            <w:tcW w:w="820" w:type="dxa"/>
            <w:vAlign w:val="bottom"/>
            <w:shd w:val="clear" w:color="auto" w:fill="F4EFE7"/>
          </w:tcPr>
          <w:p>
            <w:pPr>
              <w:spacing w:after="0"/>
              <w:rPr>
                <w:sz w:val="10"/>
                <w:szCs w:val="10"/>
                <w:color w:val="auto"/>
              </w:rPr>
            </w:pPr>
          </w:p>
        </w:tc>
        <w:tc>
          <w:tcPr>
            <w:tcW w:w="240" w:type="dxa"/>
            <w:vAlign w:val="bottom"/>
            <w:shd w:val="clear" w:color="auto" w:fill="F4EFE7"/>
          </w:tcPr>
          <w:p>
            <w:pPr>
              <w:spacing w:after="0"/>
              <w:rPr>
                <w:sz w:val="10"/>
                <w:szCs w:val="10"/>
                <w:color w:val="auto"/>
              </w:rPr>
            </w:pPr>
          </w:p>
        </w:tc>
        <w:tc>
          <w:tcPr>
            <w:tcW w:w="780" w:type="dxa"/>
            <w:vAlign w:val="bottom"/>
            <w:shd w:val="clear" w:color="auto" w:fill="F4EFE7"/>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F4EFE7"/>
          </w:tcPr>
          <w:p>
            <w:pPr>
              <w:spacing w:after="0"/>
              <w:rPr>
                <w:sz w:val="11"/>
                <w:szCs w:val="11"/>
                <w:color w:val="auto"/>
              </w:rPr>
            </w:pPr>
          </w:p>
        </w:tc>
        <w:tc>
          <w:tcPr>
            <w:tcW w:w="900" w:type="dxa"/>
            <w:vAlign w:val="bottom"/>
            <w:shd w:val="clear" w:color="auto" w:fill="F4EFE7"/>
          </w:tcPr>
          <w:p>
            <w:pPr>
              <w:spacing w:after="0"/>
              <w:rPr>
                <w:sz w:val="11"/>
                <w:szCs w:val="11"/>
                <w:color w:val="auto"/>
              </w:rPr>
            </w:pPr>
          </w:p>
        </w:tc>
        <w:tc>
          <w:tcPr>
            <w:tcW w:w="280" w:type="dxa"/>
            <w:vAlign w:val="bottom"/>
            <w:shd w:val="clear" w:color="auto" w:fill="F4EFE7"/>
          </w:tcPr>
          <w:p>
            <w:pPr>
              <w:spacing w:after="0"/>
              <w:rPr>
                <w:sz w:val="11"/>
                <w:szCs w:val="11"/>
                <w:color w:val="auto"/>
              </w:rPr>
            </w:pPr>
          </w:p>
        </w:tc>
        <w:tc>
          <w:tcPr>
            <w:tcW w:w="740" w:type="dxa"/>
            <w:vAlign w:val="bottom"/>
            <w:shd w:val="clear" w:color="auto" w:fill="F4EFE7"/>
          </w:tcPr>
          <w:p>
            <w:pPr>
              <w:spacing w:after="0"/>
              <w:rPr>
                <w:sz w:val="11"/>
                <w:szCs w:val="11"/>
                <w:color w:val="auto"/>
              </w:rPr>
            </w:pPr>
          </w:p>
        </w:tc>
        <w:tc>
          <w:tcPr>
            <w:tcW w:w="220" w:type="dxa"/>
            <w:vAlign w:val="bottom"/>
            <w:shd w:val="clear" w:color="auto" w:fill="F4EFE7"/>
          </w:tcPr>
          <w:p>
            <w:pPr>
              <w:spacing w:after="0"/>
              <w:rPr>
                <w:sz w:val="11"/>
                <w:szCs w:val="11"/>
                <w:color w:val="auto"/>
              </w:rPr>
            </w:pPr>
          </w:p>
        </w:tc>
        <w:tc>
          <w:tcPr>
            <w:tcW w:w="80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of stock</w:t>
            </w:r>
          </w:p>
        </w:tc>
        <w:tc>
          <w:tcPr>
            <w:tcW w:w="220" w:type="dxa"/>
            <w:vAlign w:val="bottom"/>
            <w:shd w:val="clear" w:color="auto" w:fill="F4EFE7"/>
          </w:tcPr>
          <w:p>
            <w:pPr>
              <w:spacing w:after="0"/>
              <w:rPr>
                <w:sz w:val="11"/>
                <w:szCs w:val="11"/>
                <w:color w:val="auto"/>
              </w:rPr>
            </w:pPr>
          </w:p>
        </w:tc>
        <w:tc>
          <w:tcPr>
            <w:tcW w:w="860" w:type="dxa"/>
            <w:vAlign w:val="bottom"/>
            <w:shd w:val="clear" w:color="auto" w:fill="F4EFE7"/>
          </w:tcPr>
          <w:p>
            <w:pPr>
              <w:jc w:val="right"/>
              <w:ind w:right="66"/>
              <w:spacing w:after="0"/>
              <w:rPr>
                <w:sz w:val="20"/>
                <w:szCs w:val="20"/>
                <w:color w:val="auto"/>
              </w:rPr>
            </w:pPr>
            <w:r>
              <w:rPr>
                <w:rFonts w:ascii="Arial" w:cs="Arial" w:eastAsia="Arial" w:hAnsi="Arial"/>
                <w:sz w:val="11"/>
                <w:szCs w:val="11"/>
                <w:b w:val="1"/>
                <w:bCs w:val="1"/>
                <w:color w:val="8F5A39"/>
              </w:rPr>
              <w:t>of option</w:t>
            </w:r>
          </w:p>
        </w:tc>
        <w:tc>
          <w:tcPr>
            <w:tcW w:w="220" w:type="dxa"/>
            <w:vAlign w:val="bottom"/>
            <w:shd w:val="clear" w:color="auto" w:fill="F4EFE7"/>
          </w:tcPr>
          <w:p>
            <w:pPr>
              <w:spacing w:after="0"/>
              <w:rPr>
                <w:sz w:val="11"/>
                <w:szCs w:val="11"/>
                <w:color w:val="auto"/>
              </w:rPr>
            </w:pPr>
          </w:p>
        </w:tc>
        <w:tc>
          <w:tcPr>
            <w:tcW w:w="620" w:type="dxa"/>
            <w:vAlign w:val="bottom"/>
            <w:shd w:val="clear" w:color="auto" w:fill="F4EFE7"/>
          </w:tcPr>
          <w:p>
            <w:pPr>
              <w:jc w:val="right"/>
              <w:ind w:right="66"/>
              <w:spacing w:after="0"/>
              <w:rPr>
                <w:sz w:val="20"/>
                <w:szCs w:val="20"/>
                <w:color w:val="auto"/>
              </w:rPr>
            </w:pPr>
            <w:r>
              <w:rPr>
                <w:rFonts w:ascii="Arial" w:cs="Arial" w:eastAsia="Arial" w:hAnsi="Arial"/>
                <w:sz w:val="11"/>
                <w:szCs w:val="11"/>
                <w:b w:val="1"/>
                <w:bCs w:val="1"/>
                <w:color w:val="8F5A39"/>
              </w:rPr>
              <w:t>value of</w:t>
            </w:r>
          </w:p>
        </w:tc>
        <w:tc>
          <w:tcPr>
            <w:tcW w:w="180" w:type="dxa"/>
            <w:vAlign w:val="bottom"/>
            <w:shd w:val="clear" w:color="auto" w:fill="F4EFE7"/>
          </w:tcPr>
          <w:p>
            <w:pPr>
              <w:spacing w:after="0"/>
              <w:rPr>
                <w:sz w:val="11"/>
                <w:szCs w:val="11"/>
                <w:color w:val="auto"/>
              </w:rPr>
            </w:pPr>
          </w:p>
        </w:tc>
        <w:tc>
          <w:tcPr>
            <w:tcW w:w="820" w:type="dxa"/>
            <w:vAlign w:val="bottom"/>
            <w:shd w:val="clear" w:color="auto" w:fill="F4EFE7"/>
          </w:tcPr>
          <w:p>
            <w:pPr>
              <w:jc w:val="right"/>
              <w:ind w:right="26"/>
              <w:spacing w:after="0"/>
              <w:rPr>
                <w:sz w:val="20"/>
                <w:szCs w:val="20"/>
                <w:color w:val="auto"/>
              </w:rPr>
            </w:pPr>
            <w:r>
              <w:rPr>
                <w:rFonts w:ascii="Arial" w:cs="Arial" w:eastAsia="Arial" w:hAnsi="Arial"/>
                <w:sz w:val="11"/>
                <w:szCs w:val="11"/>
                <w:b w:val="1"/>
                <w:bCs w:val="1"/>
                <w:color w:val="8F5A39"/>
                <w:w w:val="98"/>
              </w:rPr>
              <w:t>equity awards</w:t>
            </w:r>
          </w:p>
        </w:tc>
        <w:tc>
          <w:tcPr>
            <w:tcW w:w="220" w:type="dxa"/>
            <w:vAlign w:val="bottom"/>
            <w:shd w:val="clear" w:color="auto" w:fill="F4EFE7"/>
          </w:tcPr>
          <w:p>
            <w:pPr>
              <w:spacing w:after="0"/>
              <w:rPr>
                <w:sz w:val="11"/>
                <w:szCs w:val="11"/>
                <w:color w:val="auto"/>
              </w:rPr>
            </w:pPr>
          </w:p>
        </w:tc>
        <w:tc>
          <w:tcPr>
            <w:tcW w:w="80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awards</w:t>
            </w:r>
          </w:p>
        </w:tc>
        <w:tc>
          <w:tcPr>
            <w:tcW w:w="200" w:type="dxa"/>
            <w:vAlign w:val="bottom"/>
            <w:shd w:val="clear" w:color="auto" w:fill="F4EFE7"/>
          </w:tcPr>
          <w:p>
            <w:pPr>
              <w:spacing w:after="0"/>
              <w:rPr>
                <w:sz w:val="11"/>
                <w:szCs w:val="11"/>
                <w:color w:val="auto"/>
              </w:rPr>
            </w:pPr>
          </w:p>
        </w:tc>
        <w:tc>
          <w:tcPr>
            <w:tcW w:w="76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prior years</w:t>
            </w:r>
          </w:p>
        </w:tc>
        <w:tc>
          <w:tcPr>
            <w:tcW w:w="200" w:type="dxa"/>
            <w:vAlign w:val="bottom"/>
            <w:shd w:val="clear" w:color="auto" w:fill="F4EFE7"/>
          </w:tcPr>
          <w:p>
            <w:pPr>
              <w:spacing w:after="0"/>
              <w:rPr>
                <w:sz w:val="11"/>
                <w:szCs w:val="11"/>
                <w:color w:val="auto"/>
              </w:rPr>
            </w:pPr>
          </w:p>
        </w:tc>
        <w:tc>
          <w:tcPr>
            <w:tcW w:w="70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value of</w:t>
            </w:r>
          </w:p>
        </w:tc>
        <w:tc>
          <w:tcPr>
            <w:tcW w:w="180" w:type="dxa"/>
            <w:vAlign w:val="bottom"/>
            <w:shd w:val="clear" w:color="auto" w:fill="F4EFE7"/>
          </w:tcPr>
          <w:p>
            <w:pPr>
              <w:spacing w:after="0"/>
              <w:rPr>
                <w:sz w:val="11"/>
                <w:szCs w:val="11"/>
                <w:color w:val="auto"/>
              </w:rPr>
            </w:pPr>
          </w:p>
        </w:tc>
        <w:tc>
          <w:tcPr>
            <w:tcW w:w="820" w:type="dxa"/>
            <w:vAlign w:val="bottom"/>
            <w:shd w:val="clear" w:color="auto" w:fill="F4EFE7"/>
          </w:tcPr>
          <w:p>
            <w:pPr>
              <w:spacing w:after="0"/>
              <w:rPr>
                <w:sz w:val="11"/>
                <w:szCs w:val="11"/>
                <w:color w:val="auto"/>
              </w:rPr>
            </w:pPr>
          </w:p>
        </w:tc>
        <w:tc>
          <w:tcPr>
            <w:tcW w:w="240" w:type="dxa"/>
            <w:vAlign w:val="bottom"/>
            <w:shd w:val="clear" w:color="auto" w:fill="F4EFE7"/>
          </w:tcPr>
          <w:p>
            <w:pPr>
              <w:spacing w:after="0"/>
              <w:rPr>
                <w:sz w:val="11"/>
                <w:szCs w:val="11"/>
                <w:color w:val="auto"/>
              </w:rPr>
            </w:pPr>
          </w:p>
        </w:tc>
        <w:tc>
          <w:tcPr>
            <w:tcW w:w="780" w:type="dxa"/>
            <w:vAlign w:val="bottom"/>
            <w:shd w:val="clear" w:color="auto" w:fill="F4EFE7"/>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F4EFE7"/>
          </w:tcPr>
          <w:p>
            <w:pPr>
              <w:spacing w:after="0"/>
              <w:rPr>
                <w:sz w:val="10"/>
                <w:szCs w:val="10"/>
                <w:color w:val="auto"/>
              </w:rPr>
            </w:pPr>
          </w:p>
        </w:tc>
        <w:tc>
          <w:tcPr>
            <w:tcW w:w="900" w:type="dxa"/>
            <w:vAlign w:val="bottom"/>
            <w:shd w:val="clear" w:color="auto" w:fill="F4EFE7"/>
          </w:tcPr>
          <w:p>
            <w:pPr>
              <w:spacing w:after="0"/>
              <w:rPr>
                <w:sz w:val="10"/>
                <w:szCs w:val="10"/>
                <w:color w:val="auto"/>
              </w:rPr>
            </w:pPr>
          </w:p>
        </w:tc>
        <w:tc>
          <w:tcPr>
            <w:tcW w:w="280" w:type="dxa"/>
            <w:vAlign w:val="bottom"/>
            <w:shd w:val="clear" w:color="auto" w:fill="F4EFE7"/>
          </w:tcPr>
          <w:p>
            <w:pPr>
              <w:spacing w:after="0"/>
              <w:rPr>
                <w:sz w:val="10"/>
                <w:szCs w:val="10"/>
                <w:color w:val="auto"/>
              </w:rPr>
            </w:pPr>
          </w:p>
        </w:tc>
        <w:tc>
          <w:tcPr>
            <w:tcW w:w="740" w:type="dxa"/>
            <w:vAlign w:val="bottom"/>
            <w:shd w:val="clear" w:color="auto" w:fill="F4EFE7"/>
          </w:tcPr>
          <w:p>
            <w:pPr>
              <w:spacing w:after="0"/>
              <w:rPr>
                <w:sz w:val="10"/>
                <w:szCs w:val="10"/>
                <w:color w:val="auto"/>
              </w:rPr>
            </w:pPr>
          </w:p>
        </w:tc>
        <w:tc>
          <w:tcPr>
            <w:tcW w:w="220" w:type="dxa"/>
            <w:vAlign w:val="bottom"/>
            <w:shd w:val="clear" w:color="auto" w:fill="F4EFE7"/>
          </w:tcPr>
          <w:p>
            <w:pPr>
              <w:spacing w:after="0"/>
              <w:rPr>
                <w:sz w:val="10"/>
                <w:szCs w:val="10"/>
                <w:color w:val="auto"/>
              </w:rPr>
            </w:pPr>
          </w:p>
        </w:tc>
        <w:tc>
          <w:tcPr>
            <w:tcW w:w="800" w:type="dxa"/>
            <w:vAlign w:val="bottom"/>
            <w:shd w:val="clear" w:color="auto" w:fill="F4EFE7"/>
          </w:tcPr>
          <w:p>
            <w:pPr>
              <w:jc w:val="right"/>
              <w:ind w:right="6"/>
              <w:spacing w:after="0" w:line="122" w:lineRule="exact"/>
              <w:rPr>
                <w:sz w:val="20"/>
                <w:szCs w:val="20"/>
                <w:color w:val="auto"/>
              </w:rPr>
            </w:pPr>
            <w:r>
              <w:rPr>
                <w:rFonts w:ascii="Arial" w:cs="Arial" w:eastAsia="Arial" w:hAnsi="Arial"/>
                <w:sz w:val="11"/>
                <w:szCs w:val="11"/>
                <w:b w:val="1"/>
                <w:bCs w:val="1"/>
                <w:color w:val="8F5A39"/>
              </w:rPr>
              <w:t>awards at</w:t>
            </w:r>
          </w:p>
        </w:tc>
        <w:tc>
          <w:tcPr>
            <w:tcW w:w="220" w:type="dxa"/>
            <w:vAlign w:val="bottom"/>
            <w:shd w:val="clear" w:color="auto" w:fill="F4EFE7"/>
          </w:tcPr>
          <w:p>
            <w:pPr>
              <w:spacing w:after="0"/>
              <w:rPr>
                <w:sz w:val="10"/>
                <w:szCs w:val="10"/>
                <w:color w:val="auto"/>
              </w:rPr>
            </w:pPr>
          </w:p>
        </w:tc>
        <w:tc>
          <w:tcPr>
            <w:tcW w:w="860" w:type="dxa"/>
            <w:vAlign w:val="bottom"/>
            <w:shd w:val="clear" w:color="auto" w:fill="F4EFE7"/>
          </w:tcPr>
          <w:p>
            <w:pPr>
              <w:jc w:val="right"/>
              <w:ind w:right="66"/>
              <w:spacing w:after="0" w:line="122" w:lineRule="exact"/>
              <w:rPr>
                <w:sz w:val="20"/>
                <w:szCs w:val="20"/>
                <w:color w:val="auto"/>
              </w:rPr>
            </w:pPr>
            <w:r>
              <w:rPr>
                <w:rFonts w:ascii="Arial" w:cs="Arial" w:eastAsia="Arial" w:hAnsi="Arial"/>
                <w:sz w:val="11"/>
                <w:szCs w:val="11"/>
                <w:b w:val="1"/>
                <w:bCs w:val="1"/>
                <w:color w:val="8F5A39"/>
              </w:rPr>
              <w:t>awards at</w:t>
            </w:r>
          </w:p>
        </w:tc>
        <w:tc>
          <w:tcPr>
            <w:tcW w:w="220" w:type="dxa"/>
            <w:vAlign w:val="bottom"/>
            <w:shd w:val="clear" w:color="auto" w:fill="F4EFE7"/>
          </w:tcPr>
          <w:p>
            <w:pPr>
              <w:spacing w:after="0"/>
              <w:rPr>
                <w:sz w:val="10"/>
                <w:szCs w:val="10"/>
                <w:color w:val="auto"/>
              </w:rPr>
            </w:pPr>
          </w:p>
        </w:tc>
        <w:tc>
          <w:tcPr>
            <w:tcW w:w="620" w:type="dxa"/>
            <w:vAlign w:val="bottom"/>
            <w:shd w:val="clear" w:color="auto" w:fill="F4EFE7"/>
          </w:tcPr>
          <w:p>
            <w:pPr>
              <w:jc w:val="right"/>
              <w:ind w:right="66"/>
              <w:spacing w:after="0" w:line="122" w:lineRule="exact"/>
              <w:rPr>
                <w:sz w:val="20"/>
                <w:szCs w:val="20"/>
                <w:color w:val="auto"/>
              </w:rPr>
            </w:pPr>
            <w:r>
              <w:rPr>
                <w:rFonts w:ascii="Arial" w:cs="Arial" w:eastAsia="Arial" w:hAnsi="Arial"/>
                <w:sz w:val="11"/>
                <w:szCs w:val="11"/>
                <w:b w:val="1"/>
                <w:bCs w:val="1"/>
                <w:color w:val="8F5A39"/>
              </w:rPr>
              <w:t>defined</w:t>
            </w:r>
          </w:p>
        </w:tc>
        <w:tc>
          <w:tcPr>
            <w:tcW w:w="180" w:type="dxa"/>
            <w:vAlign w:val="bottom"/>
            <w:shd w:val="clear" w:color="auto" w:fill="F4EFE7"/>
          </w:tcPr>
          <w:p>
            <w:pPr>
              <w:spacing w:after="0"/>
              <w:rPr>
                <w:sz w:val="10"/>
                <w:szCs w:val="10"/>
                <w:color w:val="auto"/>
              </w:rPr>
            </w:pPr>
          </w:p>
        </w:tc>
        <w:tc>
          <w:tcPr>
            <w:tcW w:w="820" w:type="dxa"/>
            <w:vAlign w:val="bottom"/>
            <w:shd w:val="clear" w:color="auto" w:fill="F4EFE7"/>
          </w:tcPr>
          <w:p>
            <w:pPr>
              <w:jc w:val="right"/>
              <w:ind w:right="26"/>
              <w:spacing w:after="0" w:line="122" w:lineRule="exact"/>
              <w:rPr>
                <w:sz w:val="20"/>
                <w:szCs w:val="20"/>
                <w:color w:val="auto"/>
              </w:rPr>
            </w:pPr>
            <w:r>
              <w:rPr>
                <w:rFonts w:ascii="Arial" w:cs="Arial" w:eastAsia="Arial" w:hAnsi="Arial"/>
                <w:sz w:val="11"/>
                <w:szCs w:val="11"/>
                <w:b w:val="1"/>
                <w:bCs w:val="1"/>
                <w:color w:val="8F5A39"/>
              </w:rPr>
              <w:t>granted in</w:t>
            </w:r>
          </w:p>
        </w:tc>
        <w:tc>
          <w:tcPr>
            <w:tcW w:w="220" w:type="dxa"/>
            <w:vAlign w:val="bottom"/>
            <w:shd w:val="clear" w:color="auto" w:fill="F4EFE7"/>
          </w:tcPr>
          <w:p>
            <w:pPr>
              <w:spacing w:after="0"/>
              <w:rPr>
                <w:sz w:val="10"/>
                <w:szCs w:val="10"/>
                <w:color w:val="auto"/>
              </w:rPr>
            </w:pPr>
          </w:p>
        </w:tc>
        <w:tc>
          <w:tcPr>
            <w:tcW w:w="800" w:type="dxa"/>
            <w:vAlign w:val="bottom"/>
            <w:shd w:val="clear" w:color="auto" w:fill="F4EFE7"/>
          </w:tcPr>
          <w:p>
            <w:pPr>
              <w:jc w:val="right"/>
              <w:ind w:right="6"/>
              <w:spacing w:after="0" w:line="122" w:lineRule="exact"/>
              <w:rPr>
                <w:sz w:val="20"/>
                <w:szCs w:val="20"/>
                <w:color w:val="auto"/>
              </w:rPr>
            </w:pPr>
            <w:r>
              <w:rPr>
                <w:rFonts w:ascii="Arial" w:cs="Arial" w:eastAsia="Arial" w:hAnsi="Arial"/>
                <w:sz w:val="11"/>
                <w:szCs w:val="11"/>
                <w:b w:val="1"/>
                <w:bCs w:val="1"/>
                <w:color w:val="8F5A39"/>
              </w:rPr>
              <w:t>granted in</w:t>
            </w:r>
          </w:p>
        </w:tc>
        <w:tc>
          <w:tcPr>
            <w:tcW w:w="200" w:type="dxa"/>
            <w:vAlign w:val="bottom"/>
            <w:shd w:val="clear" w:color="auto" w:fill="F4EFE7"/>
          </w:tcPr>
          <w:p>
            <w:pPr>
              <w:spacing w:after="0"/>
              <w:rPr>
                <w:sz w:val="10"/>
                <w:szCs w:val="10"/>
                <w:color w:val="auto"/>
              </w:rPr>
            </w:pPr>
          </w:p>
        </w:tc>
        <w:tc>
          <w:tcPr>
            <w:tcW w:w="760" w:type="dxa"/>
            <w:vAlign w:val="bottom"/>
            <w:shd w:val="clear" w:color="auto" w:fill="F4EFE7"/>
          </w:tcPr>
          <w:p>
            <w:pPr>
              <w:jc w:val="right"/>
              <w:ind w:right="6"/>
              <w:spacing w:after="0" w:line="122" w:lineRule="exact"/>
              <w:rPr>
                <w:sz w:val="20"/>
                <w:szCs w:val="20"/>
                <w:color w:val="auto"/>
              </w:rPr>
            </w:pPr>
            <w:r>
              <w:rPr>
                <w:rFonts w:ascii="Arial" w:cs="Arial" w:eastAsia="Arial" w:hAnsi="Arial"/>
                <w:sz w:val="11"/>
                <w:szCs w:val="11"/>
                <w:b w:val="1"/>
                <w:bCs w:val="1"/>
                <w:color w:val="8F5A39"/>
              </w:rPr>
              <w:t>that vested</w:t>
            </w:r>
          </w:p>
        </w:tc>
        <w:tc>
          <w:tcPr>
            <w:tcW w:w="200" w:type="dxa"/>
            <w:vAlign w:val="bottom"/>
            <w:shd w:val="clear" w:color="auto" w:fill="F4EFE7"/>
          </w:tcPr>
          <w:p>
            <w:pPr>
              <w:spacing w:after="0"/>
              <w:rPr>
                <w:sz w:val="10"/>
                <w:szCs w:val="10"/>
                <w:color w:val="auto"/>
              </w:rPr>
            </w:pPr>
          </w:p>
        </w:tc>
        <w:tc>
          <w:tcPr>
            <w:tcW w:w="700" w:type="dxa"/>
            <w:vAlign w:val="bottom"/>
            <w:shd w:val="clear" w:color="auto" w:fill="F4EFE7"/>
          </w:tcPr>
          <w:p>
            <w:pPr>
              <w:jc w:val="right"/>
              <w:ind w:right="6"/>
              <w:spacing w:after="0" w:line="122" w:lineRule="exact"/>
              <w:rPr>
                <w:sz w:val="20"/>
                <w:szCs w:val="20"/>
                <w:color w:val="auto"/>
              </w:rPr>
            </w:pPr>
            <w:r>
              <w:rPr>
                <w:rFonts w:ascii="Arial" w:cs="Arial" w:eastAsia="Arial" w:hAnsi="Arial"/>
                <w:sz w:val="11"/>
                <w:szCs w:val="11"/>
                <w:b w:val="1"/>
                <w:bCs w:val="1"/>
                <w:color w:val="8F5A39"/>
              </w:rPr>
              <w:t>dividends</w:t>
            </w:r>
          </w:p>
        </w:tc>
        <w:tc>
          <w:tcPr>
            <w:tcW w:w="180" w:type="dxa"/>
            <w:vAlign w:val="bottom"/>
            <w:shd w:val="clear" w:color="auto" w:fill="F4EFE7"/>
          </w:tcPr>
          <w:p>
            <w:pPr>
              <w:spacing w:after="0"/>
              <w:rPr>
                <w:sz w:val="10"/>
                <w:szCs w:val="10"/>
                <w:color w:val="auto"/>
              </w:rPr>
            </w:pPr>
          </w:p>
        </w:tc>
        <w:tc>
          <w:tcPr>
            <w:tcW w:w="820" w:type="dxa"/>
            <w:vAlign w:val="bottom"/>
            <w:shd w:val="clear" w:color="auto" w:fill="F4EFE7"/>
          </w:tcPr>
          <w:p>
            <w:pPr>
              <w:spacing w:after="0"/>
              <w:rPr>
                <w:sz w:val="10"/>
                <w:szCs w:val="10"/>
                <w:color w:val="auto"/>
              </w:rPr>
            </w:pPr>
          </w:p>
        </w:tc>
        <w:tc>
          <w:tcPr>
            <w:tcW w:w="240" w:type="dxa"/>
            <w:vAlign w:val="bottom"/>
            <w:shd w:val="clear" w:color="auto" w:fill="F4EFE7"/>
          </w:tcPr>
          <w:p>
            <w:pPr>
              <w:spacing w:after="0"/>
              <w:rPr>
                <w:sz w:val="10"/>
                <w:szCs w:val="10"/>
                <w:color w:val="auto"/>
              </w:rPr>
            </w:pPr>
          </w:p>
        </w:tc>
        <w:tc>
          <w:tcPr>
            <w:tcW w:w="780" w:type="dxa"/>
            <w:vAlign w:val="bottom"/>
            <w:shd w:val="clear" w:color="auto" w:fill="F4EFE7"/>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0" w:type="dxa"/>
            <w:vAlign w:val="bottom"/>
            <w:shd w:val="clear" w:color="auto" w:fill="F4EFE7"/>
          </w:tcPr>
          <w:p>
            <w:pPr>
              <w:spacing w:after="0"/>
              <w:rPr>
                <w:sz w:val="11"/>
                <w:szCs w:val="11"/>
                <w:color w:val="auto"/>
              </w:rPr>
            </w:pPr>
          </w:p>
        </w:tc>
        <w:tc>
          <w:tcPr>
            <w:tcW w:w="900" w:type="dxa"/>
            <w:vAlign w:val="bottom"/>
            <w:shd w:val="clear" w:color="auto" w:fill="F4EFE7"/>
          </w:tcPr>
          <w:p>
            <w:pPr>
              <w:spacing w:after="0"/>
              <w:rPr>
                <w:sz w:val="11"/>
                <w:szCs w:val="11"/>
                <w:color w:val="auto"/>
              </w:rPr>
            </w:pPr>
          </w:p>
        </w:tc>
        <w:tc>
          <w:tcPr>
            <w:tcW w:w="280" w:type="dxa"/>
            <w:vAlign w:val="bottom"/>
            <w:shd w:val="clear" w:color="auto" w:fill="F4EFE7"/>
          </w:tcPr>
          <w:p>
            <w:pPr>
              <w:spacing w:after="0"/>
              <w:rPr>
                <w:sz w:val="11"/>
                <w:szCs w:val="11"/>
                <w:color w:val="auto"/>
              </w:rPr>
            </w:pPr>
          </w:p>
        </w:tc>
        <w:tc>
          <w:tcPr>
            <w:tcW w:w="740" w:type="dxa"/>
            <w:vAlign w:val="bottom"/>
            <w:shd w:val="clear" w:color="auto" w:fill="F4EFE7"/>
          </w:tcPr>
          <w:p>
            <w:pPr>
              <w:spacing w:after="0"/>
              <w:rPr>
                <w:sz w:val="11"/>
                <w:szCs w:val="11"/>
                <w:color w:val="auto"/>
              </w:rPr>
            </w:pPr>
          </w:p>
        </w:tc>
        <w:tc>
          <w:tcPr>
            <w:tcW w:w="220" w:type="dxa"/>
            <w:vAlign w:val="bottom"/>
            <w:shd w:val="clear" w:color="auto" w:fill="F4EFE7"/>
          </w:tcPr>
          <w:p>
            <w:pPr>
              <w:spacing w:after="0"/>
              <w:rPr>
                <w:sz w:val="11"/>
                <w:szCs w:val="11"/>
                <w:color w:val="auto"/>
              </w:rPr>
            </w:pPr>
          </w:p>
        </w:tc>
        <w:tc>
          <w:tcPr>
            <w:tcW w:w="80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grant date</w:t>
            </w:r>
          </w:p>
        </w:tc>
        <w:tc>
          <w:tcPr>
            <w:tcW w:w="220" w:type="dxa"/>
            <w:vAlign w:val="bottom"/>
            <w:shd w:val="clear" w:color="auto" w:fill="F4EFE7"/>
          </w:tcPr>
          <w:p>
            <w:pPr>
              <w:spacing w:after="0"/>
              <w:rPr>
                <w:sz w:val="11"/>
                <w:szCs w:val="11"/>
                <w:color w:val="auto"/>
              </w:rPr>
            </w:pPr>
          </w:p>
        </w:tc>
        <w:tc>
          <w:tcPr>
            <w:tcW w:w="860" w:type="dxa"/>
            <w:vAlign w:val="bottom"/>
            <w:shd w:val="clear" w:color="auto" w:fill="F4EFE7"/>
          </w:tcPr>
          <w:p>
            <w:pPr>
              <w:jc w:val="right"/>
              <w:ind w:right="66"/>
              <w:spacing w:after="0"/>
              <w:rPr>
                <w:sz w:val="20"/>
                <w:szCs w:val="20"/>
                <w:color w:val="auto"/>
              </w:rPr>
            </w:pPr>
            <w:r>
              <w:rPr>
                <w:rFonts w:ascii="Arial" w:cs="Arial" w:eastAsia="Arial" w:hAnsi="Arial"/>
                <w:sz w:val="11"/>
                <w:szCs w:val="11"/>
                <w:b w:val="1"/>
                <w:bCs w:val="1"/>
                <w:color w:val="8F5A39"/>
              </w:rPr>
              <w:t>grant date</w:t>
            </w:r>
          </w:p>
        </w:tc>
        <w:tc>
          <w:tcPr>
            <w:tcW w:w="840" w:type="dxa"/>
            <w:vAlign w:val="bottom"/>
            <w:gridSpan w:val="2"/>
            <w:shd w:val="clear" w:color="auto" w:fill="F4EFE7"/>
          </w:tcPr>
          <w:p>
            <w:pPr>
              <w:jc w:val="right"/>
              <w:ind w:right="66"/>
              <w:spacing w:after="0"/>
              <w:rPr>
                <w:sz w:val="20"/>
                <w:szCs w:val="20"/>
                <w:color w:val="auto"/>
              </w:rPr>
            </w:pPr>
            <w:r>
              <w:rPr>
                <w:rFonts w:ascii="Arial" w:cs="Arial" w:eastAsia="Arial" w:hAnsi="Arial"/>
                <w:sz w:val="11"/>
                <w:szCs w:val="11"/>
                <w:b w:val="1"/>
                <w:bCs w:val="1"/>
                <w:color w:val="8F5A39"/>
              </w:rPr>
              <w:t>benefit plan</w:t>
            </w:r>
          </w:p>
        </w:tc>
        <w:tc>
          <w:tcPr>
            <w:tcW w:w="180" w:type="dxa"/>
            <w:vAlign w:val="bottom"/>
            <w:shd w:val="clear" w:color="auto" w:fill="F4EFE7"/>
          </w:tcPr>
          <w:p>
            <w:pPr>
              <w:spacing w:after="0"/>
              <w:rPr>
                <w:sz w:val="11"/>
                <w:szCs w:val="11"/>
                <w:color w:val="auto"/>
              </w:rPr>
            </w:pPr>
          </w:p>
        </w:tc>
        <w:tc>
          <w:tcPr>
            <w:tcW w:w="820" w:type="dxa"/>
            <w:vAlign w:val="bottom"/>
            <w:shd w:val="clear" w:color="auto" w:fill="F4EFE7"/>
          </w:tcPr>
          <w:p>
            <w:pPr>
              <w:jc w:val="right"/>
              <w:ind w:right="26"/>
              <w:spacing w:after="0"/>
              <w:rPr>
                <w:sz w:val="20"/>
                <w:szCs w:val="20"/>
                <w:color w:val="auto"/>
              </w:rPr>
            </w:pPr>
            <w:r>
              <w:rPr>
                <w:rFonts w:ascii="Arial" w:cs="Arial" w:eastAsia="Arial" w:hAnsi="Arial"/>
                <w:sz w:val="11"/>
                <w:szCs w:val="11"/>
                <w:b w:val="1"/>
                <w:bCs w:val="1"/>
                <w:color w:val="8F5A39"/>
              </w:rPr>
              <w:t>reporting</w:t>
            </w:r>
          </w:p>
        </w:tc>
        <w:tc>
          <w:tcPr>
            <w:tcW w:w="220" w:type="dxa"/>
            <w:vAlign w:val="bottom"/>
            <w:shd w:val="clear" w:color="auto" w:fill="F4EFE7"/>
          </w:tcPr>
          <w:p>
            <w:pPr>
              <w:spacing w:after="0"/>
              <w:rPr>
                <w:sz w:val="11"/>
                <w:szCs w:val="11"/>
                <w:color w:val="auto"/>
              </w:rPr>
            </w:pPr>
          </w:p>
        </w:tc>
        <w:tc>
          <w:tcPr>
            <w:tcW w:w="80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prior</w:t>
            </w:r>
          </w:p>
        </w:tc>
        <w:tc>
          <w:tcPr>
            <w:tcW w:w="200" w:type="dxa"/>
            <w:vAlign w:val="bottom"/>
            <w:shd w:val="clear" w:color="auto" w:fill="F4EFE7"/>
          </w:tcPr>
          <w:p>
            <w:pPr>
              <w:spacing w:after="0"/>
              <w:rPr>
                <w:sz w:val="11"/>
                <w:szCs w:val="11"/>
                <w:color w:val="auto"/>
              </w:rPr>
            </w:pPr>
          </w:p>
        </w:tc>
        <w:tc>
          <w:tcPr>
            <w:tcW w:w="76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in reporting</w:t>
            </w:r>
          </w:p>
        </w:tc>
        <w:tc>
          <w:tcPr>
            <w:tcW w:w="200" w:type="dxa"/>
            <w:vAlign w:val="bottom"/>
            <w:shd w:val="clear" w:color="auto" w:fill="F4EFE7"/>
          </w:tcPr>
          <w:p>
            <w:pPr>
              <w:spacing w:after="0"/>
              <w:rPr>
                <w:sz w:val="11"/>
                <w:szCs w:val="11"/>
                <w:color w:val="auto"/>
              </w:rPr>
            </w:pPr>
          </w:p>
        </w:tc>
        <w:tc>
          <w:tcPr>
            <w:tcW w:w="70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paid or</w:t>
            </w:r>
          </w:p>
        </w:tc>
        <w:tc>
          <w:tcPr>
            <w:tcW w:w="180" w:type="dxa"/>
            <w:vAlign w:val="bottom"/>
            <w:shd w:val="clear" w:color="auto" w:fill="F4EFE7"/>
          </w:tcPr>
          <w:p>
            <w:pPr>
              <w:spacing w:after="0"/>
              <w:rPr>
                <w:sz w:val="11"/>
                <w:szCs w:val="11"/>
                <w:color w:val="auto"/>
              </w:rPr>
            </w:pPr>
          </w:p>
        </w:tc>
        <w:tc>
          <w:tcPr>
            <w:tcW w:w="820" w:type="dxa"/>
            <w:vAlign w:val="bottom"/>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Total</w:t>
            </w:r>
          </w:p>
        </w:tc>
        <w:tc>
          <w:tcPr>
            <w:tcW w:w="240" w:type="dxa"/>
            <w:vAlign w:val="bottom"/>
            <w:shd w:val="clear" w:color="auto" w:fill="F4EFE7"/>
          </w:tcPr>
          <w:p>
            <w:pPr>
              <w:spacing w:after="0"/>
              <w:rPr>
                <w:sz w:val="11"/>
                <w:szCs w:val="11"/>
                <w:color w:val="auto"/>
              </w:rPr>
            </w:pPr>
          </w:p>
        </w:tc>
        <w:tc>
          <w:tcPr>
            <w:tcW w:w="780" w:type="dxa"/>
            <w:vAlign w:val="bottom"/>
            <w:shd w:val="clear" w:color="auto" w:fill="F4EFE7"/>
          </w:tcPr>
          <w:p>
            <w:pPr>
              <w:jc w:val="right"/>
              <w:spacing w:after="0"/>
              <w:rPr>
                <w:sz w:val="20"/>
                <w:szCs w:val="20"/>
                <w:color w:val="auto"/>
              </w:rPr>
            </w:pPr>
            <w:r>
              <w:rPr>
                <w:rFonts w:ascii="Arial" w:cs="Arial" w:eastAsia="Arial" w:hAnsi="Arial"/>
                <w:sz w:val="11"/>
                <w:szCs w:val="11"/>
                <w:b w:val="1"/>
                <w:bCs w:val="1"/>
                <w:color w:val="8F5A39"/>
              </w:rPr>
              <w:t>Executive</w:t>
            </w:r>
          </w:p>
        </w:tc>
        <w:tc>
          <w:tcPr>
            <w:tcW w:w="0" w:type="dxa"/>
            <w:vAlign w:val="bottom"/>
          </w:tcPr>
          <w:p>
            <w:pPr>
              <w:spacing w:after="0"/>
              <w:rPr>
                <w:sz w:val="1"/>
                <w:szCs w:val="1"/>
                <w:color w:val="auto"/>
              </w:rPr>
            </w:pPr>
          </w:p>
        </w:tc>
      </w:tr>
      <w:tr>
        <w:trPr>
          <w:trHeight w:val="178"/>
        </w:trPr>
        <w:tc>
          <w:tcPr>
            <w:tcW w:w="48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1"/>
                <w:szCs w:val="11"/>
                <w:b w:val="1"/>
                <w:bCs w:val="1"/>
                <w:color w:val="8F5A39"/>
              </w:rPr>
              <w:t>Year</w:t>
            </w:r>
          </w:p>
        </w:tc>
        <w:tc>
          <w:tcPr>
            <w:tcW w:w="90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1"/>
                <w:szCs w:val="11"/>
                <w:b w:val="1"/>
                <w:bCs w:val="1"/>
                <w:color w:val="8F5A39"/>
              </w:rPr>
              <w:t>Executive</w:t>
            </w:r>
          </w:p>
        </w:tc>
        <w:tc>
          <w:tcPr>
            <w:tcW w:w="280" w:type="dxa"/>
            <w:vAlign w:val="bottom"/>
            <w:tcBorders>
              <w:bottom w:val="single" w:sz="8" w:color="auto"/>
            </w:tcBorders>
            <w:shd w:val="clear" w:color="auto" w:fill="F4EFE7"/>
          </w:tcPr>
          <w:p>
            <w:pPr>
              <w:spacing w:after="0"/>
              <w:rPr>
                <w:sz w:val="15"/>
                <w:szCs w:val="15"/>
                <w:color w:val="auto"/>
              </w:rPr>
            </w:pPr>
          </w:p>
        </w:tc>
        <w:tc>
          <w:tcPr>
            <w:tcW w:w="740" w:type="dxa"/>
            <w:vAlign w:val="bottom"/>
            <w:tcBorders>
              <w:bottom w:val="single" w:sz="8" w:color="auto"/>
            </w:tcBorders>
            <w:shd w:val="clear" w:color="auto" w:fill="F4EFE7"/>
          </w:tcPr>
          <w:p>
            <w:pPr>
              <w:jc w:val="right"/>
              <w:ind w:right="26"/>
              <w:spacing w:after="0"/>
              <w:rPr>
                <w:sz w:val="20"/>
                <w:szCs w:val="20"/>
                <w:color w:val="auto"/>
              </w:rPr>
            </w:pPr>
            <w:r>
              <w:rPr>
                <w:rFonts w:ascii="Arial" w:cs="Arial" w:eastAsia="Arial" w:hAnsi="Arial"/>
                <w:sz w:val="11"/>
                <w:szCs w:val="11"/>
                <w:b w:val="1"/>
                <w:bCs w:val="1"/>
                <w:color w:val="8F5A39"/>
              </w:rPr>
              <w:t>SCT Total</w:t>
            </w:r>
          </w:p>
        </w:tc>
        <w:tc>
          <w:tcPr>
            <w:tcW w:w="220" w:type="dxa"/>
            <w:vAlign w:val="bottom"/>
            <w:tcBorders>
              <w:bottom w:val="single" w:sz="8" w:color="auto"/>
            </w:tcBorders>
            <w:shd w:val="clear" w:color="auto" w:fill="F4EFE7"/>
          </w:tcPr>
          <w:p>
            <w:pPr>
              <w:spacing w:after="0"/>
              <w:rPr>
                <w:sz w:val="15"/>
                <w:szCs w:val="15"/>
                <w:color w:val="auto"/>
              </w:rPr>
            </w:pPr>
          </w:p>
        </w:tc>
        <w:tc>
          <w:tcPr>
            <w:tcW w:w="800" w:type="dxa"/>
            <w:vAlign w:val="bottom"/>
            <w:tcBorders>
              <w:bottom w:val="single" w:sz="8" w:color="auto"/>
            </w:tcBorders>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fair value</w:t>
            </w:r>
          </w:p>
        </w:tc>
        <w:tc>
          <w:tcPr>
            <w:tcW w:w="220" w:type="dxa"/>
            <w:vAlign w:val="bottom"/>
            <w:tcBorders>
              <w:bottom w:val="single" w:sz="8" w:color="auto"/>
            </w:tcBorders>
            <w:shd w:val="clear" w:color="auto" w:fill="F4EFE7"/>
          </w:tcPr>
          <w:p>
            <w:pPr>
              <w:spacing w:after="0"/>
              <w:rPr>
                <w:sz w:val="15"/>
                <w:szCs w:val="15"/>
                <w:color w:val="auto"/>
              </w:rPr>
            </w:pPr>
          </w:p>
        </w:tc>
        <w:tc>
          <w:tcPr>
            <w:tcW w:w="860" w:type="dxa"/>
            <w:vAlign w:val="bottom"/>
            <w:tcBorders>
              <w:bottom w:val="single" w:sz="8" w:color="auto"/>
            </w:tcBorders>
            <w:shd w:val="clear" w:color="auto" w:fill="F4EFE7"/>
          </w:tcPr>
          <w:p>
            <w:pPr>
              <w:jc w:val="right"/>
              <w:ind w:right="66"/>
              <w:spacing w:after="0"/>
              <w:rPr>
                <w:sz w:val="20"/>
                <w:szCs w:val="20"/>
                <w:color w:val="auto"/>
              </w:rPr>
            </w:pPr>
            <w:r>
              <w:rPr>
                <w:rFonts w:ascii="Arial" w:cs="Arial" w:eastAsia="Arial" w:hAnsi="Arial"/>
                <w:sz w:val="11"/>
                <w:szCs w:val="11"/>
                <w:b w:val="1"/>
                <w:bCs w:val="1"/>
                <w:color w:val="8F5A39"/>
              </w:rPr>
              <w:t>fair value</w:t>
            </w:r>
          </w:p>
        </w:tc>
        <w:tc>
          <w:tcPr>
            <w:tcW w:w="220" w:type="dxa"/>
            <w:vAlign w:val="bottom"/>
            <w:tcBorders>
              <w:bottom w:val="single" w:sz="8" w:color="auto"/>
            </w:tcBorders>
            <w:shd w:val="clear" w:color="auto" w:fill="F4EFE7"/>
          </w:tcPr>
          <w:p>
            <w:pPr>
              <w:spacing w:after="0"/>
              <w:rPr>
                <w:sz w:val="15"/>
                <w:szCs w:val="15"/>
                <w:color w:val="auto"/>
              </w:rPr>
            </w:pPr>
          </w:p>
        </w:tc>
        <w:tc>
          <w:tcPr>
            <w:tcW w:w="620" w:type="dxa"/>
            <w:vAlign w:val="bottom"/>
            <w:tcBorders>
              <w:bottom w:val="single" w:sz="8" w:color="auto"/>
            </w:tcBorders>
            <w:shd w:val="clear" w:color="auto" w:fill="F4EFE7"/>
          </w:tcPr>
          <w:p>
            <w:pPr>
              <w:jc w:val="right"/>
              <w:ind w:right="66"/>
              <w:spacing w:after="0"/>
              <w:rPr>
                <w:sz w:val="20"/>
                <w:szCs w:val="20"/>
                <w:color w:val="auto"/>
              </w:rPr>
            </w:pPr>
            <w:r>
              <w:rPr>
                <w:rFonts w:ascii="Arial" w:cs="Arial" w:eastAsia="Arial" w:hAnsi="Arial"/>
                <w:sz w:val="11"/>
                <w:szCs w:val="11"/>
                <w:b w:val="1"/>
                <w:bCs w:val="1"/>
                <w:color w:val="8F5A39"/>
              </w:rPr>
              <w:t>benefits</w:t>
            </w:r>
          </w:p>
        </w:tc>
        <w:tc>
          <w:tcPr>
            <w:tcW w:w="180" w:type="dxa"/>
            <w:vAlign w:val="bottom"/>
            <w:tcBorders>
              <w:bottom w:val="single" w:sz="8" w:color="auto"/>
            </w:tcBorders>
            <w:shd w:val="clear" w:color="auto" w:fill="F4EFE7"/>
          </w:tcPr>
          <w:p>
            <w:pPr>
              <w:spacing w:after="0"/>
              <w:rPr>
                <w:sz w:val="15"/>
                <w:szCs w:val="15"/>
                <w:color w:val="auto"/>
              </w:rPr>
            </w:pPr>
          </w:p>
        </w:tc>
        <w:tc>
          <w:tcPr>
            <w:tcW w:w="820" w:type="dxa"/>
            <w:vAlign w:val="bottom"/>
            <w:tcBorders>
              <w:bottom w:val="single" w:sz="8" w:color="auto"/>
            </w:tcBorders>
            <w:shd w:val="clear" w:color="auto" w:fill="F4EFE7"/>
          </w:tcPr>
          <w:p>
            <w:pPr>
              <w:jc w:val="right"/>
              <w:ind w:right="26"/>
              <w:spacing w:after="0"/>
              <w:rPr>
                <w:sz w:val="20"/>
                <w:szCs w:val="20"/>
                <w:color w:val="auto"/>
              </w:rPr>
            </w:pPr>
            <w:r>
              <w:rPr>
                <w:rFonts w:ascii="Arial" w:cs="Arial" w:eastAsia="Arial" w:hAnsi="Arial"/>
                <w:sz w:val="11"/>
                <w:szCs w:val="11"/>
                <w:b w:val="1"/>
                <w:bCs w:val="1"/>
                <w:color w:val="8F5A39"/>
              </w:rPr>
              <w:t>year</w:t>
            </w:r>
            <w:r>
              <w:rPr>
                <w:rFonts w:ascii="Arial" w:cs="Arial" w:eastAsia="Arial" w:hAnsi="Arial"/>
                <w:sz w:val="14"/>
                <w:szCs w:val="14"/>
                <w:b w:val="1"/>
                <w:bCs w:val="1"/>
                <w:color w:val="8F5A39"/>
                <w:vertAlign w:val="superscript"/>
              </w:rPr>
              <w:t>5,6</w:t>
            </w:r>
          </w:p>
        </w:tc>
        <w:tc>
          <w:tcPr>
            <w:tcW w:w="220" w:type="dxa"/>
            <w:vAlign w:val="bottom"/>
            <w:tcBorders>
              <w:bottom w:val="single" w:sz="8" w:color="auto"/>
            </w:tcBorders>
            <w:shd w:val="clear" w:color="auto" w:fill="F4EFE7"/>
          </w:tcPr>
          <w:p>
            <w:pPr>
              <w:spacing w:after="0"/>
              <w:rPr>
                <w:sz w:val="15"/>
                <w:szCs w:val="15"/>
                <w:color w:val="auto"/>
              </w:rPr>
            </w:pPr>
          </w:p>
        </w:tc>
        <w:tc>
          <w:tcPr>
            <w:tcW w:w="800" w:type="dxa"/>
            <w:vAlign w:val="bottom"/>
            <w:tcBorders>
              <w:bottom w:val="single" w:sz="8" w:color="auto"/>
            </w:tcBorders>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years</w:t>
            </w:r>
            <w:r>
              <w:rPr>
                <w:rFonts w:ascii="Arial" w:cs="Arial" w:eastAsia="Arial" w:hAnsi="Arial"/>
                <w:sz w:val="14"/>
                <w:szCs w:val="14"/>
                <w:b w:val="1"/>
                <w:bCs w:val="1"/>
                <w:color w:val="8F5A39"/>
                <w:vertAlign w:val="superscript"/>
              </w:rPr>
              <w:t>5,6</w:t>
            </w:r>
          </w:p>
        </w:tc>
        <w:tc>
          <w:tcPr>
            <w:tcW w:w="200" w:type="dxa"/>
            <w:vAlign w:val="bottom"/>
            <w:tcBorders>
              <w:bottom w:val="single" w:sz="8" w:color="auto"/>
            </w:tcBorders>
            <w:shd w:val="clear" w:color="auto" w:fill="F4EFE7"/>
          </w:tcPr>
          <w:p>
            <w:pPr>
              <w:spacing w:after="0"/>
              <w:rPr>
                <w:sz w:val="15"/>
                <w:szCs w:val="15"/>
                <w:color w:val="auto"/>
              </w:rPr>
            </w:pPr>
          </w:p>
        </w:tc>
        <w:tc>
          <w:tcPr>
            <w:tcW w:w="760" w:type="dxa"/>
            <w:vAlign w:val="bottom"/>
            <w:tcBorders>
              <w:bottom w:val="single" w:sz="8" w:color="auto"/>
            </w:tcBorders>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year</w:t>
            </w:r>
            <w:r>
              <w:rPr>
                <w:rFonts w:ascii="Arial" w:cs="Arial" w:eastAsia="Arial" w:hAnsi="Arial"/>
                <w:sz w:val="14"/>
                <w:szCs w:val="14"/>
                <w:b w:val="1"/>
                <w:bCs w:val="1"/>
                <w:color w:val="8F5A39"/>
                <w:vertAlign w:val="superscript"/>
              </w:rPr>
              <w:t>5,6</w:t>
            </w:r>
          </w:p>
        </w:tc>
        <w:tc>
          <w:tcPr>
            <w:tcW w:w="200" w:type="dxa"/>
            <w:vAlign w:val="bottom"/>
            <w:tcBorders>
              <w:bottom w:val="single" w:sz="8" w:color="auto"/>
            </w:tcBorders>
            <w:shd w:val="clear" w:color="auto" w:fill="F4EFE7"/>
          </w:tcPr>
          <w:p>
            <w:pPr>
              <w:spacing w:after="0"/>
              <w:rPr>
                <w:sz w:val="15"/>
                <w:szCs w:val="15"/>
                <w:color w:val="auto"/>
              </w:rPr>
            </w:pPr>
          </w:p>
        </w:tc>
        <w:tc>
          <w:tcPr>
            <w:tcW w:w="700" w:type="dxa"/>
            <w:vAlign w:val="bottom"/>
            <w:tcBorders>
              <w:bottom w:val="single" w:sz="8" w:color="auto"/>
            </w:tcBorders>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reinvested</w:t>
            </w:r>
          </w:p>
        </w:tc>
        <w:tc>
          <w:tcPr>
            <w:tcW w:w="180" w:type="dxa"/>
            <w:vAlign w:val="bottom"/>
            <w:tcBorders>
              <w:bottom w:val="single" w:sz="8" w:color="auto"/>
            </w:tcBorders>
            <w:shd w:val="clear" w:color="auto" w:fill="F4EFE7"/>
          </w:tcPr>
          <w:p>
            <w:pPr>
              <w:spacing w:after="0"/>
              <w:rPr>
                <w:sz w:val="15"/>
                <w:szCs w:val="15"/>
                <w:color w:val="auto"/>
              </w:rPr>
            </w:pPr>
          </w:p>
        </w:tc>
        <w:tc>
          <w:tcPr>
            <w:tcW w:w="820" w:type="dxa"/>
            <w:vAlign w:val="bottom"/>
            <w:tcBorders>
              <w:bottom w:val="single" w:sz="8" w:color="auto"/>
            </w:tcBorders>
            <w:shd w:val="clear" w:color="auto" w:fill="F4EFE7"/>
          </w:tcPr>
          <w:p>
            <w:pPr>
              <w:jc w:val="right"/>
              <w:ind w:right="6"/>
              <w:spacing w:after="0"/>
              <w:rPr>
                <w:sz w:val="20"/>
                <w:szCs w:val="20"/>
                <w:color w:val="auto"/>
              </w:rPr>
            </w:pPr>
            <w:r>
              <w:rPr>
                <w:rFonts w:ascii="Arial" w:cs="Arial" w:eastAsia="Arial" w:hAnsi="Arial"/>
                <w:sz w:val="11"/>
                <w:szCs w:val="11"/>
                <w:b w:val="1"/>
                <w:bCs w:val="1"/>
                <w:color w:val="8F5A39"/>
              </w:rPr>
              <w:t>Adjustments</w:t>
            </w:r>
            <w:r>
              <w:rPr>
                <w:rFonts w:ascii="Arial" w:cs="Arial" w:eastAsia="Arial" w:hAnsi="Arial"/>
                <w:sz w:val="14"/>
                <w:szCs w:val="14"/>
                <w:b w:val="1"/>
                <w:bCs w:val="1"/>
                <w:color w:val="8F5A39"/>
                <w:vertAlign w:val="superscript"/>
              </w:rPr>
              <w:t>7</w:t>
            </w:r>
          </w:p>
        </w:tc>
        <w:tc>
          <w:tcPr>
            <w:tcW w:w="240" w:type="dxa"/>
            <w:vAlign w:val="bottom"/>
            <w:tcBorders>
              <w:bottom w:val="single" w:sz="8" w:color="auto"/>
            </w:tcBorders>
            <w:shd w:val="clear" w:color="auto" w:fill="F4EFE7"/>
          </w:tcPr>
          <w:p>
            <w:pPr>
              <w:spacing w:after="0"/>
              <w:rPr>
                <w:sz w:val="15"/>
                <w:szCs w:val="15"/>
                <w:color w:val="auto"/>
              </w:rPr>
            </w:pPr>
          </w:p>
        </w:tc>
        <w:tc>
          <w:tcPr>
            <w:tcW w:w="78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1"/>
                <w:szCs w:val="11"/>
                <w:b w:val="1"/>
                <w:bCs w:val="1"/>
                <w:color w:val="8F5A39"/>
              </w:rPr>
              <w:t>CAP</w:t>
            </w:r>
          </w:p>
        </w:tc>
        <w:tc>
          <w:tcPr>
            <w:tcW w:w="0" w:type="dxa"/>
            <w:vAlign w:val="bottom"/>
          </w:tcPr>
          <w:p>
            <w:pPr>
              <w:spacing w:after="0"/>
              <w:rPr>
                <w:sz w:val="1"/>
                <w:szCs w:val="1"/>
                <w:color w:val="auto"/>
              </w:rPr>
            </w:pPr>
          </w:p>
        </w:tc>
      </w:tr>
      <w:tr>
        <w:trPr>
          <w:trHeight w:val="155"/>
        </w:trPr>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2025</w:t>
            </w:r>
          </w:p>
        </w:tc>
        <w:tc>
          <w:tcPr>
            <w:tcW w:w="900" w:type="dxa"/>
            <w:vAlign w:val="bottom"/>
          </w:tcPr>
          <w:p>
            <w:pPr>
              <w:ind w:left="20"/>
              <w:spacing w:after="0"/>
              <w:rPr>
                <w:sz w:val="20"/>
                <w:szCs w:val="20"/>
                <w:color w:val="auto"/>
              </w:rPr>
            </w:pPr>
            <w:r>
              <w:rPr>
                <w:rFonts w:ascii="Arial" w:cs="Arial" w:eastAsia="Arial" w:hAnsi="Arial"/>
                <w:sz w:val="11"/>
                <w:szCs w:val="11"/>
                <w:color w:val="auto"/>
              </w:rPr>
              <w:t>PEO</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40,632,724</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(32,500,000)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(44,872)</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60,214,040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169,157,206</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2,601,673</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6,766,288</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206,194,334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246,827,058</w:t>
            </w:r>
          </w:p>
        </w:tc>
        <w:tc>
          <w:tcPr>
            <w:tcW w:w="0" w:type="dxa"/>
            <w:vAlign w:val="bottom"/>
          </w:tcPr>
          <w:p>
            <w:pPr>
              <w:spacing w:after="0"/>
              <w:rPr>
                <w:sz w:val="1"/>
                <w:szCs w:val="1"/>
                <w:color w:val="auto"/>
              </w:rPr>
            </w:pPr>
          </w:p>
        </w:tc>
      </w:tr>
      <w:tr>
        <w:trPr>
          <w:trHeight w:val="28"/>
        </w:trPr>
        <w:tc>
          <w:tcPr>
            <w:tcW w:w="480" w:type="dxa"/>
            <w:vAlign w:val="bottom"/>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28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62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7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auto"/>
              </w:rPr>
              <w:t>Non-PEO NEOs</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25,569,609</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(15,299,000)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(19,135)</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25,164,994</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36,468,792</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622,622</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2,391,594</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49,329,867</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74,899,476</w:t>
            </w:r>
          </w:p>
        </w:tc>
        <w:tc>
          <w:tcPr>
            <w:tcW w:w="0" w:type="dxa"/>
            <w:vAlign w:val="bottom"/>
          </w:tcPr>
          <w:p>
            <w:pPr>
              <w:spacing w:after="0"/>
              <w:rPr>
                <w:sz w:val="1"/>
                <w:szCs w:val="1"/>
                <w:color w:val="auto"/>
              </w:rPr>
            </w:pPr>
          </w:p>
        </w:tc>
      </w:tr>
      <w:tr>
        <w:trPr>
          <w:trHeight w:val="33"/>
        </w:trPr>
        <w:tc>
          <w:tcPr>
            <w:tcW w:w="4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28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62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7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2024</w:t>
            </w:r>
          </w:p>
        </w:tc>
        <w:tc>
          <w:tcPr>
            <w:tcW w:w="900" w:type="dxa"/>
            <w:vAlign w:val="bottom"/>
          </w:tcPr>
          <w:p>
            <w:pPr>
              <w:ind w:left="20"/>
              <w:spacing w:after="0"/>
              <w:rPr>
                <w:sz w:val="20"/>
                <w:szCs w:val="20"/>
                <w:color w:val="auto"/>
              </w:rPr>
            </w:pPr>
            <w:r>
              <w:rPr>
                <w:rFonts w:ascii="Arial" w:cs="Arial" w:eastAsia="Arial" w:hAnsi="Arial"/>
                <w:sz w:val="11"/>
                <w:szCs w:val="11"/>
                <w:color w:val="auto"/>
              </w:rPr>
              <w:t>PEO</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37,683,462</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(29,500,000)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(50,826)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63,963,650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140,746,282</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6,863,985</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7,126,657</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189,149,749</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226,833,211</w:t>
            </w:r>
          </w:p>
        </w:tc>
        <w:tc>
          <w:tcPr>
            <w:tcW w:w="0" w:type="dxa"/>
            <w:vAlign w:val="bottom"/>
          </w:tcPr>
          <w:p>
            <w:pPr>
              <w:spacing w:after="0"/>
              <w:rPr>
                <w:sz w:val="1"/>
                <w:szCs w:val="1"/>
                <w:color w:val="auto"/>
              </w:rPr>
            </w:pPr>
          </w:p>
        </w:tc>
      </w:tr>
      <w:tr>
        <w:trPr>
          <w:trHeight w:val="28"/>
        </w:trPr>
        <w:tc>
          <w:tcPr>
            <w:tcW w:w="480" w:type="dxa"/>
            <w:vAlign w:val="bottom"/>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28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62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7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auto"/>
              </w:rPr>
              <w:t>Non-PEO NEOs</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24,383,634</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(15,287,500)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(8,723)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29,745,988</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38,405,558</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1,579,866</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2,072,565</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56,507,754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80,891,387</w:t>
            </w:r>
          </w:p>
        </w:tc>
        <w:tc>
          <w:tcPr>
            <w:tcW w:w="0" w:type="dxa"/>
            <w:vAlign w:val="bottom"/>
          </w:tcPr>
          <w:p>
            <w:pPr>
              <w:spacing w:after="0"/>
              <w:rPr>
                <w:sz w:val="1"/>
                <w:szCs w:val="1"/>
                <w:color w:val="auto"/>
              </w:rPr>
            </w:pPr>
          </w:p>
        </w:tc>
      </w:tr>
      <w:tr>
        <w:trPr>
          <w:trHeight w:val="33"/>
        </w:trPr>
        <w:tc>
          <w:tcPr>
            <w:tcW w:w="4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28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62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7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2023</w:t>
            </w:r>
          </w:p>
        </w:tc>
        <w:tc>
          <w:tcPr>
            <w:tcW w:w="900" w:type="dxa"/>
            <w:vAlign w:val="bottom"/>
          </w:tcPr>
          <w:p>
            <w:pPr>
              <w:ind w:left="20"/>
              <w:spacing w:after="0"/>
              <w:rPr>
                <w:sz w:val="20"/>
                <w:szCs w:val="20"/>
                <w:color w:val="auto"/>
              </w:rPr>
            </w:pPr>
            <w:r>
              <w:rPr>
                <w:rFonts w:ascii="Arial" w:cs="Arial" w:eastAsia="Arial" w:hAnsi="Arial"/>
                <w:sz w:val="11"/>
                <w:szCs w:val="11"/>
                <w:color w:val="auto"/>
              </w:rPr>
              <w:t>PEO</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35,960,259</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(28,000,000)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(40,185)</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33,939,433</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60,604,871</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(2,453,960)</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4,583,868</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68,634,027</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104,594,286</w:t>
            </w:r>
          </w:p>
        </w:tc>
        <w:tc>
          <w:tcPr>
            <w:tcW w:w="0" w:type="dxa"/>
            <w:vAlign w:val="bottom"/>
          </w:tcPr>
          <w:p>
            <w:pPr>
              <w:spacing w:after="0"/>
              <w:rPr>
                <w:sz w:val="1"/>
                <w:szCs w:val="1"/>
                <w:color w:val="auto"/>
              </w:rPr>
            </w:pPr>
          </w:p>
        </w:tc>
      </w:tr>
      <w:tr>
        <w:trPr>
          <w:trHeight w:val="28"/>
        </w:trPr>
        <w:tc>
          <w:tcPr>
            <w:tcW w:w="480" w:type="dxa"/>
            <w:vAlign w:val="bottom"/>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28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62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7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auto"/>
              </w:rPr>
              <w:t>Non-PEO NEOs</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21,481,873</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(13,412,500)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(11,360)</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16,257,725</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15,976,583</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(222,653)</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977,716</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19,565,511</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41,047,384</w:t>
            </w:r>
          </w:p>
        </w:tc>
        <w:tc>
          <w:tcPr>
            <w:tcW w:w="0" w:type="dxa"/>
            <w:vAlign w:val="bottom"/>
          </w:tcPr>
          <w:p>
            <w:pPr>
              <w:spacing w:after="0"/>
              <w:rPr>
                <w:sz w:val="1"/>
                <w:szCs w:val="1"/>
                <w:color w:val="auto"/>
              </w:rPr>
            </w:pPr>
          </w:p>
        </w:tc>
      </w:tr>
      <w:tr>
        <w:trPr>
          <w:trHeight w:val="33"/>
        </w:trPr>
        <w:tc>
          <w:tcPr>
            <w:tcW w:w="4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28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62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7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2022</w:t>
            </w:r>
          </w:p>
        </w:tc>
        <w:tc>
          <w:tcPr>
            <w:tcW w:w="900" w:type="dxa"/>
            <w:vAlign w:val="bottom"/>
          </w:tcPr>
          <w:p>
            <w:pPr>
              <w:ind w:left="20"/>
              <w:spacing w:after="0"/>
              <w:rPr>
                <w:sz w:val="20"/>
                <w:szCs w:val="20"/>
                <w:color w:val="auto"/>
              </w:rPr>
            </w:pPr>
            <w:r>
              <w:rPr>
                <w:rFonts w:ascii="Arial" w:cs="Arial" w:eastAsia="Arial" w:hAnsi="Arial"/>
                <w:sz w:val="11"/>
                <w:szCs w:val="11"/>
                <w:color w:val="auto"/>
              </w:rPr>
              <w:t>PEO</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35,610,013</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(28,000,000)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(29,877)</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24,384,912</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8,917,510</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(6,080,841)</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3,420,395</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2,612,098</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38,222,111</w:t>
            </w:r>
          </w:p>
        </w:tc>
        <w:tc>
          <w:tcPr>
            <w:tcW w:w="0" w:type="dxa"/>
            <w:vAlign w:val="bottom"/>
          </w:tcPr>
          <w:p>
            <w:pPr>
              <w:spacing w:after="0"/>
              <w:rPr>
                <w:sz w:val="1"/>
                <w:szCs w:val="1"/>
                <w:color w:val="auto"/>
              </w:rPr>
            </w:pPr>
          </w:p>
        </w:tc>
      </w:tr>
      <w:tr>
        <w:trPr>
          <w:trHeight w:val="28"/>
        </w:trPr>
        <w:tc>
          <w:tcPr>
            <w:tcW w:w="480" w:type="dxa"/>
            <w:vAlign w:val="bottom"/>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28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62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7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auto"/>
              </w:rPr>
              <w:t>Non-PEO NEOs</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19,230,223</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(11,581,951)</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10,868,710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(1,458,095)</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(503,796)</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652,116</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(2,023,015)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17,207,207</w:t>
            </w:r>
          </w:p>
        </w:tc>
        <w:tc>
          <w:tcPr>
            <w:tcW w:w="0" w:type="dxa"/>
            <w:vAlign w:val="bottom"/>
          </w:tcPr>
          <w:p>
            <w:pPr>
              <w:spacing w:after="0"/>
              <w:rPr>
                <w:sz w:val="1"/>
                <w:szCs w:val="1"/>
                <w:color w:val="auto"/>
              </w:rPr>
            </w:pPr>
          </w:p>
        </w:tc>
      </w:tr>
      <w:tr>
        <w:trPr>
          <w:trHeight w:val="33"/>
        </w:trPr>
        <w:tc>
          <w:tcPr>
            <w:tcW w:w="4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28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62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7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2021</w:t>
            </w:r>
          </w:p>
        </w:tc>
        <w:tc>
          <w:tcPr>
            <w:tcW w:w="900" w:type="dxa"/>
            <w:vAlign w:val="bottom"/>
          </w:tcPr>
          <w:p>
            <w:pPr>
              <w:ind w:left="20"/>
              <w:spacing w:after="0"/>
              <w:rPr>
                <w:sz w:val="20"/>
                <w:szCs w:val="20"/>
                <w:color w:val="auto"/>
              </w:rPr>
            </w:pPr>
            <w:r>
              <w:rPr>
                <w:rFonts w:ascii="Arial" w:cs="Arial" w:eastAsia="Arial" w:hAnsi="Arial"/>
                <w:sz w:val="11"/>
                <w:szCs w:val="11"/>
                <w:color w:val="auto"/>
              </w:rPr>
              <w:t>PEO</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85,159,860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(25,000,000)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(52,620,000)</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(25,486)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88,199,019</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22,942,541</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7,706,801</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4,892,720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46,095,595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131,255,455</w:t>
            </w:r>
          </w:p>
        </w:tc>
        <w:tc>
          <w:tcPr>
            <w:tcW w:w="0" w:type="dxa"/>
            <w:vAlign w:val="bottom"/>
          </w:tcPr>
          <w:p>
            <w:pPr>
              <w:spacing w:after="0"/>
              <w:rPr>
                <w:sz w:val="1"/>
                <w:szCs w:val="1"/>
                <w:color w:val="auto"/>
              </w:rPr>
            </w:pPr>
          </w:p>
        </w:tc>
      </w:tr>
      <w:tr>
        <w:trPr>
          <w:trHeight w:val="28"/>
        </w:trPr>
        <w:tc>
          <w:tcPr>
            <w:tcW w:w="480" w:type="dxa"/>
            <w:vAlign w:val="bottom"/>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28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62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7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auto"/>
              </w:rPr>
              <w:t>Non-PEO NEOs</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23,472,201</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(10,131,942)</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(5,572,500)</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(206)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w w:val="98"/>
              </w:rPr>
              <w:t>17,813,787</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7,748,310</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1,451,083</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904,889</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12,213,421</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35,685,622</w:t>
            </w:r>
          </w:p>
        </w:tc>
        <w:tc>
          <w:tcPr>
            <w:tcW w:w="0" w:type="dxa"/>
            <w:vAlign w:val="bottom"/>
          </w:tcPr>
          <w:p>
            <w:pPr>
              <w:spacing w:after="0"/>
              <w:rPr>
                <w:sz w:val="1"/>
                <w:szCs w:val="1"/>
                <w:color w:val="auto"/>
              </w:rPr>
            </w:pPr>
          </w:p>
        </w:tc>
      </w:tr>
      <w:tr>
        <w:trPr>
          <w:trHeight w:val="33"/>
        </w:trPr>
        <w:tc>
          <w:tcPr>
            <w:tcW w:w="480" w:type="dxa"/>
            <w:vAlign w:val="bottom"/>
            <w:tcBorders>
              <w:bottom w:val="single" w:sz="8" w:color="B2B2B2"/>
            </w:tcBorders>
          </w:tcPr>
          <w:p>
            <w:pPr>
              <w:spacing w:after="0"/>
              <w:rPr>
                <w:sz w:val="2"/>
                <w:szCs w:val="2"/>
                <w:color w:val="auto"/>
              </w:rPr>
            </w:pPr>
          </w:p>
        </w:tc>
        <w:tc>
          <w:tcPr>
            <w:tcW w:w="900" w:type="dxa"/>
            <w:vAlign w:val="bottom"/>
            <w:tcBorders>
              <w:bottom w:val="single" w:sz="8" w:color="B2B2B2"/>
            </w:tcBorders>
          </w:tcPr>
          <w:p>
            <w:pPr>
              <w:spacing w:after="0"/>
              <w:rPr>
                <w:sz w:val="2"/>
                <w:szCs w:val="2"/>
                <w:color w:val="auto"/>
              </w:rPr>
            </w:pPr>
          </w:p>
        </w:tc>
        <w:tc>
          <w:tcPr>
            <w:tcW w:w="28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62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80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6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00" w:type="dxa"/>
            <w:vAlign w:val="bottom"/>
            <w:tcBorders>
              <w:bottom w:val="single" w:sz="8" w:color="B2B2B2"/>
            </w:tcBorders>
          </w:tcPr>
          <w:p>
            <w:pPr>
              <w:spacing w:after="0"/>
              <w:rPr>
                <w:sz w:val="2"/>
                <w:szCs w:val="2"/>
                <w:color w:val="auto"/>
              </w:rPr>
            </w:pPr>
          </w:p>
        </w:tc>
        <w:tc>
          <w:tcPr>
            <w:tcW w:w="180" w:type="dxa"/>
            <w:vAlign w:val="bottom"/>
            <w:tcBorders>
              <w:bottom w:val="single" w:sz="8" w:color="B2B2B2"/>
            </w:tcBorders>
          </w:tcPr>
          <w:p>
            <w:pPr>
              <w:spacing w:after="0"/>
              <w:rPr>
                <w:sz w:val="2"/>
                <w:szCs w:val="2"/>
                <w:color w:val="auto"/>
              </w:rPr>
            </w:pPr>
          </w:p>
        </w:tc>
        <w:tc>
          <w:tcPr>
            <w:tcW w:w="820" w:type="dxa"/>
            <w:vAlign w:val="bottom"/>
            <w:tcBorders>
              <w:bottom w:val="single" w:sz="8" w:color="B2B2B2"/>
            </w:tcBorders>
          </w:tcPr>
          <w:p>
            <w:pPr>
              <w:spacing w:after="0"/>
              <w:rPr>
                <w:sz w:val="2"/>
                <w:szCs w:val="2"/>
                <w:color w:val="auto"/>
              </w:rPr>
            </w:pPr>
          </w:p>
        </w:tc>
        <w:tc>
          <w:tcPr>
            <w:tcW w:w="240" w:type="dxa"/>
            <w:vAlign w:val="bottom"/>
            <w:tcBorders>
              <w:bottom w:val="single" w:sz="8" w:color="B2B2B2"/>
            </w:tcBorders>
          </w:tcPr>
          <w:p>
            <w:pPr>
              <w:spacing w:after="0"/>
              <w:rPr>
                <w:sz w:val="2"/>
                <w:szCs w:val="2"/>
                <w:color w:val="auto"/>
              </w:rPr>
            </w:pPr>
          </w:p>
        </w:tc>
        <w:tc>
          <w:tcPr>
            <w:tcW w:w="78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0" w:right="100" w:hanging="192"/>
        <w:spacing w:after="0" w:line="194" w:lineRule="auto"/>
        <w:tabs>
          <w:tab w:leader="none" w:pos="193" w:val="left"/>
        </w:tabs>
        <w:numPr>
          <w:ilvl w:val="0"/>
          <w:numId w:val="255"/>
        </w:numPr>
        <w:rPr>
          <w:rFonts w:ascii="Arial" w:cs="Arial" w:eastAsia="Arial" w:hAnsi="Arial"/>
          <w:sz w:val="19"/>
          <w:szCs w:val="19"/>
          <w:color w:val="auto"/>
          <w:vertAlign w:val="superscript"/>
        </w:rPr>
      </w:pPr>
      <w:r>
        <w:rPr>
          <w:rFonts w:ascii="Arial" w:cs="Arial" w:eastAsia="Arial" w:hAnsi="Arial"/>
          <w:sz w:val="13"/>
          <w:szCs w:val="13"/>
          <w:color w:val="auto"/>
        </w:rPr>
        <w:t>The TSR value listed in each year reflects what the cumulative value of $100 would be, including dividend reinvestment, if invested on December 31, 2020. For the purposes of this disclosure, “peer group” is defined as the S&amp;P Financials Index, as reflected in our Annual Report on Form 10-K for the year ended December 31, 2025.</w:t>
      </w:r>
    </w:p>
    <w:p>
      <w:pPr>
        <w:ind w:left="200" w:hanging="192"/>
        <w:spacing w:after="0" w:line="182" w:lineRule="auto"/>
        <w:tabs>
          <w:tab w:leader="none" w:pos="200" w:val="left"/>
        </w:tabs>
        <w:numPr>
          <w:ilvl w:val="0"/>
          <w:numId w:val="256"/>
        </w:numPr>
        <w:rPr>
          <w:rFonts w:ascii="Arial" w:cs="Arial" w:eastAsia="Arial" w:hAnsi="Arial"/>
          <w:sz w:val="17"/>
          <w:szCs w:val="17"/>
          <w:color w:val="auto"/>
          <w:vertAlign w:val="superscript"/>
        </w:rPr>
      </w:pPr>
      <w:r>
        <w:rPr>
          <w:rFonts w:ascii="Arial" w:cs="Arial" w:eastAsia="Arial" w:hAnsi="Arial"/>
          <w:sz w:val="11"/>
          <w:szCs w:val="11"/>
          <w:color w:val="auto"/>
        </w:rPr>
        <w:t>ROTCE is a non-GAAP financial measure; refer to Note 1 on page 103 for a further discussion of this measure.</w:t>
      </w:r>
    </w:p>
    <w:p>
      <w:pPr>
        <w:ind w:left="200" w:hanging="192"/>
        <w:spacing w:after="0" w:line="183" w:lineRule="auto"/>
        <w:tabs>
          <w:tab w:leader="none" w:pos="200" w:val="left"/>
        </w:tabs>
        <w:numPr>
          <w:ilvl w:val="0"/>
          <w:numId w:val="257"/>
        </w:numPr>
        <w:rPr>
          <w:rFonts w:ascii="Arial" w:cs="Arial" w:eastAsia="Arial" w:hAnsi="Arial"/>
          <w:sz w:val="17"/>
          <w:szCs w:val="17"/>
          <w:color w:val="auto"/>
          <w:vertAlign w:val="superscript"/>
        </w:rPr>
      </w:pPr>
      <w:r>
        <w:rPr>
          <w:rFonts w:ascii="Arial" w:cs="Arial" w:eastAsia="Arial" w:hAnsi="Arial"/>
          <w:sz w:val="11"/>
          <w:szCs w:val="11"/>
          <w:color w:val="auto"/>
        </w:rPr>
        <w:t>Values of PSUs include an estimated payout percentage at the vesting date which is assessed at each reporting period, consistent with the Firm’s financial statements.</w:t>
      </w:r>
    </w:p>
    <w:p>
      <w:pPr>
        <w:spacing w:after="0" w:line="13" w:lineRule="exact"/>
        <w:rPr>
          <w:sz w:val="20"/>
          <w:szCs w:val="20"/>
          <w:color w:val="auto"/>
        </w:rPr>
      </w:pPr>
    </w:p>
    <w:p>
      <w:pPr>
        <w:ind w:left="200" w:right="100" w:hanging="192"/>
        <w:spacing w:after="0" w:line="220" w:lineRule="auto"/>
        <w:tabs>
          <w:tab w:leader="none" w:pos="193" w:val="left"/>
        </w:tabs>
        <w:numPr>
          <w:ilvl w:val="0"/>
          <w:numId w:val="258"/>
        </w:numPr>
        <w:rPr>
          <w:rFonts w:ascii="Arial" w:cs="Arial" w:eastAsia="Arial" w:hAnsi="Arial"/>
          <w:sz w:val="19"/>
          <w:szCs w:val="19"/>
          <w:color w:val="auto"/>
          <w:vertAlign w:val="superscript"/>
        </w:rPr>
      </w:pPr>
      <w:r>
        <w:rPr>
          <w:rFonts w:ascii="Arial" w:cs="Arial" w:eastAsia="Arial" w:hAnsi="Arial"/>
          <w:sz w:val="13"/>
          <w:szCs w:val="13"/>
          <w:color w:val="auto"/>
        </w:rPr>
        <w:t>In 2021, Messrs. Dimon and Pinto were granted special option awards in the form of SARs that were not part of their regular annual compensation and will not be awarded on a recurring basis. The special options were awarded at the fair value on the respective grant dates of each award. The respective fair values were determined using the Black-Scholes valuation model. The following table details the assumptions at the time of grant, and the equivalent values as of December 31, 2021, 2022, 2023, 2024 and 2025 for the valuation of outstanding SARs awarded to Messrs. Dimon and Pinto:</w:t>
      </w:r>
    </w:p>
    <w:p>
      <w:pPr>
        <w:spacing w:after="0" w:line="109" w:lineRule="exact"/>
        <w:rPr>
          <w:sz w:val="20"/>
          <w:szCs w:val="20"/>
          <w:color w:val="auto"/>
        </w:rPr>
      </w:pPr>
    </w:p>
    <w:tbl>
      <w:tblPr>
        <w:tblLayout w:type="fixed"/>
        <w:tblInd w:w="200" w:type="dxa"/>
        <w:tblCellMar>
          <w:top w:w="0" w:type="dxa"/>
          <w:left w:w="0" w:type="dxa"/>
          <w:bottom w:w="0" w:type="dxa"/>
          <w:right w:w="0" w:type="dxa"/>
        </w:tblCellMar>
      </w:tblPr>
      <w:tr>
        <w:trPr>
          <w:trHeight w:val="194"/>
        </w:trPr>
        <w:tc>
          <w:tcPr>
            <w:tcW w:w="2040" w:type="dxa"/>
            <w:vAlign w:val="bottom"/>
            <w:tcBorders>
              <w:bottom w:val="single" w:sz="8" w:color="F4EFE7"/>
            </w:tcBorders>
            <w:shd w:val="clear" w:color="auto" w:fill="F4EFE7"/>
          </w:tcPr>
          <w:p>
            <w:pPr>
              <w:spacing w:after="0"/>
              <w:rPr>
                <w:sz w:val="16"/>
                <w:szCs w:val="16"/>
                <w:color w:val="auto"/>
              </w:rPr>
            </w:pPr>
          </w:p>
        </w:tc>
        <w:tc>
          <w:tcPr>
            <w:tcW w:w="1160" w:type="dxa"/>
            <w:vAlign w:val="bottom"/>
            <w:tcBorders>
              <w:bottom w:val="single" w:sz="8" w:color="F4EFE7"/>
            </w:tcBorders>
            <w:shd w:val="clear" w:color="auto" w:fill="F4EFE7"/>
          </w:tcPr>
          <w:p>
            <w:pPr>
              <w:spacing w:after="0"/>
              <w:rPr>
                <w:sz w:val="16"/>
                <w:szCs w:val="16"/>
                <w:color w:val="auto"/>
              </w:rPr>
            </w:pPr>
          </w:p>
        </w:tc>
        <w:tc>
          <w:tcPr>
            <w:tcW w:w="240" w:type="dxa"/>
            <w:vAlign w:val="bottom"/>
            <w:tcBorders>
              <w:bottom w:val="single" w:sz="8" w:color="F4EFE7"/>
            </w:tcBorders>
            <w:shd w:val="clear" w:color="auto" w:fill="F4EFE7"/>
          </w:tcPr>
          <w:p>
            <w:pPr>
              <w:spacing w:after="0"/>
              <w:rPr>
                <w:sz w:val="16"/>
                <w:szCs w:val="16"/>
                <w:color w:val="auto"/>
              </w:rPr>
            </w:pPr>
          </w:p>
        </w:tc>
        <w:tc>
          <w:tcPr>
            <w:tcW w:w="840" w:type="dxa"/>
            <w:vAlign w:val="bottom"/>
            <w:tcBorders>
              <w:bottom w:val="single" w:sz="8" w:color="F4EFE7"/>
            </w:tcBorders>
            <w:shd w:val="clear" w:color="auto" w:fill="F4EFE7"/>
          </w:tcPr>
          <w:p>
            <w:pPr>
              <w:spacing w:after="0"/>
              <w:rPr>
                <w:sz w:val="16"/>
                <w:szCs w:val="16"/>
                <w:color w:val="auto"/>
              </w:rPr>
            </w:pPr>
          </w:p>
        </w:tc>
        <w:tc>
          <w:tcPr>
            <w:tcW w:w="320" w:type="dxa"/>
            <w:vAlign w:val="bottom"/>
            <w:tcBorders>
              <w:bottom w:val="single" w:sz="8" w:color="F4EFE7"/>
            </w:tcBorders>
            <w:shd w:val="clear" w:color="auto" w:fill="F4EFE7"/>
          </w:tcPr>
          <w:p>
            <w:pPr>
              <w:spacing w:after="0"/>
              <w:rPr>
                <w:sz w:val="16"/>
                <w:szCs w:val="16"/>
                <w:color w:val="auto"/>
              </w:rPr>
            </w:pPr>
          </w:p>
        </w:tc>
        <w:tc>
          <w:tcPr>
            <w:tcW w:w="700" w:type="dxa"/>
            <w:vAlign w:val="bottom"/>
            <w:tcBorders>
              <w:bottom w:val="single" w:sz="8" w:color="F4EFE7"/>
            </w:tcBorders>
            <w:shd w:val="clear" w:color="auto" w:fill="F4EFE7"/>
          </w:tcPr>
          <w:p>
            <w:pPr>
              <w:spacing w:after="0"/>
              <w:rPr>
                <w:sz w:val="16"/>
                <w:szCs w:val="16"/>
                <w:color w:val="auto"/>
              </w:rPr>
            </w:pPr>
          </w:p>
        </w:tc>
        <w:tc>
          <w:tcPr>
            <w:tcW w:w="1580" w:type="dxa"/>
            <w:vAlign w:val="bottom"/>
            <w:tcBorders>
              <w:bottom w:val="single" w:sz="8" w:color="F4EFE7"/>
            </w:tcBorders>
            <w:shd w:val="clear" w:color="auto" w:fill="F4EFE7"/>
          </w:tcPr>
          <w:p>
            <w:pPr>
              <w:spacing w:after="0"/>
              <w:rPr>
                <w:sz w:val="16"/>
                <w:szCs w:val="16"/>
                <w:color w:val="auto"/>
              </w:rPr>
            </w:pPr>
          </w:p>
        </w:tc>
        <w:tc>
          <w:tcPr>
            <w:tcW w:w="1700" w:type="dxa"/>
            <w:vAlign w:val="bottom"/>
            <w:tcBorders>
              <w:bottom w:val="single" w:sz="8" w:color="F4EFE7"/>
            </w:tcBorders>
            <w:shd w:val="clear" w:color="auto" w:fill="F4EFE7"/>
          </w:tcPr>
          <w:p>
            <w:pPr>
              <w:jc w:val="right"/>
              <w:ind w:right="126"/>
              <w:spacing w:after="0"/>
              <w:rPr>
                <w:sz w:val="20"/>
                <w:szCs w:val="20"/>
                <w:color w:val="auto"/>
              </w:rPr>
            </w:pPr>
            <w:r>
              <w:rPr>
                <w:rFonts w:ascii="Arial" w:cs="Arial" w:eastAsia="Arial" w:hAnsi="Arial"/>
                <w:sz w:val="11"/>
                <w:szCs w:val="11"/>
                <w:b w:val="1"/>
                <w:bCs w:val="1"/>
                <w:color w:val="8F5A39"/>
              </w:rPr>
              <w:t>Assumptions</w:t>
            </w:r>
          </w:p>
        </w:tc>
        <w:tc>
          <w:tcPr>
            <w:tcW w:w="1240" w:type="dxa"/>
            <w:vAlign w:val="bottom"/>
            <w:tcBorders>
              <w:bottom w:val="single" w:sz="8" w:color="F4EFE7"/>
            </w:tcBorders>
            <w:shd w:val="clear" w:color="auto" w:fill="F4EFE7"/>
          </w:tcPr>
          <w:p>
            <w:pPr>
              <w:spacing w:after="0"/>
              <w:rPr>
                <w:sz w:val="16"/>
                <w:szCs w:val="16"/>
                <w:color w:val="auto"/>
              </w:rPr>
            </w:pPr>
          </w:p>
        </w:tc>
        <w:tc>
          <w:tcPr>
            <w:tcW w:w="960" w:type="dxa"/>
            <w:vAlign w:val="bottom"/>
            <w:tcBorders>
              <w:bottom w:val="single" w:sz="8" w:color="F4EFE7"/>
            </w:tcBorders>
            <w:shd w:val="clear" w:color="auto" w:fill="F4EFE7"/>
          </w:tcPr>
          <w:p>
            <w:pPr>
              <w:spacing w:after="0"/>
              <w:rPr>
                <w:sz w:val="16"/>
                <w:szCs w:val="16"/>
                <w:color w:val="auto"/>
              </w:rPr>
            </w:pPr>
          </w:p>
        </w:tc>
      </w:tr>
      <w:tr>
        <w:trPr>
          <w:trHeight w:val="129"/>
        </w:trPr>
        <w:tc>
          <w:tcPr>
            <w:tcW w:w="2040" w:type="dxa"/>
            <w:vAlign w:val="bottom"/>
            <w:tcBorders>
              <w:top w:val="single" w:sz="8" w:color="F4EFE7"/>
            </w:tcBorders>
            <w:shd w:val="clear" w:color="auto" w:fill="F4EFE7"/>
          </w:tcPr>
          <w:p>
            <w:pPr>
              <w:spacing w:after="0"/>
              <w:rPr>
                <w:sz w:val="11"/>
                <w:szCs w:val="11"/>
                <w:color w:val="auto"/>
              </w:rPr>
            </w:pPr>
          </w:p>
        </w:tc>
        <w:tc>
          <w:tcPr>
            <w:tcW w:w="1160" w:type="dxa"/>
            <w:vAlign w:val="bottom"/>
            <w:tcBorders>
              <w:top w:val="single" w:sz="8" w:color="F4EFE7"/>
            </w:tcBorders>
            <w:shd w:val="clear" w:color="auto" w:fill="F4EFE7"/>
          </w:tcPr>
          <w:p>
            <w:pPr>
              <w:spacing w:after="0"/>
              <w:rPr>
                <w:sz w:val="11"/>
                <w:szCs w:val="11"/>
                <w:color w:val="auto"/>
              </w:rPr>
            </w:pPr>
          </w:p>
        </w:tc>
        <w:tc>
          <w:tcPr>
            <w:tcW w:w="240" w:type="dxa"/>
            <w:vAlign w:val="bottom"/>
            <w:tcBorders>
              <w:top w:val="single" w:sz="8" w:color="F4EFE7"/>
            </w:tcBorders>
            <w:shd w:val="clear" w:color="auto" w:fill="F4EFE7"/>
          </w:tcPr>
          <w:p>
            <w:pPr>
              <w:spacing w:after="0"/>
              <w:rPr>
                <w:sz w:val="11"/>
                <w:szCs w:val="11"/>
                <w:color w:val="auto"/>
              </w:rPr>
            </w:pPr>
          </w:p>
        </w:tc>
        <w:tc>
          <w:tcPr>
            <w:tcW w:w="840" w:type="dxa"/>
            <w:vAlign w:val="bottom"/>
            <w:tcBorders>
              <w:top w:val="single" w:sz="8" w:color="F4EFE7"/>
            </w:tcBorders>
            <w:shd w:val="clear" w:color="auto" w:fill="F4EFE7"/>
          </w:tcPr>
          <w:p>
            <w:pPr>
              <w:spacing w:after="0"/>
              <w:rPr>
                <w:sz w:val="11"/>
                <w:szCs w:val="11"/>
                <w:color w:val="auto"/>
              </w:rPr>
            </w:pPr>
          </w:p>
        </w:tc>
        <w:tc>
          <w:tcPr>
            <w:tcW w:w="320" w:type="dxa"/>
            <w:vAlign w:val="bottom"/>
            <w:tcBorders>
              <w:top w:val="single" w:sz="8" w:color="F4EFE7"/>
            </w:tcBorders>
            <w:shd w:val="clear" w:color="auto" w:fill="F4EFE7"/>
          </w:tcPr>
          <w:p>
            <w:pPr>
              <w:spacing w:after="0"/>
              <w:rPr>
                <w:sz w:val="11"/>
                <w:szCs w:val="11"/>
                <w:color w:val="auto"/>
              </w:rPr>
            </w:pPr>
          </w:p>
        </w:tc>
        <w:tc>
          <w:tcPr>
            <w:tcW w:w="700" w:type="dxa"/>
            <w:vAlign w:val="bottom"/>
            <w:tcBorders>
              <w:top w:val="single" w:sz="8" w:color="F4EFE7"/>
            </w:tcBorders>
            <w:shd w:val="clear" w:color="auto" w:fill="F4EFE7"/>
          </w:tcPr>
          <w:p>
            <w:pPr>
              <w:spacing w:after="0"/>
              <w:rPr>
                <w:sz w:val="11"/>
                <w:szCs w:val="11"/>
                <w:color w:val="auto"/>
              </w:rPr>
            </w:pPr>
          </w:p>
        </w:tc>
        <w:tc>
          <w:tcPr>
            <w:tcW w:w="1580" w:type="dxa"/>
            <w:vAlign w:val="bottom"/>
            <w:tcBorders>
              <w:top w:val="single" w:sz="8" w:color="auto"/>
            </w:tcBorders>
            <w:shd w:val="clear" w:color="auto" w:fill="F4EFE7"/>
          </w:tcPr>
          <w:p>
            <w:pPr>
              <w:spacing w:after="0"/>
              <w:rPr>
                <w:sz w:val="11"/>
                <w:szCs w:val="11"/>
                <w:color w:val="auto"/>
              </w:rPr>
            </w:pPr>
          </w:p>
        </w:tc>
        <w:tc>
          <w:tcPr>
            <w:tcW w:w="1700" w:type="dxa"/>
            <w:vAlign w:val="bottom"/>
            <w:tcBorders>
              <w:top w:val="single" w:sz="8" w:color="auto"/>
            </w:tcBorders>
            <w:shd w:val="clear" w:color="auto" w:fill="F4EFE7"/>
          </w:tcPr>
          <w:p>
            <w:pPr>
              <w:spacing w:after="0"/>
              <w:rPr>
                <w:sz w:val="11"/>
                <w:szCs w:val="11"/>
                <w:color w:val="auto"/>
              </w:rPr>
            </w:pPr>
          </w:p>
        </w:tc>
        <w:tc>
          <w:tcPr>
            <w:tcW w:w="1240" w:type="dxa"/>
            <w:vAlign w:val="bottom"/>
            <w:tcBorders>
              <w:top w:val="single" w:sz="8" w:color="auto"/>
            </w:tcBorders>
            <w:shd w:val="clear" w:color="auto" w:fill="F4EFE7"/>
          </w:tcPr>
          <w:p>
            <w:pPr>
              <w:jc w:val="right"/>
              <w:ind w:right="226"/>
              <w:spacing w:after="0"/>
              <w:rPr>
                <w:sz w:val="20"/>
                <w:szCs w:val="20"/>
                <w:color w:val="auto"/>
              </w:rPr>
            </w:pPr>
            <w:r>
              <w:rPr>
                <w:rFonts w:ascii="Arial" w:cs="Arial" w:eastAsia="Arial" w:hAnsi="Arial"/>
                <w:sz w:val="11"/>
                <w:szCs w:val="11"/>
                <w:b w:val="1"/>
                <w:bCs w:val="1"/>
                <w:color w:val="8F5A39"/>
              </w:rPr>
              <w:t>Expected</w:t>
            </w:r>
          </w:p>
        </w:tc>
        <w:tc>
          <w:tcPr>
            <w:tcW w:w="960" w:type="dxa"/>
            <w:vAlign w:val="bottom"/>
            <w:tcBorders>
              <w:top w:val="single" w:sz="8" w:color="auto"/>
            </w:tcBorders>
            <w:shd w:val="clear" w:color="auto" w:fill="F4EFE7"/>
          </w:tcPr>
          <w:p>
            <w:pPr>
              <w:jc w:val="right"/>
              <w:spacing w:after="0"/>
              <w:rPr>
                <w:sz w:val="20"/>
                <w:szCs w:val="20"/>
                <w:color w:val="auto"/>
              </w:rPr>
            </w:pPr>
            <w:r>
              <w:rPr>
                <w:rFonts w:ascii="Arial" w:cs="Arial" w:eastAsia="Arial" w:hAnsi="Arial"/>
                <w:sz w:val="11"/>
                <w:szCs w:val="11"/>
                <w:b w:val="1"/>
                <w:bCs w:val="1"/>
                <w:color w:val="8F5A39"/>
              </w:rPr>
              <w:t>Remaining</w:t>
            </w:r>
          </w:p>
        </w:tc>
      </w:tr>
      <w:tr>
        <w:trPr>
          <w:trHeight w:val="135"/>
        </w:trPr>
        <w:tc>
          <w:tcPr>
            <w:tcW w:w="2040" w:type="dxa"/>
            <w:vAlign w:val="bottom"/>
            <w:shd w:val="clear" w:color="auto" w:fill="F4EFE7"/>
          </w:tcPr>
          <w:p>
            <w:pPr>
              <w:spacing w:after="0"/>
              <w:rPr>
                <w:sz w:val="11"/>
                <w:szCs w:val="11"/>
                <w:color w:val="auto"/>
              </w:rPr>
            </w:pPr>
          </w:p>
        </w:tc>
        <w:tc>
          <w:tcPr>
            <w:tcW w:w="1160" w:type="dxa"/>
            <w:vAlign w:val="bottom"/>
            <w:shd w:val="clear" w:color="auto" w:fill="F4EFE7"/>
          </w:tcPr>
          <w:p>
            <w:pPr>
              <w:spacing w:after="0"/>
              <w:rPr>
                <w:sz w:val="11"/>
                <w:szCs w:val="11"/>
                <w:color w:val="auto"/>
              </w:rPr>
            </w:pPr>
          </w:p>
        </w:tc>
        <w:tc>
          <w:tcPr>
            <w:tcW w:w="240" w:type="dxa"/>
            <w:vAlign w:val="bottom"/>
            <w:shd w:val="clear" w:color="auto" w:fill="F4EFE7"/>
          </w:tcPr>
          <w:p>
            <w:pPr>
              <w:spacing w:after="0"/>
              <w:rPr>
                <w:sz w:val="11"/>
                <w:szCs w:val="11"/>
                <w:color w:val="auto"/>
              </w:rPr>
            </w:pPr>
          </w:p>
        </w:tc>
        <w:tc>
          <w:tcPr>
            <w:tcW w:w="840" w:type="dxa"/>
            <w:vAlign w:val="bottom"/>
            <w:shd w:val="clear" w:color="auto" w:fill="F4EFE7"/>
          </w:tcPr>
          <w:p>
            <w:pPr>
              <w:jc w:val="right"/>
              <w:ind w:right="126"/>
              <w:spacing w:after="0"/>
              <w:rPr>
                <w:sz w:val="20"/>
                <w:szCs w:val="20"/>
                <w:color w:val="auto"/>
              </w:rPr>
            </w:pPr>
            <w:r>
              <w:rPr>
                <w:rFonts w:ascii="Arial" w:cs="Arial" w:eastAsia="Arial" w:hAnsi="Arial"/>
                <w:sz w:val="11"/>
                <w:szCs w:val="11"/>
                <w:b w:val="1"/>
                <w:bCs w:val="1"/>
                <w:color w:val="8F5A39"/>
                <w:w w:val="96"/>
              </w:rPr>
              <w:t>Award strike</w:t>
            </w:r>
          </w:p>
        </w:tc>
        <w:tc>
          <w:tcPr>
            <w:tcW w:w="320" w:type="dxa"/>
            <w:vAlign w:val="bottom"/>
            <w:shd w:val="clear" w:color="auto" w:fill="F4EFE7"/>
          </w:tcPr>
          <w:p>
            <w:pPr>
              <w:spacing w:after="0"/>
              <w:rPr>
                <w:sz w:val="11"/>
                <w:szCs w:val="11"/>
                <w:color w:val="auto"/>
              </w:rPr>
            </w:pPr>
          </w:p>
        </w:tc>
        <w:tc>
          <w:tcPr>
            <w:tcW w:w="700" w:type="dxa"/>
            <w:vAlign w:val="bottom"/>
            <w:shd w:val="clear" w:color="auto" w:fill="F4EFE7"/>
          </w:tcPr>
          <w:p>
            <w:pPr>
              <w:jc w:val="right"/>
              <w:ind w:right="46"/>
              <w:spacing w:after="0"/>
              <w:rPr>
                <w:sz w:val="20"/>
                <w:szCs w:val="20"/>
                <w:color w:val="auto"/>
              </w:rPr>
            </w:pPr>
            <w:r>
              <w:rPr>
                <w:rFonts w:ascii="Arial" w:cs="Arial" w:eastAsia="Arial" w:hAnsi="Arial"/>
                <w:sz w:val="11"/>
                <w:szCs w:val="11"/>
                <w:b w:val="1"/>
                <w:bCs w:val="1"/>
                <w:color w:val="8F5A39"/>
              </w:rPr>
              <w:t>JPM stock</w:t>
            </w:r>
          </w:p>
        </w:tc>
        <w:tc>
          <w:tcPr>
            <w:tcW w:w="1580" w:type="dxa"/>
            <w:vAlign w:val="bottom"/>
            <w:shd w:val="clear" w:color="auto" w:fill="F4EFE7"/>
          </w:tcPr>
          <w:p>
            <w:pPr>
              <w:jc w:val="right"/>
              <w:ind w:right="286"/>
              <w:spacing w:after="0"/>
              <w:rPr>
                <w:sz w:val="20"/>
                <w:szCs w:val="20"/>
                <w:color w:val="auto"/>
              </w:rPr>
            </w:pPr>
            <w:r>
              <w:rPr>
                <w:rFonts w:ascii="Arial" w:cs="Arial" w:eastAsia="Arial" w:hAnsi="Arial"/>
                <w:sz w:val="11"/>
                <w:szCs w:val="11"/>
                <w:b w:val="1"/>
                <w:bCs w:val="1"/>
                <w:color w:val="8F5A39"/>
              </w:rPr>
              <w:t>Risk free</w:t>
            </w:r>
          </w:p>
        </w:tc>
        <w:tc>
          <w:tcPr>
            <w:tcW w:w="1700" w:type="dxa"/>
            <w:vAlign w:val="bottom"/>
            <w:shd w:val="clear" w:color="auto" w:fill="F4EFE7"/>
          </w:tcPr>
          <w:p>
            <w:pPr>
              <w:jc w:val="right"/>
              <w:ind w:right="426"/>
              <w:spacing w:after="0"/>
              <w:rPr>
                <w:sz w:val="20"/>
                <w:szCs w:val="20"/>
                <w:color w:val="auto"/>
              </w:rPr>
            </w:pPr>
            <w:r>
              <w:rPr>
                <w:rFonts w:ascii="Arial" w:cs="Arial" w:eastAsia="Arial" w:hAnsi="Arial"/>
                <w:sz w:val="11"/>
                <w:szCs w:val="11"/>
                <w:b w:val="1"/>
                <w:bCs w:val="1"/>
                <w:color w:val="8F5A39"/>
              </w:rPr>
              <w:t>Expected annual</w:t>
            </w:r>
          </w:p>
        </w:tc>
        <w:tc>
          <w:tcPr>
            <w:tcW w:w="1240" w:type="dxa"/>
            <w:vAlign w:val="bottom"/>
            <w:shd w:val="clear" w:color="auto" w:fill="F4EFE7"/>
          </w:tcPr>
          <w:p>
            <w:pPr>
              <w:jc w:val="right"/>
              <w:ind w:right="226"/>
              <w:spacing w:after="0"/>
              <w:rPr>
                <w:sz w:val="20"/>
                <w:szCs w:val="20"/>
                <w:color w:val="auto"/>
              </w:rPr>
            </w:pPr>
            <w:r>
              <w:rPr>
                <w:rFonts w:ascii="Arial" w:cs="Arial" w:eastAsia="Arial" w:hAnsi="Arial"/>
                <w:sz w:val="11"/>
                <w:szCs w:val="11"/>
                <w:b w:val="1"/>
                <w:bCs w:val="1"/>
                <w:color w:val="8F5A39"/>
              </w:rPr>
              <w:t>common stock</w:t>
            </w:r>
          </w:p>
        </w:tc>
        <w:tc>
          <w:tcPr>
            <w:tcW w:w="960" w:type="dxa"/>
            <w:vAlign w:val="bottom"/>
            <w:shd w:val="clear" w:color="auto" w:fill="F4EFE7"/>
          </w:tcPr>
          <w:p>
            <w:pPr>
              <w:jc w:val="right"/>
              <w:spacing w:after="0"/>
              <w:rPr>
                <w:sz w:val="20"/>
                <w:szCs w:val="20"/>
                <w:color w:val="auto"/>
              </w:rPr>
            </w:pPr>
            <w:r>
              <w:rPr>
                <w:rFonts w:ascii="Arial" w:cs="Arial" w:eastAsia="Arial" w:hAnsi="Arial"/>
                <w:sz w:val="11"/>
                <w:szCs w:val="11"/>
                <w:b w:val="1"/>
                <w:bCs w:val="1"/>
                <w:color w:val="8F5A39"/>
              </w:rPr>
              <w:t>expected life</w:t>
            </w:r>
          </w:p>
        </w:tc>
      </w:tr>
      <w:tr>
        <w:trPr>
          <w:trHeight w:val="180"/>
        </w:trPr>
        <w:tc>
          <w:tcPr>
            <w:tcW w:w="2040" w:type="dxa"/>
            <w:vAlign w:val="bottom"/>
            <w:tcBorders>
              <w:bottom w:val="single" w:sz="8" w:color="F4EFE7"/>
            </w:tcBorders>
            <w:shd w:val="clear" w:color="auto" w:fill="F4EFE7"/>
          </w:tcPr>
          <w:p>
            <w:pPr>
              <w:ind w:left="20"/>
              <w:spacing w:after="0"/>
              <w:rPr>
                <w:sz w:val="20"/>
                <w:szCs w:val="20"/>
                <w:color w:val="auto"/>
              </w:rPr>
            </w:pPr>
            <w:r>
              <w:rPr>
                <w:rFonts w:ascii="Arial" w:cs="Arial" w:eastAsia="Arial" w:hAnsi="Arial"/>
                <w:sz w:val="11"/>
                <w:szCs w:val="11"/>
                <w:b w:val="1"/>
                <w:bCs w:val="1"/>
                <w:color w:val="8F5A39"/>
              </w:rPr>
              <w:t>Name</w:t>
            </w:r>
          </w:p>
        </w:tc>
        <w:tc>
          <w:tcPr>
            <w:tcW w:w="1160" w:type="dxa"/>
            <w:vAlign w:val="bottom"/>
            <w:tcBorders>
              <w:bottom w:val="single" w:sz="8" w:color="F4EFE7"/>
            </w:tcBorders>
            <w:shd w:val="clear" w:color="auto" w:fill="F4EFE7"/>
          </w:tcPr>
          <w:p>
            <w:pPr>
              <w:jc w:val="right"/>
              <w:ind w:right="346"/>
              <w:spacing w:after="0"/>
              <w:rPr>
                <w:sz w:val="20"/>
                <w:szCs w:val="20"/>
                <w:color w:val="auto"/>
              </w:rPr>
            </w:pPr>
            <w:r>
              <w:rPr>
                <w:rFonts w:ascii="Arial" w:cs="Arial" w:eastAsia="Arial" w:hAnsi="Arial"/>
                <w:sz w:val="11"/>
                <w:szCs w:val="11"/>
                <w:b w:val="1"/>
                <w:bCs w:val="1"/>
                <w:color w:val="8F5A39"/>
              </w:rPr>
              <w:t>As of date</w:t>
            </w:r>
          </w:p>
        </w:tc>
        <w:tc>
          <w:tcPr>
            <w:tcW w:w="240" w:type="dxa"/>
            <w:vAlign w:val="bottom"/>
            <w:tcBorders>
              <w:bottom w:val="single" w:sz="8" w:color="F4EFE7"/>
            </w:tcBorders>
            <w:shd w:val="clear" w:color="auto" w:fill="F4EFE7"/>
          </w:tcPr>
          <w:p>
            <w:pPr>
              <w:spacing w:after="0"/>
              <w:rPr>
                <w:sz w:val="15"/>
                <w:szCs w:val="15"/>
                <w:color w:val="auto"/>
              </w:rPr>
            </w:pPr>
          </w:p>
        </w:tc>
        <w:tc>
          <w:tcPr>
            <w:tcW w:w="840" w:type="dxa"/>
            <w:vAlign w:val="bottom"/>
            <w:tcBorders>
              <w:bottom w:val="single" w:sz="8" w:color="F4EFE7"/>
            </w:tcBorders>
            <w:shd w:val="clear" w:color="auto" w:fill="F4EFE7"/>
          </w:tcPr>
          <w:p>
            <w:pPr>
              <w:jc w:val="right"/>
              <w:ind w:right="126"/>
              <w:spacing w:after="0"/>
              <w:rPr>
                <w:sz w:val="20"/>
                <w:szCs w:val="20"/>
                <w:color w:val="auto"/>
              </w:rPr>
            </w:pPr>
            <w:r>
              <w:rPr>
                <w:rFonts w:ascii="Arial" w:cs="Arial" w:eastAsia="Arial" w:hAnsi="Arial"/>
                <w:sz w:val="11"/>
                <w:szCs w:val="11"/>
                <w:b w:val="1"/>
                <w:bCs w:val="1"/>
                <w:color w:val="8F5A39"/>
              </w:rPr>
              <w:t>price</w:t>
            </w:r>
          </w:p>
        </w:tc>
        <w:tc>
          <w:tcPr>
            <w:tcW w:w="320" w:type="dxa"/>
            <w:vAlign w:val="bottom"/>
            <w:tcBorders>
              <w:bottom w:val="single" w:sz="8" w:color="F4EFE7"/>
            </w:tcBorders>
            <w:shd w:val="clear" w:color="auto" w:fill="F4EFE7"/>
          </w:tcPr>
          <w:p>
            <w:pPr>
              <w:spacing w:after="0"/>
              <w:rPr>
                <w:sz w:val="15"/>
                <w:szCs w:val="15"/>
                <w:color w:val="auto"/>
              </w:rPr>
            </w:pPr>
          </w:p>
        </w:tc>
        <w:tc>
          <w:tcPr>
            <w:tcW w:w="700" w:type="dxa"/>
            <w:vAlign w:val="bottom"/>
            <w:tcBorders>
              <w:bottom w:val="single" w:sz="8" w:color="F4EFE7"/>
            </w:tcBorders>
            <w:shd w:val="clear" w:color="auto" w:fill="F4EFE7"/>
          </w:tcPr>
          <w:p>
            <w:pPr>
              <w:jc w:val="right"/>
              <w:ind w:right="46"/>
              <w:spacing w:after="0"/>
              <w:rPr>
                <w:sz w:val="20"/>
                <w:szCs w:val="20"/>
                <w:color w:val="auto"/>
              </w:rPr>
            </w:pPr>
            <w:r>
              <w:rPr>
                <w:rFonts w:ascii="Arial" w:cs="Arial" w:eastAsia="Arial" w:hAnsi="Arial"/>
                <w:sz w:val="11"/>
                <w:szCs w:val="11"/>
                <w:b w:val="1"/>
                <w:bCs w:val="1"/>
                <w:color w:val="8F5A39"/>
              </w:rPr>
              <w:t>price</w:t>
            </w:r>
          </w:p>
        </w:tc>
        <w:tc>
          <w:tcPr>
            <w:tcW w:w="1580" w:type="dxa"/>
            <w:vAlign w:val="bottom"/>
            <w:tcBorders>
              <w:bottom w:val="single" w:sz="8" w:color="F4EFE7"/>
            </w:tcBorders>
            <w:shd w:val="clear" w:color="auto" w:fill="F4EFE7"/>
          </w:tcPr>
          <w:p>
            <w:pPr>
              <w:jc w:val="right"/>
              <w:ind w:right="286"/>
              <w:spacing w:after="0"/>
              <w:rPr>
                <w:sz w:val="20"/>
                <w:szCs w:val="20"/>
                <w:color w:val="auto"/>
              </w:rPr>
            </w:pPr>
            <w:r>
              <w:rPr>
                <w:rFonts w:ascii="Arial" w:cs="Arial" w:eastAsia="Arial" w:hAnsi="Arial"/>
                <w:sz w:val="11"/>
                <w:szCs w:val="11"/>
                <w:b w:val="1"/>
                <w:bCs w:val="1"/>
                <w:color w:val="8F5A39"/>
              </w:rPr>
              <w:t>interest rate</w:t>
            </w:r>
          </w:p>
        </w:tc>
        <w:tc>
          <w:tcPr>
            <w:tcW w:w="1700" w:type="dxa"/>
            <w:vAlign w:val="bottom"/>
            <w:tcBorders>
              <w:bottom w:val="single" w:sz="8" w:color="F4EFE7"/>
            </w:tcBorders>
            <w:shd w:val="clear" w:color="auto" w:fill="F4EFE7"/>
          </w:tcPr>
          <w:p>
            <w:pPr>
              <w:jc w:val="right"/>
              <w:ind w:right="426"/>
              <w:spacing w:after="0"/>
              <w:rPr>
                <w:sz w:val="20"/>
                <w:szCs w:val="20"/>
                <w:color w:val="auto"/>
              </w:rPr>
            </w:pPr>
            <w:r>
              <w:rPr>
                <w:rFonts w:ascii="Arial" w:cs="Arial" w:eastAsia="Arial" w:hAnsi="Arial"/>
                <w:sz w:val="11"/>
                <w:szCs w:val="11"/>
                <w:b w:val="1"/>
                <w:bCs w:val="1"/>
                <w:color w:val="8F5A39"/>
              </w:rPr>
              <w:t>dividend yield</w:t>
            </w:r>
          </w:p>
        </w:tc>
        <w:tc>
          <w:tcPr>
            <w:tcW w:w="1240" w:type="dxa"/>
            <w:vAlign w:val="bottom"/>
            <w:tcBorders>
              <w:bottom w:val="single" w:sz="8" w:color="F4EFE7"/>
            </w:tcBorders>
            <w:shd w:val="clear" w:color="auto" w:fill="F4EFE7"/>
          </w:tcPr>
          <w:p>
            <w:pPr>
              <w:jc w:val="right"/>
              <w:ind w:right="226"/>
              <w:spacing w:after="0"/>
              <w:rPr>
                <w:sz w:val="20"/>
                <w:szCs w:val="20"/>
                <w:color w:val="auto"/>
              </w:rPr>
            </w:pPr>
            <w:r>
              <w:rPr>
                <w:rFonts w:ascii="Arial" w:cs="Arial" w:eastAsia="Arial" w:hAnsi="Arial"/>
                <w:sz w:val="11"/>
                <w:szCs w:val="11"/>
                <w:b w:val="1"/>
                <w:bCs w:val="1"/>
                <w:color w:val="8F5A39"/>
              </w:rPr>
              <w:t>price volatility</w:t>
            </w:r>
          </w:p>
        </w:tc>
        <w:tc>
          <w:tcPr>
            <w:tcW w:w="960" w:type="dxa"/>
            <w:vAlign w:val="bottom"/>
            <w:tcBorders>
              <w:bottom w:val="single" w:sz="8" w:color="F4EFE7"/>
            </w:tcBorders>
            <w:shd w:val="clear" w:color="auto" w:fill="F4EFE7"/>
          </w:tcPr>
          <w:p>
            <w:pPr>
              <w:jc w:val="right"/>
              <w:spacing w:after="0"/>
              <w:rPr>
                <w:sz w:val="20"/>
                <w:szCs w:val="20"/>
                <w:color w:val="auto"/>
              </w:rPr>
            </w:pPr>
            <w:r>
              <w:rPr>
                <w:rFonts w:ascii="Arial" w:cs="Arial" w:eastAsia="Arial" w:hAnsi="Arial"/>
                <w:sz w:val="11"/>
                <w:szCs w:val="11"/>
                <w:b w:val="1"/>
                <w:bCs w:val="1"/>
                <w:color w:val="8F5A39"/>
              </w:rPr>
              <w:t>in years</w:t>
            </w:r>
          </w:p>
        </w:tc>
      </w:tr>
      <w:tr>
        <w:trPr>
          <w:trHeight w:val="155"/>
        </w:trPr>
        <w:tc>
          <w:tcPr>
            <w:tcW w:w="204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8F5A39"/>
              </w:rPr>
              <w:t>James Dimon</w:t>
            </w:r>
          </w:p>
        </w:tc>
        <w:tc>
          <w:tcPr>
            <w:tcW w:w="11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rPr>
              <w:t>7/20/2021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tcBorders>
          </w:tcPr>
          <w:p>
            <w:pPr>
              <w:jc w:val="right"/>
              <w:ind w:right="166"/>
              <w:spacing w:after="0"/>
              <w:rPr>
                <w:sz w:val="20"/>
                <w:szCs w:val="20"/>
                <w:color w:val="auto"/>
              </w:rPr>
            </w:pPr>
            <w:r>
              <w:rPr>
                <w:rFonts w:ascii="Arial" w:cs="Arial" w:eastAsia="Arial" w:hAnsi="Arial"/>
                <w:sz w:val="11"/>
                <w:szCs w:val="11"/>
                <w:color w:val="auto"/>
              </w:rPr>
              <w:t>148.73</w:t>
            </w:r>
          </w:p>
        </w:tc>
        <w:tc>
          <w:tcPr>
            <w:tcW w:w="3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148.73</w:t>
            </w:r>
          </w:p>
        </w:tc>
        <w:tc>
          <w:tcPr>
            <w:tcW w:w="1580" w:type="dxa"/>
            <w:vAlign w:val="bottom"/>
            <w:tcBorders>
              <w:top w:val="single" w:sz="8" w:color="auto"/>
            </w:tcBorders>
          </w:tcPr>
          <w:p>
            <w:pPr>
              <w:jc w:val="right"/>
              <w:ind w:right="306"/>
              <w:spacing w:after="0"/>
              <w:rPr>
                <w:sz w:val="20"/>
                <w:szCs w:val="20"/>
                <w:color w:val="auto"/>
              </w:rPr>
            </w:pPr>
            <w:r>
              <w:rPr>
                <w:rFonts w:ascii="Arial" w:cs="Arial" w:eastAsia="Arial" w:hAnsi="Arial"/>
                <w:sz w:val="11"/>
                <w:szCs w:val="11"/>
                <w:color w:val="auto"/>
              </w:rPr>
              <w:t>1.23%</w:t>
            </w:r>
          </w:p>
        </w:tc>
        <w:tc>
          <w:tcPr>
            <w:tcW w:w="1700" w:type="dxa"/>
            <w:vAlign w:val="bottom"/>
            <w:tcBorders>
              <w:top w:val="single" w:sz="8" w:color="auto"/>
            </w:tcBorders>
          </w:tcPr>
          <w:p>
            <w:pPr>
              <w:jc w:val="right"/>
              <w:ind w:right="426"/>
              <w:spacing w:after="0"/>
              <w:rPr>
                <w:sz w:val="20"/>
                <w:szCs w:val="20"/>
                <w:color w:val="auto"/>
              </w:rPr>
            </w:pPr>
            <w:r>
              <w:rPr>
                <w:rFonts w:ascii="Arial" w:cs="Arial" w:eastAsia="Arial" w:hAnsi="Arial"/>
                <w:sz w:val="11"/>
                <w:szCs w:val="11"/>
                <w:color w:val="auto"/>
              </w:rPr>
              <w:t>2.69%</w:t>
            </w:r>
          </w:p>
        </w:tc>
        <w:tc>
          <w:tcPr>
            <w:tcW w:w="1240" w:type="dxa"/>
            <w:vAlign w:val="bottom"/>
            <w:tcBorders>
              <w:top w:val="single" w:sz="8" w:color="auto"/>
            </w:tcBorders>
          </w:tcPr>
          <w:p>
            <w:pPr>
              <w:jc w:val="right"/>
              <w:ind w:right="226"/>
              <w:spacing w:after="0"/>
              <w:rPr>
                <w:sz w:val="20"/>
                <w:szCs w:val="20"/>
                <w:color w:val="auto"/>
              </w:rPr>
            </w:pPr>
            <w:r>
              <w:rPr>
                <w:rFonts w:ascii="Arial" w:cs="Arial" w:eastAsia="Arial" w:hAnsi="Arial"/>
                <w:sz w:val="11"/>
                <w:szCs w:val="11"/>
                <w:color w:val="auto"/>
              </w:rPr>
              <w:t>27.49%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w:t>
            </w:r>
          </w:p>
        </w:tc>
      </w:tr>
      <w:tr>
        <w:trPr>
          <w:trHeight w:val="28"/>
        </w:trPr>
        <w:tc>
          <w:tcPr>
            <w:tcW w:w="2040" w:type="dxa"/>
            <w:vAlign w:val="bottom"/>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70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149"/>
        </w:trPr>
        <w:tc>
          <w:tcPr>
            <w:tcW w:w="2040" w:type="dxa"/>
            <w:vAlign w:val="bottom"/>
          </w:tcPr>
          <w:p>
            <w:pPr>
              <w:spacing w:after="0"/>
              <w:rPr>
                <w:sz w:val="12"/>
                <w:szCs w:val="12"/>
                <w:color w:val="auto"/>
              </w:rPr>
            </w:pPr>
          </w:p>
        </w:tc>
        <w:tc>
          <w:tcPr>
            <w:tcW w:w="1160" w:type="dxa"/>
            <w:vAlign w:val="bottom"/>
          </w:tcPr>
          <w:p>
            <w:pPr>
              <w:jc w:val="right"/>
              <w:ind w:right="126"/>
              <w:spacing w:after="0"/>
              <w:rPr>
                <w:sz w:val="20"/>
                <w:szCs w:val="20"/>
                <w:color w:val="auto"/>
              </w:rPr>
            </w:pPr>
            <w:r>
              <w:rPr>
                <w:rFonts w:ascii="Arial" w:cs="Arial" w:eastAsia="Arial" w:hAnsi="Arial"/>
                <w:sz w:val="11"/>
                <w:szCs w:val="11"/>
                <w:color w:val="auto"/>
              </w:rPr>
              <w:t>12/31/2021</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66"/>
              <w:spacing w:after="0"/>
              <w:rPr>
                <w:sz w:val="20"/>
                <w:szCs w:val="20"/>
                <w:color w:val="auto"/>
              </w:rPr>
            </w:pPr>
            <w:r>
              <w:rPr>
                <w:rFonts w:ascii="Arial" w:cs="Arial" w:eastAsia="Arial" w:hAnsi="Arial"/>
                <w:sz w:val="11"/>
                <w:szCs w:val="11"/>
                <w:color w:val="auto"/>
              </w:rPr>
              <w:t>148.73</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158.63</w:t>
            </w:r>
          </w:p>
        </w:tc>
        <w:tc>
          <w:tcPr>
            <w:tcW w:w="1580" w:type="dxa"/>
            <w:vAlign w:val="bottom"/>
          </w:tcPr>
          <w:p>
            <w:pPr>
              <w:jc w:val="right"/>
              <w:ind w:right="306"/>
              <w:spacing w:after="0"/>
              <w:rPr>
                <w:sz w:val="20"/>
                <w:szCs w:val="20"/>
                <w:color w:val="auto"/>
              </w:rPr>
            </w:pPr>
            <w:r>
              <w:rPr>
                <w:rFonts w:ascii="Arial" w:cs="Arial" w:eastAsia="Arial" w:hAnsi="Arial"/>
                <w:sz w:val="11"/>
                <w:szCs w:val="11"/>
                <w:color w:val="auto"/>
              </w:rPr>
              <w:t>1.52%</w:t>
            </w:r>
          </w:p>
        </w:tc>
        <w:tc>
          <w:tcPr>
            <w:tcW w:w="1700" w:type="dxa"/>
            <w:vAlign w:val="bottom"/>
          </w:tcPr>
          <w:p>
            <w:pPr>
              <w:jc w:val="right"/>
              <w:ind w:right="426"/>
              <w:spacing w:after="0"/>
              <w:rPr>
                <w:sz w:val="20"/>
                <w:szCs w:val="20"/>
                <w:color w:val="auto"/>
              </w:rPr>
            </w:pPr>
            <w:r>
              <w:rPr>
                <w:rFonts w:ascii="Arial" w:cs="Arial" w:eastAsia="Arial" w:hAnsi="Arial"/>
                <w:sz w:val="11"/>
                <w:szCs w:val="11"/>
                <w:color w:val="auto"/>
              </w:rPr>
              <w:t>2.58%</w:t>
            </w:r>
          </w:p>
        </w:tc>
        <w:tc>
          <w:tcPr>
            <w:tcW w:w="1240" w:type="dxa"/>
            <w:vAlign w:val="bottom"/>
          </w:tcPr>
          <w:p>
            <w:pPr>
              <w:jc w:val="right"/>
              <w:ind w:right="226"/>
              <w:spacing w:after="0"/>
              <w:rPr>
                <w:sz w:val="20"/>
                <w:szCs w:val="20"/>
                <w:color w:val="auto"/>
              </w:rPr>
            </w:pPr>
            <w:r>
              <w:rPr>
                <w:rFonts w:ascii="Arial" w:cs="Arial" w:eastAsia="Arial" w:hAnsi="Arial"/>
                <w:sz w:val="11"/>
                <w:szCs w:val="11"/>
                <w:color w:val="auto"/>
              </w:rPr>
              <w:t>26.23%</w:t>
            </w:r>
          </w:p>
        </w:tc>
        <w:tc>
          <w:tcPr>
            <w:tcW w:w="96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33"/>
        </w:trPr>
        <w:tc>
          <w:tcPr>
            <w:tcW w:w="2040" w:type="dxa"/>
            <w:vAlign w:val="bottom"/>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70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149"/>
        </w:trPr>
        <w:tc>
          <w:tcPr>
            <w:tcW w:w="2040" w:type="dxa"/>
            <w:vAlign w:val="bottom"/>
          </w:tcPr>
          <w:p>
            <w:pPr>
              <w:spacing w:after="0"/>
              <w:rPr>
                <w:sz w:val="12"/>
                <w:szCs w:val="12"/>
                <w:color w:val="auto"/>
              </w:rPr>
            </w:pPr>
          </w:p>
        </w:tc>
        <w:tc>
          <w:tcPr>
            <w:tcW w:w="1160" w:type="dxa"/>
            <w:vAlign w:val="bottom"/>
          </w:tcPr>
          <w:p>
            <w:pPr>
              <w:jc w:val="right"/>
              <w:ind w:right="126"/>
              <w:spacing w:after="0"/>
              <w:rPr>
                <w:sz w:val="20"/>
                <w:szCs w:val="20"/>
                <w:color w:val="auto"/>
              </w:rPr>
            </w:pPr>
            <w:r>
              <w:rPr>
                <w:rFonts w:ascii="Arial" w:cs="Arial" w:eastAsia="Arial" w:hAnsi="Arial"/>
                <w:sz w:val="11"/>
                <w:szCs w:val="11"/>
                <w:color w:val="auto"/>
              </w:rPr>
              <w:t>12/31/2022</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66"/>
              <w:spacing w:after="0"/>
              <w:rPr>
                <w:sz w:val="20"/>
                <w:szCs w:val="20"/>
                <w:color w:val="auto"/>
              </w:rPr>
            </w:pPr>
            <w:r>
              <w:rPr>
                <w:rFonts w:ascii="Arial" w:cs="Arial" w:eastAsia="Arial" w:hAnsi="Arial"/>
                <w:sz w:val="11"/>
                <w:szCs w:val="11"/>
                <w:color w:val="auto"/>
              </w:rPr>
              <w:t>148.73</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133.39</w:t>
            </w:r>
          </w:p>
        </w:tc>
        <w:tc>
          <w:tcPr>
            <w:tcW w:w="1580" w:type="dxa"/>
            <w:vAlign w:val="bottom"/>
          </w:tcPr>
          <w:p>
            <w:pPr>
              <w:jc w:val="right"/>
              <w:ind w:right="306"/>
              <w:spacing w:after="0"/>
              <w:rPr>
                <w:sz w:val="20"/>
                <w:szCs w:val="20"/>
                <w:color w:val="auto"/>
              </w:rPr>
            </w:pPr>
            <w:r>
              <w:rPr>
                <w:rFonts w:ascii="Arial" w:cs="Arial" w:eastAsia="Arial" w:hAnsi="Arial"/>
                <w:sz w:val="11"/>
                <w:szCs w:val="11"/>
                <w:color w:val="auto"/>
              </w:rPr>
              <w:t>3.88%</w:t>
            </w:r>
          </w:p>
        </w:tc>
        <w:tc>
          <w:tcPr>
            <w:tcW w:w="1700" w:type="dxa"/>
            <w:vAlign w:val="bottom"/>
          </w:tcPr>
          <w:p>
            <w:pPr>
              <w:jc w:val="right"/>
              <w:ind w:right="426"/>
              <w:spacing w:after="0"/>
              <w:rPr>
                <w:sz w:val="20"/>
                <w:szCs w:val="20"/>
                <w:color w:val="auto"/>
              </w:rPr>
            </w:pPr>
            <w:r>
              <w:rPr>
                <w:rFonts w:ascii="Arial" w:cs="Arial" w:eastAsia="Arial" w:hAnsi="Arial"/>
                <w:sz w:val="11"/>
                <w:szCs w:val="11"/>
                <w:color w:val="auto"/>
              </w:rPr>
              <w:t>3.07%</w:t>
            </w:r>
          </w:p>
        </w:tc>
        <w:tc>
          <w:tcPr>
            <w:tcW w:w="1240" w:type="dxa"/>
            <w:vAlign w:val="bottom"/>
          </w:tcPr>
          <w:p>
            <w:pPr>
              <w:jc w:val="right"/>
              <w:ind w:right="226"/>
              <w:spacing w:after="0"/>
              <w:rPr>
                <w:sz w:val="20"/>
                <w:szCs w:val="20"/>
                <w:color w:val="auto"/>
              </w:rPr>
            </w:pPr>
            <w:r>
              <w:rPr>
                <w:rFonts w:ascii="Arial" w:cs="Arial" w:eastAsia="Arial" w:hAnsi="Arial"/>
                <w:sz w:val="11"/>
                <w:szCs w:val="11"/>
                <w:color w:val="auto"/>
              </w:rPr>
              <w:t>29.02%</w:t>
            </w:r>
          </w:p>
        </w:tc>
        <w:tc>
          <w:tcPr>
            <w:tcW w:w="960" w:type="dxa"/>
            <w:vAlign w:val="bottom"/>
          </w:tcPr>
          <w:p>
            <w:pPr>
              <w:jc w:val="right"/>
              <w:spacing w:after="0"/>
              <w:rPr>
                <w:sz w:val="20"/>
                <w:szCs w:val="20"/>
                <w:color w:val="auto"/>
              </w:rPr>
            </w:pPr>
            <w:r>
              <w:rPr>
                <w:rFonts w:ascii="Arial" w:cs="Arial" w:eastAsia="Arial" w:hAnsi="Arial"/>
                <w:sz w:val="11"/>
                <w:szCs w:val="11"/>
                <w:color w:val="auto"/>
              </w:rPr>
              <w:t>9</w:t>
            </w:r>
          </w:p>
        </w:tc>
      </w:tr>
      <w:tr>
        <w:trPr>
          <w:trHeight w:val="33"/>
        </w:trPr>
        <w:tc>
          <w:tcPr>
            <w:tcW w:w="2040" w:type="dxa"/>
            <w:vAlign w:val="bottom"/>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70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149"/>
        </w:trPr>
        <w:tc>
          <w:tcPr>
            <w:tcW w:w="2040" w:type="dxa"/>
            <w:vAlign w:val="bottom"/>
          </w:tcPr>
          <w:p>
            <w:pPr>
              <w:spacing w:after="0"/>
              <w:rPr>
                <w:sz w:val="12"/>
                <w:szCs w:val="12"/>
                <w:color w:val="auto"/>
              </w:rPr>
            </w:pPr>
          </w:p>
        </w:tc>
        <w:tc>
          <w:tcPr>
            <w:tcW w:w="1160" w:type="dxa"/>
            <w:vAlign w:val="bottom"/>
          </w:tcPr>
          <w:p>
            <w:pPr>
              <w:jc w:val="right"/>
              <w:ind w:right="126"/>
              <w:spacing w:after="0"/>
              <w:rPr>
                <w:sz w:val="20"/>
                <w:szCs w:val="20"/>
                <w:color w:val="auto"/>
              </w:rPr>
            </w:pPr>
            <w:r>
              <w:rPr>
                <w:rFonts w:ascii="Arial" w:cs="Arial" w:eastAsia="Arial" w:hAnsi="Arial"/>
                <w:sz w:val="11"/>
                <w:szCs w:val="11"/>
                <w:color w:val="auto"/>
              </w:rPr>
              <w:t>12/31/2023</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66"/>
              <w:spacing w:after="0"/>
              <w:rPr>
                <w:sz w:val="20"/>
                <w:szCs w:val="20"/>
                <w:color w:val="auto"/>
              </w:rPr>
            </w:pPr>
            <w:r>
              <w:rPr>
                <w:rFonts w:ascii="Arial" w:cs="Arial" w:eastAsia="Arial" w:hAnsi="Arial"/>
                <w:sz w:val="11"/>
                <w:szCs w:val="11"/>
                <w:color w:val="auto"/>
              </w:rPr>
              <w:t>148.73</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170.16</w:t>
            </w:r>
          </w:p>
        </w:tc>
        <w:tc>
          <w:tcPr>
            <w:tcW w:w="1580" w:type="dxa"/>
            <w:vAlign w:val="bottom"/>
          </w:tcPr>
          <w:p>
            <w:pPr>
              <w:jc w:val="right"/>
              <w:ind w:right="306"/>
              <w:spacing w:after="0"/>
              <w:rPr>
                <w:sz w:val="20"/>
                <w:szCs w:val="20"/>
                <w:color w:val="auto"/>
              </w:rPr>
            </w:pPr>
            <w:r>
              <w:rPr>
                <w:rFonts w:ascii="Arial" w:cs="Arial" w:eastAsia="Arial" w:hAnsi="Arial"/>
                <w:sz w:val="11"/>
                <w:szCs w:val="11"/>
                <w:color w:val="auto"/>
              </w:rPr>
              <w:t>3.88%</w:t>
            </w:r>
          </w:p>
        </w:tc>
        <w:tc>
          <w:tcPr>
            <w:tcW w:w="1700" w:type="dxa"/>
            <w:vAlign w:val="bottom"/>
          </w:tcPr>
          <w:p>
            <w:pPr>
              <w:jc w:val="right"/>
              <w:ind w:right="426"/>
              <w:spacing w:after="0"/>
              <w:rPr>
                <w:sz w:val="20"/>
                <w:szCs w:val="20"/>
                <w:color w:val="auto"/>
              </w:rPr>
            </w:pPr>
            <w:r>
              <w:rPr>
                <w:rFonts w:ascii="Arial" w:cs="Arial" w:eastAsia="Arial" w:hAnsi="Arial"/>
                <w:sz w:val="11"/>
                <w:szCs w:val="11"/>
                <w:color w:val="auto"/>
              </w:rPr>
              <w:t>2.53%</w:t>
            </w:r>
          </w:p>
        </w:tc>
        <w:tc>
          <w:tcPr>
            <w:tcW w:w="1240" w:type="dxa"/>
            <w:vAlign w:val="bottom"/>
          </w:tcPr>
          <w:p>
            <w:pPr>
              <w:jc w:val="right"/>
              <w:ind w:right="226"/>
              <w:spacing w:after="0"/>
              <w:rPr>
                <w:sz w:val="20"/>
                <w:szCs w:val="20"/>
                <w:color w:val="auto"/>
              </w:rPr>
            </w:pPr>
            <w:r>
              <w:rPr>
                <w:rFonts w:ascii="Arial" w:cs="Arial" w:eastAsia="Arial" w:hAnsi="Arial"/>
                <w:sz w:val="11"/>
                <w:szCs w:val="11"/>
                <w:color w:val="auto"/>
              </w:rPr>
              <w:t>24.51%</w:t>
            </w:r>
          </w:p>
        </w:tc>
        <w:tc>
          <w:tcPr>
            <w:tcW w:w="96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33"/>
        </w:trPr>
        <w:tc>
          <w:tcPr>
            <w:tcW w:w="2040" w:type="dxa"/>
            <w:vAlign w:val="bottom"/>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70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149"/>
        </w:trPr>
        <w:tc>
          <w:tcPr>
            <w:tcW w:w="2040" w:type="dxa"/>
            <w:vAlign w:val="bottom"/>
          </w:tcPr>
          <w:p>
            <w:pPr>
              <w:spacing w:after="0"/>
              <w:rPr>
                <w:sz w:val="12"/>
                <w:szCs w:val="12"/>
                <w:color w:val="auto"/>
              </w:rPr>
            </w:pPr>
          </w:p>
        </w:tc>
        <w:tc>
          <w:tcPr>
            <w:tcW w:w="1160" w:type="dxa"/>
            <w:vAlign w:val="bottom"/>
          </w:tcPr>
          <w:p>
            <w:pPr>
              <w:jc w:val="right"/>
              <w:ind w:right="126"/>
              <w:spacing w:after="0"/>
              <w:rPr>
                <w:sz w:val="20"/>
                <w:szCs w:val="20"/>
                <w:color w:val="auto"/>
              </w:rPr>
            </w:pPr>
            <w:r>
              <w:rPr>
                <w:rFonts w:ascii="Arial" w:cs="Arial" w:eastAsia="Arial" w:hAnsi="Arial"/>
                <w:sz w:val="11"/>
                <w:szCs w:val="11"/>
                <w:color w:val="auto"/>
              </w:rPr>
              <w:t>12/31/2024</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66"/>
              <w:spacing w:after="0"/>
              <w:rPr>
                <w:sz w:val="20"/>
                <w:szCs w:val="20"/>
                <w:color w:val="auto"/>
              </w:rPr>
            </w:pPr>
            <w:r>
              <w:rPr>
                <w:rFonts w:ascii="Arial" w:cs="Arial" w:eastAsia="Arial" w:hAnsi="Arial"/>
                <w:sz w:val="11"/>
                <w:szCs w:val="11"/>
                <w:color w:val="auto"/>
              </w:rPr>
              <w:t>148.73</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240.24</w:t>
            </w:r>
          </w:p>
        </w:tc>
        <w:tc>
          <w:tcPr>
            <w:tcW w:w="1580" w:type="dxa"/>
            <w:vAlign w:val="bottom"/>
          </w:tcPr>
          <w:p>
            <w:pPr>
              <w:jc w:val="right"/>
              <w:ind w:right="306"/>
              <w:spacing w:after="0"/>
              <w:rPr>
                <w:sz w:val="20"/>
                <w:szCs w:val="20"/>
                <w:color w:val="auto"/>
              </w:rPr>
            </w:pPr>
            <w:r>
              <w:rPr>
                <w:rFonts w:ascii="Arial" w:cs="Arial" w:eastAsia="Arial" w:hAnsi="Arial"/>
                <w:sz w:val="11"/>
                <w:szCs w:val="11"/>
                <w:color w:val="auto"/>
              </w:rPr>
              <w:t>4.48%</w:t>
            </w:r>
          </w:p>
        </w:tc>
        <w:tc>
          <w:tcPr>
            <w:tcW w:w="1700" w:type="dxa"/>
            <w:vAlign w:val="bottom"/>
          </w:tcPr>
          <w:p>
            <w:pPr>
              <w:jc w:val="right"/>
              <w:ind w:right="426"/>
              <w:spacing w:after="0"/>
              <w:rPr>
                <w:sz w:val="20"/>
                <w:szCs w:val="20"/>
                <w:color w:val="auto"/>
              </w:rPr>
            </w:pPr>
            <w:r>
              <w:rPr>
                <w:rFonts w:ascii="Arial" w:cs="Arial" w:eastAsia="Arial" w:hAnsi="Arial"/>
                <w:sz w:val="11"/>
                <w:szCs w:val="11"/>
                <w:color w:val="auto"/>
              </w:rPr>
              <w:t>2.44%</w:t>
            </w:r>
          </w:p>
        </w:tc>
        <w:tc>
          <w:tcPr>
            <w:tcW w:w="1240" w:type="dxa"/>
            <w:vAlign w:val="bottom"/>
          </w:tcPr>
          <w:p>
            <w:pPr>
              <w:jc w:val="right"/>
              <w:ind w:right="226"/>
              <w:spacing w:after="0"/>
              <w:rPr>
                <w:sz w:val="20"/>
                <w:szCs w:val="20"/>
                <w:color w:val="auto"/>
              </w:rPr>
            </w:pPr>
            <w:r>
              <w:rPr>
                <w:rFonts w:ascii="Arial" w:cs="Arial" w:eastAsia="Arial" w:hAnsi="Arial"/>
                <w:sz w:val="11"/>
                <w:szCs w:val="11"/>
                <w:color w:val="auto"/>
              </w:rPr>
              <w:t>29.35%</w:t>
            </w:r>
          </w:p>
        </w:tc>
        <w:tc>
          <w:tcPr>
            <w:tcW w:w="96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33"/>
        </w:trPr>
        <w:tc>
          <w:tcPr>
            <w:tcW w:w="2040" w:type="dxa"/>
            <w:vAlign w:val="bottom"/>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70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149"/>
        </w:trPr>
        <w:tc>
          <w:tcPr>
            <w:tcW w:w="2040" w:type="dxa"/>
            <w:vAlign w:val="bottom"/>
          </w:tcPr>
          <w:p>
            <w:pPr>
              <w:spacing w:after="0"/>
              <w:rPr>
                <w:sz w:val="12"/>
                <w:szCs w:val="12"/>
                <w:color w:val="auto"/>
              </w:rPr>
            </w:pPr>
          </w:p>
        </w:tc>
        <w:tc>
          <w:tcPr>
            <w:tcW w:w="1160" w:type="dxa"/>
            <w:vAlign w:val="bottom"/>
          </w:tcPr>
          <w:p>
            <w:pPr>
              <w:jc w:val="right"/>
              <w:ind w:right="126"/>
              <w:spacing w:after="0"/>
              <w:rPr>
                <w:sz w:val="20"/>
                <w:szCs w:val="20"/>
                <w:color w:val="auto"/>
              </w:rPr>
            </w:pPr>
            <w:r>
              <w:rPr>
                <w:rFonts w:ascii="Arial" w:cs="Arial" w:eastAsia="Arial" w:hAnsi="Arial"/>
                <w:sz w:val="11"/>
                <w:szCs w:val="11"/>
                <w:color w:val="auto"/>
              </w:rPr>
              <w:t>12/31/2025</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66"/>
              <w:spacing w:after="0"/>
              <w:rPr>
                <w:sz w:val="20"/>
                <w:szCs w:val="20"/>
                <w:color w:val="auto"/>
              </w:rPr>
            </w:pPr>
            <w:r>
              <w:rPr>
                <w:rFonts w:ascii="Arial" w:cs="Arial" w:eastAsia="Arial" w:hAnsi="Arial"/>
                <w:sz w:val="11"/>
                <w:szCs w:val="11"/>
                <w:color w:val="auto"/>
              </w:rPr>
              <w:t>148.73</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323.46</w:t>
            </w:r>
          </w:p>
        </w:tc>
        <w:tc>
          <w:tcPr>
            <w:tcW w:w="1580" w:type="dxa"/>
            <w:vAlign w:val="bottom"/>
          </w:tcPr>
          <w:p>
            <w:pPr>
              <w:jc w:val="right"/>
              <w:ind w:right="306"/>
              <w:spacing w:after="0"/>
              <w:rPr>
                <w:sz w:val="20"/>
                <w:szCs w:val="20"/>
                <w:color w:val="auto"/>
              </w:rPr>
            </w:pPr>
            <w:r>
              <w:rPr>
                <w:rFonts w:ascii="Arial" w:cs="Arial" w:eastAsia="Arial" w:hAnsi="Arial"/>
                <w:sz w:val="11"/>
                <w:szCs w:val="11"/>
                <w:color w:val="auto"/>
              </w:rPr>
              <w:t>3.50%</w:t>
            </w:r>
          </w:p>
        </w:tc>
        <w:tc>
          <w:tcPr>
            <w:tcW w:w="1700" w:type="dxa"/>
            <w:vAlign w:val="bottom"/>
          </w:tcPr>
          <w:p>
            <w:pPr>
              <w:jc w:val="right"/>
              <w:ind w:right="426"/>
              <w:spacing w:after="0"/>
              <w:rPr>
                <w:sz w:val="20"/>
                <w:szCs w:val="20"/>
                <w:color w:val="auto"/>
              </w:rPr>
            </w:pPr>
            <w:r>
              <w:rPr>
                <w:rFonts w:ascii="Arial" w:cs="Arial" w:eastAsia="Arial" w:hAnsi="Arial"/>
                <w:sz w:val="11"/>
                <w:szCs w:val="11"/>
                <w:color w:val="auto"/>
              </w:rPr>
              <w:t>1.96%</w:t>
            </w:r>
          </w:p>
        </w:tc>
        <w:tc>
          <w:tcPr>
            <w:tcW w:w="1240" w:type="dxa"/>
            <w:vAlign w:val="bottom"/>
          </w:tcPr>
          <w:p>
            <w:pPr>
              <w:jc w:val="right"/>
              <w:ind w:right="226"/>
              <w:spacing w:after="0"/>
              <w:rPr>
                <w:sz w:val="20"/>
                <w:szCs w:val="20"/>
                <w:color w:val="auto"/>
              </w:rPr>
            </w:pPr>
            <w:r>
              <w:rPr>
                <w:rFonts w:ascii="Arial" w:cs="Arial" w:eastAsia="Arial" w:hAnsi="Arial"/>
                <w:sz w:val="11"/>
                <w:szCs w:val="11"/>
                <w:color w:val="auto"/>
              </w:rPr>
              <w:t>34.24%</w:t>
            </w:r>
          </w:p>
        </w:tc>
        <w:tc>
          <w:tcPr>
            <w:tcW w:w="96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33"/>
        </w:trPr>
        <w:tc>
          <w:tcPr>
            <w:tcW w:w="2040" w:type="dxa"/>
            <w:vAlign w:val="bottom"/>
            <w:tcBorders>
              <w:bottom w:val="single" w:sz="8" w:color="6D6D6D"/>
            </w:tcBorders>
          </w:tcPr>
          <w:p>
            <w:pPr>
              <w:spacing w:after="0"/>
              <w:rPr>
                <w:sz w:val="2"/>
                <w:szCs w:val="2"/>
                <w:color w:val="auto"/>
              </w:rPr>
            </w:pPr>
          </w:p>
        </w:tc>
        <w:tc>
          <w:tcPr>
            <w:tcW w:w="1160" w:type="dxa"/>
            <w:vAlign w:val="bottom"/>
            <w:tcBorders>
              <w:bottom w:val="single" w:sz="8" w:color="6D6D6D"/>
            </w:tcBorders>
          </w:tcPr>
          <w:p>
            <w:pPr>
              <w:spacing w:after="0"/>
              <w:rPr>
                <w:sz w:val="2"/>
                <w:szCs w:val="2"/>
                <w:color w:val="auto"/>
              </w:rPr>
            </w:pPr>
          </w:p>
        </w:tc>
        <w:tc>
          <w:tcPr>
            <w:tcW w:w="2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700" w:type="dxa"/>
            <w:vAlign w:val="bottom"/>
            <w:tcBorders>
              <w:bottom w:val="single" w:sz="8" w:color="6D6D6D"/>
            </w:tcBorders>
          </w:tcPr>
          <w:p>
            <w:pPr>
              <w:spacing w:after="0"/>
              <w:rPr>
                <w:sz w:val="2"/>
                <w:szCs w:val="2"/>
                <w:color w:val="auto"/>
              </w:rPr>
            </w:pPr>
          </w:p>
        </w:tc>
        <w:tc>
          <w:tcPr>
            <w:tcW w:w="1580" w:type="dxa"/>
            <w:vAlign w:val="bottom"/>
            <w:tcBorders>
              <w:bottom w:val="single" w:sz="8" w:color="6D6D6D"/>
            </w:tcBorders>
          </w:tcPr>
          <w:p>
            <w:pPr>
              <w:spacing w:after="0"/>
              <w:rPr>
                <w:sz w:val="2"/>
                <w:szCs w:val="2"/>
                <w:color w:val="auto"/>
              </w:rPr>
            </w:pPr>
          </w:p>
        </w:tc>
        <w:tc>
          <w:tcPr>
            <w:tcW w:w="1700" w:type="dxa"/>
            <w:vAlign w:val="bottom"/>
            <w:tcBorders>
              <w:bottom w:val="single" w:sz="8" w:color="6D6D6D"/>
            </w:tcBorders>
          </w:tcPr>
          <w:p>
            <w:pPr>
              <w:spacing w:after="0"/>
              <w:rPr>
                <w:sz w:val="2"/>
                <w:szCs w:val="2"/>
                <w:color w:val="auto"/>
              </w:rPr>
            </w:pPr>
          </w:p>
        </w:tc>
        <w:tc>
          <w:tcPr>
            <w:tcW w:w="1240" w:type="dxa"/>
            <w:vAlign w:val="bottom"/>
            <w:tcBorders>
              <w:bottom w:val="single" w:sz="8" w:color="6D6D6D"/>
            </w:tcBorders>
          </w:tcPr>
          <w:p>
            <w:pPr>
              <w:spacing w:after="0"/>
              <w:rPr>
                <w:sz w:val="2"/>
                <w:szCs w:val="2"/>
                <w:color w:val="auto"/>
              </w:rPr>
            </w:pPr>
          </w:p>
        </w:tc>
        <w:tc>
          <w:tcPr>
            <w:tcW w:w="960" w:type="dxa"/>
            <w:vAlign w:val="bottom"/>
            <w:tcBorders>
              <w:bottom w:val="single" w:sz="8" w:color="6D6D6D"/>
            </w:tcBorders>
          </w:tcPr>
          <w:p>
            <w:pPr>
              <w:spacing w:after="0"/>
              <w:rPr>
                <w:sz w:val="2"/>
                <w:szCs w:val="2"/>
                <w:color w:val="auto"/>
              </w:rPr>
            </w:pPr>
          </w:p>
        </w:tc>
      </w:tr>
      <w:tr>
        <w:trPr>
          <w:trHeight w:val="155"/>
        </w:trPr>
        <w:tc>
          <w:tcPr>
            <w:tcW w:w="2040" w:type="dxa"/>
            <w:vAlign w:val="bottom"/>
          </w:tcPr>
          <w:p>
            <w:pPr>
              <w:ind w:left="20"/>
              <w:spacing w:after="0"/>
              <w:rPr>
                <w:sz w:val="20"/>
                <w:szCs w:val="20"/>
                <w:color w:val="auto"/>
              </w:rPr>
            </w:pPr>
            <w:r>
              <w:rPr>
                <w:rFonts w:ascii="Arial" w:cs="Arial" w:eastAsia="Arial" w:hAnsi="Arial"/>
                <w:sz w:val="11"/>
                <w:szCs w:val="11"/>
                <w:b w:val="1"/>
                <w:bCs w:val="1"/>
                <w:color w:val="8F5A39"/>
              </w:rPr>
              <w:t>Daniel Pinto</w:t>
            </w:r>
          </w:p>
        </w:tc>
        <w:tc>
          <w:tcPr>
            <w:tcW w:w="1160" w:type="dxa"/>
            <w:vAlign w:val="bottom"/>
          </w:tcPr>
          <w:p>
            <w:pPr>
              <w:jc w:val="right"/>
              <w:ind w:right="126"/>
              <w:spacing w:after="0"/>
              <w:rPr>
                <w:sz w:val="20"/>
                <w:szCs w:val="20"/>
                <w:color w:val="auto"/>
              </w:rPr>
            </w:pPr>
            <w:r>
              <w:rPr>
                <w:rFonts w:ascii="Arial" w:cs="Arial" w:eastAsia="Arial" w:hAnsi="Arial"/>
                <w:sz w:val="11"/>
                <w:szCs w:val="11"/>
                <w:color w:val="auto"/>
              </w:rPr>
              <w:t>12/14/2021</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66"/>
              <w:spacing w:after="0"/>
              <w:rPr>
                <w:sz w:val="20"/>
                <w:szCs w:val="20"/>
                <w:color w:val="auto"/>
              </w:rPr>
            </w:pPr>
            <w:r>
              <w:rPr>
                <w:rFonts w:ascii="Arial" w:cs="Arial" w:eastAsia="Arial" w:hAnsi="Arial"/>
                <w:sz w:val="11"/>
                <w:szCs w:val="11"/>
                <w:color w:val="auto"/>
              </w:rPr>
              <w:t>159.10</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159.10</w:t>
            </w:r>
          </w:p>
        </w:tc>
        <w:tc>
          <w:tcPr>
            <w:tcW w:w="1580" w:type="dxa"/>
            <w:vAlign w:val="bottom"/>
          </w:tcPr>
          <w:p>
            <w:pPr>
              <w:jc w:val="right"/>
              <w:ind w:right="306"/>
              <w:spacing w:after="0"/>
              <w:rPr>
                <w:sz w:val="20"/>
                <w:szCs w:val="20"/>
                <w:color w:val="auto"/>
              </w:rPr>
            </w:pPr>
            <w:r>
              <w:rPr>
                <w:rFonts w:ascii="Arial" w:cs="Arial" w:eastAsia="Arial" w:hAnsi="Arial"/>
                <w:sz w:val="11"/>
                <w:szCs w:val="11"/>
                <w:color w:val="auto"/>
              </w:rPr>
              <w:t>1.44%</w:t>
            </w:r>
          </w:p>
        </w:tc>
        <w:tc>
          <w:tcPr>
            <w:tcW w:w="1700" w:type="dxa"/>
            <w:vAlign w:val="bottom"/>
          </w:tcPr>
          <w:p>
            <w:pPr>
              <w:jc w:val="right"/>
              <w:ind w:right="426"/>
              <w:spacing w:after="0"/>
              <w:rPr>
                <w:sz w:val="20"/>
                <w:szCs w:val="20"/>
                <w:color w:val="auto"/>
              </w:rPr>
            </w:pPr>
            <w:r>
              <w:rPr>
                <w:rFonts w:ascii="Arial" w:cs="Arial" w:eastAsia="Arial" w:hAnsi="Arial"/>
                <w:sz w:val="11"/>
                <w:szCs w:val="11"/>
                <w:color w:val="auto"/>
              </w:rPr>
              <w:t>2.51%</w:t>
            </w:r>
          </w:p>
        </w:tc>
        <w:tc>
          <w:tcPr>
            <w:tcW w:w="1240" w:type="dxa"/>
            <w:vAlign w:val="bottom"/>
          </w:tcPr>
          <w:p>
            <w:pPr>
              <w:jc w:val="right"/>
              <w:ind w:right="226"/>
              <w:spacing w:after="0"/>
              <w:rPr>
                <w:sz w:val="20"/>
                <w:szCs w:val="20"/>
                <w:color w:val="auto"/>
              </w:rPr>
            </w:pPr>
            <w:r>
              <w:rPr>
                <w:rFonts w:ascii="Arial" w:cs="Arial" w:eastAsia="Arial" w:hAnsi="Arial"/>
                <w:sz w:val="11"/>
                <w:szCs w:val="11"/>
                <w:color w:val="auto"/>
              </w:rPr>
              <w:t>25.76%</w:t>
            </w:r>
          </w:p>
        </w:tc>
        <w:tc>
          <w:tcPr>
            <w:tcW w:w="96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28"/>
        </w:trPr>
        <w:tc>
          <w:tcPr>
            <w:tcW w:w="2040" w:type="dxa"/>
            <w:vAlign w:val="bottom"/>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70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149"/>
        </w:trPr>
        <w:tc>
          <w:tcPr>
            <w:tcW w:w="2040" w:type="dxa"/>
            <w:vAlign w:val="bottom"/>
          </w:tcPr>
          <w:p>
            <w:pPr>
              <w:spacing w:after="0"/>
              <w:rPr>
                <w:sz w:val="12"/>
                <w:szCs w:val="12"/>
                <w:color w:val="auto"/>
              </w:rPr>
            </w:pPr>
          </w:p>
        </w:tc>
        <w:tc>
          <w:tcPr>
            <w:tcW w:w="1160" w:type="dxa"/>
            <w:vAlign w:val="bottom"/>
          </w:tcPr>
          <w:p>
            <w:pPr>
              <w:jc w:val="right"/>
              <w:ind w:right="126"/>
              <w:spacing w:after="0"/>
              <w:rPr>
                <w:sz w:val="20"/>
                <w:szCs w:val="20"/>
                <w:color w:val="auto"/>
              </w:rPr>
            </w:pPr>
            <w:r>
              <w:rPr>
                <w:rFonts w:ascii="Arial" w:cs="Arial" w:eastAsia="Arial" w:hAnsi="Arial"/>
                <w:sz w:val="11"/>
                <w:szCs w:val="11"/>
                <w:color w:val="auto"/>
              </w:rPr>
              <w:t>12/31/2021</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66"/>
              <w:spacing w:after="0"/>
              <w:rPr>
                <w:sz w:val="20"/>
                <w:szCs w:val="20"/>
                <w:color w:val="auto"/>
              </w:rPr>
            </w:pPr>
            <w:r>
              <w:rPr>
                <w:rFonts w:ascii="Arial" w:cs="Arial" w:eastAsia="Arial" w:hAnsi="Arial"/>
                <w:sz w:val="11"/>
                <w:szCs w:val="11"/>
                <w:color w:val="auto"/>
              </w:rPr>
              <w:t>159.10</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158.63</w:t>
            </w:r>
          </w:p>
        </w:tc>
        <w:tc>
          <w:tcPr>
            <w:tcW w:w="1580" w:type="dxa"/>
            <w:vAlign w:val="bottom"/>
          </w:tcPr>
          <w:p>
            <w:pPr>
              <w:jc w:val="right"/>
              <w:ind w:right="306"/>
              <w:spacing w:after="0"/>
              <w:rPr>
                <w:sz w:val="20"/>
                <w:szCs w:val="20"/>
                <w:color w:val="auto"/>
              </w:rPr>
            </w:pPr>
            <w:r>
              <w:rPr>
                <w:rFonts w:ascii="Arial" w:cs="Arial" w:eastAsia="Arial" w:hAnsi="Arial"/>
                <w:sz w:val="11"/>
                <w:szCs w:val="11"/>
                <w:color w:val="auto"/>
              </w:rPr>
              <w:t>1.52%</w:t>
            </w:r>
          </w:p>
        </w:tc>
        <w:tc>
          <w:tcPr>
            <w:tcW w:w="1700" w:type="dxa"/>
            <w:vAlign w:val="bottom"/>
          </w:tcPr>
          <w:p>
            <w:pPr>
              <w:jc w:val="right"/>
              <w:ind w:right="426"/>
              <w:spacing w:after="0"/>
              <w:rPr>
                <w:sz w:val="20"/>
                <w:szCs w:val="20"/>
                <w:color w:val="auto"/>
              </w:rPr>
            </w:pPr>
            <w:r>
              <w:rPr>
                <w:rFonts w:ascii="Arial" w:cs="Arial" w:eastAsia="Arial" w:hAnsi="Arial"/>
                <w:sz w:val="11"/>
                <w:szCs w:val="11"/>
                <w:color w:val="auto"/>
              </w:rPr>
              <w:t>2.54%</w:t>
            </w:r>
          </w:p>
        </w:tc>
        <w:tc>
          <w:tcPr>
            <w:tcW w:w="1240" w:type="dxa"/>
            <w:vAlign w:val="bottom"/>
          </w:tcPr>
          <w:p>
            <w:pPr>
              <w:jc w:val="right"/>
              <w:ind w:right="226"/>
              <w:spacing w:after="0"/>
              <w:rPr>
                <w:sz w:val="20"/>
                <w:szCs w:val="20"/>
                <w:color w:val="auto"/>
              </w:rPr>
            </w:pPr>
            <w:r>
              <w:rPr>
                <w:rFonts w:ascii="Arial" w:cs="Arial" w:eastAsia="Arial" w:hAnsi="Arial"/>
                <w:sz w:val="11"/>
                <w:szCs w:val="11"/>
                <w:color w:val="auto"/>
              </w:rPr>
              <w:t>25.88%</w:t>
            </w:r>
          </w:p>
        </w:tc>
        <w:tc>
          <w:tcPr>
            <w:tcW w:w="96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33"/>
        </w:trPr>
        <w:tc>
          <w:tcPr>
            <w:tcW w:w="2040" w:type="dxa"/>
            <w:vAlign w:val="bottom"/>
          </w:tcPr>
          <w:p>
            <w:pPr>
              <w:spacing w:after="0"/>
              <w:rPr>
                <w:sz w:val="2"/>
                <w:szCs w:val="2"/>
                <w:color w:val="auto"/>
              </w:rPr>
            </w:pPr>
          </w:p>
        </w:tc>
        <w:tc>
          <w:tcPr>
            <w:tcW w:w="116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840" w:type="dxa"/>
            <w:vAlign w:val="bottom"/>
            <w:tcBorders>
              <w:bottom w:val="single" w:sz="8" w:color="B6B6B6"/>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700" w:type="dxa"/>
            <w:vAlign w:val="bottom"/>
            <w:tcBorders>
              <w:bottom w:val="single" w:sz="8" w:color="B6B6B6"/>
            </w:tcBorders>
          </w:tcPr>
          <w:p>
            <w:pPr>
              <w:spacing w:after="0"/>
              <w:rPr>
                <w:sz w:val="2"/>
                <w:szCs w:val="2"/>
                <w:color w:val="auto"/>
              </w:rPr>
            </w:pPr>
          </w:p>
        </w:tc>
        <w:tc>
          <w:tcPr>
            <w:tcW w:w="1580" w:type="dxa"/>
            <w:vAlign w:val="bottom"/>
            <w:tcBorders>
              <w:bottom w:val="single" w:sz="8" w:color="B6B6B6"/>
            </w:tcBorders>
          </w:tcPr>
          <w:p>
            <w:pPr>
              <w:spacing w:after="0"/>
              <w:rPr>
                <w:sz w:val="2"/>
                <w:szCs w:val="2"/>
                <w:color w:val="auto"/>
              </w:rPr>
            </w:pPr>
          </w:p>
        </w:tc>
        <w:tc>
          <w:tcPr>
            <w:tcW w:w="1700" w:type="dxa"/>
            <w:vAlign w:val="bottom"/>
            <w:tcBorders>
              <w:bottom w:val="single" w:sz="8" w:color="B6B6B6"/>
            </w:tcBorders>
          </w:tcPr>
          <w:p>
            <w:pPr>
              <w:spacing w:after="0"/>
              <w:rPr>
                <w:sz w:val="2"/>
                <w:szCs w:val="2"/>
                <w:color w:val="auto"/>
              </w:rPr>
            </w:pPr>
          </w:p>
        </w:tc>
        <w:tc>
          <w:tcPr>
            <w:tcW w:w="1240" w:type="dxa"/>
            <w:vAlign w:val="bottom"/>
            <w:tcBorders>
              <w:bottom w:val="single" w:sz="8" w:color="B6B6B6"/>
            </w:tcBorders>
          </w:tcPr>
          <w:p>
            <w:pPr>
              <w:spacing w:after="0"/>
              <w:rPr>
                <w:sz w:val="2"/>
                <w:szCs w:val="2"/>
                <w:color w:val="auto"/>
              </w:rPr>
            </w:pPr>
          </w:p>
        </w:tc>
        <w:tc>
          <w:tcPr>
            <w:tcW w:w="960" w:type="dxa"/>
            <w:vAlign w:val="bottom"/>
            <w:tcBorders>
              <w:bottom w:val="single" w:sz="8" w:color="B6B6B6"/>
            </w:tcBorders>
          </w:tcPr>
          <w:p>
            <w:pPr>
              <w:spacing w:after="0"/>
              <w:rPr>
                <w:sz w:val="2"/>
                <w:szCs w:val="2"/>
                <w:color w:val="auto"/>
              </w:rPr>
            </w:pPr>
          </w:p>
        </w:tc>
      </w:tr>
      <w:tr>
        <w:trPr>
          <w:trHeight w:val="149"/>
        </w:trPr>
        <w:tc>
          <w:tcPr>
            <w:tcW w:w="2040" w:type="dxa"/>
            <w:vAlign w:val="bottom"/>
          </w:tcPr>
          <w:p>
            <w:pPr>
              <w:spacing w:after="0"/>
              <w:rPr>
                <w:sz w:val="12"/>
                <w:szCs w:val="12"/>
                <w:color w:val="auto"/>
              </w:rPr>
            </w:pPr>
          </w:p>
        </w:tc>
        <w:tc>
          <w:tcPr>
            <w:tcW w:w="1160" w:type="dxa"/>
            <w:vAlign w:val="bottom"/>
          </w:tcPr>
          <w:p>
            <w:pPr>
              <w:jc w:val="right"/>
              <w:ind w:right="126"/>
              <w:spacing w:after="0"/>
              <w:rPr>
                <w:sz w:val="20"/>
                <w:szCs w:val="20"/>
                <w:color w:val="auto"/>
              </w:rPr>
            </w:pPr>
            <w:r>
              <w:rPr>
                <w:rFonts w:ascii="Arial" w:cs="Arial" w:eastAsia="Arial" w:hAnsi="Arial"/>
                <w:sz w:val="11"/>
                <w:szCs w:val="11"/>
                <w:color w:val="auto"/>
              </w:rPr>
              <w:t>12/31/2022</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66"/>
              <w:spacing w:after="0"/>
              <w:rPr>
                <w:sz w:val="20"/>
                <w:szCs w:val="20"/>
                <w:color w:val="auto"/>
              </w:rPr>
            </w:pPr>
            <w:r>
              <w:rPr>
                <w:rFonts w:ascii="Arial" w:cs="Arial" w:eastAsia="Arial" w:hAnsi="Arial"/>
                <w:sz w:val="11"/>
                <w:szCs w:val="11"/>
                <w:color w:val="auto"/>
              </w:rPr>
              <w:t>159.10</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133.39</w:t>
            </w:r>
          </w:p>
        </w:tc>
        <w:tc>
          <w:tcPr>
            <w:tcW w:w="1580" w:type="dxa"/>
            <w:vAlign w:val="bottom"/>
          </w:tcPr>
          <w:p>
            <w:pPr>
              <w:jc w:val="right"/>
              <w:ind w:right="306"/>
              <w:spacing w:after="0"/>
              <w:rPr>
                <w:sz w:val="20"/>
                <w:szCs w:val="20"/>
                <w:color w:val="auto"/>
              </w:rPr>
            </w:pPr>
            <w:r>
              <w:rPr>
                <w:rFonts w:ascii="Arial" w:cs="Arial" w:eastAsia="Arial" w:hAnsi="Arial"/>
                <w:sz w:val="11"/>
                <w:szCs w:val="11"/>
                <w:color w:val="auto"/>
              </w:rPr>
              <w:t>3.88%</w:t>
            </w:r>
          </w:p>
        </w:tc>
        <w:tc>
          <w:tcPr>
            <w:tcW w:w="1700" w:type="dxa"/>
            <w:vAlign w:val="bottom"/>
          </w:tcPr>
          <w:p>
            <w:pPr>
              <w:jc w:val="right"/>
              <w:ind w:right="426"/>
              <w:spacing w:after="0"/>
              <w:rPr>
                <w:sz w:val="20"/>
                <w:szCs w:val="20"/>
                <w:color w:val="auto"/>
              </w:rPr>
            </w:pPr>
            <w:r>
              <w:rPr>
                <w:rFonts w:ascii="Arial" w:cs="Arial" w:eastAsia="Arial" w:hAnsi="Arial"/>
                <w:sz w:val="11"/>
                <w:szCs w:val="11"/>
                <w:color w:val="auto"/>
              </w:rPr>
              <w:t>3.01%</w:t>
            </w:r>
          </w:p>
        </w:tc>
        <w:tc>
          <w:tcPr>
            <w:tcW w:w="1240" w:type="dxa"/>
            <w:vAlign w:val="bottom"/>
          </w:tcPr>
          <w:p>
            <w:pPr>
              <w:jc w:val="right"/>
              <w:ind w:right="226"/>
              <w:spacing w:after="0"/>
              <w:rPr>
                <w:sz w:val="20"/>
                <w:szCs w:val="20"/>
                <w:color w:val="auto"/>
              </w:rPr>
            </w:pPr>
            <w:r>
              <w:rPr>
                <w:rFonts w:ascii="Arial" w:cs="Arial" w:eastAsia="Arial" w:hAnsi="Arial"/>
                <w:sz w:val="11"/>
                <w:szCs w:val="11"/>
                <w:color w:val="auto"/>
              </w:rPr>
              <w:t>28.53%</w:t>
            </w:r>
          </w:p>
        </w:tc>
        <w:tc>
          <w:tcPr>
            <w:tcW w:w="960" w:type="dxa"/>
            <w:vAlign w:val="bottom"/>
          </w:tcPr>
          <w:p>
            <w:pPr>
              <w:jc w:val="right"/>
              <w:spacing w:after="0"/>
              <w:rPr>
                <w:sz w:val="20"/>
                <w:szCs w:val="20"/>
                <w:color w:val="auto"/>
              </w:rPr>
            </w:pPr>
            <w:r>
              <w:rPr>
                <w:rFonts w:ascii="Arial" w:cs="Arial" w:eastAsia="Arial" w:hAnsi="Arial"/>
                <w:sz w:val="11"/>
                <w:szCs w:val="11"/>
                <w:color w:val="auto"/>
              </w:rPr>
              <w:t>9</w:t>
            </w:r>
          </w:p>
        </w:tc>
      </w:tr>
      <w:tr>
        <w:trPr>
          <w:trHeight w:val="33"/>
        </w:trPr>
        <w:tc>
          <w:tcPr>
            <w:tcW w:w="2040" w:type="dxa"/>
            <w:vAlign w:val="bottom"/>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70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149"/>
        </w:trPr>
        <w:tc>
          <w:tcPr>
            <w:tcW w:w="2040" w:type="dxa"/>
            <w:vAlign w:val="bottom"/>
          </w:tcPr>
          <w:p>
            <w:pPr>
              <w:spacing w:after="0"/>
              <w:rPr>
                <w:sz w:val="12"/>
                <w:szCs w:val="12"/>
                <w:color w:val="auto"/>
              </w:rPr>
            </w:pPr>
          </w:p>
        </w:tc>
        <w:tc>
          <w:tcPr>
            <w:tcW w:w="1160" w:type="dxa"/>
            <w:vAlign w:val="bottom"/>
          </w:tcPr>
          <w:p>
            <w:pPr>
              <w:jc w:val="right"/>
              <w:ind w:right="126"/>
              <w:spacing w:after="0"/>
              <w:rPr>
                <w:sz w:val="20"/>
                <w:szCs w:val="20"/>
                <w:color w:val="auto"/>
              </w:rPr>
            </w:pPr>
            <w:r>
              <w:rPr>
                <w:rFonts w:ascii="Arial" w:cs="Arial" w:eastAsia="Arial" w:hAnsi="Arial"/>
                <w:sz w:val="11"/>
                <w:szCs w:val="11"/>
                <w:color w:val="auto"/>
              </w:rPr>
              <w:t>12/31/2023</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66"/>
              <w:spacing w:after="0"/>
              <w:rPr>
                <w:sz w:val="20"/>
                <w:szCs w:val="20"/>
                <w:color w:val="auto"/>
              </w:rPr>
            </w:pPr>
            <w:r>
              <w:rPr>
                <w:rFonts w:ascii="Arial" w:cs="Arial" w:eastAsia="Arial" w:hAnsi="Arial"/>
                <w:sz w:val="11"/>
                <w:szCs w:val="11"/>
                <w:color w:val="auto"/>
              </w:rPr>
              <w:t>159.10</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170.16</w:t>
            </w:r>
          </w:p>
        </w:tc>
        <w:tc>
          <w:tcPr>
            <w:tcW w:w="1580" w:type="dxa"/>
            <w:vAlign w:val="bottom"/>
          </w:tcPr>
          <w:p>
            <w:pPr>
              <w:jc w:val="right"/>
              <w:ind w:right="306"/>
              <w:spacing w:after="0"/>
              <w:rPr>
                <w:sz w:val="20"/>
                <w:szCs w:val="20"/>
                <w:color w:val="auto"/>
              </w:rPr>
            </w:pPr>
            <w:r>
              <w:rPr>
                <w:rFonts w:ascii="Arial" w:cs="Arial" w:eastAsia="Arial" w:hAnsi="Arial"/>
                <w:sz w:val="11"/>
                <w:szCs w:val="11"/>
                <w:color w:val="auto"/>
              </w:rPr>
              <w:t>3.88%</w:t>
            </w:r>
          </w:p>
        </w:tc>
        <w:tc>
          <w:tcPr>
            <w:tcW w:w="1700" w:type="dxa"/>
            <w:vAlign w:val="bottom"/>
          </w:tcPr>
          <w:p>
            <w:pPr>
              <w:jc w:val="right"/>
              <w:ind w:right="426"/>
              <w:spacing w:after="0"/>
              <w:rPr>
                <w:sz w:val="20"/>
                <w:szCs w:val="20"/>
                <w:color w:val="auto"/>
              </w:rPr>
            </w:pPr>
            <w:r>
              <w:rPr>
                <w:rFonts w:ascii="Arial" w:cs="Arial" w:eastAsia="Arial" w:hAnsi="Arial"/>
                <w:sz w:val="11"/>
                <w:szCs w:val="11"/>
                <w:color w:val="auto"/>
              </w:rPr>
              <w:t>2.48%</w:t>
            </w:r>
          </w:p>
        </w:tc>
        <w:tc>
          <w:tcPr>
            <w:tcW w:w="1240" w:type="dxa"/>
            <w:vAlign w:val="bottom"/>
          </w:tcPr>
          <w:p>
            <w:pPr>
              <w:jc w:val="right"/>
              <w:ind w:right="226"/>
              <w:spacing w:after="0"/>
              <w:rPr>
                <w:sz w:val="20"/>
                <w:szCs w:val="20"/>
                <w:color w:val="auto"/>
              </w:rPr>
            </w:pPr>
            <w:r>
              <w:rPr>
                <w:rFonts w:ascii="Arial" w:cs="Arial" w:eastAsia="Arial" w:hAnsi="Arial"/>
                <w:sz w:val="11"/>
                <w:szCs w:val="11"/>
                <w:color w:val="auto"/>
              </w:rPr>
              <w:t>24.09%</w:t>
            </w:r>
          </w:p>
        </w:tc>
        <w:tc>
          <w:tcPr>
            <w:tcW w:w="96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33"/>
        </w:trPr>
        <w:tc>
          <w:tcPr>
            <w:tcW w:w="2040" w:type="dxa"/>
            <w:vAlign w:val="bottom"/>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70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149"/>
        </w:trPr>
        <w:tc>
          <w:tcPr>
            <w:tcW w:w="2040" w:type="dxa"/>
            <w:vAlign w:val="bottom"/>
          </w:tcPr>
          <w:p>
            <w:pPr>
              <w:spacing w:after="0"/>
              <w:rPr>
                <w:sz w:val="12"/>
                <w:szCs w:val="12"/>
                <w:color w:val="auto"/>
              </w:rPr>
            </w:pPr>
          </w:p>
        </w:tc>
        <w:tc>
          <w:tcPr>
            <w:tcW w:w="1160" w:type="dxa"/>
            <w:vAlign w:val="bottom"/>
          </w:tcPr>
          <w:p>
            <w:pPr>
              <w:jc w:val="right"/>
              <w:ind w:right="126"/>
              <w:spacing w:after="0"/>
              <w:rPr>
                <w:sz w:val="20"/>
                <w:szCs w:val="20"/>
                <w:color w:val="auto"/>
              </w:rPr>
            </w:pPr>
            <w:r>
              <w:rPr>
                <w:rFonts w:ascii="Arial" w:cs="Arial" w:eastAsia="Arial" w:hAnsi="Arial"/>
                <w:sz w:val="11"/>
                <w:szCs w:val="11"/>
                <w:color w:val="auto"/>
              </w:rPr>
              <w:t>12/31/2024</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66"/>
              <w:spacing w:after="0"/>
              <w:rPr>
                <w:sz w:val="20"/>
                <w:szCs w:val="20"/>
                <w:color w:val="auto"/>
              </w:rPr>
            </w:pPr>
            <w:r>
              <w:rPr>
                <w:rFonts w:ascii="Arial" w:cs="Arial" w:eastAsia="Arial" w:hAnsi="Arial"/>
                <w:sz w:val="11"/>
                <w:szCs w:val="11"/>
                <w:color w:val="auto"/>
              </w:rPr>
              <w:t>159.10</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240.24</w:t>
            </w:r>
          </w:p>
        </w:tc>
        <w:tc>
          <w:tcPr>
            <w:tcW w:w="1580" w:type="dxa"/>
            <w:vAlign w:val="bottom"/>
          </w:tcPr>
          <w:p>
            <w:pPr>
              <w:jc w:val="right"/>
              <w:ind w:right="306"/>
              <w:spacing w:after="0"/>
              <w:rPr>
                <w:sz w:val="20"/>
                <w:szCs w:val="20"/>
                <w:color w:val="auto"/>
              </w:rPr>
            </w:pPr>
            <w:r>
              <w:rPr>
                <w:rFonts w:ascii="Arial" w:cs="Arial" w:eastAsia="Arial" w:hAnsi="Arial"/>
                <w:sz w:val="11"/>
                <w:szCs w:val="11"/>
                <w:color w:val="auto"/>
              </w:rPr>
              <w:t>4.48%</w:t>
            </w:r>
          </w:p>
        </w:tc>
        <w:tc>
          <w:tcPr>
            <w:tcW w:w="1700" w:type="dxa"/>
            <w:vAlign w:val="bottom"/>
          </w:tcPr>
          <w:p>
            <w:pPr>
              <w:jc w:val="right"/>
              <w:ind w:right="426"/>
              <w:spacing w:after="0"/>
              <w:rPr>
                <w:sz w:val="20"/>
                <w:szCs w:val="20"/>
                <w:color w:val="auto"/>
              </w:rPr>
            </w:pPr>
            <w:r>
              <w:rPr>
                <w:rFonts w:ascii="Arial" w:cs="Arial" w:eastAsia="Arial" w:hAnsi="Arial"/>
                <w:sz w:val="11"/>
                <w:szCs w:val="11"/>
                <w:color w:val="auto"/>
              </w:rPr>
              <w:t>2.30%</w:t>
            </w:r>
          </w:p>
        </w:tc>
        <w:tc>
          <w:tcPr>
            <w:tcW w:w="1240" w:type="dxa"/>
            <w:vAlign w:val="bottom"/>
          </w:tcPr>
          <w:p>
            <w:pPr>
              <w:jc w:val="right"/>
              <w:ind w:right="226"/>
              <w:spacing w:after="0"/>
              <w:rPr>
                <w:sz w:val="20"/>
                <w:szCs w:val="20"/>
                <w:color w:val="auto"/>
              </w:rPr>
            </w:pPr>
            <w:r>
              <w:rPr>
                <w:rFonts w:ascii="Arial" w:cs="Arial" w:eastAsia="Arial" w:hAnsi="Arial"/>
                <w:sz w:val="11"/>
                <w:szCs w:val="11"/>
                <w:color w:val="auto"/>
              </w:rPr>
              <w:t>28.77%</w:t>
            </w:r>
          </w:p>
        </w:tc>
        <w:tc>
          <w:tcPr>
            <w:tcW w:w="96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33"/>
        </w:trPr>
        <w:tc>
          <w:tcPr>
            <w:tcW w:w="2040" w:type="dxa"/>
            <w:vAlign w:val="bottom"/>
          </w:tcPr>
          <w:p>
            <w:pPr>
              <w:spacing w:after="0"/>
              <w:rPr>
                <w:sz w:val="2"/>
                <w:szCs w:val="2"/>
                <w:color w:val="auto"/>
              </w:rPr>
            </w:pPr>
          </w:p>
        </w:tc>
        <w:tc>
          <w:tcPr>
            <w:tcW w:w="116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1580" w:type="dxa"/>
            <w:vAlign w:val="bottom"/>
            <w:tcBorders>
              <w:bottom w:val="single" w:sz="8" w:color="929292"/>
            </w:tcBorders>
          </w:tcPr>
          <w:p>
            <w:pPr>
              <w:spacing w:after="0"/>
              <w:rPr>
                <w:sz w:val="2"/>
                <w:szCs w:val="2"/>
                <w:color w:val="auto"/>
              </w:rPr>
            </w:pPr>
          </w:p>
        </w:tc>
        <w:tc>
          <w:tcPr>
            <w:tcW w:w="1700" w:type="dxa"/>
            <w:vAlign w:val="bottom"/>
            <w:tcBorders>
              <w:bottom w:val="single" w:sz="8" w:color="929292"/>
            </w:tcBorders>
          </w:tcPr>
          <w:p>
            <w:pPr>
              <w:spacing w:after="0"/>
              <w:rPr>
                <w:sz w:val="2"/>
                <w:szCs w:val="2"/>
                <w:color w:val="auto"/>
              </w:rPr>
            </w:pPr>
          </w:p>
        </w:tc>
        <w:tc>
          <w:tcPr>
            <w:tcW w:w="12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149"/>
        </w:trPr>
        <w:tc>
          <w:tcPr>
            <w:tcW w:w="2040" w:type="dxa"/>
            <w:vAlign w:val="bottom"/>
          </w:tcPr>
          <w:p>
            <w:pPr>
              <w:spacing w:after="0"/>
              <w:rPr>
                <w:sz w:val="12"/>
                <w:szCs w:val="12"/>
                <w:color w:val="auto"/>
              </w:rPr>
            </w:pPr>
          </w:p>
        </w:tc>
        <w:tc>
          <w:tcPr>
            <w:tcW w:w="1160" w:type="dxa"/>
            <w:vAlign w:val="bottom"/>
          </w:tcPr>
          <w:p>
            <w:pPr>
              <w:jc w:val="right"/>
              <w:ind w:right="126"/>
              <w:spacing w:after="0"/>
              <w:rPr>
                <w:sz w:val="20"/>
                <w:szCs w:val="20"/>
                <w:color w:val="auto"/>
              </w:rPr>
            </w:pPr>
            <w:r>
              <w:rPr>
                <w:rFonts w:ascii="Arial" w:cs="Arial" w:eastAsia="Arial" w:hAnsi="Arial"/>
                <w:sz w:val="11"/>
                <w:szCs w:val="11"/>
                <w:color w:val="auto"/>
              </w:rPr>
              <w:t>12/31/2025</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66"/>
              <w:spacing w:after="0"/>
              <w:rPr>
                <w:sz w:val="20"/>
                <w:szCs w:val="20"/>
                <w:color w:val="auto"/>
              </w:rPr>
            </w:pPr>
            <w:r>
              <w:rPr>
                <w:rFonts w:ascii="Arial" w:cs="Arial" w:eastAsia="Arial" w:hAnsi="Arial"/>
                <w:sz w:val="11"/>
                <w:szCs w:val="11"/>
                <w:color w:val="auto"/>
              </w:rPr>
              <w:t>159.10</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323.46</w:t>
            </w:r>
          </w:p>
        </w:tc>
        <w:tc>
          <w:tcPr>
            <w:tcW w:w="1580" w:type="dxa"/>
            <w:vAlign w:val="bottom"/>
          </w:tcPr>
          <w:p>
            <w:pPr>
              <w:jc w:val="right"/>
              <w:ind w:right="306"/>
              <w:spacing w:after="0"/>
              <w:rPr>
                <w:sz w:val="20"/>
                <w:szCs w:val="20"/>
                <w:color w:val="auto"/>
              </w:rPr>
            </w:pPr>
            <w:r>
              <w:rPr>
                <w:rFonts w:ascii="Arial" w:cs="Arial" w:eastAsia="Arial" w:hAnsi="Arial"/>
                <w:sz w:val="11"/>
                <w:szCs w:val="11"/>
                <w:color w:val="auto"/>
              </w:rPr>
              <w:t>3.53%</w:t>
            </w:r>
          </w:p>
        </w:tc>
        <w:tc>
          <w:tcPr>
            <w:tcW w:w="1700" w:type="dxa"/>
            <w:vAlign w:val="bottom"/>
          </w:tcPr>
          <w:p>
            <w:pPr>
              <w:jc w:val="right"/>
              <w:ind w:right="426"/>
              <w:spacing w:after="0"/>
              <w:rPr>
                <w:sz w:val="20"/>
                <w:szCs w:val="20"/>
                <w:color w:val="auto"/>
              </w:rPr>
            </w:pPr>
            <w:r>
              <w:rPr>
                <w:rFonts w:ascii="Arial" w:cs="Arial" w:eastAsia="Arial" w:hAnsi="Arial"/>
                <w:sz w:val="11"/>
                <w:szCs w:val="11"/>
                <w:color w:val="auto"/>
              </w:rPr>
              <w:t>1.90%</w:t>
            </w:r>
          </w:p>
        </w:tc>
        <w:tc>
          <w:tcPr>
            <w:tcW w:w="1240" w:type="dxa"/>
            <w:vAlign w:val="bottom"/>
          </w:tcPr>
          <w:p>
            <w:pPr>
              <w:jc w:val="right"/>
              <w:ind w:right="226"/>
              <w:spacing w:after="0"/>
              <w:rPr>
                <w:sz w:val="20"/>
                <w:szCs w:val="20"/>
                <w:color w:val="auto"/>
              </w:rPr>
            </w:pPr>
            <w:r>
              <w:rPr>
                <w:rFonts w:ascii="Arial" w:cs="Arial" w:eastAsia="Arial" w:hAnsi="Arial"/>
                <w:sz w:val="11"/>
                <w:szCs w:val="11"/>
                <w:color w:val="auto"/>
              </w:rPr>
              <w:t>33.47%</w:t>
            </w:r>
          </w:p>
        </w:tc>
        <w:tc>
          <w:tcPr>
            <w:tcW w:w="96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33"/>
        </w:trPr>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The Firm’s accounting for employee stock-based incentives is described in Note 9 to the Firm’s Consolidated Financial Statements in the 2025 Annual Report on pages 226 - 227.</w:t>
      </w:r>
    </w:p>
    <w:p>
      <w:pPr>
        <w:spacing w:after="0" w:line="13" w:lineRule="exact"/>
        <w:rPr>
          <w:sz w:val="20"/>
          <w:szCs w:val="20"/>
          <w:color w:val="auto"/>
        </w:rPr>
      </w:pPr>
    </w:p>
    <w:p>
      <w:pPr>
        <w:ind w:left="200" w:right="100" w:hanging="192"/>
        <w:spacing w:after="0" w:line="205" w:lineRule="auto"/>
        <w:tabs>
          <w:tab w:leader="none" w:pos="193" w:val="left"/>
        </w:tabs>
        <w:numPr>
          <w:ilvl w:val="0"/>
          <w:numId w:val="259"/>
        </w:numPr>
        <w:rPr>
          <w:rFonts w:ascii="Arial" w:cs="Arial" w:eastAsia="Arial" w:hAnsi="Arial"/>
          <w:sz w:val="19"/>
          <w:szCs w:val="19"/>
          <w:color w:val="auto"/>
          <w:vertAlign w:val="superscript"/>
        </w:rPr>
      </w:pPr>
      <w:r>
        <w:rPr>
          <w:rFonts w:ascii="Arial" w:cs="Arial" w:eastAsia="Arial" w:hAnsi="Arial"/>
          <w:sz w:val="13"/>
          <w:szCs w:val="13"/>
          <w:color w:val="auto"/>
        </w:rPr>
        <w:t>There were no stock or option awards granted and vested in the same reporting year, and no stock or option awards granted in prior years failed to meet the applicable vesting conditions during any of the reporting years. No exercise prices of option awards have been amended or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317500</wp:posOffset>
            </wp:positionV>
            <wp:extent cx="651510" cy="8572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72</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7060"/>
        <w:spacing w:after="0"/>
        <w:rPr>
          <w:sz w:val="20"/>
          <w:szCs w:val="20"/>
          <w:color w:val="auto"/>
        </w:rPr>
      </w:pPr>
      <w:r>
        <w:rPr>
          <w:rFonts w:ascii="Arial" w:cs="Arial" w:eastAsia="Arial" w:hAnsi="Arial"/>
          <w:sz w:val="14"/>
          <w:szCs w:val="14"/>
          <w:color w:val="8F5A39"/>
        </w:rPr>
        <w:t xml:space="preserve">Pay versus Performance disclosure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4"/>
          <w:szCs w:val="14"/>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color w:val="auto"/>
        </w:rPr>
        <w:t>Relationships between executive CAP and the Firm’s financial performance measures</w:t>
      </w:r>
    </w:p>
    <w:p>
      <w:pPr>
        <w:spacing w:after="0" w:line="45"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 charts and narrative below are based on the information presented in the Pay versus Performance table, to illustrate and describe the relationships between the Firm’s PEO CAP and the average of the Firm’s non-PEO NEO CAPs with the following three measures of financial performance, against the five covered fiscal years:</w:t>
      </w:r>
    </w:p>
    <w:p>
      <w:pPr>
        <w:spacing w:after="0" w:line="10" w:lineRule="exact"/>
        <w:rPr>
          <w:sz w:val="20"/>
          <w:szCs w:val="20"/>
          <w:color w:val="auto"/>
        </w:rPr>
      </w:pPr>
    </w:p>
    <w:p>
      <w:pPr>
        <w:ind w:left="180" w:hanging="172"/>
        <w:spacing w:after="0"/>
        <w:tabs>
          <w:tab w:leader="none" w:pos="180" w:val="left"/>
        </w:tabs>
        <w:numPr>
          <w:ilvl w:val="0"/>
          <w:numId w:val="260"/>
        </w:numPr>
        <w:rPr>
          <w:rFonts w:ascii="Arial" w:cs="Arial" w:eastAsia="Arial" w:hAnsi="Arial"/>
          <w:sz w:val="16"/>
          <w:szCs w:val="16"/>
          <w:b w:val="1"/>
          <w:bCs w:val="1"/>
          <w:color w:val="auto"/>
        </w:rPr>
      </w:pPr>
      <w:r>
        <w:rPr>
          <w:rFonts w:ascii="Arial" w:cs="Arial" w:eastAsia="Arial" w:hAnsi="Arial"/>
          <w:sz w:val="16"/>
          <w:szCs w:val="16"/>
          <w:color w:val="auto"/>
        </w:rPr>
        <w:t>The cumulative TSR of the Firm</w:t>
      </w:r>
    </w:p>
    <w:p>
      <w:pPr>
        <w:spacing w:after="0" w:line="72" w:lineRule="exact"/>
        <w:rPr>
          <w:rFonts w:ascii="Arial" w:cs="Arial" w:eastAsia="Arial" w:hAnsi="Arial"/>
          <w:sz w:val="16"/>
          <w:szCs w:val="16"/>
          <w:b w:val="1"/>
          <w:bCs w:val="1"/>
          <w:color w:val="auto"/>
        </w:rPr>
      </w:pPr>
    </w:p>
    <w:p>
      <w:pPr>
        <w:ind w:left="180" w:hanging="172"/>
        <w:spacing w:after="0"/>
        <w:tabs>
          <w:tab w:leader="none" w:pos="180" w:val="left"/>
        </w:tabs>
        <w:numPr>
          <w:ilvl w:val="0"/>
          <w:numId w:val="260"/>
        </w:numPr>
        <w:rPr>
          <w:rFonts w:ascii="Arial" w:cs="Arial" w:eastAsia="Arial" w:hAnsi="Arial"/>
          <w:sz w:val="16"/>
          <w:szCs w:val="16"/>
          <w:b w:val="1"/>
          <w:bCs w:val="1"/>
          <w:color w:val="auto"/>
        </w:rPr>
      </w:pPr>
      <w:r>
        <w:rPr>
          <w:rFonts w:ascii="Arial" w:cs="Arial" w:eastAsia="Arial" w:hAnsi="Arial"/>
          <w:sz w:val="16"/>
          <w:szCs w:val="16"/>
          <w:color w:val="auto"/>
        </w:rPr>
        <w:t>The net income of the Firm</w:t>
      </w:r>
    </w:p>
    <w:p>
      <w:pPr>
        <w:spacing w:after="0" w:line="59" w:lineRule="exact"/>
        <w:rPr>
          <w:rFonts w:ascii="Arial" w:cs="Arial" w:eastAsia="Arial" w:hAnsi="Arial"/>
          <w:sz w:val="16"/>
          <w:szCs w:val="16"/>
          <w:b w:val="1"/>
          <w:bCs w:val="1"/>
          <w:color w:val="auto"/>
        </w:rPr>
      </w:pPr>
    </w:p>
    <w:p>
      <w:pPr>
        <w:ind w:left="180" w:hanging="172"/>
        <w:spacing w:after="0"/>
        <w:tabs>
          <w:tab w:leader="none" w:pos="180" w:val="left"/>
        </w:tabs>
        <w:numPr>
          <w:ilvl w:val="0"/>
          <w:numId w:val="260"/>
        </w:numPr>
        <w:rPr>
          <w:rFonts w:ascii="Arial" w:cs="Arial" w:eastAsia="Arial" w:hAnsi="Arial"/>
          <w:sz w:val="16"/>
          <w:szCs w:val="16"/>
          <w:b w:val="1"/>
          <w:bCs w:val="1"/>
          <w:color w:val="auto"/>
        </w:rPr>
      </w:pPr>
      <w:r>
        <w:rPr>
          <w:rFonts w:ascii="Arial" w:cs="Arial" w:eastAsia="Arial" w:hAnsi="Arial"/>
          <w:sz w:val="16"/>
          <w:szCs w:val="16"/>
          <w:color w:val="auto"/>
        </w:rPr>
        <w:t>The Firm’s company-selected measure (ROTCE)</w:t>
      </w:r>
    </w:p>
    <w:p>
      <w:pPr>
        <w:spacing w:after="0" w:line="154" w:lineRule="exact"/>
        <w:rPr>
          <w:sz w:val="20"/>
          <w:szCs w:val="20"/>
          <w:color w:val="auto"/>
        </w:rPr>
      </w:pPr>
    </w:p>
    <w:p>
      <w:pPr>
        <w:ind w:right="1380"/>
        <w:spacing w:after="0" w:line="304" w:lineRule="auto"/>
        <w:rPr>
          <w:sz w:val="20"/>
          <w:szCs w:val="20"/>
          <w:color w:val="auto"/>
        </w:rPr>
      </w:pPr>
      <w:r>
        <w:rPr>
          <w:rFonts w:ascii="Arial" w:cs="Arial" w:eastAsia="Arial" w:hAnsi="Arial"/>
          <w:sz w:val="16"/>
          <w:szCs w:val="16"/>
          <w:color w:val="auto"/>
        </w:rPr>
        <w:t>The first chart also illustrates the relationship between the Firm’s TSR and our selected peer group’s TSR, as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107315</wp:posOffset>
            </wp:positionV>
            <wp:extent cx="6669405" cy="124269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669405"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In 2022, both PEO CAP and non-PEO NEO average CAP decreased significantly from 2021, due to a decrease in the Firm’s stock price as of year-end 2022, consistent with the broader market decline. The largest impact of the change in the stock price was on Messrs. Dimon and Pinto’s outstanding one-time special SARs awards that were granted in July and December 2021, respectively, both of which were out of the money as of the end of 2022. In 2023, 2024 and 2025, the increases in both PEO CAP and non-PEO NEO average CAP were attributable to an increase in the Firm’s stock price as of year-end, which outperformed the S&amp;P Financials Index as well as the broader market in general. Additionally, the PEO and non-PEO NEO average CAP were impacted by Messrs. Dimon and Pinto’s outstanding SARs awards, both of which were in the money as of the end of 2023, 2024 and 2025.</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In summary, the Firm’s PEO CAP and non-PEO NEO average CAP reflect a general correlation with:</w:t>
      </w:r>
    </w:p>
    <w:p>
      <w:pPr>
        <w:spacing w:after="0" w:line="73" w:lineRule="exact"/>
        <w:rPr>
          <w:sz w:val="20"/>
          <w:szCs w:val="20"/>
          <w:color w:val="auto"/>
        </w:rPr>
      </w:pPr>
    </w:p>
    <w:p>
      <w:pPr>
        <w:ind w:left="180" w:hanging="172"/>
        <w:spacing w:after="0"/>
        <w:tabs>
          <w:tab w:leader="none" w:pos="180" w:val="left"/>
        </w:tabs>
        <w:numPr>
          <w:ilvl w:val="0"/>
          <w:numId w:val="261"/>
        </w:numPr>
        <w:rPr>
          <w:rFonts w:ascii="Arial" w:cs="Arial" w:eastAsia="Arial" w:hAnsi="Arial"/>
          <w:sz w:val="16"/>
          <w:szCs w:val="16"/>
          <w:b w:val="1"/>
          <w:bCs w:val="1"/>
          <w:color w:val="auto"/>
        </w:rPr>
      </w:pPr>
      <w:r>
        <w:rPr>
          <w:rFonts w:ascii="Arial" w:cs="Arial" w:eastAsia="Arial" w:hAnsi="Arial"/>
          <w:sz w:val="16"/>
          <w:szCs w:val="16"/>
          <w:color w:val="auto"/>
        </w:rPr>
        <w:t>The Firm’s stock price and TSR, primarily due to a significant majority of our NEOs’ compensation being in the form of long-term equity</w:t>
      </w:r>
    </w:p>
    <w:p>
      <w:pPr>
        <w:spacing w:after="0" w:line="59" w:lineRule="exact"/>
        <w:rPr>
          <w:rFonts w:ascii="Arial" w:cs="Arial" w:eastAsia="Arial" w:hAnsi="Arial"/>
          <w:sz w:val="16"/>
          <w:szCs w:val="16"/>
          <w:b w:val="1"/>
          <w:bCs w:val="1"/>
          <w:color w:val="auto"/>
        </w:rPr>
      </w:pPr>
    </w:p>
    <w:p>
      <w:pPr>
        <w:ind w:left="180" w:hanging="172"/>
        <w:spacing w:after="0"/>
        <w:tabs>
          <w:tab w:leader="none" w:pos="180" w:val="left"/>
        </w:tabs>
        <w:numPr>
          <w:ilvl w:val="0"/>
          <w:numId w:val="261"/>
        </w:numPr>
        <w:rPr>
          <w:rFonts w:ascii="Arial" w:cs="Arial" w:eastAsia="Arial" w:hAnsi="Arial"/>
          <w:sz w:val="16"/>
          <w:szCs w:val="16"/>
          <w:b w:val="1"/>
          <w:bCs w:val="1"/>
          <w:color w:val="auto"/>
        </w:rPr>
      </w:pPr>
      <w:r>
        <w:rPr>
          <w:rFonts w:ascii="Arial" w:cs="Arial" w:eastAsia="Arial" w:hAnsi="Arial"/>
          <w:sz w:val="16"/>
          <w:szCs w:val="16"/>
          <w:color w:val="auto"/>
        </w:rPr>
        <w:t>The Firm’s net income, which reflects our pay-for-performance compensation philosophy and practices</w:t>
      </w:r>
    </w:p>
    <w:p>
      <w:pPr>
        <w:spacing w:after="0" w:line="59" w:lineRule="exact"/>
        <w:rPr>
          <w:rFonts w:ascii="Arial" w:cs="Arial" w:eastAsia="Arial" w:hAnsi="Arial"/>
          <w:sz w:val="16"/>
          <w:szCs w:val="16"/>
          <w:b w:val="1"/>
          <w:bCs w:val="1"/>
          <w:color w:val="auto"/>
        </w:rPr>
      </w:pPr>
    </w:p>
    <w:p>
      <w:pPr>
        <w:ind w:left="180" w:hanging="172"/>
        <w:spacing w:after="0"/>
        <w:tabs>
          <w:tab w:leader="none" w:pos="180" w:val="left"/>
        </w:tabs>
        <w:numPr>
          <w:ilvl w:val="0"/>
          <w:numId w:val="261"/>
        </w:numPr>
        <w:rPr>
          <w:rFonts w:ascii="Arial" w:cs="Arial" w:eastAsia="Arial" w:hAnsi="Arial"/>
          <w:sz w:val="16"/>
          <w:szCs w:val="16"/>
          <w:b w:val="1"/>
          <w:bCs w:val="1"/>
          <w:color w:val="auto"/>
        </w:rPr>
      </w:pPr>
      <w:r>
        <w:rPr>
          <w:rFonts w:ascii="Arial" w:cs="Arial" w:eastAsia="Arial" w:hAnsi="Arial"/>
          <w:sz w:val="16"/>
          <w:szCs w:val="16"/>
          <w:color w:val="auto"/>
        </w:rPr>
        <w:t>The Firm’s ROTCE, which reflects the Firm's strong returns and fortress balance sheet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Firm’s change in TSR over the past five years reflects a general correlation with that of the broader S&amp;P Financials Index.</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auto"/>
        </w:rPr>
        <w:t>Unranked tabular list of the Firm’s most important financial performance measures</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required by SEC rules, the most important financial performance measures that the Firm used to link executive compensation during the last fiscal year to company performance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4541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F5A39"/>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Managed revenue for the Firm and the lines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Pre-tax income (ex. LLR) for the Firm and some lines of business, and Pre-tax income for other lines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for the Firm and the lines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ROTCE for the Firm and ROE for the lines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594995</wp:posOffset>
            </wp:positionV>
            <wp:extent cx="651510" cy="8572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color w:val="auto"/>
        </w:rPr>
        <w:t>CEO pay ratio disclosure</w:t>
      </w:r>
    </w:p>
    <w:p>
      <w:pPr>
        <w:spacing w:after="0" w:line="33"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estimated median employee and the annual total compensation of Mr. Dimon, our Chairman and CEO.</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auto"/>
        </w:rPr>
        <w:t>CEO pay ratio</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2025:</w:t>
      </w:r>
    </w:p>
    <w:p>
      <w:pPr>
        <w:spacing w:after="0" w:line="76" w:lineRule="exact"/>
        <w:rPr>
          <w:sz w:val="20"/>
          <w:szCs w:val="20"/>
          <w:color w:val="auto"/>
        </w:rPr>
      </w:pPr>
    </w:p>
    <w:p>
      <w:pPr>
        <w:ind w:left="180" w:hanging="172"/>
        <w:spacing w:after="0"/>
        <w:tabs>
          <w:tab w:leader="none" w:pos="180"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t>The annual total compensation of Mr. Dimon was $40,644,723</w:t>
      </w:r>
      <w:r>
        <w:rPr>
          <w:rFonts w:ascii="Arial" w:cs="Arial" w:eastAsia="Arial" w:hAnsi="Arial"/>
          <w:sz w:val="21"/>
          <w:szCs w:val="21"/>
          <w:color w:val="auto"/>
          <w:vertAlign w:val="superscript"/>
        </w:rPr>
        <w:t>1</w:t>
      </w:r>
      <w:r>
        <w:rPr>
          <w:rFonts w:ascii="Arial" w:cs="Arial" w:eastAsia="Arial" w:hAnsi="Arial"/>
          <w:sz w:val="16"/>
          <w:szCs w:val="16"/>
          <w:color w:val="auto"/>
        </w:rPr>
        <w:t>, including Firm-paid employee benefits</w:t>
      </w:r>
    </w:p>
    <w:p>
      <w:pPr>
        <w:spacing w:after="0" w:line="40" w:lineRule="exact"/>
        <w:rPr>
          <w:rFonts w:ascii="Arial" w:cs="Arial" w:eastAsia="Arial" w:hAnsi="Arial"/>
          <w:sz w:val="16"/>
          <w:szCs w:val="16"/>
          <w:b w:val="1"/>
          <w:bCs w:val="1"/>
          <w:color w:val="auto"/>
        </w:rPr>
      </w:pPr>
    </w:p>
    <w:p>
      <w:pPr>
        <w:ind w:left="180" w:hanging="172"/>
        <w:spacing w:after="0"/>
        <w:tabs>
          <w:tab w:leader="none" w:pos="180"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t>The annual total compensation of our estimated median employee was $111,905</w:t>
      </w:r>
      <w:r>
        <w:rPr>
          <w:rFonts w:ascii="Arial" w:cs="Arial" w:eastAsia="Arial" w:hAnsi="Arial"/>
          <w:sz w:val="21"/>
          <w:szCs w:val="21"/>
          <w:color w:val="auto"/>
          <w:vertAlign w:val="superscript"/>
        </w:rPr>
        <w:t>2</w:t>
      </w:r>
      <w:r>
        <w:rPr>
          <w:rFonts w:ascii="Arial" w:cs="Arial" w:eastAsia="Arial" w:hAnsi="Arial"/>
          <w:sz w:val="16"/>
          <w:szCs w:val="16"/>
          <w:color w:val="auto"/>
        </w:rPr>
        <w:t>, including Firm-paid employee benefits</w:t>
      </w:r>
    </w:p>
    <w:p>
      <w:pPr>
        <w:spacing w:after="0" w:line="28" w:lineRule="exact"/>
        <w:rPr>
          <w:rFonts w:ascii="Arial" w:cs="Arial" w:eastAsia="Arial" w:hAnsi="Arial"/>
          <w:sz w:val="16"/>
          <w:szCs w:val="16"/>
          <w:b w:val="1"/>
          <w:bCs w:val="1"/>
          <w:color w:val="auto"/>
        </w:rPr>
      </w:pPr>
    </w:p>
    <w:p>
      <w:pPr>
        <w:ind w:left="180" w:hanging="172"/>
        <w:spacing w:after="0"/>
        <w:tabs>
          <w:tab w:leader="none" w:pos="180"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t>This represents a ratio of 363 to 1</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color w:val="auto"/>
        </w:rPr>
        <w:t>Identifying our median employee</w:t>
      </w:r>
    </w:p>
    <w:p>
      <w:pPr>
        <w:spacing w:after="0" w:line="45" w:lineRule="exact"/>
        <w:rPr>
          <w:sz w:val="20"/>
          <w:szCs w:val="20"/>
          <w:color w:val="auto"/>
        </w:rPr>
      </w:pPr>
    </w:p>
    <w:p>
      <w:pPr>
        <w:jc w:val="both"/>
        <w:ind w:right="460"/>
        <w:spacing w:after="0" w:line="301" w:lineRule="auto"/>
        <w:rPr>
          <w:sz w:val="20"/>
          <w:szCs w:val="20"/>
          <w:color w:val="auto"/>
        </w:rPr>
      </w:pPr>
      <w:r>
        <w:rPr>
          <w:rFonts w:ascii="Arial" w:cs="Arial" w:eastAsia="Arial" w:hAnsi="Arial"/>
          <w:sz w:val="16"/>
          <w:szCs w:val="16"/>
          <w:color w:val="auto"/>
        </w:rPr>
        <w:t>We used the same estimated median employee for disclosure in our 2023, 2024 and 2025 Proxy Statements. For the 2026 Proxy Statement, we have identified a new estimated median employee from our global employee population in accordance with SEC rules, based on data from the Firm's global compensation system as of February 2, 2026.</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Annual total compensation included salary as of December 31, 2025, as well as overtime pay, fixed allowance and incentive compensation, if applicable. We annualized the salary portion of the compensation for employees who were hired during 2025; however, we did not make any full-time equivalent adjustments to part-time, temporary and seasonal employees. We did not apply any cost-of-living adjustments as part of the calculation and removed those employees who had anomalous compensation characteristics. In determining the scope of our employees (other than our CEO), we included our global workforce of full-time, part-time, temporary and seasonal employees who were employed as of December 31, 2025.</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color w:val="auto"/>
        </w:rPr>
        <w:t>Comparability</w:t>
      </w:r>
    </w:p>
    <w:p>
      <w:pPr>
        <w:spacing w:after="0" w:line="5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believe the ratio above is a reasonable estimate, based on the methodology we have described. Given the different methodologies, exclusions, estimates and assumptions other companies may use to calculate their respective CEO pay ratios, as well as differences in employment and compensation practices between companies, the estimated ratio reported above may not be comparable to that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hanging="192"/>
        <w:spacing w:after="0"/>
        <w:tabs>
          <w:tab w:leader="none" w:pos="200" w:val="left"/>
        </w:tabs>
        <w:numPr>
          <w:ilvl w:val="0"/>
          <w:numId w:val="263"/>
        </w:numPr>
        <w:rPr>
          <w:rFonts w:ascii="Arial" w:cs="Arial" w:eastAsia="Arial" w:hAnsi="Arial"/>
          <w:sz w:val="18"/>
          <w:szCs w:val="18"/>
          <w:color w:val="auto"/>
          <w:vertAlign w:val="superscript"/>
        </w:rPr>
      </w:pPr>
      <w:r>
        <w:rPr>
          <w:rFonts w:ascii="Arial" w:cs="Arial" w:eastAsia="Arial" w:hAnsi="Arial"/>
          <w:sz w:val="12"/>
          <w:szCs w:val="12"/>
          <w:color w:val="auto"/>
        </w:rPr>
        <w:t>For purposes of the CEO pay ratio disclosure, Mr. Dimon’s annual total compensation includes the amount reported in the “Total” column of the 2025 Summary compensation table on page 63 which</w:t>
      </w:r>
    </w:p>
    <w:p>
      <w:pPr>
        <w:ind w:left="200"/>
        <w:spacing w:after="0" w:line="211" w:lineRule="auto"/>
        <w:rPr>
          <w:sz w:val="20"/>
          <w:szCs w:val="20"/>
          <w:color w:val="auto"/>
        </w:rPr>
      </w:pPr>
      <w:r>
        <w:rPr>
          <w:rFonts w:ascii="Arial" w:cs="Arial" w:eastAsia="Arial" w:hAnsi="Arial"/>
          <w:sz w:val="13"/>
          <w:szCs w:val="13"/>
          <w:color w:val="auto"/>
        </w:rPr>
        <w:t>includes change in pension value, plus the value of Firm contributions to broad-based employee benefits applicable to Mr. Dimon.</w:t>
      </w:r>
    </w:p>
    <w:p>
      <w:pPr>
        <w:spacing w:after="0" w:line="13" w:lineRule="exact"/>
        <w:rPr>
          <w:sz w:val="20"/>
          <w:szCs w:val="20"/>
          <w:color w:val="auto"/>
        </w:rPr>
      </w:pPr>
    </w:p>
    <w:p>
      <w:pPr>
        <w:ind w:left="200" w:right="320" w:hanging="192"/>
        <w:spacing w:after="0" w:line="205" w:lineRule="auto"/>
        <w:tabs>
          <w:tab w:leader="none" w:pos="193" w:val="left"/>
        </w:tabs>
        <w:numPr>
          <w:ilvl w:val="0"/>
          <w:numId w:val="264"/>
        </w:numPr>
        <w:rPr>
          <w:rFonts w:ascii="Arial" w:cs="Arial" w:eastAsia="Arial" w:hAnsi="Arial"/>
          <w:sz w:val="19"/>
          <w:szCs w:val="19"/>
          <w:color w:val="auto"/>
          <w:vertAlign w:val="superscript"/>
        </w:rPr>
      </w:pPr>
      <w:r>
        <w:rPr>
          <w:rFonts w:ascii="Arial" w:cs="Arial" w:eastAsia="Arial" w:hAnsi="Arial"/>
          <w:sz w:val="13"/>
          <w:szCs w:val="13"/>
          <w:color w:val="auto"/>
        </w:rPr>
        <w:t>The estimated median employee’s annual total compensation includes change in pension value, plus the value of Firm contributions to broad-based employee benefits and 401(k) Savings Plan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309245</wp:posOffset>
            </wp:positionV>
            <wp:extent cx="651510" cy="8572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74</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5700"/>
        <w:spacing w:after="0"/>
        <w:rPr>
          <w:sz w:val="20"/>
          <w:szCs w:val="20"/>
          <w:color w:val="auto"/>
        </w:rPr>
      </w:pPr>
      <w:r>
        <w:rPr>
          <w:rFonts w:ascii="Arial" w:cs="Arial" w:eastAsia="Arial" w:hAnsi="Arial"/>
          <w:sz w:val="14"/>
          <w:szCs w:val="14"/>
          <w:color w:val="8F5A39"/>
        </w:rPr>
        <w:t xml:space="preserve">Security ownership of directors and executive officers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color w:val="auto"/>
        </w:rPr>
        <w:t>Security ownership of directors and executive officers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Our share retention policies require share ownership for directors and executive officers, as described on pages 33 and 50, respectively.</w:t>
      </w:r>
    </w:p>
    <w:p>
      <w:pPr>
        <w:spacing w:after="0" w:line="138"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following table shows the number of shares of common stock and common stock equivalents beneficially owned by each director, nominee and the current executive officers named in the SCT, and all directors, nominees and executive officers as a group as of February 28, 2026. Shares beneficially owned include shares that could have been acquired within 60 days after that date through the exercise of stock options or SARs, and additional underlying stock units as described in Note 2 to the table. Unless otherwise indicated, each individual and member of the group has sole voting power and sole investment power with respect to shares owned. The number of shares beneficially owned, as defined by Rule 13d-3 under the Securities Exchange Act of 1934—as of February 28, 2026, by all directors, nominees and executive officers as a group and by each director, nominee and NEO individually—is less than 1% of our outstanding common stock.</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color w:val="auto"/>
        </w:rPr>
        <w:t>Security ownership</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tcBorders>
              <w:bottom w:val="single" w:sz="8" w:color="F4EFE7"/>
            </w:tcBorders>
            <w:shd w:val="clear" w:color="auto" w:fill="F4EFE7"/>
          </w:tcPr>
          <w:p>
            <w:pPr>
              <w:spacing w:after="0"/>
              <w:rPr>
                <w:sz w:val="19"/>
                <w:szCs w:val="19"/>
                <w:color w:val="auto"/>
              </w:rPr>
            </w:pPr>
          </w:p>
        </w:tc>
        <w:tc>
          <w:tcPr>
            <w:tcW w:w="1240" w:type="dxa"/>
            <w:vAlign w:val="bottom"/>
            <w:tcBorders>
              <w:bottom w:val="single" w:sz="8" w:color="auto"/>
            </w:tcBorders>
            <w:shd w:val="clear" w:color="auto" w:fill="F4EFE7"/>
          </w:tcPr>
          <w:p>
            <w:pPr>
              <w:spacing w:after="0"/>
              <w:rPr>
                <w:sz w:val="19"/>
                <w:szCs w:val="19"/>
                <w:color w:val="auto"/>
              </w:rPr>
            </w:pPr>
          </w:p>
        </w:tc>
        <w:tc>
          <w:tcPr>
            <w:tcW w:w="1700" w:type="dxa"/>
            <w:vAlign w:val="bottom"/>
            <w:tcBorders>
              <w:bottom w:val="single" w:sz="8" w:color="auto"/>
            </w:tcBorders>
            <w:shd w:val="clear" w:color="auto" w:fill="F4EFE7"/>
          </w:tcPr>
          <w:p>
            <w:pPr>
              <w:ind w:left="120"/>
              <w:spacing w:after="0"/>
              <w:rPr>
                <w:sz w:val="20"/>
                <w:szCs w:val="20"/>
                <w:color w:val="auto"/>
              </w:rPr>
            </w:pPr>
            <w:r>
              <w:rPr>
                <w:rFonts w:ascii="Arial" w:cs="Arial" w:eastAsia="Arial" w:hAnsi="Arial"/>
                <w:sz w:val="14"/>
                <w:szCs w:val="14"/>
                <w:b w:val="1"/>
                <w:bCs w:val="1"/>
                <w:color w:val="8F5A39"/>
              </w:rPr>
              <w:t>Beneficial ownership</w:t>
            </w:r>
          </w:p>
        </w:tc>
        <w:tc>
          <w:tcPr>
            <w:tcW w:w="1220" w:type="dxa"/>
            <w:vAlign w:val="bottom"/>
            <w:tcBorders>
              <w:bottom w:val="single" w:sz="8" w:color="auto"/>
            </w:tcBorders>
            <w:shd w:val="clear" w:color="auto" w:fill="F4EFE7"/>
          </w:tcPr>
          <w:p>
            <w:pPr>
              <w:spacing w:after="0"/>
              <w:rPr>
                <w:sz w:val="19"/>
                <w:szCs w:val="19"/>
                <w:color w:val="auto"/>
              </w:rPr>
            </w:pPr>
          </w:p>
        </w:tc>
        <w:tc>
          <w:tcPr>
            <w:tcW w:w="1740" w:type="dxa"/>
            <w:vAlign w:val="bottom"/>
            <w:tcBorders>
              <w:bottom w:val="single" w:sz="8" w:color="F4EFE7"/>
            </w:tcBorders>
            <w:shd w:val="clear" w:color="auto" w:fill="F4EFE7"/>
          </w:tcPr>
          <w:p>
            <w:pPr>
              <w:spacing w:after="0"/>
              <w:rPr>
                <w:sz w:val="19"/>
                <w:szCs w:val="19"/>
                <w:color w:val="auto"/>
              </w:rPr>
            </w:pPr>
          </w:p>
        </w:tc>
        <w:tc>
          <w:tcPr>
            <w:tcW w:w="1100" w:type="dxa"/>
            <w:vAlign w:val="bottom"/>
            <w:tcBorders>
              <w:bottom w:val="single" w:sz="8" w:color="F4EFE7"/>
            </w:tcBorders>
            <w:shd w:val="clear" w:color="auto" w:fill="F4EFE7"/>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240" w:type="dxa"/>
            <w:vAlign w:val="bottom"/>
            <w:shd w:val="clear" w:color="auto" w:fill="F4EFE7"/>
          </w:tcPr>
          <w:p>
            <w:pPr>
              <w:spacing w:after="0"/>
              <w:rPr>
                <w:sz w:val="16"/>
                <w:szCs w:val="16"/>
                <w:color w:val="auto"/>
              </w:rPr>
            </w:pPr>
          </w:p>
        </w:tc>
        <w:tc>
          <w:tcPr>
            <w:tcW w:w="1240" w:type="dxa"/>
            <w:vAlign w:val="bottom"/>
            <w:shd w:val="clear" w:color="auto" w:fill="F4EFE7"/>
          </w:tcPr>
          <w:p>
            <w:pPr>
              <w:spacing w:after="0"/>
              <w:rPr>
                <w:sz w:val="16"/>
                <w:szCs w:val="16"/>
                <w:color w:val="auto"/>
              </w:rPr>
            </w:pPr>
          </w:p>
        </w:tc>
        <w:tc>
          <w:tcPr>
            <w:tcW w:w="1700" w:type="dxa"/>
            <w:vAlign w:val="bottom"/>
            <w:shd w:val="clear" w:color="auto" w:fill="F4EFE7"/>
          </w:tcPr>
          <w:p>
            <w:pPr>
              <w:jc w:val="right"/>
              <w:ind w:right="261"/>
              <w:spacing w:after="0"/>
              <w:rPr>
                <w:sz w:val="20"/>
                <w:szCs w:val="20"/>
                <w:color w:val="auto"/>
              </w:rPr>
            </w:pPr>
            <w:r>
              <w:rPr>
                <w:rFonts w:ascii="Arial" w:cs="Arial" w:eastAsia="Arial" w:hAnsi="Arial"/>
                <w:sz w:val="14"/>
                <w:szCs w:val="14"/>
                <w:b w:val="1"/>
                <w:bCs w:val="1"/>
                <w:color w:val="8F5A39"/>
              </w:rPr>
              <w:t>SARs/Options</w:t>
            </w:r>
          </w:p>
        </w:tc>
        <w:tc>
          <w:tcPr>
            <w:tcW w:w="1220" w:type="dxa"/>
            <w:vAlign w:val="bottom"/>
            <w:shd w:val="clear" w:color="auto" w:fill="F4EFE7"/>
          </w:tcPr>
          <w:p>
            <w:pPr>
              <w:spacing w:after="0"/>
              <w:rPr>
                <w:sz w:val="16"/>
                <w:szCs w:val="16"/>
                <w:color w:val="auto"/>
              </w:rPr>
            </w:pPr>
          </w:p>
        </w:tc>
        <w:tc>
          <w:tcPr>
            <w:tcW w:w="1740" w:type="dxa"/>
            <w:vAlign w:val="bottom"/>
            <w:shd w:val="clear" w:color="auto" w:fill="F4EFE7"/>
          </w:tcPr>
          <w:p>
            <w:pPr>
              <w:spacing w:after="0"/>
              <w:rPr>
                <w:sz w:val="16"/>
                <w:szCs w:val="16"/>
                <w:color w:val="auto"/>
              </w:rPr>
            </w:pPr>
          </w:p>
        </w:tc>
        <w:tc>
          <w:tcPr>
            <w:tcW w:w="1100" w:type="dxa"/>
            <w:vAlign w:val="bottom"/>
            <w:shd w:val="clear" w:color="auto" w:fill="F4EFE7"/>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F4EFE7"/>
          </w:tcPr>
          <w:p>
            <w:pPr>
              <w:spacing w:after="0"/>
              <w:rPr>
                <w:sz w:val="15"/>
                <w:szCs w:val="15"/>
                <w:color w:val="auto"/>
              </w:rPr>
            </w:pPr>
          </w:p>
        </w:tc>
        <w:tc>
          <w:tcPr>
            <w:tcW w:w="1240" w:type="dxa"/>
            <w:vAlign w:val="bottom"/>
            <w:vMerge w:val="restart"/>
            <w:shd w:val="clear" w:color="auto" w:fill="F4EFE7"/>
          </w:tcPr>
          <w:p>
            <w:pPr>
              <w:jc w:val="right"/>
              <w:ind w:right="20"/>
              <w:spacing w:after="0"/>
              <w:rPr>
                <w:sz w:val="20"/>
                <w:szCs w:val="20"/>
                <w:color w:val="auto"/>
              </w:rPr>
            </w:pPr>
            <w:r>
              <w:rPr>
                <w:rFonts w:ascii="Arial" w:cs="Arial" w:eastAsia="Arial" w:hAnsi="Arial"/>
                <w:sz w:val="14"/>
                <w:szCs w:val="14"/>
                <w:b w:val="1"/>
                <w:bCs w:val="1"/>
                <w:color w:val="8F5A39"/>
              </w:rPr>
              <w:t>Common</w:t>
            </w:r>
          </w:p>
        </w:tc>
        <w:tc>
          <w:tcPr>
            <w:tcW w:w="1700" w:type="dxa"/>
            <w:vAlign w:val="bottom"/>
            <w:shd w:val="clear" w:color="auto" w:fill="F4EFE7"/>
          </w:tcPr>
          <w:p>
            <w:pPr>
              <w:jc w:val="right"/>
              <w:ind w:right="261"/>
              <w:spacing w:after="0"/>
              <w:rPr>
                <w:sz w:val="20"/>
                <w:szCs w:val="20"/>
                <w:color w:val="auto"/>
              </w:rPr>
            </w:pPr>
            <w:r>
              <w:rPr>
                <w:rFonts w:ascii="Arial" w:cs="Arial" w:eastAsia="Arial" w:hAnsi="Arial"/>
                <w:sz w:val="14"/>
                <w:szCs w:val="14"/>
                <w:b w:val="1"/>
                <w:bCs w:val="1"/>
                <w:color w:val="8F5A39"/>
              </w:rPr>
              <w:t>exercisable</w:t>
            </w:r>
          </w:p>
        </w:tc>
        <w:tc>
          <w:tcPr>
            <w:tcW w:w="1220" w:type="dxa"/>
            <w:vAlign w:val="bottom"/>
            <w:vMerge w:val="restart"/>
            <w:shd w:val="clear" w:color="auto" w:fill="F4EFE7"/>
          </w:tcPr>
          <w:p>
            <w:pPr>
              <w:jc w:val="right"/>
              <w:spacing w:after="0"/>
              <w:rPr>
                <w:sz w:val="20"/>
                <w:szCs w:val="20"/>
                <w:color w:val="auto"/>
              </w:rPr>
            </w:pPr>
            <w:r>
              <w:rPr>
                <w:rFonts w:ascii="Arial" w:cs="Arial" w:eastAsia="Arial" w:hAnsi="Arial"/>
                <w:sz w:val="14"/>
                <w:szCs w:val="14"/>
                <w:b w:val="1"/>
                <w:bCs w:val="1"/>
                <w:color w:val="8F5A39"/>
              </w:rPr>
              <w:t>Total beneficial</w:t>
            </w:r>
          </w:p>
        </w:tc>
        <w:tc>
          <w:tcPr>
            <w:tcW w:w="1740" w:type="dxa"/>
            <w:vAlign w:val="bottom"/>
            <w:shd w:val="clear" w:color="auto" w:fill="F4EFE7"/>
          </w:tcPr>
          <w:p>
            <w:pPr>
              <w:jc w:val="right"/>
              <w:ind w:right="140"/>
              <w:spacing w:after="0"/>
              <w:rPr>
                <w:sz w:val="20"/>
                <w:szCs w:val="20"/>
                <w:color w:val="auto"/>
              </w:rPr>
            </w:pPr>
            <w:r>
              <w:rPr>
                <w:rFonts w:ascii="Arial" w:cs="Arial" w:eastAsia="Arial" w:hAnsi="Arial"/>
                <w:sz w:val="14"/>
                <w:szCs w:val="14"/>
                <w:b w:val="1"/>
                <w:bCs w:val="1"/>
                <w:color w:val="8F5A39"/>
              </w:rPr>
              <w:t>Additional</w:t>
            </w:r>
          </w:p>
        </w:tc>
        <w:tc>
          <w:tcPr>
            <w:tcW w:w="1100" w:type="dxa"/>
            <w:vAlign w:val="bottom"/>
            <w:shd w:val="clear" w:color="auto" w:fill="F4EFE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F4EFE7"/>
          </w:tcPr>
          <w:p>
            <w:pPr>
              <w:spacing w:after="0"/>
              <w:rPr>
                <w:sz w:val="14"/>
                <w:szCs w:val="14"/>
                <w:color w:val="auto"/>
              </w:rPr>
            </w:pPr>
          </w:p>
        </w:tc>
        <w:tc>
          <w:tcPr>
            <w:tcW w:w="1240" w:type="dxa"/>
            <w:vAlign w:val="bottom"/>
            <w:vMerge w:val="continue"/>
            <w:shd w:val="clear" w:color="auto" w:fill="F4EFE7"/>
          </w:tcPr>
          <w:p>
            <w:pPr>
              <w:spacing w:after="0"/>
              <w:rPr>
                <w:sz w:val="14"/>
                <w:szCs w:val="14"/>
                <w:color w:val="auto"/>
              </w:rPr>
            </w:pPr>
          </w:p>
        </w:tc>
        <w:tc>
          <w:tcPr>
            <w:tcW w:w="1700" w:type="dxa"/>
            <w:vAlign w:val="bottom"/>
            <w:shd w:val="clear" w:color="auto" w:fill="F4EFE7"/>
          </w:tcPr>
          <w:p>
            <w:pPr>
              <w:jc w:val="right"/>
              <w:ind w:right="261"/>
              <w:spacing w:after="0"/>
              <w:rPr>
                <w:sz w:val="20"/>
                <w:szCs w:val="20"/>
                <w:color w:val="auto"/>
              </w:rPr>
            </w:pPr>
            <w:r>
              <w:rPr>
                <w:rFonts w:ascii="Arial" w:cs="Arial" w:eastAsia="Arial" w:hAnsi="Arial"/>
                <w:sz w:val="14"/>
                <w:szCs w:val="14"/>
                <w:b w:val="1"/>
                <w:bCs w:val="1"/>
                <w:color w:val="8F5A39"/>
              </w:rPr>
              <w:t>within</w:t>
            </w:r>
          </w:p>
        </w:tc>
        <w:tc>
          <w:tcPr>
            <w:tcW w:w="1220" w:type="dxa"/>
            <w:vAlign w:val="bottom"/>
            <w:vMerge w:val="continue"/>
            <w:shd w:val="clear" w:color="auto" w:fill="F4EFE7"/>
          </w:tcPr>
          <w:p>
            <w:pPr>
              <w:spacing w:after="0"/>
              <w:rPr>
                <w:sz w:val="14"/>
                <w:szCs w:val="14"/>
                <w:color w:val="auto"/>
              </w:rPr>
            </w:pPr>
          </w:p>
        </w:tc>
        <w:tc>
          <w:tcPr>
            <w:tcW w:w="1740" w:type="dxa"/>
            <w:vAlign w:val="bottom"/>
            <w:shd w:val="clear" w:color="auto" w:fill="F4EFE7"/>
          </w:tcPr>
          <w:p>
            <w:pPr>
              <w:jc w:val="right"/>
              <w:ind w:right="140"/>
              <w:spacing w:after="0"/>
              <w:rPr>
                <w:sz w:val="20"/>
                <w:szCs w:val="20"/>
                <w:color w:val="auto"/>
              </w:rPr>
            </w:pPr>
            <w:r>
              <w:rPr>
                <w:rFonts w:ascii="Arial" w:cs="Arial" w:eastAsia="Arial" w:hAnsi="Arial"/>
                <w:sz w:val="14"/>
                <w:szCs w:val="14"/>
                <w:b w:val="1"/>
                <w:bCs w:val="1"/>
                <w:color w:val="8F5A39"/>
              </w:rPr>
              <w:t>underlying</w:t>
            </w:r>
          </w:p>
        </w:tc>
        <w:tc>
          <w:tcPr>
            <w:tcW w:w="1100" w:type="dxa"/>
            <w:vAlign w:val="bottom"/>
            <w:shd w:val="clear" w:color="auto" w:fill="F4EFE7"/>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24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Name</w:t>
            </w:r>
          </w:p>
        </w:tc>
        <w:tc>
          <w:tcPr>
            <w:tcW w:w="1240" w:type="dxa"/>
            <w:vAlign w:val="bottom"/>
            <w:tcBorders>
              <w:bottom w:val="single" w:sz="8" w:color="auto"/>
            </w:tcBorders>
            <w:shd w:val="clear" w:color="auto" w:fill="F4EFE7"/>
          </w:tcPr>
          <w:p>
            <w:pPr>
              <w:jc w:val="right"/>
              <w:ind w:right="20"/>
              <w:spacing w:after="0"/>
              <w:rPr>
                <w:sz w:val="20"/>
                <w:szCs w:val="20"/>
                <w:color w:val="auto"/>
              </w:rPr>
            </w:pPr>
            <w:r>
              <w:rPr>
                <w:rFonts w:ascii="Arial" w:cs="Arial" w:eastAsia="Arial" w:hAnsi="Arial"/>
                <w:sz w:val="14"/>
                <w:szCs w:val="14"/>
                <w:b w:val="1"/>
                <w:bCs w:val="1"/>
                <w:color w:val="8F5A39"/>
              </w:rPr>
              <w:t>stock (#)</w:t>
            </w:r>
            <w:r>
              <w:rPr>
                <w:rFonts w:ascii="Arial" w:cs="Arial" w:eastAsia="Arial" w:hAnsi="Arial"/>
                <w:sz w:val="9"/>
                <w:szCs w:val="9"/>
                <w:b w:val="1"/>
                <w:bCs w:val="1"/>
                <w:color w:val="8F5A39"/>
              </w:rPr>
              <w:t>1</w:t>
            </w:r>
          </w:p>
        </w:tc>
        <w:tc>
          <w:tcPr>
            <w:tcW w:w="1700" w:type="dxa"/>
            <w:vAlign w:val="bottom"/>
            <w:tcBorders>
              <w:bottom w:val="single" w:sz="8" w:color="auto"/>
            </w:tcBorders>
            <w:shd w:val="clear" w:color="auto" w:fill="F4EFE7"/>
          </w:tcPr>
          <w:p>
            <w:pPr>
              <w:jc w:val="right"/>
              <w:ind w:right="261"/>
              <w:spacing w:after="0"/>
              <w:rPr>
                <w:sz w:val="20"/>
                <w:szCs w:val="20"/>
                <w:color w:val="auto"/>
              </w:rPr>
            </w:pPr>
            <w:r>
              <w:rPr>
                <w:rFonts w:ascii="Arial" w:cs="Arial" w:eastAsia="Arial" w:hAnsi="Arial"/>
                <w:sz w:val="14"/>
                <w:szCs w:val="14"/>
                <w:b w:val="1"/>
                <w:bCs w:val="1"/>
                <w:color w:val="8F5A39"/>
              </w:rPr>
              <w:t>60 days (#)</w:t>
            </w:r>
          </w:p>
        </w:tc>
        <w:tc>
          <w:tcPr>
            <w:tcW w:w="122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ownership (#)</w:t>
            </w:r>
          </w:p>
        </w:tc>
        <w:tc>
          <w:tcPr>
            <w:tcW w:w="1740" w:type="dxa"/>
            <w:vAlign w:val="bottom"/>
            <w:tcBorders>
              <w:bottom w:val="single" w:sz="8" w:color="auto"/>
            </w:tcBorders>
            <w:shd w:val="clear" w:color="auto" w:fill="F4EFE7"/>
          </w:tcPr>
          <w:p>
            <w:pPr>
              <w:jc w:val="right"/>
              <w:ind w:right="140"/>
              <w:spacing w:after="0"/>
              <w:rPr>
                <w:sz w:val="20"/>
                <w:szCs w:val="20"/>
                <w:color w:val="auto"/>
              </w:rPr>
            </w:pPr>
            <w:r>
              <w:rPr>
                <w:rFonts w:ascii="Arial" w:cs="Arial" w:eastAsia="Arial" w:hAnsi="Arial"/>
                <w:sz w:val="14"/>
                <w:szCs w:val="14"/>
                <w:b w:val="1"/>
                <w:bCs w:val="1"/>
                <w:color w:val="8F5A39"/>
              </w:rPr>
              <w:t>stock units (#)</w:t>
            </w:r>
            <w:r>
              <w:rPr>
                <w:rFonts w:ascii="Arial" w:cs="Arial" w:eastAsia="Arial" w:hAnsi="Arial"/>
                <w:sz w:val="18"/>
                <w:szCs w:val="18"/>
                <w:b w:val="1"/>
                <w:bCs w:val="1"/>
                <w:color w:val="8F5A39"/>
                <w:vertAlign w:val="superscript"/>
              </w:rPr>
              <w:t>2</w:t>
            </w:r>
          </w:p>
        </w:tc>
        <w:tc>
          <w:tcPr>
            <w:tcW w:w="110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Total (#)</w:t>
            </w:r>
          </w:p>
        </w:tc>
        <w:tc>
          <w:tcPr>
            <w:tcW w:w="0" w:type="dxa"/>
            <w:vAlign w:val="bottom"/>
          </w:tcPr>
          <w:p>
            <w:pPr>
              <w:spacing w:after="0"/>
              <w:rPr>
                <w:sz w:val="1"/>
                <w:szCs w:val="1"/>
                <w:color w:val="auto"/>
              </w:rPr>
            </w:pPr>
          </w:p>
        </w:tc>
      </w:tr>
      <w:tr>
        <w:trPr>
          <w:trHeight w:val="233"/>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Stephen B. Burke</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107,334</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107,334</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155,063</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262,397</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Linda B. Bammann</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46,486</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46,486</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36,969</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83,455</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Jeremy Barnum</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23,804</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23,804</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139,434</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163,238</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Michele G. Buck</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5</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914</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Alicia Boler Davis</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285</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285</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3,611</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3,896</w:t>
            </w:r>
          </w:p>
        </w:tc>
        <w:tc>
          <w:tcPr>
            <w:tcW w:w="0" w:type="dxa"/>
            <w:vAlign w:val="bottom"/>
          </w:tcPr>
          <w:p>
            <w:pPr>
              <w:spacing w:after="0"/>
              <w:rPr>
                <w:sz w:val="1"/>
                <w:szCs w:val="1"/>
                <w:color w:val="auto"/>
              </w:rPr>
            </w:pPr>
          </w:p>
        </w:tc>
      </w:tr>
      <w:tr>
        <w:trPr>
          <w:trHeight w:val="240"/>
        </w:trPr>
        <w:tc>
          <w:tcPr>
            <w:tcW w:w="4240" w:type="dxa"/>
            <w:vAlign w:val="bottom"/>
            <w:tcBorders>
              <w:bottom w:val="single" w:sz="8" w:color="B2B2B2"/>
            </w:tcBorders>
          </w:tcPr>
          <w:p>
            <w:pPr>
              <w:ind w:left="20"/>
              <w:spacing w:after="0" w:line="240" w:lineRule="exact"/>
              <w:rPr>
                <w:sz w:val="20"/>
                <w:szCs w:val="20"/>
                <w:color w:val="auto"/>
              </w:rPr>
            </w:pPr>
            <w:r>
              <w:rPr>
                <w:rFonts w:ascii="Arial" w:cs="Arial" w:eastAsia="Arial" w:hAnsi="Arial"/>
                <w:sz w:val="16"/>
                <w:szCs w:val="16"/>
                <w:b w:val="1"/>
                <w:bCs w:val="1"/>
                <w:color w:val="8F5A39"/>
              </w:rPr>
              <w:t>James Dimon</w:t>
            </w:r>
            <w:r>
              <w:rPr>
                <w:rFonts w:ascii="Arial" w:cs="Arial" w:eastAsia="Arial" w:hAnsi="Arial"/>
                <w:sz w:val="21"/>
                <w:szCs w:val="21"/>
                <w:b w:val="1"/>
                <w:bCs w:val="1"/>
                <w:color w:val="8F5A39"/>
                <w:vertAlign w:val="superscript"/>
              </w:rPr>
              <w:t>3</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6,266,647</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6,266,647</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653,426</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6,920,073</w:t>
            </w:r>
          </w:p>
        </w:tc>
        <w:tc>
          <w:tcPr>
            <w:tcW w:w="0" w:type="dxa"/>
            <w:vAlign w:val="bottom"/>
          </w:tcPr>
          <w:p>
            <w:pPr>
              <w:spacing w:after="0"/>
              <w:rPr>
                <w:sz w:val="1"/>
                <w:szCs w:val="1"/>
                <w:color w:val="auto"/>
              </w:rPr>
            </w:pPr>
          </w:p>
        </w:tc>
      </w:tr>
      <w:tr>
        <w:trPr>
          <w:trHeight w:val="233"/>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Mary Callahan Erdoes</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613,405</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613,405</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252,128</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865,533</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Alex Gorsky</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88</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88</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7,206</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7,294</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Mellody Hobson</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129,574</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129,574</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24,133</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153,707</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Phebe N. Novakovic</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545</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545</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12,759</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13,304</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Douglas Petno</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435,285</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435,285</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173,474</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608,759</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Troy Rohrbaugh</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111,279</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111,279</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215,802</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327,081</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Virginia M. Rometty</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280</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280</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14,420</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14,700</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Brad D. Smith</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9,898</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9,898</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1,947</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11,845</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B2B2B2"/>
            </w:tcBorders>
          </w:tcPr>
          <w:p>
            <w:pPr>
              <w:ind w:left="20"/>
              <w:spacing w:after="0"/>
              <w:rPr>
                <w:sz w:val="20"/>
                <w:szCs w:val="20"/>
                <w:color w:val="auto"/>
              </w:rPr>
            </w:pPr>
            <w:r>
              <w:rPr>
                <w:rFonts w:ascii="Arial" w:cs="Arial" w:eastAsia="Arial" w:hAnsi="Arial"/>
                <w:sz w:val="16"/>
                <w:szCs w:val="16"/>
                <w:b w:val="1"/>
                <w:bCs w:val="1"/>
                <w:color w:val="8F5A39"/>
              </w:rPr>
              <w:t>Mark A. Weinberger</w:t>
            </w:r>
          </w:p>
        </w:tc>
        <w:tc>
          <w:tcPr>
            <w:tcW w:w="1240" w:type="dxa"/>
            <w:vAlign w:val="bottom"/>
            <w:tcBorders>
              <w:bottom w:val="single" w:sz="8" w:color="B2B2B2"/>
            </w:tcBorders>
          </w:tcPr>
          <w:p>
            <w:pPr>
              <w:jc w:val="right"/>
              <w:ind w:right="80"/>
              <w:spacing w:after="0"/>
              <w:rPr>
                <w:sz w:val="20"/>
                <w:szCs w:val="20"/>
                <w:color w:val="auto"/>
              </w:rPr>
            </w:pPr>
            <w:r>
              <w:rPr>
                <w:rFonts w:ascii="Arial" w:cs="Arial" w:eastAsia="Arial" w:hAnsi="Arial"/>
                <w:sz w:val="16"/>
                <w:szCs w:val="16"/>
                <w:color w:val="auto"/>
              </w:rPr>
              <w:t>500</w:t>
            </w:r>
          </w:p>
        </w:tc>
        <w:tc>
          <w:tcPr>
            <w:tcW w:w="1700" w:type="dxa"/>
            <w:vAlign w:val="bottom"/>
            <w:tcBorders>
              <w:bottom w:val="single" w:sz="8" w:color="B2B2B2"/>
            </w:tcBorders>
          </w:tcPr>
          <w:p>
            <w:pPr>
              <w:ind w:left="11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500</w:t>
            </w:r>
          </w:p>
        </w:tc>
        <w:tc>
          <w:tcPr>
            <w:tcW w:w="174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3,611</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4,111</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All directors, nominees and current executive officers as a</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8,573,082</w:t>
            </w:r>
          </w:p>
        </w:tc>
        <w:tc>
          <w:tcPr>
            <w:tcW w:w="1700" w:type="dxa"/>
            <w:vAlign w:val="bottom"/>
          </w:tcPr>
          <w:p>
            <w:pPr>
              <w:ind w:left="11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8,573,082</w:t>
            </w:r>
          </w:p>
        </w:tc>
        <w:tc>
          <w:tcPr>
            <w:tcW w:w="1740" w:type="dxa"/>
            <w:vAlign w:val="bottom"/>
          </w:tcPr>
          <w:p>
            <w:pPr>
              <w:jc w:val="right"/>
              <w:ind w:right="180"/>
              <w:spacing w:after="0"/>
              <w:rPr>
                <w:sz w:val="20"/>
                <w:szCs w:val="20"/>
                <w:color w:val="auto"/>
              </w:rPr>
            </w:pPr>
            <w:r>
              <w:rPr>
                <w:rFonts w:ascii="Arial" w:cs="Arial" w:eastAsia="Arial" w:hAnsi="Arial"/>
                <w:sz w:val="16"/>
                <w:szCs w:val="16"/>
                <w:color w:val="auto"/>
              </w:rPr>
              <w:t>2,518,835</w:t>
            </w:r>
          </w:p>
        </w:tc>
        <w:tc>
          <w:tcPr>
            <w:tcW w:w="1100" w:type="dxa"/>
            <w:vAlign w:val="bottom"/>
          </w:tcPr>
          <w:p>
            <w:pPr>
              <w:jc w:val="right"/>
              <w:spacing w:after="0"/>
              <w:rPr>
                <w:sz w:val="20"/>
                <w:szCs w:val="20"/>
                <w:color w:val="auto"/>
              </w:rPr>
            </w:pPr>
            <w:r>
              <w:rPr>
                <w:rFonts w:ascii="Arial" w:cs="Arial" w:eastAsia="Arial" w:hAnsi="Arial"/>
                <w:sz w:val="16"/>
                <w:szCs w:val="16"/>
                <w:color w:val="auto"/>
              </w:rPr>
              <w:t>11,091,917</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6"/>
                <w:szCs w:val="16"/>
                <w:color w:val="auto"/>
              </w:rPr>
              <w:t>group (21 persons)</w:t>
            </w:r>
            <w:r>
              <w:rPr>
                <w:rFonts w:ascii="Arial" w:cs="Arial" w:eastAsia="Arial" w:hAnsi="Arial"/>
                <w:sz w:val="21"/>
                <w:szCs w:val="21"/>
                <w:color w:val="auto"/>
                <w:vertAlign w:val="superscript"/>
              </w:rPr>
              <w:t>3</w:t>
            </w:r>
          </w:p>
        </w:tc>
        <w:tc>
          <w:tcPr>
            <w:tcW w:w="1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0" w:hanging="192"/>
        <w:spacing w:after="0"/>
        <w:tabs>
          <w:tab w:leader="none" w:pos="200" w:val="left"/>
        </w:tabs>
        <w:numPr>
          <w:ilvl w:val="0"/>
          <w:numId w:val="265"/>
        </w:numPr>
        <w:rPr>
          <w:rFonts w:ascii="Arial" w:cs="Arial" w:eastAsia="Arial" w:hAnsi="Arial"/>
          <w:sz w:val="18"/>
          <w:szCs w:val="18"/>
          <w:color w:val="auto"/>
          <w:vertAlign w:val="superscript"/>
        </w:rPr>
      </w:pPr>
      <w:r>
        <w:rPr>
          <w:rFonts w:ascii="Arial" w:cs="Arial" w:eastAsia="Arial" w:hAnsi="Arial"/>
          <w:sz w:val="12"/>
          <w:szCs w:val="12"/>
          <w:color w:val="auto"/>
        </w:rPr>
        <w:t>Shares owned outright, except as otherwise noted. Directors agree to retain all shares of common stock of JPMorganChase purchased on the open market or received pursuant to their service as a</w:t>
      </w:r>
    </w:p>
    <w:p>
      <w:pPr>
        <w:ind w:left="200"/>
        <w:spacing w:after="0" w:line="211" w:lineRule="auto"/>
        <w:rPr>
          <w:sz w:val="20"/>
          <w:szCs w:val="20"/>
          <w:color w:val="auto"/>
        </w:rPr>
      </w:pPr>
      <w:r>
        <w:rPr>
          <w:rFonts w:ascii="Arial" w:cs="Arial" w:eastAsia="Arial" w:hAnsi="Arial"/>
          <w:sz w:val="13"/>
          <w:szCs w:val="13"/>
          <w:color w:val="auto"/>
        </w:rPr>
        <w:t>Board member for as long as they serve on the Board.</w:t>
      </w:r>
    </w:p>
    <w:p>
      <w:pPr>
        <w:spacing w:after="0" w:line="13" w:lineRule="exact"/>
        <w:rPr>
          <w:sz w:val="20"/>
          <w:szCs w:val="20"/>
          <w:color w:val="auto"/>
        </w:rPr>
      </w:pPr>
    </w:p>
    <w:p>
      <w:pPr>
        <w:ind w:left="200" w:hanging="192"/>
        <w:spacing w:after="0" w:line="214" w:lineRule="auto"/>
        <w:tabs>
          <w:tab w:leader="none" w:pos="193" w:val="left"/>
        </w:tabs>
        <w:numPr>
          <w:ilvl w:val="0"/>
          <w:numId w:val="266"/>
        </w:numPr>
        <w:rPr>
          <w:rFonts w:ascii="Arial" w:cs="Arial" w:eastAsia="Arial" w:hAnsi="Arial"/>
          <w:sz w:val="19"/>
          <w:szCs w:val="19"/>
          <w:color w:val="auto"/>
          <w:vertAlign w:val="superscript"/>
        </w:rPr>
      </w:pPr>
      <w:r>
        <w:rPr>
          <w:rFonts w:ascii="Arial" w:cs="Arial" w:eastAsia="Arial" w:hAnsi="Arial"/>
          <w:sz w:val="13"/>
          <w:szCs w:val="13"/>
          <w:color w:val="auto"/>
        </w:rPr>
        <w:t>Amounts include for directors, nominees and executive officers, shares or deferred stock units, receipt of which has been deferred under deferred compensation plan arrangements. For executive officers, amounts also include unvested RSUs and unvested PSUs (including accumulated reinvested dividend equivalent shares), as well as share equivalents attributable under the JPMorgan Chase 401(k) Savings Plan. The ultimate number of PSUs earned at vesting is determined by a pre-established formula set at the time of the award based on the Firm’s absolute and relative ROTCE performance over the subsequent three years, with potential payout value ranging from 0% to 150%. Additional details on the PSU program are provided on pages 48-49.</w:t>
      </w:r>
    </w:p>
    <w:p>
      <w:pPr>
        <w:ind w:left="200" w:hanging="192"/>
        <w:spacing w:after="0" w:line="196" w:lineRule="auto"/>
        <w:tabs>
          <w:tab w:leader="none" w:pos="200" w:val="left"/>
        </w:tabs>
        <w:numPr>
          <w:ilvl w:val="0"/>
          <w:numId w:val="267"/>
        </w:numPr>
        <w:rPr>
          <w:rFonts w:ascii="Arial" w:cs="Arial" w:eastAsia="Arial" w:hAnsi="Arial"/>
          <w:sz w:val="19"/>
          <w:szCs w:val="19"/>
          <w:color w:val="auto"/>
          <w:vertAlign w:val="superscript"/>
        </w:rPr>
      </w:pPr>
      <w:r>
        <w:rPr>
          <w:rFonts w:ascii="Arial" w:cs="Arial" w:eastAsia="Arial" w:hAnsi="Arial"/>
          <w:sz w:val="13"/>
          <w:szCs w:val="13"/>
          <w:color w:val="auto"/>
        </w:rPr>
        <w:t>Includes 116,466 shares owned by entities as to which Mr. Dimon disclaims beneficial ownership, except to the extent of his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292100</wp:posOffset>
            </wp:positionV>
            <wp:extent cx="651510" cy="8572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Pursuant to SEC filings, the companies included in the table below were the beneficial owners of more than 5% of our outstanding common stock as of December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80" w:type="dxa"/>
            <w:vAlign w:val="bottom"/>
            <w:shd w:val="clear" w:color="auto" w:fill="F4EFE7"/>
          </w:tcPr>
          <w:p>
            <w:pPr>
              <w:spacing w:after="0"/>
              <w:rPr>
                <w:sz w:val="15"/>
                <w:szCs w:val="15"/>
                <w:color w:val="auto"/>
              </w:rPr>
            </w:pPr>
          </w:p>
        </w:tc>
        <w:tc>
          <w:tcPr>
            <w:tcW w:w="5020" w:type="dxa"/>
            <w:vAlign w:val="bottom"/>
            <w:shd w:val="clear" w:color="auto" w:fill="F4EFE7"/>
          </w:tcPr>
          <w:p>
            <w:pPr>
              <w:spacing w:after="0"/>
              <w:rPr>
                <w:sz w:val="15"/>
                <w:szCs w:val="15"/>
                <w:color w:val="auto"/>
              </w:rPr>
            </w:pPr>
          </w:p>
        </w:tc>
        <w:tc>
          <w:tcPr>
            <w:tcW w:w="1560" w:type="dxa"/>
            <w:vAlign w:val="bottom"/>
            <w:shd w:val="clear" w:color="auto" w:fill="F4EFE7"/>
          </w:tcPr>
          <w:p>
            <w:pPr>
              <w:jc w:val="center"/>
              <w:spacing w:after="0"/>
              <w:rPr>
                <w:sz w:val="20"/>
                <w:szCs w:val="20"/>
                <w:color w:val="auto"/>
              </w:rPr>
            </w:pPr>
            <w:r>
              <w:rPr>
                <w:rFonts w:ascii="Arial" w:cs="Arial" w:eastAsia="Arial" w:hAnsi="Arial"/>
                <w:sz w:val="14"/>
                <w:szCs w:val="14"/>
                <w:b w:val="1"/>
                <w:bCs w:val="1"/>
                <w:color w:val="8F5A39"/>
              </w:rPr>
              <w:t>Common stock</w:t>
            </w:r>
          </w:p>
        </w:tc>
        <w:tc>
          <w:tcPr>
            <w:tcW w:w="980" w:type="dxa"/>
            <w:vAlign w:val="bottom"/>
            <w:shd w:val="clear" w:color="auto" w:fill="F4EFE7"/>
          </w:tcPr>
          <w:p>
            <w:pPr>
              <w:jc w:val="right"/>
              <w:spacing w:after="0"/>
              <w:rPr>
                <w:sz w:val="20"/>
                <w:szCs w:val="20"/>
                <w:color w:val="auto"/>
              </w:rPr>
            </w:pPr>
            <w:r>
              <w:rPr>
                <w:rFonts w:ascii="Arial" w:cs="Arial" w:eastAsia="Arial" w:hAnsi="Arial"/>
                <w:sz w:val="14"/>
                <w:szCs w:val="14"/>
                <w:b w:val="1"/>
                <w:bCs w:val="1"/>
                <w:color w:val="8F5A39"/>
              </w:rPr>
              <w:t>Percent</w:t>
            </w:r>
          </w:p>
        </w:tc>
      </w:tr>
      <w:tr>
        <w:trPr>
          <w:trHeight w:val="219"/>
        </w:trPr>
        <w:tc>
          <w:tcPr>
            <w:tcW w:w="368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Name of beneficial owner</w:t>
            </w:r>
          </w:p>
        </w:tc>
        <w:tc>
          <w:tcPr>
            <w:tcW w:w="5020" w:type="dxa"/>
            <w:vAlign w:val="bottom"/>
            <w:tcBorders>
              <w:bottom w:val="single" w:sz="8" w:color="auto"/>
            </w:tcBorders>
            <w:shd w:val="clear" w:color="auto" w:fill="F4EFE7"/>
          </w:tcPr>
          <w:p>
            <w:pPr>
              <w:jc w:val="right"/>
              <w:ind w:right="202"/>
              <w:spacing w:after="0"/>
              <w:rPr>
                <w:sz w:val="20"/>
                <w:szCs w:val="20"/>
                <w:color w:val="auto"/>
              </w:rPr>
            </w:pPr>
            <w:r>
              <w:rPr>
                <w:rFonts w:ascii="Arial" w:cs="Arial" w:eastAsia="Arial" w:hAnsi="Arial"/>
                <w:sz w:val="14"/>
                <w:szCs w:val="14"/>
                <w:b w:val="1"/>
                <w:bCs w:val="1"/>
                <w:color w:val="8F5A39"/>
              </w:rPr>
              <w:t>Address of beneficial owner</w:t>
            </w:r>
          </w:p>
        </w:tc>
        <w:tc>
          <w:tcPr>
            <w:tcW w:w="1560" w:type="dxa"/>
            <w:vAlign w:val="bottom"/>
            <w:tcBorders>
              <w:bottom w:val="single" w:sz="8" w:color="auto"/>
            </w:tcBorders>
            <w:shd w:val="clear" w:color="auto" w:fill="F4EFE7"/>
          </w:tcPr>
          <w:p>
            <w:pPr>
              <w:ind w:left="640"/>
              <w:spacing w:after="0"/>
              <w:rPr>
                <w:sz w:val="20"/>
                <w:szCs w:val="20"/>
                <w:color w:val="auto"/>
              </w:rPr>
            </w:pPr>
            <w:r>
              <w:rPr>
                <w:rFonts w:ascii="Arial" w:cs="Arial" w:eastAsia="Arial" w:hAnsi="Arial"/>
                <w:sz w:val="14"/>
                <w:szCs w:val="14"/>
                <w:b w:val="1"/>
                <w:bCs w:val="1"/>
                <w:color w:val="8F5A39"/>
              </w:rPr>
              <w:t>owned (#)</w:t>
            </w:r>
          </w:p>
        </w:tc>
        <w:tc>
          <w:tcPr>
            <w:tcW w:w="98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owned (%)</w:t>
            </w:r>
          </w:p>
        </w:tc>
      </w:tr>
      <w:tr>
        <w:trPr>
          <w:trHeight w:val="243"/>
        </w:trPr>
        <w:tc>
          <w:tcPr>
            <w:tcW w:w="36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1</w:t>
            </w:r>
          </w:p>
        </w:tc>
        <w:tc>
          <w:tcPr>
            <w:tcW w:w="5020" w:type="dxa"/>
            <w:vAlign w:val="bottom"/>
            <w:tcBorders>
              <w:bottom w:val="single" w:sz="8" w:color="B2B2B2"/>
            </w:tcBorders>
          </w:tcPr>
          <w:p>
            <w:pPr>
              <w:jc w:val="right"/>
              <w:ind w:right="202"/>
              <w:spacing w:after="0"/>
              <w:rPr>
                <w:sz w:val="20"/>
                <w:szCs w:val="20"/>
                <w:color w:val="auto"/>
              </w:rPr>
            </w:pPr>
            <w:r>
              <w:rPr>
                <w:rFonts w:ascii="Arial" w:cs="Arial" w:eastAsia="Arial" w:hAnsi="Arial"/>
                <w:sz w:val="16"/>
                <w:szCs w:val="16"/>
                <w:color w:val="auto"/>
              </w:rPr>
              <w:t>100 Vanguard Blvd, Malvern, PA 19355</w:t>
            </w:r>
          </w:p>
        </w:tc>
        <w:tc>
          <w:tcPr>
            <w:tcW w:w="156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rPr>
              <w:t>265,758,185</w:t>
            </w:r>
          </w:p>
        </w:tc>
        <w:tc>
          <w:tcPr>
            <w:tcW w:w="980" w:type="dxa"/>
            <w:vAlign w:val="bottom"/>
            <w:tcBorders>
              <w:bottom w:val="single" w:sz="8" w:color="B2B2B2"/>
            </w:tcBorders>
          </w:tcPr>
          <w:p>
            <w:pPr>
              <w:jc w:val="right"/>
              <w:ind w:right="4"/>
              <w:spacing w:after="0"/>
              <w:rPr>
                <w:sz w:val="20"/>
                <w:szCs w:val="20"/>
                <w:color w:val="auto"/>
              </w:rPr>
            </w:pPr>
            <w:r>
              <w:rPr>
                <w:rFonts w:ascii="Arial" w:cs="Arial" w:eastAsia="Arial" w:hAnsi="Arial"/>
                <w:sz w:val="16"/>
                <w:szCs w:val="16"/>
                <w:color w:val="auto"/>
              </w:rPr>
              <w:t>9.86</w:t>
            </w:r>
          </w:p>
        </w:tc>
      </w:tr>
      <w:tr>
        <w:trPr>
          <w:trHeight w:val="236"/>
        </w:trPr>
        <w:tc>
          <w:tcPr>
            <w:tcW w:w="368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2</w:t>
            </w:r>
          </w:p>
        </w:tc>
        <w:tc>
          <w:tcPr>
            <w:tcW w:w="50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50 Hudson Yards, New York, NY 10001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192,831,104</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7.15</w:t>
            </w:r>
          </w:p>
        </w:tc>
      </w:tr>
    </w:tbl>
    <w:p>
      <w:pPr>
        <w:spacing w:after="0" w:line="144" w:lineRule="exact"/>
        <w:rPr>
          <w:sz w:val="20"/>
          <w:szCs w:val="20"/>
          <w:color w:val="auto"/>
        </w:rPr>
      </w:pPr>
    </w:p>
    <w:p>
      <w:pPr>
        <w:ind w:left="200" w:right="60" w:hanging="192"/>
        <w:spacing w:after="0" w:line="214" w:lineRule="auto"/>
        <w:tabs>
          <w:tab w:leader="none" w:pos="206" w:val="left"/>
        </w:tabs>
        <w:numPr>
          <w:ilvl w:val="0"/>
          <w:numId w:val="268"/>
        </w:numPr>
        <w:rPr>
          <w:rFonts w:ascii="Arial" w:cs="Arial" w:eastAsia="Arial" w:hAnsi="Arial"/>
          <w:sz w:val="19"/>
          <w:szCs w:val="19"/>
          <w:color w:val="auto"/>
          <w:vertAlign w:val="superscript"/>
        </w:rPr>
      </w:pPr>
      <w:r>
        <w:rPr>
          <w:rFonts w:ascii="Arial" w:cs="Arial" w:eastAsia="Arial" w:hAnsi="Arial"/>
          <w:sz w:val="13"/>
          <w:szCs w:val="13"/>
          <w:color w:val="auto"/>
        </w:rPr>
        <w:t>The number of shares reported as beneficially owned is derived from shares reported in the Form 13F as filed by Vanguard with the SEC for the quarter ending December 31, 2025. According to the Schedule 13G dated February 13, 2024, filed with the SEC, in the aggregate, Vanguard (including the affiliated entities identified in the Schedule 13G) had sole dispositive power over 259,678,951 shares, shared dispositive power over 12,732,039 shares, sole voting power over 0 shares and shared voting power over 3,623,542 shares of our common stock. The Vanguard Group owns the above holdings in its capacity as an investment advisor in accordance with SEC Rule 13d-1(b)(1)(ii)(E).</w:t>
      </w:r>
    </w:p>
    <w:p>
      <w:pPr>
        <w:ind w:left="200" w:right="80" w:hanging="192"/>
        <w:spacing w:after="0" w:line="220" w:lineRule="auto"/>
        <w:tabs>
          <w:tab w:leader="none" w:pos="193" w:val="left"/>
        </w:tabs>
        <w:numPr>
          <w:ilvl w:val="0"/>
          <w:numId w:val="269"/>
        </w:numPr>
        <w:rPr>
          <w:rFonts w:ascii="Arial" w:cs="Arial" w:eastAsia="Arial" w:hAnsi="Arial"/>
          <w:sz w:val="19"/>
          <w:szCs w:val="19"/>
          <w:color w:val="auto"/>
          <w:vertAlign w:val="superscript"/>
        </w:rPr>
      </w:pPr>
      <w:r>
        <w:rPr>
          <w:rFonts w:ascii="Arial" w:cs="Arial" w:eastAsia="Arial" w:hAnsi="Arial"/>
          <w:sz w:val="13"/>
          <w:szCs w:val="13"/>
          <w:color w:val="auto"/>
        </w:rPr>
        <w:t>BlackRock, Inc. owns the above holdings in its capacity as a parent holding company or control person in accordance with SEC Rule 13d-1(b)(1)(ii)(G). According to the Schedule 13G dated February 7, 2024, filed with the SEC, in the aggregate, BlackRock (including the affiliated entities identified in the Schedule 13G) had sole dispositive power over 192,831,104 shares and sole voting power over 173,083,182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309880</wp:posOffset>
            </wp:positionV>
            <wp:extent cx="651510" cy="8572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76</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52"/>
          <w:szCs w:val="52"/>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268287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3232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PROPOSAL 3:</w:t>
      </w:r>
    </w:p>
    <w:p>
      <w:pPr>
        <w:spacing w:after="0" w:line="325" w:lineRule="exact"/>
        <w:rPr>
          <w:sz w:val="20"/>
          <w:szCs w:val="20"/>
          <w:color w:val="auto"/>
        </w:rPr>
      </w:pPr>
    </w:p>
    <w:p>
      <w:pPr>
        <w:ind w:left="760" w:right="760"/>
        <w:spacing w:after="0" w:line="280" w:lineRule="auto"/>
        <w:rPr>
          <w:sz w:val="20"/>
          <w:szCs w:val="20"/>
          <w:color w:val="auto"/>
        </w:rPr>
      </w:pPr>
      <w:r>
        <w:rPr>
          <w:rFonts w:ascii="Arial" w:cs="Arial" w:eastAsia="Arial" w:hAnsi="Arial"/>
          <w:sz w:val="40"/>
          <w:szCs w:val="40"/>
          <w:color w:val="8F5A39"/>
        </w:rPr>
        <w:t>Ratification of independent registered public accounting firm</w:t>
      </w:r>
    </w:p>
    <w:p>
      <w:pPr>
        <w:spacing w:after="0" w:line="357" w:lineRule="exact"/>
        <w:rPr>
          <w:sz w:val="20"/>
          <w:szCs w:val="20"/>
          <w:color w:val="auto"/>
        </w:rPr>
      </w:pPr>
    </w:p>
    <w:p>
      <w:pPr>
        <w:ind w:left="760" w:right="880"/>
        <w:spacing w:after="0" w:line="303" w:lineRule="auto"/>
        <w:rPr>
          <w:sz w:val="20"/>
          <w:szCs w:val="20"/>
          <w:color w:val="auto"/>
        </w:rPr>
      </w:pPr>
      <w:r>
        <w:rPr>
          <w:rFonts w:ascii="Arial" w:cs="Arial" w:eastAsia="Arial" w:hAnsi="Arial"/>
          <w:sz w:val="18"/>
          <w:szCs w:val="18"/>
          <w:color w:val="auto"/>
        </w:rPr>
        <w:t>The Audit Committee has appointed PwC as the Firm’s independent registered public accounting firm for the year ending December 31, 2026.</w:t>
      </w: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RECOMMENDATION:</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8F5A39"/>
        </w:rPr>
        <w:t>FOR</w:t>
      </w:r>
      <w:r>
        <w:rPr>
          <w:rFonts w:ascii="Arial" w:cs="Arial" w:eastAsia="Arial" w:hAnsi="Arial"/>
          <w:sz w:val="16"/>
          <w:szCs w:val="16"/>
          <w:color w:val="auto"/>
        </w:rPr>
        <w:t xml:space="preserve"> ratification of PwC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0"/>
        <w:spacing w:after="0"/>
        <w:rPr>
          <w:sz w:val="20"/>
          <w:szCs w:val="20"/>
          <w:color w:val="auto"/>
        </w:rPr>
      </w:pPr>
      <w:r>
        <w:rPr>
          <w:rFonts w:ascii="Arial" w:cs="Arial" w:eastAsia="Arial" w:hAnsi="Arial"/>
          <w:sz w:val="29"/>
          <w:szCs w:val="29"/>
          <w:color w:val="auto"/>
        </w:rPr>
        <w:t>Overview</w:t>
      </w:r>
    </w:p>
    <w:p>
      <w:pPr>
        <w:spacing w:after="0" w:line="49" w:lineRule="exact"/>
        <w:rPr>
          <w:sz w:val="20"/>
          <w:szCs w:val="20"/>
          <w:color w:val="auto"/>
        </w:rPr>
      </w:pPr>
    </w:p>
    <w:p>
      <w:pPr>
        <w:ind w:left="720"/>
        <w:spacing w:after="0" w:line="291" w:lineRule="auto"/>
        <w:rPr>
          <w:sz w:val="20"/>
          <w:szCs w:val="20"/>
          <w:color w:val="auto"/>
        </w:rPr>
      </w:pPr>
      <w:r>
        <w:rPr>
          <w:rFonts w:ascii="Arial" w:cs="Arial" w:eastAsia="Arial" w:hAnsi="Arial"/>
          <w:sz w:val="16"/>
          <w:szCs w:val="16"/>
          <w:color w:val="auto"/>
        </w:rPr>
        <w:t>The Audit Committee is responsible for the appointment, retention, compensation, evaluation and oversight of the Firm’s independent registered public accounting firm. It is also responsible for assisting the Board in its oversight of the Firm’s Internal Audit function and of management’s responsibilities to ensure that there is an effective system of controls in place reasonably designed to safeguard the assets and income of the Firm, ensure the integrity of the Firm’s financial statements and maintain compliance with the Firm’s ethical standards, policies, plans and procedures, and with laws and regulations. The Report of the Audit Committee on these matters can be found on pages 80-81.</w:t>
      </w:r>
    </w:p>
    <w:p>
      <w:pPr>
        <w:spacing w:after="0" w:line="100" w:lineRule="exact"/>
        <w:rPr>
          <w:sz w:val="20"/>
          <w:szCs w:val="20"/>
          <w:color w:val="auto"/>
        </w:rPr>
      </w:pPr>
    </w:p>
    <w:p>
      <w:pPr>
        <w:ind w:left="720" w:right="140"/>
        <w:spacing w:after="0" w:line="295" w:lineRule="auto"/>
        <w:rPr>
          <w:sz w:val="20"/>
          <w:szCs w:val="20"/>
          <w:color w:val="auto"/>
        </w:rPr>
      </w:pPr>
      <w:r>
        <w:rPr>
          <w:rFonts w:ascii="Arial" w:cs="Arial" w:eastAsia="Arial" w:hAnsi="Arial"/>
          <w:sz w:val="16"/>
          <w:szCs w:val="16"/>
          <w:color w:val="auto"/>
        </w:rPr>
        <w:t>The Audit Committee has appointed PwC as the Firm’s independent registered public accounting firm to audit the Consolidated Financial Statements of JPMorganChase and its subsidiaries for the year ending December 31, 2026. A resolution will be presented to our shareholders at the annual meeting requesting them to ratify PwC’s appointment. For more information on this resolution, see page 78. If the shareholders do not ratify the appointment of PwC, the Audit Committee will consider the appointment of another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368935</wp:posOffset>
            </wp:positionV>
            <wp:extent cx="651510" cy="8572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Audit matters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Proposal 3: 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color w:val="auto"/>
        </w:rPr>
        <w:t>Proposal 3: Ratification of independent registered public accounting firm</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color w:val="auto"/>
        </w:rPr>
        <w:t>Engagement of independent registered public accounting firm</w:t>
      </w:r>
    </w:p>
    <w:p>
      <w:pPr>
        <w:spacing w:after="0" w:line="45"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The Audit Committee is responsible for the appointment, retention, compensation, evaluation and oversight of the Firm’s independent registered public accounting firm.</w:t>
      </w:r>
    </w:p>
    <w:p>
      <w:pPr>
        <w:spacing w:after="0" w:line="88"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The Audit Committee has appointed PwC as the Firm’s independent registered public accounting firm to audit the Consolidated Financial Statements of JPMorganChase and its subsidiaries for the year ending December 31, 2026.</w:t>
      </w:r>
    </w:p>
    <w:p>
      <w:pPr>
        <w:spacing w:after="0" w:line="75"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The Audit Committee annually evaluates PwC’s qualifications, performance and independence in connection with its determination as to whether to retain PwC. For information on the factors evaluated by the Audit Committee, see the Audit Committee Report on pages 80-81.</w:t>
      </w:r>
    </w:p>
    <w:p>
      <w:pPr>
        <w:spacing w:after="0" w:line="8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members of the Audit Committee and the Board believe that continued retention of PwC as the Firm’s independent external auditor is in the best interests of JPMorganChase and its shareholders. PwC and its predecessors have acted as our independent registered public accounting firm since 1965. The Board believes the Firm receives significant benefits from the extensive history PwC has with the Firm. These benefits include:</w:t>
      </w:r>
    </w:p>
    <w:p>
      <w:pPr>
        <w:spacing w:after="0" w:line="91" w:lineRule="exact"/>
        <w:rPr>
          <w:sz w:val="20"/>
          <w:szCs w:val="20"/>
          <w:color w:val="auto"/>
        </w:rPr>
      </w:pPr>
    </w:p>
    <w:p>
      <w:pPr>
        <w:ind w:left="200" w:right="620" w:hanging="192"/>
        <w:spacing w:after="0" w:line="316" w:lineRule="auto"/>
        <w:tabs>
          <w:tab w:leader="none" w:pos="184" w:val="left"/>
        </w:tabs>
        <w:numPr>
          <w:ilvl w:val="0"/>
          <w:numId w:val="270"/>
        </w:numPr>
        <w:rPr>
          <w:rFonts w:ascii="Arial" w:cs="Arial" w:eastAsia="Arial" w:hAnsi="Arial"/>
          <w:sz w:val="16"/>
          <w:szCs w:val="16"/>
          <w:b w:val="1"/>
          <w:bCs w:val="1"/>
          <w:color w:val="auto"/>
        </w:rPr>
      </w:pPr>
      <w:r>
        <w:rPr>
          <w:rFonts w:ascii="Arial" w:cs="Arial" w:eastAsia="Arial" w:hAnsi="Arial"/>
          <w:sz w:val="16"/>
          <w:szCs w:val="16"/>
          <w:color w:val="auto"/>
        </w:rPr>
        <w:t>the high quality of its audit work and accounting advice, as a result of their institutional knowledge of our businesses, global operations, key risks, accounting policies, financial systems and internal control framework;</w:t>
      </w:r>
    </w:p>
    <w:p>
      <w:pPr>
        <w:spacing w:after="0" w:line="1" w:lineRule="exact"/>
        <w:rPr>
          <w:rFonts w:ascii="Arial" w:cs="Arial" w:eastAsia="Arial" w:hAnsi="Arial"/>
          <w:sz w:val="16"/>
          <w:szCs w:val="16"/>
          <w:b w:val="1"/>
          <w:bCs w:val="1"/>
          <w:color w:val="auto"/>
        </w:rPr>
      </w:pPr>
    </w:p>
    <w:p>
      <w:pPr>
        <w:ind w:left="180" w:hanging="172"/>
        <w:spacing w:after="0"/>
        <w:tabs>
          <w:tab w:leader="none" w:pos="180" w:val="left"/>
        </w:tabs>
        <w:numPr>
          <w:ilvl w:val="0"/>
          <w:numId w:val="270"/>
        </w:numPr>
        <w:rPr>
          <w:rFonts w:ascii="Arial" w:cs="Arial" w:eastAsia="Arial" w:hAnsi="Arial"/>
          <w:sz w:val="16"/>
          <w:szCs w:val="16"/>
          <w:b w:val="1"/>
          <w:bCs w:val="1"/>
          <w:color w:val="auto"/>
        </w:rPr>
      </w:pPr>
      <w:r>
        <w:rPr>
          <w:rFonts w:ascii="Arial" w:cs="Arial" w:eastAsia="Arial" w:hAnsi="Arial"/>
          <w:sz w:val="16"/>
          <w:szCs w:val="16"/>
          <w:color w:val="auto"/>
        </w:rPr>
        <w:t>its audit efficiency and effectiveness, which results in a lower fee structure due to their history and familiarity with our businesses;</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270"/>
        </w:numPr>
        <w:rPr>
          <w:rFonts w:ascii="Arial" w:cs="Arial" w:eastAsia="Arial" w:hAnsi="Arial"/>
          <w:sz w:val="16"/>
          <w:szCs w:val="16"/>
          <w:b w:val="1"/>
          <w:bCs w:val="1"/>
          <w:color w:val="auto"/>
        </w:rPr>
      </w:pPr>
      <w:r>
        <w:rPr>
          <w:rFonts w:ascii="Arial" w:cs="Arial" w:eastAsia="Arial" w:hAnsi="Arial"/>
          <w:sz w:val="16"/>
          <w:szCs w:val="16"/>
          <w:color w:val="auto"/>
        </w:rPr>
        <w:t>the time and expense that would be avoided by management and staff in order to onboard a new auditor; and</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270"/>
        </w:numPr>
        <w:rPr>
          <w:rFonts w:ascii="Arial" w:cs="Arial" w:eastAsia="Arial" w:hAnsi="Arial"/>
          <w:sz w:val="16"/>
          <w:szCs w:val="16"/>
          <w:b w:val="1"/>
          <w:bCs w:val="1"/>
          <w:color w:val="auto"/>
        </w:rPr>
      </w:pPr>
      <w:r>
        <w:rPr>
          <w:rFonts w:ascii="Arial" w:cs="Arial" w:eastAsia="Arial" w:hAnsi="Arial"/>
          <w:sz w:val="16"/>
          <w:szCs w:val="16"/>
          <w:color w:val="auto"/>
        </w:rPr>
        <w:t>its commitment to maintaining their independence from the Firm.</w:t>
      </w:r>
    </w:p>
    <w:p>
      <w:pPr>
        <w:spacing w:after="0" w:line="181"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A member of PwC will be present at the annual meeting and will have the opportunity to make a statement and respond to appropriate questions from shareholders.</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auto"/>
        </w:rPr>
        <w:t>Board oversight of PwC</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held eight private sessions with PwC during 2025.</w:t>
      </w:r>
    </w:p>
    <w:p>
      <w:pPr>
        <w:spacing w:after="0" w:line="16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Audit Committee assesses PwC’s independence throughout the year. This includes reviewing with PwC its practices for maintaining independence. The Audit Committee has also established policies and procedures for approving services provided by PwC. It is JPMorganChase’s policy to use PwC only for audit and audit-related services, as well as tax services in certain circumstances. For more information, see "Audit Committee approval policies and procedures" on page 79.</w:t>
      </w:r>
    </w:p>
    <w:p>
      <w:pPr>
        <w:spacing w:after="0" w:line="108"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No member of PwC’s audit team may be hired by the Firm for a period of one year after the last day of field work for that audit period in the year in which such person transferred from the Firm’s audit engagement to another role at PwC, or has terminated employment with PwC. Further, no former PwC employee who was a manager or partner may be hired by the Firm as the CFO, Principal Accounting Officer, General Auditor, Treasurer, Director of Tax or CFO or Controller of a LOB or Corporate function for a period of two years following his or her termination of employment with PwC.</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accordance with SEC rules and PwC policies, audit engagement partners are subject to rotation requirements to limit the number of consecutive years of service an individual partner may provide audit services to the Firm. The lead audit engagement partner may provide services to our Firm for a maximum of five consecutive years. As a result of these rotation requirements, a new lead audit engagement partner was selected commencing with the 2026 audit engagement and is expected to serve in this capacity through the end of the 2030 audit. Management considered feedback from the Audit Committee Chair in selecting the new lead audit engagement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389255</wp:posOffset>
            </wp:positionV>
            <wp:extent cx="651510" cy="8572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78</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7" w:right="39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8F5A39"/>
        </w:rPr>
        <w:t xml:space="preserve">Proposal 3: Ratification of independent registered public accounting firm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color w:val="auto"/>
        </w:rPr>
        <w:t>Fees paid to PricewaterhouseCoopers LLP</w:t>
      </w:r>
    </w:p>
    <w:p>
      <w:pPr>
        <w:spacing w:after="0" w:line="45"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The Audit Committee is responsible for negotiating the terms and fees associated with the Firm’s retention of PwC, including the annual integrated audit of the Firm’s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Aggregate fees for professional services rendered by PwC for JPMorganChase and its subsidiaries for the years ended December 31, 2025 and 2024, were: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40" w:type="dxa"/>
            <w:vAlign w:val="bottom"/>
            <w:shd w:val="clear" w:color="auto" w:fill="F4EFE7"/>
          </w:tcPr>
          <w:p>
            <w:pPr>
              <w:ind w:left="20"/>
              <w:spacing w:after="0"/>
              <w:rPr>
                <w:sz w:val="20"/>
                <w:szCs w:val="20"/>
                <w:color w:val="auto"/>
              </w:rPr>
            </w:pPr>
            <w:r>
              <w:rPr>
                <w:rFonts w:ascii="Arial" w:cs="Arial" w:eastAsia="Arial" w:hAnsi="Arial"/>
                <w:sz w:val="14"/>
                <w:szCs w:val="14"/>
                <w:b w:val="1"/>
                <w:bCs w:val="1"/>
                <w:color w:val="8F5A39"/>
              </w:rPr>
              <w:t>Year ended December 31,</w:t>
            </w:r>
          </w:p>
        </w:tc>
        <w:tc>
          <w:tcPr>
            <w:tcW w:w="4040" w:type="dxa"/>
            <w:vAlign w:val="bottom"/>
            <w:shd w:val="clear" w:color="auto" w:fill="F4EFE7"/>
          </w:tcPr>
          <w:p>
            <w:pPr>
              <w:spacing w:after="0"/>
              <w:rPr>
                <w:sz w:val="16"/>
                <w:szCs w:val="16"/>
                <w:color w:val="auto"/>
              </w:rPr>
            </w:pPr>
          </w:p>
        </w:tc>
        <w:tc>
          <w:tcPr>
            <w:tcW w:w="680" w:type="dxa"/>
            <w:vAlign w:val="bottom"/>
            <w:shd w:val="clear" w:color="auto" w:fill="F4EFE7"/>
          </w:tcPr>
          <w:p>
            <w:pPr>
              <w:spacing w:after="0"/>
              <w:rPr>
                <w:sz w:val="16"/>
                <w:szCs w:val="16"/>
                <w:color w:val="auto"/>
              </w:rPr>
            </w:pPr>
          </w:p>
        </w:tc>
        <w:tc>
          <w:tcPr>
            <w:tcW w:w="320" w:type="dxa"/>
            <w:vAlign w:val="bottom"/>
            <w:shd w:val="clear" w:color="auto" w:fill="F4EFE7"/>
          </w:tcPr>
          <w:p>
            <w:pPr>
              <w:spacing w:after="0"/>
              <w:rPr>
                <w:sz w:val="16"/>
                <w:szCs w:val="16"/>
                <w:color w:val="auto"/>
              </w:rPr>
            </w:pPr>
          </w:p>
        </w:tc>
        <w:tc>
          <w:tcPr>
            <w:tcW w:w="560" w:type="dxa"/>
            <w:vAlign w:val="bottom"/>
            <w:shd w:val="clear" w:color="auto" w:fill="F4EFE7"/>
          </w:tcPr>
          <w:p>
            <w:pPr>
              <w:spacing w:after="0"/>
              <w:rPr>
                <w:sz w:val="16"/>
                <w:szCs w:val="16"/>
                <w:color w:val="auto"/>
              </w:rPr>
            </w:pPr>
          </w:p>
        </w:tc>
      </w:tr>
      <w:tr>
        <w:trPr>
          <w:trHeight w:val="205"/>
        </w:trPr>
        <w:tc>
          <w:tcPr>
            <w:tcW w:w="564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 in millions)</w:t>
            </w:r>
          </w:p>
        </w:tc>
        <w:tc>
          <w:tcPr>
            <w:tcW w:w="4040" w:type="dxa"/>
            <w:vAlign w:val="bottom"/>
            <w:tcBorders>
              <w:bottom w:val="single" w:sz="8" w:color="auto"/>
            </w:tcBorders>
            <w:shd w:val="clear" w:color="auto" w:fill="F4EFE7"/>
          </w:tcPr>
          <w:p>
            <w:pPr>
              <w:spacing w:after="0"/>
              <w:rPr>
                <w:sz w:val="17"/>
                <w:szCs w:val="17"/>
                <w:color w:val="auto"/>
              </w:rPr>
            </w:pPr>
          </w:p>
        </w:tc>
        <w:tc>
          <w:tcPr>
            <w:tcW w:w="680" w:type="dxa"/>
            <w:vAlign w:val="bottom"/>
            <w:tcBorders>
              <w:bottom w:val="single" w:sz="8" w:color="auto"/>
            </w:tcBorders>
            <w:shd w:val="clear" w:color="auto" w:fill="F4EFE7"/>
          </w:tcPr>
          <w:p>
            <w:pPr>
              <w:jc w:val="right"/>
              <w:ind w:right="41"/>
              <w:spacing w:after="0"/>
              <w:rPr>
                <w:sz w:val="20"/>
                <w:szCs w:val="20"/>
                <w:color w:val="auto"/>
              </w:rPr>
            </w:pPr>
            <w:r>
              <w:rPr>
                <w:rFonts w:ascii="Arial" w:cs="Arial" w:eastAsia="Arial" w:hAnsi="Arial"/>
                <w:sz w:val="14"/>
                <w:szCs w:val="14"/>
                <w:b w:val="1"/>
                <w:bCs w:val="1"/>
                <w:color w:val="8F5A39"/>
              </w:rPr>
              <w:t>2025</w:t>
            </w:r>
          </w:p>
        </w:tc>
        <w:tc>
          <w:tcPr>
            <w:tcW w:w="320" w:type="dxa"/>
            <w:vAlign w:val="bottom"/>
            <w:tcBorders>
              <w:bottom w:val="single" w:sz="8" w:color="auto"/>
            </w:tcBorders>
            <w:shd w:val="clear" w:color="auto" w:fill="F4EFE7"/>
          </w:tcPr>
          <w:p>
            <w:pPr>
              <w:spacing w:after="0"/>
              <w:rPr>
                <w:sz w:val="17"/>
                <w:szCs w:val="17"/>
                <w:color w:val="auto"/>
              </w:rPr>
            </w:pPr>
          </w:p>
        </w:tc>
        <w:tc>
          <w:tcPr>
            <w:tcW w:w="56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4"/>
                <w:szCs w:val="14"/>
                <w:b w:val="1"/>
                <w:bCs w:val="1"/>
                <w:color w:val="8F5A39"/>
              </w:rPr>
              <w:t>2024</w:t>
            </w:r>
          </w:p>
        </w:tc>
      </w:tr>
      <w:tr>
        <w:trPr>
          <w:trHeight w:val="236"/>
        </w:trPr>
        <w:tc>
          <w:tcPr>
            <w:tcW w:w="5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Audit</w:t>
            </w:r>
          </w:p>
        </w:tc>
        <w:tc>
          <w:tcPr>
            <w:tcW w:w="4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91.0</w:t>
            </w:r>
          </w:p>
        </w:tc>
        <w:tc>
          <w:tcPr>
            <w:tcW w:w="3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78.5</w:t>
            </w:r>
          </w:p>
        </w:tc>
      </w:tr>
      <w:tr>
        <w:trPr>
          <w:trHeight w:val="237"/>
        </w:trPr>
        <w:tc>
          <w:tcPr>
            <w:tcW w:w="5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Audit-related</w:t>
            </w:r>
          </w:p>
        </w:tc>
        <w:tc>
          <w:tcPr>
            <w:tcW w:w="404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38.1</w:t>
            </w:r>
          </w:p>
        </w:tc>
        <w:tc>
          <w:tcPr>
            <w:tcW w:w="32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36.0</w:t>
            </w:r>
          </w:p>
        </w:tc>
      </w:tr>
      <w:tr>
        <w:trPr>
          <w:trHeight w:val="237"/>
        </w:trPr>
        <w:tc>
          <w:tcPr>
            <w:tcW w:w="56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Tax</w:t>
            </w:r>
          </w:p>
        </w:tc>
        <w:tc>
          <w:tcPr>
            <w:tcW w:w="404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5.9</w:t>
            </w:r>
          </w:p>
        </w:tc>
        <w:tc>
          <w:tcPr>
            <w:tcW w:w="32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4.5</w:t>
            </w: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135.0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119.0</w:t>
            </w:r>
          </w:p>
        </w:tc>
      </w:tr>
    </w:tbl>
    <w:p>
      <w:pPr>
        <w:spacing w:after="0" w:line="14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amounts reported in the table above exclude all fees paid to PwC by investment companies and asset management funds (e.g., private equity, mutual and exchange-traded funds, and collective investment funds), and special purpose vehicles that are sponsored, managed or advised by subsidiaries of JPMorganChase but are not consolidated with the Firm. Reported Audit fees are those applicable to each fiscal year's engagements. Audit-related and Tax fees are reported based on services rendered during each fiscal year.</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Audit fees</w:t>
      </w:r>
    </w:p>
    <w:p>
      <w:pPr>
        <w:spacing w:after="0" w:line="3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For the years ended December 31, 2025 and 2024, fees for the annual integrated audit of the Firm’s Consolidated Financial Statements and of the Firm’s internal control over financial reporting, and quarterly reviews of the Firm’s Consolidated Financial Statements, were $54.0 million and $52.2 million, respectively. Fees for services related to statutory/subsidiary audits, attestation reports required by statute or regulation, and comfort letters and consents related to SEC filings and other similar filings with non-U.S. authorities were $37.0 million and $26.3 million, respectively. The increase in audit fees is primarily driven by PwC being appointed as auditor for certain international subsidiary engagements.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Audit-related fees</w:t>
      </w:r>
    </w:p>
    <w:p>
      <w:pPr>
        <w:spacing w:after="0" w:line="3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Audit-related fees comprise assurance and related services that are traditionally performed by the independent registered public accounting firm. These services include attestation and agreed-upon procedures which address accounting, reporting and control matters relating to fiduciary, transaction processing, investment management, servicing activities and sustainability initiatives; reviews related to investment and lending processes, and technology systems; and due diligence reviews related to acquisitions and divestitures. These services are normally provided in connection with the recurring audit engagement. The increase in Audit-related fees is primarily driven by services rendered during the calendar year due to continued business growth.</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Tax fees</w:t>
      </w:r>
    </w:p>
    <w:p>
      <w:pPr>
        <w:spacing w:after="0" w:line="31" w:lineRule="exact"/>
        <w:rPr>
          <w:sz w:val="20"/>
          <w:szCs w:val="20"/>
          <w:color w:val="auto"/>
        </w:rPr>
      </w:pPr>
    </w:p>
    <w:p>
      <w:pPr>
        <w:ind w:right="800"/>
        <w:spacing w:after="0" w:line="320" w:lineRule="auto"/>
        <w:rPr>
          <w:sz w:val="20"/>
          <w:szCs w:val="20"/>
          <w:color w:val="auto"/>
        </w:rPr>
      </w:pPr>
      <w:r>
        <w:rPr>
          <w:rFonts w:ascii="Arial" w:cs="Arial" w:eastAsia="Arial" w:hAnsi="Arial"/>
          <w:sz w:val="16"/>
          <w:szCs w:val="16"/>
          <w:color w:val="auto"/>
        </w:rPr>
        <w:t>Fees for the years ended December 31, 2025 and 2024, for tax compliance and tax return preparation services were $5.5 million and $4.3 million, respectively. Fees for other tax services, including tax advisory and consultation on tax matters, were $0.4 million and $0.2 million,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color w:val="auto"/>
        </w:rPr>
        <w:t>Audit Committee approval policies and procedures</w:t>
      </w:r>
    </w:p>
    <w:p>
      <w:pPr>
        <w:spacing w:after="0" w:line="4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Audit Committee’s policies and procedures require the Audit Committee to pre-approve a list of specified audit, audit-related and tax services, and review and approve the terms and fees for the annual integrated audit of the Firm's Consolidated Financial Statements. Management is responsible for verifying that all PwC engagements are part of a pre-approved services list. All other requests must be approved by the Audit Committee. JPMorganChase’s pre-approval policy does not provide for a de minimis exception under which the pre-approval requirement may be waived.</w:t>
      </w:r>
    </w:p>
    <w:p>
      <w:pPr>
        <w:spacing w:after="0" w:line="108"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Pre-approved services to be performed by PwC with estimated costs in excess of a set threshold are approved by the Chair of the Audit Committee and other pre-approved services are delegated to the Firmwide Controller’s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356235</wp:posOffset>
            </wp:positionV>
            <wp:extent cx="651510" cy="8572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Audit matters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4"/>
          <w:szCs w:val="14"/>
          <w:color w:val="8F5A39"/>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color w:val="auto"/>
        </w:rPr>
        <w:t>Audit Committee report</w:t>
      </w:r>
    </w:p>
    <w:p>
      <w:pPr>
        <w:spacing w:after="0" w:line="3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Audit Committee of the Board of Directors of JPMorganChase is comprised of four non-management directors. The Board has determined that each member of our committee has no material relationship with the Firm under the Board’s director independence standards and that each member is independent under the listing standards of the NYSE, where the Firm’s securities are listed, and under the SEC’s standards relating to the independence of audit committees. The Board has also determined that each member is financially literate and is an audit committee financial expert as defined by the SEC.</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color w:val="auto"/>
        </w:rPr>
        <w:t>Charter</w:t>
      </w:r>
    </w:p>
    <w:p>
      <w:pPr>
        <w:spacing w:after="0" w:line="5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Audit Committee operates under a written charter adopted by the Board, which is available on our website at jpmorganchase.com/about/governance/board-committees/audit-committee. We annually review our charter and our practices. We have determined that our charter and practices are consistent with the listing standards of the NYSE and the provisions of the Sarbanes-Oxley Act of 2002. The purpose of the Audit Committee is to assist the Board in its oversight of:</w:t>
      </w:r>
    </w:p>
    <w:p>
      <w:pPr>
        <w:spacing w:after="0" w:line="113" w:lineRule="exact"/>
        <w:rPr>
          <w:sz w:val="20"/>
          <w:szCs w:val="20"/>
          <w:color w:val="auto"/>
        </w:rPr>
      </w:pPr>
    </w:p>
    <w:p>
      <w:pPr>
        <w:ind w:left="180" w:hanging="172"/>
        <w:spacing w:after="0"/>
        <w:tabs>
          <w:tab w:leader="none" w:pos="180"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the independent registered public accounting firm’s qualifications and independence,</w:t>
      </w:r>
    </w:p>
    <w:p>
      <w:pPr>
        <w:spacing w:after="0" w:line="72" w:lineRule="exact"/>
        <w:rPr>
          <w:rFonts w:ascii="Arial" w:cs="Arial" w:eastAsia="Arial" w:hAnsi="Arial"/>
          <w:sz w:val="16"/>
          <w:szCs w:val="16"/>
          <w:b w:val="1"/>
          <w:bCs w:val="1"/>
          <w:color w:val="auto"/>
        </w:rPr>
      </w:pPr>
    </w:p>
    <w:p>
      <w:pPr>
        <w:ind w:left="180" w:hanging="172"/>
        <w:spacing w:after="0"/>
        <w:tabs>
          <w:tab w:leader="none" w:pos="180"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the performance of the Firm’s internal audit function and the independent registered public accounting firm, and</w:t>
      </w:r>
    </w:p>
    <w:p>
      <w:pPr>
        <w:spacing w:after="0" w:line="86" w:lineRule="exact"/>
        <w:rPr>
          <w:rFonts w:ascii="Arial" w:cs="Arial" w:eastAsia="Arial" w:hAnsi="Arial"/>
          <w:sz w:val="16"/>
          <w:szCs w:val="16"/>
          <w:b w:val="1"/>
          <w:bCs w:val="1"/>
          <w:color w:val="auto"/>
        </w:rPr>
      </w:pPr>
    </w:p>
    <w:p>
      <w:pPr>
        <w:ind w:left="200" w:hanging="192"/>
        <w:spacing w:after="0" w:line="301" w:lineRule="auto"/>
        <w:tabs>
          <w:tab w:leader="none" w:pos="184"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management’s responsibilities to assure that there is in place an effective system of controls reasonably designed to safeguard the assets and income of the Firm; assure the integrity of the Firm’s financial statements; and maintain compliance with the Firm’s ethical standards, policies, plans and procedures, and with laws and regulations.</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color w:val="auto"/>
        </w:rPr>
        <w:t>Audit communications and fees</w:t>
      </w:r>
    </w:p>
    <w:p>
      <w:pPr>
        <w:spacing w:after="0" w:line="5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We discussed with PwC the matters required to be discussed by Public Company Accounting Oversight Board (“PCAOB”)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including PwC’s overall audit scope and audit approach as set forth in the terms of their engagement letter; PwC’s</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audit strategy for significant audit risks identified by them; and the nature and extent of the specialized skills necessary to perform the planned audit. We have established procedures to receive and track the handling of issues regarding accounting and reporting, internal control and auditing matters. In addition, we monitor the audit, audit-related and tax services provided by PwC. The Audit Committee has also evaluated and concluded that audit-related and tax services provided by PwC do not impair PwC’s independence.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fees paid to PwC for its services, as well as the Audit Committee’s “pre-approval policy” for such services, can be found on page 79.</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auto"/>
        </w:rPr>
        <w:t>Assessment of PwC</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annually evaluates PwC’s qualifications, performance and independence in connection with its determination as to whether to retain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PwC. In conducting our evaluation we considered, among other things:</w:t>
      </w:r>
    </w:p>
    <w:p>
      <w:pPr>
        <w:spacing w:after="0" w:line="181" w:lineRule="exact"/>
        <w:rPr>
          <w:sz w:val="20"/>
          <w:szCs w:val="20"/>
          <w:color w:val="auto"/>
        </w:rPr>
      </w:pPr>
    </w:p>
    <w:p>
      <w:pPr>
        <w:ind w:left="180" w:hanging="172"/>
        <w:spacing w:after="0"/>
        <w:tabs>
          <w:tab w:leader="none" w:pos="180" w:val="left"/>
        </w:tabs>
        <w:numPr>
          <w:ilvl w:val="0"/>
          <w:numId w:val="272"/>
        </w:numPr>
        <w:rPr>
          <w:rFonts w:ascii="Arial" w:cs="Arial" w:eastAsia="Arial" w:hAnsi="Arial"/>
          <w:sz w:val="16"/>
          <w:szCs w:val="16"/>
          <w:b w:val="1"/>
          <w:bCs w:val="1"/>
          <w:color w:val="auto"/>
        </w:rPr>
      </w:pPr>
      <w:r>
        <w:rPr>
          <w:rFonts w:ascii="Arial" w:cs="Arial" w:eastAsia="Arial" w:hAnsi="Arial"/>
          <w:sz w:val="16"/>
          <w:szCs w:val="16"/>
          <w:color w:val="auto"/>
        </w:rPr>
        <w:t>the professional qualifications of PwC, and that of the lead audit partner, quality review partner and other key engagement partners;</w:t>
      </w:r>
    </w:p>
    <w:p>
      <w:pPr>
        <w:spacing w:after="0" w:line="72" w:lineRule="exact"/>
        <w:rPr>
          <w:rFonts w:ascii="Arial" w:cs="Arial" w:eastAsia="Arial" w:hAnsi="Arial"/>
          <w:sz w:val="16"/>
          <w:szCs w:val="16"/>
          <w:b w:val="1"/>
          <w:bCs w:val="1"/>
          <w:color w:val="auto"/>
        </w:rPr>
      </w:pPr>
    </w:p>
    <w:p>
      <w:pPr>
        <w:ind w:left="200" w:right="120" w:hanging="192"/>
        <w:spacing w:after="0" w:line="284" w:lineRule="auto"/>
        <w:tabs>
          <w:tab w:leader="none" w:pos="184" w:val="left"/>
        </w:tabs>
        <w:numPr>
          <w:ilvl w:val="0"/>
          <w:numId w:val="272"/>
        </w:numPr>
        <w:rPr>
          <w:rFonts w:ascii="Arial" w:cs="Arial" w:eastAsia="Arial" w:hAnsi="Arial"/>
          <w:sz w:val="16"/>
          <w:szCs w:val="16"/>
          <w:b w:val="1"/>
          <w:bCs w:val="1"/>
          <w:color w:val="auto"/>
        </w:rPr>
      </w:pPr>
      <w:r>
        <w:rPr>
          <w:rFonts w:ascii="Arial" w:cs="Arial" w:eastAsia="Arial" w:hAnsi="Arial"/>
          <w:sz w:val="16"/>
          <w:szCs w:val="16"/>
          <w:color w:val="auto"/>
        </w:rPr>
        <w:t>PwC’s current and historical performance on the Firm’s audit, including the extent and quality of its communications with the Audit Committee and the Firm’s management related to accounting and auditing issues, legislative and regulatory developments impacting financial institutions as well as industry insights, trends and emerging practices;</w:t>
      </w:r>
    </w:p>
    <w:p>
      <w:pPr>
        <w:spacing w:after="0" w:line="8" w:lineRule="exact"/>
        <w:rPr>
          <w:rFonts w:ascii="Arial" w:cs="Arial" w:eastAsia="Arial" w:hAnsi="Arial"/>
          <w:sz w:val="16"/>
          <w:szCs w:val="16"/>
          <w:b w:val="1"/>
          <w:bCs w:val="1"/>
          <w:color w:val="auto"/>
        </w:rPr>
      </w:pPr>
    </w:p>
    <w:p>
      <w:pPr>
        <w:ind w:left="200" w:right="180" w:hanging="192"/>
        <w:spacing w:after="0" w:line="299" w:lineRule="auto"/>
        <w:tabs>
          <w:tab w:leader="none" w:pos="184" w:val="left"/>
        </w:tabs>
        <w:numPr>
          <w:ilvl w:val="0"/>
          <w:numId w:val="272"/>
        </w:numPr>
        <w:rPr>
          <w:rFonts w:ascii="Arial" w:cs="Arial" w:eastAsia="Arial" w:hAnsi="Arial"/>
          <w:sz w:val="16"/>
          <w:szCs w:val="16"/>
          <w:b w:val="1"/>
          <w:bCs w:val="1"/>
          <w:color w:val="auto"/>
        </w:rPr>
      </w:pPr>
      <w:r>
        <w:rPr>
          <w:rFonts w:ascii="Arial" w:cs="Arial" w:eastAsia="Arial" w:hAnsi="Arial"/>
          <w:sz w:val="16"/>
          <w:szCs w:val="16"/>
          <w:color w:val="auto"/>
        </w:rPr>
        <w:t>PwC’s demonstrated professional skepticism and objectivity, including fresh perspectives brought through the required periodic rotation of the lead audit partner, the quality review partner and other partners who play a significant role in the audit engagement;</w:t>
      </w:r>
    </w:p>
    <w:p>
      <w:pPr>
        <w:ind w:left="200" w:right="60" w:hanging="192"/>
        <w:spacing w:after="0" w:line="299" w:lineRule="auto"/>
        <w:tabs>
          <w:tab w:leader="none" w:pos="184" w:val="left"/>
        </w:tabs>
        <w:numPr>
          <w:ilvl w:val="0"/>
          <w:numId w:val="272"/>
        </w:numPr>
        <w:rPr>
          <w:rFonts w:ascii="Arial" w:cs="Arial" w:eastAsia="Arial" w:hAnsi="Arial"/>
          <w:sz w:val="16"/>
          <w:szCs w:val="16"/>
          <w:b w:val="1"/>
          <w:bCs w:val="1"/>
          <w:color w:val="auto"/>
        </w:rPr>
      </w:pPr>
      <w:r>
        <w:rPr>
          <w:rFonts w:ascii="Arial" w:cs="Arial" w:eastAsia="Arial" w:hAnsi="Arial"/>
          <w:sz w:val="16"/>
          <w:szCs w:val="16"/>
          <w:color w:val="auto"/>
        </w:rPr>
        <w:t>PwC’s demonstrated capability, expertise and efficiency in which it navigates the breadth and complexity of the Firm’s global operations, including the use of technology, specialists, and subject matter experts;</w:t>
      </w:r>
    </w:p>
    <w:p>
      <w:pPr>
        <w:ind w:left="200" w:right="100" w:hanging="192"/>
        <w:spacing w:after="0" w:line="284" w:lineRule="auto"/>
        <w:tabs>
          <w:tab w:leader="none" w:pos="184" w:val="left"/>
        </w:tabs>
        <w:numPr>
          <w:ilvl w:val="0"/>
          <w:numId w:val="272"/>
        </w:numPr>
        <w:rPr>
          <w:rFonts w:ascii="Arial" w:cs="Arial" w:eastAsia="Arial" w:hAnsi="Arial"/>
          <w:sz w:val="16"/>
          <w:szCs w:val="16"/>
          <w:b w:val="1"/>
          <w:bCs w:val="1"/>
          <w:color w:val="auto"/>
        </w:rPr>
      </w:pPr>
      <w:r>
        <w:rPr>
          <w:rFonts w:ascii="Arial" w:cs="Arial" w:eastAsia="Arial" w:hAnsi="Arial"/>
          <w:sz w:val="16"/>
          <w:szCs w:val="16"/>
          <w:color w:val="auto"/>
        </w:rPr>
        <w:t>PwC’s depth of institutional knowledge and understanding of the Firm’s global businesses, operations and systems, the financial services industry, including the global regulatory environment, U.S. and international accounting standards, the potential effect on the financial statements of the significant risks and exposures facing the Firm, and the Firm’s internal control over financial reporting;</w:t>
      </w:r>
    </w:p>
    <w:p>
      <w:pPr>
        <w:spacing w:after="0" w:line="8" w:lineRule="exact"/>
        <w:rPr>
          <w:rFonts w:ascii="Arial" w:cs="Arial" w:eastAsia="Arial" w:hAnsi="Arial"/>
          <w:sz w:val="16"/>
          <w:szCs w:val="16"/>
          <w:b w:val="1"/>
          <w:bCs w:val="1"/>
          <w:color w:val="auto"/>
        </w:rPr>
      </w:pPr>
    </w:p>
    <w:p>
      <w:pPr>
        <w:ind w:left="200" w:right="360" w:hanging="192"/>
        <w:spacing w:after="0" w:line="304" w:lineRule="auto"/>
        <w:tabs>
          <w:tab w:leader="none" w:pos="184" w:val="left"/>
        </w:tabs>
        <w:numPr>
          <w:ilvl w:val="0"/>
          <w:numId w:val="272"/>
        </w:numPr>
        <w:rPr>
          <w:rFonts w:ascii="Arial" w:cs="Arial" w:eastAsia="Arial" w:hAnsi="Arial"/>
          <w:sz w:val="16"/>
          <w:szCs w:val="16"/>
          <w:b w:val="1"/>
          <w:bCs w:val="1"/>
          <w:color w:val="auto"/>
        </w:rPr>
      </w:pPr>
      <w:r>
        <w:rPr>
          <w:rFonts w:ascii="Arial" w:cs="Arial" w:eastAsia="Arial" w:hAnsi="Arial"/>
          <w:sz w:val="16"/>
          <w:szCs w:val="16"/>
          <w:color w:val="auto"/>
        </w:rPr>
        <w:t>external data relating to PwC’s audit quality and performance, including recent PCAOB reports on PwC (including its global network of firms), and the results of peer review and self-review examinations;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372745</wp:posOffset>
            </wp:positionV>
            <wp:extent cx="651510" cy="8572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80</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8480"/>
        <w:spacing w:after="0"/>
        <w:rPr>
          <w:sz w:val="20"/>
          <w:szCs w:val="20"/>
          <w:color w:val="auto"/>
        </w:rPr>
      </w:pPr>
      <w:r>
        <w:rPr>
          <w:rFonts w:ascii="Arial" w:cs="Arial" w:eastAsia="Arial" w:hAnsi="Arial"/>
          <w:sz w:val="14"/>
          <w:szCs w:val="14"/>
          <w:color w:val="8F5A39"/>
        </w:rPr>
        <w:t xml:space="preserve">Audit Committee report </w:t>
      </w:r>
      <w:r>
        <w:rPr>
          <w:rFonts w:ascii="Arial" w:cs="Arial" w:eastAsia="Arial" w:hAnsi="Arial"/>
          <w:sz w:val="16"/>
          <w:szCs w:val="16"/>
          <w:color w:val="000000"/>
        </w:rPr>
        <w:t>|</w:t>
      </w:r>
      <w:r>
        <w:rPr>
          <w:rFonts w:ascii="Arial" w:cs="Arial" w:eastAsia="Arial" w:hAnsi="Arial"/>
          <w:sz w:val="14"/>
          <w:szCs w:val="14"/>
          <w:color w:val="8F5A39"/>
        </w:rPr>
        <w:t xml:space="preserve"> </w:t>
      </w:r>
      <w:r>
        <w:rPr>
          <w:rFonts w:ascii="Arial" w:cs="Arial" w:eastAsia="Arial" w:hAnsi="Arial"/>
          <w:sz w:val="16"/>
          <w:szCs w:val="16"/>
          <w:b w:val="1"/>
          <w:bCs w:val="1"/>
          <w:color w:val="000000"/>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p>
      <w:pPr>
        <w:ind w:left="180" w:hanging="172"/>
        <w:spacing w:after="0"/>
        <w:tabs>
          <w:tab w:leader="none" w:pos="180" w:val="left"/>
        </w:tabs>
        <w:numPr>
          <w:ilvl w:val="0"/>
          <w:numId w:val="273"/>
        </w:numPr>
        <w:rPr>
          <w:rFonts w:ascii="Arial" w:cs="Arial" w:eastAsia="Arial" w:hAnsi="Arial"/>
          <w:sz w:val="16"/>
          <w:szCs w:val="16"/>
          <w:b w:val="1"/>
          <w:bCs w:val="1"/>
          <w:color w:val="auto"/>
        </w:rPr>
      </w:pPr>
      <w:r>
        <w:rPr>
          <w:rFonts w:ascii="Arial" w:cs="Arial" w:eastAsia="Arial" w:hAnsi="Arial"/>
          <w:sz w:val="16"/>
          <w:szCs w:val="16"/>
          <w:color w:val="auto"/>
        </w:rPr>
        <w:t>an analysis of PwC’s known legal risks and significant proceedings that could impair PwC’s ability to perform the Firm’s annual audit;</w:t>
      </w:r>
    </w:p>
    <w:p>
      <w:pPr>
        <w:spacing w:after="0" w:line="72" w:lineRule="exact"/>
        <w:rPr>
          <w:rFonts w:ascii="Arial" w:cs="Arial" w:eastAsia="Arial" w:hAnsi="Arial"/>
          <w:sz w:val="16"/>
          <w:szCs w:val="16"/>
          <w:b w:val="1"/>
          <w:bCs w:val="1"/>
          <w:color w:val="auto"/>
        </w:rPr>
      </w:pPr>
    </w:p>
    <w:p>
      <w:pPr>
        <w:ind w:left="180" w:hanging="172"/>
        <w:spacing w:after="0"/>
        <w:tabs>
          <w:tab w:leader="none" w:pos="180" w:val="left"/>
        </w:tabs>
        <w:numPr>
          <w:ilvl w:val="0"/>
          <w:numId w:val="273"/>
        </w:numPr>
        <w:rPr>
          <w:rFonts w:ascii="Arial" w:cs="Arial" w:eastAsia="Arial" w:hAnsi="Arial"/>
          <w:sz w:val="16"/>
          <w:szCs w:val="16"/>
          <w:b w:val="1"/>
          <w:bCs w:val="1"/>
          <w:color w:val="auto"/>
        </w:rPr>
      </w:pPr>
      <w:r>
        <w:rPr>
          <w:rFonts w:ascii="Arial" w:cs="Arial" w:eastAsia="Arial" w:hAnsi="Arial"/>
          <w:sz w:val="16"/>
          <w:szCs w:val="16"/>
          <w:color w:val="auto"/>
        </w:rPr>
        <w:t>PwC’s tenure as the Firm’s independent auditor;</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273"/>
        </w:numPr>
        <w:rPr>
          <w:rFonts w:ascii="Arial" w:cs="Arial" w:eastAsia="Arial" w:hAnsi="Arial"/>
          <w:sz w:val="16"/>
          <w:szCs w:val="16"/>
          <w:b w:val="1"/>
          <w:bCs w:val="1"/>
          <w:color w:val="auto"/>
        </w:rPr>
      </w:pPr>
      <w:r>
        <w:rPr>
          <w:rFonts w:ascii="Arial" w:cs="Arial" w:eastAsia="Arial" w:hAnsi="Arial"/>
          <w:sz w:val="16"/>
          <w:szCs w:val="16"/>
          <w:color w:val="auto"/>
        </w:rPr>
        <w:t>the appropriateness of PwC’s fees, both on an absolute basis and as compared with fees paid by certain peer banking firms; and</w:t>
      </w:r>
    </w:p>
    <w:p>
      <w:pPr>
        <w:spacing w:after="0" w:line="86" w:lineRule="exact"/>
        <w:rPr>
          <w:rFonts w:ascii="Arial" w:cs="Arial" w:eastAsia="Arial" w:hAnsi="Arial"/>
          <w:sz w:val="16"/>
          <w:szCs w:val="16"/>
          <w:b w:val="1"/>
          <w:bCs w:val="1"/>
          <w:color w:val="auto"/>
        </w:rPr>
      </w:pPr>
    </w:p>
    <w:p>
      <w:pPr>
        <w:ind w:left="200" w:right="100" w:hanging="192"/>
        <w:spacing w:after="0" w:line="321" w:lineRule="auto"/>
        <w:tabs>
          <w:tab w:leader="none" w:pos="184" w:val="left"/>
        </w:tabs>
        <w:numPr>
          <w:ilvl w:val="0"/>
          <w:numId w:val="273"/>
        </w:numPr>
        <w:rPr>
          <w:rFonts w:ascii="Arial" w:cs="Arial" w:eastAsia="Arial" w:hAnsi="Arial"/>
          <w:sz w:val="16"/>
          <w:szCs w:val="16"/>
          <w:b w:val="1"/>
          <w:bCs w:val="1"/>
          <w:color w:val="auto"/>
        </w:rPr>
      </w:pPr>
      <w:r>
        <w:rPr>
          <w:rFonts w:ascii="Arial" w:cs="Arial" w:eastAsia="Arial" w:hAnsi="Arial"/>
          <w:sz w:val="16"/>
          <w:szCs w:val="16"/>
          <w:color w:val="auto"/>
        </w:rPr>
        <w:t>the advisability and potential impact of selecting a different independent registered public accounting firm, including the additional costs and inefficiencies associated with hiring a new independent registered public accounting firm.</w:t>
      </w:r>
    </w:p>
    <w:p>
      <w:pPr>
        <w:spacing w:after="0" w:line="75"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 xml:space="preserve">PwC provided us the written disclosures and the letter required by PCAOB’s Ethics and Independence Rule 3526,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Concerning Independence. </w:t>
      </w:r>
      <w:r>
        <w:rPr>
          <w:rFonts w:ascii="Arial" w:cs="Arial" w:eastAsia="Arial" w:hAnsi="Arial"/>
          <w:sz w:val="16"/>
          <w:szCs w:val="16"/>
          <w:color w:val="auto"/>
        </w:rPr>
        <w:t>After discussions, we confirmed with PwC their independence.</w:t>
      </w:r>
    </w:p>
    <w:p>
      <w:pPr>
        <w:spacing w:after="0" w:line="8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As a result of this evaluation, we believe PwC has the capability to provide the necessary expertise, independence and professional skepticism to continue to audit the Firm’s businesses, and we approved the appointment of PwC as JPMorganChase’s independent registered public accounting firm for 2026, subject to shareholder ratification.</w:t>
      </w:r>
    </w:p>
    <w:p>
      <w:pPr>
        <w:spacing w:after="0" w:line="10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Management is responsible for the Firm’s internal control over financial reporting, the financial reporting process and JPMorganChase’s Consolidated Financial Statements. PwC is responsible for performing an independent audit of JPMorganChase’s Consolidated Financial Statements and of the effectiveness of internal control over financial reporting in accordance with auditing standards promulgated by the PCAOB. The Firm’s Internal Audit function, under the direction of the General Auditor, is independent of the Firm’s businesses and the Independent Risk Management function. Internal Audit reports directly to the Audit Committee (and administratively to the Firm’s CEO) and is responsible for preparing an annual audit plan and conducting internal audits intended to independently test and evaluate the Firm’s governance, risk management and internal controls. The members of the Audit Committee are not professionally engaged in the practice of accounting or auditing; as noted above, the Audit Committee’s responsibility is to monitor and oversee these processes.</w:t>
      </w:r>
    </w:p>
    <w:p>
      <w:pPr>
        <w:spacing w:after="0" w:line="12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The Audit Committee regularly meets and holds discussions with the Firm’s management, internal auditors and with PwC, and also holds private sessions with the General Auditor and with PwC, without members of management present. These discussions include issues encountered during the audit, the Firm’s quarterly earnings materials, and Quarterly and Annual Reports on Form 10-Q and Form 10-K, respectively, prior to filing with the SEC; as well as actions the Audit Committee has taken during the prior year.</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Management represented to us that JPMorganChase’s Consolidated Financial Statements were prepared in accordance with accounting principles generally accepted in the United States of America (“U.S. GAAP”). We reviewed and discussed JPMorganChase’s Consolidated Financial Statements with management, the General Auditor and PwC. We also reviewed and discussed with PwC the quality of the Firm’s significant accounting principles, the reasonableness of critical accounting estimates and judgments, critical audit matters PwC identified during the audit, and the disclosures in JPMorganChase’s Consolidated Financial Statements, including disclosures relating to significant accounting policies. We relied, without independent verification, on the information provided to us and on the representations made by management, internal auditors and the independent auditor. Based on our review of the reports given to us by PwC and our discussions with the Firm’s management, internal auditors and PwC, as well as their respective representations to us, we recommended to the Board, and the Board approved, inclusion of the audited Consolidated Financial Statements in the 2025 Annual Report on Form 10-K, as filed with the SEC.</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March 16, 2026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 xml:space="preserve">Mark A. Weinberger </w:t>
      </w:r>
      <w:r>
        <w:rPr>
          <w:rFonts w:ascii="Arial" w:cs="Arial" w:eastAsia="Arial" w:hAnsi="Arial"/>
          <w:sz w:val="16"/>
          <w:szCs w:val="16"/>
          <w:color w:val="000000"/>
        </w:rPr>
        <w:t>(Chair)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Michele Buck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Alex Gorsky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Phebe N. Novakovic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302260</wp:posOffset>
            </wp:positionV>
            <wp:extent cx="651510" cy="8572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52"/>
          <w:szCs w:val="52"/>
          <w:color w:val="auto"/>
        </w:rPr>
        <w:t>Shareholder proposals</w:t>
      </w:r>
      <w:r>
        <w:rPr>
          <w:rFonts w:ascii="Arial" w:cs="Arial" w:eastAsia="Arial" w:hAnsi="Arial"/>
          <w:sz w:val="67"/>
          <w:szCs w:val="67"/>
          <w:color w:val="auto"/>
          <w:vertAlign w:val="superscript"/>
        </w:rPr>
        <w:t>1</w:t>
      </w:r>
      <w:r>
        <w:rPr>
          <w:rFonts w:ascii="Arial" w:cs="Arial" w:eastAsia="Arial" w:hAnsi="Arial"/>
          <w:sz w:val="52"/>
          <w:szCs w:val="5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65151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RECOMMENDATION:</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shareholder proposals, if presented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8100" w:type="dxa"/>
            <w:vAlign w:val="bottom"/>
          </w:tcPr>
          <w:p>
            <w:pPr>
              <w:spacing w:after="0"/>
              <w:rPr>
                <w:sz w:val="20"/>
                <w:szCs w:val="20"/>
                <w:color w:val="auto"/>
              </w:rPr>
            </w:pPr>
            <w:r>
              <w:rPr>
                <w:rFonts w:ascii="Arial" w:cs="Arial" w:eastAsia="Arial" w:hAnsi="Arial"/>
                <w:sz w:val="16"/>
                <w:szCs w:val="16"/>
                <w:b w:val="1"/>
                <w:bCs w:val="1"/>
                <w:color w:val="8F5A39"/>
              </w:rPr>
              <w:t>Introduction</w:t>
            </w:r>
          </w:p>
        </w:tc>
        <w:tc>
          <w:tcPr>
            <w:tcW w:w="3100" w:type="dxa"/>
            <w:vAlign w:val="bottom"/>
          </w:tcPr>
          <w:p>
            <w:pPr>
              <w:jc w:val="right"/>
              <w:spacing w:after="0"/>
              <w:rPr>
                <w:sz w:val="20"/>
                <w:szCs w:val="20"/>
                <w:color w:val="auto"/>
              </w:rPr>
            </w:pPr>
            <w:r>
              <w:rPr>
                <w:rFonts w:ascii="Arial" w:cs="Arial" w:eastAsia="Arial" w:hAnsi="Arial"/>
                <w:sz w:val="16"/>
                <w:szCs w:val="16"/>
                <w:b w:val="1"/>
                <w:bCs w:val="1"/>
                <w:color w:val="8F5A39"/>
              </w:rPr>
              <w:t>83</w:t>
            </w:r>
          </w:p>
        </w:tc>
      </w:tr>
      <w:tr>
        <w:trPr>
          <w:trHeight w:val="332"/>
        </w:trPr>
        <w:tc>
          <w:tcPr>
            <w:tcW w:w="8100" w:type="dxa"/>
            <w:vAlign w:val="bottom"/>
          </w:tcPr>
          <w:p>
            <w:pPr>
              <w:spacing w:after="0"/>
              <w:rPr>
                <w:sz w:val="20"/>
                <w:szCs w:val="20"/>
                <w:color w:val="auto"/>
              </w:rPr>
            </w:pPr>
            <w:r>
              <w:rPr>
                <w:rFonts w:ascii="Arial" w:cs="Arial" w:eastAsia="Arial" w:hAnsi="Arial"/>
                <w:sz w:val="13"/>
                <w:szCs w:val="13"/>
                <w:b w:val="1"/>
                <w:bCs w:val="1"/>
                <w:color w:val="auto"/>
              </w:rPr>
              <w:t>PROPOSAL 4:</w:t>
            </w:r>
          </w:p>
        </w:tc>
        <w:tc>
          <w:tcPr>
            <w:tcW w:w="3100" w:type="dxa"/>
            <w:vAlign w:val="bottom"/>
          </w:tcPr>
          <w:p>
            <w:pPr>
              <w:jc w:val="right"/>
              <w:spacing w:after="0"/>
              <w:rPr>
                <w:sz w:val="20"/>
                <w:szCs w:val="20"/>
                <w:color w:val="auto"/>
              </w:rPr>
            </w:pPr>
            <w:r>
              <w:rPr>
                <w:rFonts w:ascii="Arial" w:cs="Arial" w:eastAsia="Arial" w:hAnsi="Arial"/>
                <w:sz w:val="16"/>
                <w:szCs w:val="16"/>
                <w:b w:val="1"/>
                <w:bCs w:val="1"/>
                <w:color w:val="8F5A39"/>
              </w:rPr>
              <w:t>84</w:t>
            </w:r>
          </w:p>
        </w:tc>
      </w:tr>
      <w:tr>
        <w:trPr>
          <w:trHeight w:val="223"/>
        </w:trPr>
        <w:tc>
          <w:tcPr>
            <w:tcW w:w="8100" w:type="dxa"/>
            <w:vAlign w:val="bottom"/>
          </w:tcPr>
          <w:p>
            <w:pPr>
              <w:spacing w:after="0"/>
              <w:rPr>
                <w:sz w:val="20"/>
                <w:szCs w:val="20"/>
                <w:color w:val="auto"/>
              </w:rPr>
            </w:pPr>
            <w:r>
              <w:rPr>
                <w:rFonts w:ascii="Arial" w:cs="Arial" w:eastAsia="Arial" w:hAnsi="Arial"/>
                <w:sz w:val="16"/>
                <w:szCs w:val="16"/>
                <w:b w:val="1"/>
                <w:bCs w:val="1"/>
                <w:color w:val="8F5A39"/>
              </w:rPr>
              <w:t>Report on congruence of security, resiliency, and climate initiatives</w:t>
            </w:r>
          </w:p>
        </w:tc>
        <w:tc>
          <w:tcPr>
            <w:tcW w:w="3100" w:type="dxa"/>
            <w:vAlign w:val="bottom"/>
          </w:tcPr>
          <w:p>
            <w:pPr>
              <w:spacing w:after="0"/>
              <w:rPr>
                <w:sz w:val="19"/>
                <w:szCs w:val="19"/>
                <w:color w:val="auto"/>
              </w:rPr>
            </w:pPr>
          </w:p>
        </w:tc>
      </w:tr>
      <w:tr>
        <w:trPr>
          <w:trHeight w:val="344"/>
        </w:trPr>
        <w:tc>
          <w:tcPr>
            <w:tcW w:w="8100" w:type="dxa"/>
            <w:vAlign w:val="bottom"/>
          </w:tcPr>
          <w:p>
            <w:pPr>
              <w:spacing w:after="0"/>
              <w:rPr>
                <w:sz w:val="20"/>
                <w:szCs w:val="20"/>
                <w:color w:val="auto"/>
              </w:rPr>
            </w:pPr>
            <w:r>
              <w:rPr>
                <w:rFonts w:ascii="Arial" w:cs="Arial" w:eastAsia="Arial" w:hAnsi="Arial"/>
                <w:sz w:val="13"/>
                <w:szCs w:val="13"/>
                <w:b w:val="1"/>
                <w:bCs w:val="1"/>
                <w:color w:val="auto"/>
              </w:rPr>
              <w:t>PROPOSAL 5:</w:t>
            </w:r>
          </w:p>
        </w:tc>
        <w:tc>
          <w:tcPr>
            <w:tcW w:w="3100" w:type="dxa"/>
            <w:vAlign w:val="bottom"/>
          </w:tcPr>
          <w:p>
            <w:pPr>
              <w:jc w:val="right"/>
              <w:spacing w:after="0"/>
              <w:rPr>
                <w:sz w:val="20"/>
                <w:szCs w:val="20"/>
                <w:color w:val="auto"/>
              </w:rPr>
            </w:pPr>
            <w:r>
              <w:rPr>
                <w:rFonts w:ascii="Arial" w:cs="Arial" w:eastAsia="Arial" w:hAnsi="Arial"/>
                <w:sz w:val="16"/>
                <w:szCs w:val="16"/>
                <w:b w:val="1"/>
                <w:bCs w:val="1"/>
                <w:color w:val="8F5A39"/>
              </w:rPr>
              <w:t>86</w:t>
            </w:r>
          </w:p>
        </w:tc>
      </w:tr>
      <w:tr>
        <w:trPr>
          <w:trHeight w:val="223"/>
        </w:trPr>
        <w:tc>
          <w:tcPr>
            <w:tcW w:w="8100" w:type="dxa"/>
            <w:vAlign w:val="bottom"/>
          </w:tcPr>
          <w:p>
            <w:pPr>
              <w:spacing w:after="0"/>
              <w:rPr>
                <w:sz w:val="20"/>
                <w:szCs w:val="20"/>
                <w:color w:val="auto"/>
              </w:rPr>
            </w:pPr>
            <w:r>
              <w:rPr>
                <w:rFonts w:ascii="Arial" w:cs="Arial" w:eastAsia="Arial" w:hAnsi="Arial"/>
                <w:sz w:val="16"/>
                <w:szCs w:val="16"/>
                <w:b w:val="1"/>
                <w:bCs w:val="1"/>
                <w:color w:val="8F5A39"/>
              </w:rPr>
              <w:t>Independent board chairman</w:t>
            </w:r>
          </w:p>
        </w:tc>
        <w:tc>
          <w:tcPr>
            <w:tcW w:w="3100" w:type="dxa"/>
            <w:vAlign w:val="bottom"/>
          </w:tcPr>
          <w:p>
            <w:pPr>
              <w:spacing w:after="0"/>
              <w:rPr>
                <w:sz w:val="19"/>
                <w:szCs w:val="19"/>
                <w:color w:val="auto"/>
              </w:rPr>
            </w:pPr>
          </w:p>
        </w:tc>
      </w:tr>
      <w:tr>
        <w:trPr>
          <w:trHeight w:val="344"/>
        </w:trPr>
        <w:tc>
          <w:tcPr>
            <w:tcW w:w="8100" w:type="dxa"/>
            <w:vAlign w:val="bottom"/>
          </w:tcPr>
          <w:p>
            <w:pPr>
              <w:spacing w:after="0"/>
              <w:rPr>
                <w:sz w:val="20"/>
                <w:szCs w:val="20"/>
                <w:color w:val="auto"/>
              </w:rPr>
            </w:pPr>
            <w:r>
              <w:rPr>
                <w:rFonts w:ascii="Arial" w:cs="Arial" w:eastAsia="Arial" w:hAnsi="Arial"/>
                <w:sz w:val="13"/>
                <w:szCs w:val="13"/>
                <w:b w:val="1"/>
                <w:bCs w:val="1"/>
                <w:color w:val="auto"/>
              </w:rPr>
              <w:t>PROPOSAL 6:</w:t>
            </w:r>
          </w:p>
        </w:tc>
        <w:tc>
          <w:tcPr>
            <w:tcW w:w="3100" w:type="dxa"/>
            <w:vAlign w:val="bottom"/>
          </w:tcPr>
          <w:p>
            <w:pPr>
              <w:jc w:val="right"/>
              <w:spacing w:after="0"/>
              <w:rPr>
                <w:sz w:val="20"/>
                <w:szCs w:val="20"/>
                <w:color w:val="auto"/>
              </w:rPr>
            </w:pPr>
            <w:r>
              <w:rPr>
                <w:rFonts w:ascii="Arial" w:cs="Arial" w:eastAsia="Arial" w:hAnsi="Arial"/>
                <w:sz w:val="16"/>
                <w:szCs w:val="16"/>
                <w:b w:val="1"/>
                <w:bCs w:val="1"/>
                <w:color w:val="8F5A39"/>
              </w:rPr>
              <w:t>89</w:t>
            </w:r>
          </w:p>
        </w:tc>
      </w:tr>
      <w:tr>
        <w:trPr>
          <w:trHeight w:val="223"/>
        </w:trPr>
        <w:tc>
          <w:tcPr>
            <w:tcW w:w="8100" w:type="dxa"/>
            <w:vAlign w:val="bottom"/>
          </w:tcPr>
          <w:p>
            <w:pPr>
              <w:spacing w:after="0"/>
              <w:rPr>
                <w:sz w:val="20"/>
                <w:szCs w:val="20"/>
                <w:color w:val="auto"/>
              </w:rPr>
            </w:pPr>
            <w:r>
              <w:rPr>
                <w:rFonts w:ascii="Arial" w:cs="Arial" w:eastAsia="Arial" w:hAnsi="Arial"/>
                <w:sz w:val="16"/>
                <w:szCs w:val="16"/>
                <w:b w:val="1"/>
                <w:bCs w:val="1"/>
                <w:color w:val="8F5A39"/>
              </w:rPr>
              <w:t>Lobbying alignment</w:t>
            </w:r>
          </w:p>
        </w:tc>
        <w:tc>
          <w:tcPr>
            <w:tcW w:w="3100" w:type="dxa"/>
            <w:vAlign w:val="bottom"/>
          </w:tcPr>
          <w:p>
            <w:pPr>
              <w:spacing w:after="0"/>
              <w:rPr>
                <w:sz w:val="19"/>
                <w:szCs w:val="19"/>
                <w:color w:val="auto"/>
              </w:rPr>
            </w:pPr>
          </w:p>
        </w:tc>
      </w:tr>
      <w:tr>
        <w:trPr>
          <w:trHeight w:val="344"/>
        </w:trPr>
        <w:tc>
          <w:tcPr>
            <w:tcW w:w="8100" w:type="dxa"/>
            <w:vAlign w:val="bottom"/>
          </w:tcPr>
          <w:p>
            <w:pPr>
              <w:spacing w:after="0"/>
              <w:rPr>
                <w:sz w:val="20"/>
                <w:szCs w:val="20"/>
                <w:color w:val="auto"/>
              </w:rPr>
            </w:pPr>
            <w:r>
              <w:rPr>
                <w:rFonts w:ascii="Arial" w:cs="Arial" w:eastAsia="Arial" w:hAnsi="Arial"/>
                <w:sz w:val="13"/>
                <w:szCs w:val="13"/>
                <w:b w:val="1"/>
                <w:bCs w:val="1"/>
                <w:color w:val="auto"/>
              </w:rPr>
              <w:t>PROPOSAL 7:</w:t>
            </w:r>
          </w:p>
        </w:tc>
        <w:tc>
          <w:tcPr>
            <w:tcW w:w="3100" w:type="dxa"/>
            <w:vAlign w:val="bottom"/>
          </w:tcPr>
          <w:p>
            <w:pPr>
              <w:jc w:val="right"/>
              <w:spacing w:after="0"/>
              <w:rPr>
                <w:sz w:val="20"/>
                <w:szCs w:val="20"/>
                <w:color w:val="auto"/>
              </w:rPr>
            </w:pPr>
            <w:r>
              <w:rPr>
                <w:rFonts w:ascii="Arial" w:cs="Arial" w:eastAsia="Arial" w:hAnsi="Arial"/>
                <w:sz w:val="16"/>
                <w:szCs w:val="16"/>
                <w:b w:val="1"/>
                <w:bCs w:val="1"/>
                <w:color w:val="8F5A39"/>
              </w:rPr>
              <w:t>91</w:t>
            </w:r>
          </w:p>
        </w:tc>
      </w:tr>
      <w:tr>
        <w:trPr>
          <w:trHeight w:val="223"/>
        </w:trPr>
        <w:tc>
          <w:tcPr>
            <w:tcW w:w="8100" w:type="dxa"/>
            <w:vAlign w:val="bottom"/>
          </w:tcPr>
          <w:p>
            <w:pPr>
              <w:spacing w:after="0"/>
              <w:rPr>
                <w:sz w:val="20"/>
                <w:szCs w:val="20"/>
                <w:color w:val="auto"/>
              </w:rPr>
            </w:pPr>
            <w:r>
              <w:rPr>
                <w:rFonts w:ascii="Arial" w:cs="Arial" w:eastAsia="Arial" w:hAnsi="Arial"/>
                <w:sz w:val="16"/>
                <w:szCs w:val="16"/>
                <w:b w:val="1"/>
                <w:bCs w:val="1"/>
                <w:color w:val="8F5A39"/>
              </w:rPr>
              <w:t>Sustainability ROI report</w:t>
            </w:r>
          </w:p>
        </w:tc>
        <w:tc>
          <w:tcPr>
            <w:tcW w:w="3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right="180" w:hanging="192"/>
        <w:spacing w:after="0" w:line="205" w:lineRule="auto"/>
        <w:tabs>
          <w:tab w:leader="none" w:pos="206" w:val="left"/>
        </w:tabs>
        <w:numPr>
          <w:ilvl w:val="0"/>
          <w:numId w:val="274"/>
        </w:numPr>
        <w:rPr>
          <w:rFonts w:ascii="Arial" w:cs="Arial" w:eastAsia="Arial" w:hAnsi="Arial"/>
          <w:sz w:val="19"/>
          <w:szCs w:val="19"/>
          <w:color w:val="auto"/>
          <w:vertAlign w:val="superscript"/>
        </w:rPr>
      </w:pPr>
      <w:r>
        <w:rPr>
          <w:rFonts w:ascii="Arial" w:cs="Arial" w:eastAsia="Arial" w:hAnsi="Arial"/>
          <w:sz w:val="13"/>
          <w:szCs w:val="13"/>
          <w:color w:val="auto"/>
        </w:rPr>
        <w:t>The names, addresses and beneficial holdings of the proponents and any co-sponsors to a proposal are available to shareholders upon request by writing to the Secretary at the address listed on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317500</wp:posOffset>
            </wp:positionV>
            <wp:extent cx="651510" cy="8572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375"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9"/>
          <w:szCs w:val="29"/>
          <w:color w:val="auto"/>
          <w:vertAlign w:val="superscript"/>
        </w:rPr>
        <w:t>82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9460"/>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40"/>
          <w:szCs w:val="40"/>
          <w:color w:val="auto"/>
        </w:rPr>
        <w:t>Introduction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We have determined to include proposals 4-7 which were submitted by shareholders and will be voted on if properly presented at the 2026 Annual Meeting.</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 proposals and supporting statements appear in the form they were submitted to us.</w:t>
      </w:r>
    </w:p>
    <w:p>
      <w:pPr>
        <w:spacing w:after="0" w:line="16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Our Board and senior management spend significant time considering each shareholder proposal the Firm receives, engaging with the proponents to better understand their views, assessing the relevance of the subject matter to our business, considering the opinions of other shareholders to prioritize shareholder views and considering the potential costs and benefits of the request. The Board’s focus is on its fiduciary duty, namely, advancing the long-term financial interests of the Firm’s shareholders.</w:t>
      </w:r>
    </w:p>
    <w:p>
      <w:pPr>
        <w:spacing w:after="0" w:line="10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Consistent with recent trends we’ve observed, some proposals the Firm receives do not explain how they promote shareholders’ interests or even assert that they do. Some proposals provide no empirical evidence of financial effectiveness; some request action without identifying a failure, material problem, or historical significant risk at the Firm and also ask the Firm to adopt practices that are not common among our peers; and still others are based on assertions about the Firm that we believe are inaccurate and misleading.</w:t>
      </w:r>
    </w:p>
    <w:p>
      <w:pPr>
        <w:spacing w:after="0" w:line="9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There is meaningful cost attached to the implementation of each shareholder proposal. For instance, all but one proposal request preparation of a report. In 2025, the Firm published a number of reports, including a Sustainability Report, on topics that we have determined to be of interest to a broad base of shareholders and other stakeholders. Each of these reports require considerable time and resources to produce, including senior management time and attention. Creating additional and potentially duplicative reports is not a good use of resources, particularly when, based on our assessment, interest in the topic is limited.</w:t>
      </w:r>
    </w:p>
    <w:p>
      <w:pPr>
        <w:spacing w:after="0" w:line="11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 xml:space="preserve">Having considered the potential costs, benefits, and alignment with our shareholders’ long-term financial interests, as well as the themes addressed in the proposals, </w:t>
      </w:r>
      <w:r>
        <w:rPr>
          <w:rFonts w:ascii="Arial" w:cs="Arial" w:eastAsia="Arial" w:hAnsi="Arial"/>
          <w:sz w:val="16"/>
          <w:szCs w:val="16"/>
          <w:b w:val="1"/>
          <w:bCs w:val="1"/>
          <w:color w:val="8F5A39"/>
        </w:rPr>
        <w:t>the Board strongly recommends a vote AGAINST each of the shareholder proposals presented within this proxy statement</w:t>
      </w:r>
      <w:r>
        <w:rPr>
          <w:rFonts w:ascii="Arial" w:cs="Arial" w:eastAsia="Arial" w:hAnsi="Arial"/>
          <w:sz w:val="16"/>
          <w:szCs w:val="16"/>
          <w:color w:val="auto"/>
        </w:rPr>
        <w:t>.</w:t>
      </w:r>
    </w:p>
    <w:p>
      <w:pPr>
        <w:spacing w:after="0" w:line="5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firmly believe in the value of shareholder engagement and recognize that our shareholders hold diverse views and perspectives on various issues. While the Board recommends votes AGAINST these proposals, we remain open to continued engagement with the proponents and others who share our commitment to the long-term value of JPMorganChase.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383540</wp:posOffset>
            </wp:positionV>
            <wp:extent cx="6155055" cy="7200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615505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20" w:right="940"/>
        <w:spacing w:after="0" w:line="302" w:lineRule="auto"/>
        <w:rPr>
          <w:sz w:val="20"/>
          <w:szCs w:val="20"/>
          <w:color w:val="auto"/>
        </w:rPr>
      </w:pPr>
      <w:r>
        <w:rPr>
          <w:rFonts w:ascii="Arial" w:cs="Arial" w:eastAsia="Arial" w:hAnsi="Arial"/>
          <w:sz w:val="14"/>
          <w:szCs w:val="14"/>
          <w:color w:val="auto"/>
        </w:rPr>
        <w:t>In November 2025, the SEC announced that it would not respond substantively to most requests for exclusion of shareholder proposals under SEC Rule 14a-8. After a thorough evaluation, the Firm excluded one shareholder proposal from this proxy statement for the reasons set forth in the letter the Firm submitted to the Staff of the SEC Division of Corporation Finance, which is available on the SEC’s website. This exclusion is consistent with our approach to SEC no-action requests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562610</wp:posOffset>
            </wp:positionV>
            <wp:extent cx="651510" cy="8572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90868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PROPOSAL 4:</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29"/>
          <w:szCs w:val="29"/>
          <w:color w:val="auto"/>
        </w:rPr>
        <w:t>Report on congruence of security, resiliency, and climate initiatives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National Legal and Policy Center has advised us that it intends to introduce the following resolution:</w:t>
      </w:r>
    </w:p>
    <w:p>
      <w:pPr>
        <w:spacing w:after="0" w:line="181" w:lineRule="exact"/>
        <w:rPr>
          <w:sz w:val="20"/>
          <w:szCs w:val="20"/>
          <w:color w:val="auto"/>
        </w:rPr>
      </w:pPr>
    </w:p>
    <w:p>
      <w:pPr>
        <w:ind w:right="160"/>
        <w:spacing w:after="0" w:line="315"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JPMorgan Chase &amp; Co. (“JPMorgan” or “Company”) has revealed its $1.5 trillion Security and Resiliency Initiative (“SRI”), which will “facilitate,</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and invest” in critical American industries.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Chairman/CEO Jamie Dimon stated in a Company press release:</w:t>
      </w:r>
    </w:p>
    <w:p>
      <w:pPr>
        <w:spacing w:after="0" w:line="22" w:lineRule="exact"/>
        <w:rPr>
          <w:sz w:val="20"/>
          <w:szCs w:val="20"/>
          <w:color w:val="auto"/>
        </w:rPr>
      </w:pPr>
    </w:p>
    <w:p>
      <w:pPr>
        <w:ind w:left="660" w:right="140"/>
        <w:spacing w:after="0" w:line="289" w:lineRule="auto"/>
        <w:rPr>
          <w:sz w:val="20"/>
          <w:szCs w:val="20"/>
          <w:color w:val="auto"/>
        </w:rPr>
      </w:pPr>
      <w:r>
        <w:rPr>
          <w:rFonts w:ascii="Arial" w:cs="Arial" w:eastAsia="Arial" w:hAnsi="Arial"/>
          <w:sz w:val="16"/>
          <w:szCs w:val="16"/>
          <w:color w:val="auto"/>
        </w:rPr>
        <w:t>It has become painfully clear that the United States has allowed itself to become too reliant on unreliable sources of critical minerals, products and manufacturing – all of which are essential for our national security. Our security is predicated on the strength and resiliency of America’s economy. America needs more speed and investment. It also needs to remove obstacles that stand in the way: excessive regulations, bureaucratic delay, partisan gridlock and an education system not aligned to the skills we need.</w:t>
      </w:r>
    </w:p>
    <w:p>
      <w:pPr>
        <w:spacing w:after="0" w:line="11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JPMorgan’s sustainability goals could represent many of the obstacles to which Mr. Dimon refers. The Company’s Carbon</w:t>
      </w:r>
      <w:r>
        <w:rPr>
          <w:rFonts w:ascii="Arial" w:cs="Arial" w:eastAsia="Arial" w:hAnsi="Arial"/>
          <w:sz w:val="16"/>
          <w:szCs w:val="16"/>
          <w:b w:val="1"/>
          <w:bCs w:val="1"/>
          <w:color w:val="auto"/>
        </w:rPr>
        <w:t xml:space="preserve"> </w:t>
      </w:r>
      <w:r>
        <w:rPr>
          <w:rFonts w:ascii="Arial" w:cs="Arial" w:eastAsia="Arial" w:hAnsi="Arial"/>
          <w:sz w:val="16"/>
          <w:szCs w:val="16"/>
          <w:color w:val="auto"/>
        </w:rPr>
        <w:t>Compass sets 2030 targets across eight emissions-intensive sectors: oil and gas, electric power, auto manufacturing, aviation, shipping, iron and steel, cement, and aluminum—ranging from -23% to -69% from their 2019 baselines.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These targets are based on the International Energy Agency’s Net Zero Emissions by 2050 Scenario.</w:t>
      </w:r>
      <w:r>
        <w:rPr>
          <w:rFonts w:ascii="Arial" w:cs="Arial" w:eastAsia="Arial" w:hAnsi="Arial"/>
          <w:sz w:val="21"/>
          <w:szCs w:val="21"/>
          <w:color w:val="auto"/>
          <w:vertAlign w:val="superscript"/>
        </w:rPr>
        <w:t>3,4</w:t>
      </w:r>
      <w:r>
        <w:rPr>
          <w:rFonts w:ascii="Arial" w:cs="Arial" w:eastAsia="Arial" w:hAnsi="Arial"/>
          <w:sz w:val="16"/>
          <w:szCs w:val="16"/>
          <w:color w:val="auto"/>
        </w:rPr>
        <w:t xml:space="preserve"> Further confusing matters, the Company exited the Net Zero Banking Alliance at the beginning of 2025. </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Nonetheless, these frameworks guide JPMorgan’s client engagement and underwriting toward lower-emissions intensity in these critical sectors. According to the Company’s 2024 Climate Report:</w:t>
      </w:r>
    </w:p>
    <w:p>
      <w:pPr>
        <w:spacing w:after="0" w:line="126" w:lineRule="exact"/>
        <w:rPr>
          <w:sz w:val="20"/>
          <w:szCs w:val="20"/>
          <w:color w:val="auto"/>
        </w:rPr>
      </w:pPr>
    </w:p>
    <w:p>
      <w:pPr>
        <w:ind w:left="660" w:right="120"/>
        <w:spacing w:after="0" w:line="295" w:lineRule="auto"/>
        <w:rPr>
          <w:sz w:val="20"/>
          <w:szCs w:val="20"/>
          <w:color w:val="auto"/>
        </w:rPr>
      </w:pPr>
      <w:r>
        <w:rPr>
          <w:rFonts w:ascii="Arial" w:cs="Arial" w:eastAsia="Arial" w:hAnsi="Arial"/>
          <w:sz w:val="16"/>
          <w:szCs w:val="16"/>
          <w:color w:val="auto"/>
        </w:rPr>
        <w:t>We developed our Carbon Assessment Framework (“CAF”) to help assess our clients’ decarbonization plans. CAF creates an opportunity for us to engage with our clients, understand their views, plans and constraints, as well as their capital needs. We use CAF as one element of our decision-making; for each new proposed in-scope transaction, our CAF provides decision-makers at the Firm with insights into how the transaction may impact a portfolio’s carbon intensity.</w:t>
      </w:r>
      <w:r>
        <w:rPr>
          <w:rFonts w:ascii="Arial" w:cs="Arial" w:eastAsia="Arial" w:hAnsi="Arial"/>
          <w:sz w:val="21"/>
          <w:szCs w:val="21"/>
          <w:color w:val="auto"/>
          <w:vertAlign w:val="superscript"/>
        </w:rPr>
        <w:t>6</w:t>
      </w:r>
    </w:p>
    <w:p>
      <w:pPr>
        <w:spacing w:after="0" w:line="3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JPMorgan’s existing focus on carbon emission intensity reductions and its new SRI represent potentially conflicting objectives. The SRI breaks down into 27 sub-areas, covering energy reliability, re-industrialization, critical minerals supply chains, artificial intelligence, and defense manufacturing. Meeting power demand growth—from data centers and AI to reshored industry—necessitates abundant power generation, affordable hydrocarbon energy, nuclear build-out, and exponentially greater mining and processing.</w:t>
      </w:r>
    </w:p>
    <w:p>
      <w:pPr>
        <w:spacing w:after="0" w:line="94" w:lineRule="exact"/>
        <w:rPr>
          <w:sz w:val="20"/>
          <w:szCs w:val="20"/>
          <w:color w:val="auto"/>
        </w:rPr>
      </w:pPr>
    </w:p>
    <w:p>
      <w:pPr>
        <w:ind w:right="460"/>
        <w:spacing w:after="0" w:line="295" w:lineRule="auto"/>
        <w:rPr>
          <w:sz w:val="20"/>
          <w:szCs w:val="20"/>
          <w:color w:val="auto"/>
        </w:rPr>
      </w:pPr>
      <w:r>
        <w:rPr>
          <w:rFonts w:ascii="Arial" w:cs="Arial" w:eastAsia="Arial" w:hAnsi="Arial"/>
          <w:sz w:val="16"/>
          <w:szCs w:val="16"/>
          <w:color w:val="auto"/>
        </w:rPr>
        <w:t>While the SRI and JPMorgan’s existing climate targets may not be mutually exclusive, neither are they seemingly compatible. Increased security and resilience likely demand increased carbon intensity. From a reliability-first, pro-growth perspective, investors need clarity on how the Board reconciles climate-target conformity with financing the hydrocarbon, nuclear, and heavy-industry projects that underwrite U.S. security and resilience. JPMorgan’s existing climate reporting does not reflect the new SRI reality.</w:t>
      </w:r>
    </w:p>
    <w:p>
      <w:pPr>
        <w:spacing w:after="0" w:line="108" w:lineRule="exact"/>
        <w:rPr>
          <w:sz w:val="20"/>
          <w:szCs w:val="20"/>
          <w:color w:val="auto"/>
        </w:rPr>
      </w:pPr>
    </w:p>
    <w:p>
      <w:pPr>
        <w:jc w:val="both"/>
        <w:ind w:right="320"/>
        <w:spacing w:after="0" w:line="301"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the Board of Directors publish a report, prepared at reasonable cost and omitting proprietary or legally privileged</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describing the Board’s oversight and evaluation for how the Company’s Security and Resiliency Initiative is congruent with existing climate-related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hanging="192"/>
        <w:spacing w:after="0"/>
        <w:tabs>
          <w:tab w:leader="none" w:pos="200" w:val="left"/>
        </w:tabs>
        <w:numPr>
          <w:ilvl w:val="0"/>
          <w:numId w:val="275"/>
        </w:numPr>
        <w:rPr>
          <w:rFonts w:ascii="Arial" w:cs="Arial" w:eastAsia="Arial" w:hAnsi="Arial"/>
          <w:sz w:val="19"/>
          <w:szCs w:val="19"/>
          <w:color w:val="auto"/>
          <w:vertAlign w:val="superscript"/>
        </w:rPr>
      </w:pPr>
      <w:r>
        <w:rPr>
          <w:rFonts w:ascii="Arial" w:cs="Arial" w:eastAsia="Arial" w:hAnsi="Arial"/>
          <w:sz w:val="13"/>
          <w:szCs w:val="13"/>
          <w:color w:val="auto"/>
        </w:rPr>
        <w:t>https://www.jpmorganchase.com/newsroom/press-releases/2025/jpmc-security-resiliency-initiative</w:t>
      </w:r>
    </w:p>
    <w:p>
      <w:pPr>
        <w:spacing w:after="0" w:line="79" w:lineRule="exact"/>
        <w:rPr>
          <w:sz w:val="20"/>
          <w:szCs w:val="20"/>
          <w:color w:val="auto"/>
        </w:rPr>
      </w:pPr>
    </w:p>
    <w:p>
      <w:pPr>
        <w:ind w:left="200" w:hanging="192"/>
        <w:spacing w:after="0"/>
        <w:tabs>
          <w:tab w:leader="none" w:pos="200" w:val="left"/>
        </w:tabs>
        <w:numPr>
          <w:ilvl w:val="0"/>
          <w:numId w:val="276"/>
        </w:numPr>
        <w:rPr>
          <w:rFonts w:ascii="Arial" w:cs="Arial" w:eastAsia="Arial" w:hAnsi="Arial"/>
          <w:sz w:val="19"/>
          <w:szCs w:val="19"/>
          <w:color w:val="auto"/>
          <w:vertAlign w:val="superscript"/>
        </w:rPr>
      </w:pPr>
      <w:r>
        <w:rPr>
          <w:rFonts w:ascii="Arial" w:cs="Arial" w:eastAsia="Arial" w:hAnsi="Arial"/>
          <w:sz w:val="13"/>
          <w:szCs w:val="13"/>
          <w:color w:val="auto"/>
        </w:rPr>
        <w:t>https://www.jpmorgan.com/content/dam/jpmorgan/documents/cib/banking/jpmorganchase-carbon-compass.pdf</w:t>
      </w:r>
    </w:p>
    <w:p>
      <w:pPr>
        <w:spacing w:after="0" w:line="79" w:lineRule="exact"/>
        <w:rPr>
          <w:sz w:val="20"/>
          <w:szCs w:val="20"/>
          <w:color w:val="auto"/>
        </w:rPr>
      </w:pPr>
    </w:p>
    <w:p>
      <w:pPr>
        <w:ind w:left="200" w:hanging="192"/>
        <w:spacing w:after="0"/>
        <w:tabs>
          <w:tab w:leader="none" w:pos="200" w:val="left"/>
        </w:tabs>
        <w:numPr>
          <w:ilvl w:val="0"/>
          <w:numId w:val="277"/>
        </w:numPr>
        <w:rPr>
          <w:rFonts w:ascii="Arial" w:cs="Arial" w:eastAsia="Arial" w:hAnsi="Arial"/>
          <w:sz w:val="19"/>
          <w:szCs w:val="19"/>
          <w:color w:val="auto"/>
          <w:vertAlign w:val="superscript"/>
        </w:rPr>
      </w:pPr>
      <w:r>
        <w:rPr>
          <w:rFonts w:ascii="Arial" w:cs="Arial" w:eastAsia="Arial" w:hAnsi="Arial"/>
          <w:sz w:val="13"/>
          <w:szCs w:val="13"/>
          <w:color w:val="auto"/>
        </w:rPr>
        <w:t>https://www.jpmorganchase.com/content/dam/jpmorganchase/documents/about/jpmc-sustainability-report-2024.pdf</w:t>
      </w:r>
    </w:p>
    <w:p>
      <w:pPr>
        <w:spacing w:after="0" w:line="79" w:lineRule="exact"/>
        <w:rPr>
          <w:sz w:val="20"/>
          <w:szCs w:val="20"/>
          <w:color w:val="auto"/>
        </w:rPr>
      </w:pPr>
    </w:p>
    <w:p>
      <w:pPr>
        <w:ind w:left="200" w:hanging="192"/>
        <w:spacing w:after="0"/>
        <w:tabs>
          <w:tab w:leader="none" w:pos="200" w:val="left"/>
        </w:tabs>
        <w:numPr>
          <w:ilvl w:val="0"/>
          <w:numId w:val="278"/>
        </w:numPr>
        <w:rPr>
          <w:rFonts w:ascii="Arial" w:cs="Arial" w:eastAsia="Arial" w:hAnsi="Arial"/>
          <w:sz w:val="19"/>
          <w:szCs w:val="19"/>
          <w:color w:val="auto"/>
          <w:vertAlign w:val="superscript"/>
        </w:rPr>
      </w:pPr>
      <w:r>
        <w:rPr>
          <w:rFonts w:ascii="Arial" w:cs="Arial" w:eastAsia="Arial" w:hAnsi="Arial"/>
          <w:sz w:val="13"/>
          <w:szCs w:val="13"/>
          <w:color w:val="auto"/>
        </w:rPr>
        <w:t>https://www.iea.org/reports/global-energy-and-climate-model/net-zero-emissions-by-2050-scenario-nze</w:t>
      </w:r>
    </w:p>
    <w:p>
      <w:pPr>
        <w:spacing w:after="0" w:line="48" w:lineRule="exact"/>
        <w:rPr>
          <w:sz w:val="20"/>
          <w:szCs w:val="20"/>
          <w:color w:val="auto"/>
        </w:rPr>
      </w:pPr>
    </w:p>
    <w:p>
      <w:pPr>
        <w:ind w:left="200" w:hanging="192"/>
        <w:spacing w:after="0"/>
        <w:tabs>
          <w:tab w:leader="none" w:pos="200" w:val="left"/>
        </w:tabs>
        <w:numPr>
          <w:ilvl w:val="0"/>
          <w:numId w:val="279"/>
        </w:numPr>
        <w:rPr>
          <w:rFonts w:ascii="Arial" w:cs="Arial" w:eastAsia="Arial" w:hAnsi="Arial"/>
          <w:sz w:val="19"/>
          <w:szCs w:val="19"/>
          <w:color w:val="auto"/>
          <w:vertAlign w:val="superscript"/>
        </w:rPr>
      </w:pPr>
      <w:r>
        <w:rPr>
          <w:rFonts w:ascii="Arial" w:cs="Arial" w:eastAsia="Arial" w:hAnsi="Arial"/>
          <w:sz w:val="13"/>
          <w:szCs w:val="13"/>
          <w:color w:val="auto"/>
        </w:rPr>
        <w:t>https://www.reuters.com/business/environment/jpmorgan-says-leave-net-zero-banking-alliance-2025-01-07/</w:t>
      </w:r>
    </w:p>
    <w:p>
      <w:pPr>
        <w:ind w:left="200" w:hanging="192"/>
        <w:spacing w:after="0" w:line="196" w:lineRule="auto"/>
        <w:tabs>
          <w:tab w:leader="none" w:pos="200" w:val="left"/>
        </w:tabs>
        <w:numPr>
          <w:ilvl w:val="0"/>
          <w:numId w:val="280"/>
        </w:numPr>
        <w:rPr>
          <w:rFonts w:ascii="Arial" w:cs="Arial" w:eastAsia="Arial" w:hAnsi="Arial"/>
          <w:sz w:val="19"/>
          <w:szCs w:val="19"/>
          <w:color w:val="auto"/>
          <w:vertAlign w:val="superscript"/>
        </w:rPr>
      </w:pPr>
      <w:r>
        <w:rPr>
          <w:rFonts w:ascii="Arial" w:cs="Arial" w:eastAsia="Arial" w:hAnsi="Arial"/>
          <w:sz w:val="13"/>
          <w:szCs w:val="13"/>
          <w:color w:val="auto"/>
        </w:rPr>
        <w:t>https://www.jpmorganchase.com/content/dam/jpmc/jpmorgan-chase-and-co/documents/Climate-Report-2024.pdf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403225</wp:posOffset>
            </wp:positionV>
            <wp:extent cx="651510" cy="8572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84</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9460"/>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auto"/>
        </w:rPr>
        <w:t>Board response to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15175" cy="163703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15175" cy="16370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The Board of Directors recommends that shareholders vote </w:t>
      </w:r>
      <w:r>
        <w:rPr>
          <w:rFonts w:ascii="Arial" w:cs="Arial" w:eastAsia="Arial" w:hAnsi="Arial"/>
          <w:sz w:val="16"/>
          <w:szCs w:val="16"/>
          <w:b w:val="1"/>
          <w:bCs w:val="1"/>
          <w:u w:val="single" w:color="auto"/>
          <w:color w:val="auto"/>
        </w:rPr>
        <w:t>AGAINST</w:t>
      </w:r>
      <w:r>
        <w:rPr>
          <w:rFonts w:ascii="Arial" w:cs="Arial" w:eastAsia="Arial" w:hAnsi="Arial"/>
          <w:sz w:val="16"/>
          <w:szCs w:val="16"/>
          <w:color w:val="auto"/>
        </w:rPr>
        <w:t xml:space="preserve"> this proposal for the following reasons:</w:t>
      </w:r>
    </w:p>
    <w:p>
      <w:pPr>
        <w:spacing w:after="0" w:line="86" w:lineRule="exact"/>
        <w:rPr>
          <w:sz w:val="20"/>
          <w:szCs w:val="20"/>
          <w:color w:val="auto"/>
        </w:rPr>
      </w:pPr>
    </w:p>
    <w:p>
      <w:pPr>
        <w:ind w:left="380" w:right="420" w:hanging="192"/>
        <w:spacing w:after="0" w:line="316" w:lineRule="auto"/>
        <w:tabs>
          <w:tab w:leader="none" w:pos="364" w:val="left"/>
        </w:tabs>
        <w:numPr>
          <w:ilvl w:val="0"/>
          <w:numId w:val="281"/>
        </w:numPr>
        <w:rPr>
          <w:rFonts w:ascii="Arial" w:cs="Arial" w:eastAsia="Arial" w:hAnsi="Arial"/>
          <w:sz w:val="16"/>
          <w:szCs w:val="16"/>
          <w:b w:val="1"/>
          <w:bCs w:val="1"/>
          <w:color w:val="auto"/>
        </w:rPr>
      </w:pPr>
      <w:r>
        <w:rPr>
          <w:rFonts w:ascii="Arial" w:cs="Arial" w:eastAsia="Arial" w:hAnsi="Arial"/>
          <w:sz w:val="16"/>
          <w:szCs w:val="16"/>
          <w:color w:val="auto"/>
        </w:rPr>
        <w:t>JPMorganChase’s diversified, global franchise pursues a wide variety of strategic objectives that meet the needs of our clients and drive long-term shareholder value.</w:t>
      </w:r>
    </w:p>
    <w:p>
      <w:pPr>
        <w:spacing w:after="0" w:line="1" w:lineRule="exact"/>
        <w:rPr>
          <w:rFonts w:ascii="Arial" w:cs="Arial" w:eastAsia="Arial" w:hAnsi="Arial"/>
          <w:sz w:val="16"/>
          <w:szCs w:val="16"/>
          <w:b w:val="1"/>
          <w:bCs w:val="1"/>
          <w:color w:val="auto"/>
        </w:rPr>
      </w:pPr>
    </w:p>
    <w:p>
      <w:pPr>
        <w:ind w:left="380" w:right="380" w:hanging="192"/>
        <w:spacing w:after="0" w:line="316" w:lineRule="auto"/>
        <w:tabs>
          <w:tab w:leader="none" w:pos="364" w:val="left"/>
        </w:tabs>
        <w:numPr>
          <w:ilvl w:val="0"/>
          <w:numId w:val="281"/>
        </w:numPr>
        <w:rPr>
          <w:rFonts w:ascii="Arial" w:cs="Arial" w:eastAsia="Arial" w:hAnsi="Arial"/>
          <w:sz w:val="16"/>
          <w:szCs w:val="16"/>
          <w:b w:val="1"/>
          <w:bCs w:val="1"/>
          <w:color w:val="auto"/>
        </w:rPr>
      </w:pPr>
      <w:r>
        <w:rPr>
          <w:rFonts w:ascii="Arial" w:cs="Arial" w:eastAsia="Arial" w:hAnsi="Arial"/>
          <w:sz w:val="16"/>
          <w:szCs w:val="16"/>
          <w:color w:val="auto"/>
        </w:rPr>
        <w:t>The proposal misrepresents our Security and Resiliency Initiative (“SRI”) and our portfolio-level carbon intensity targets (“carbon intensity targets”), incorrectly suggesting they are in conflict.</w:t>
      </w:r>
    </w:p>
    <w:p>
      <w:pPr>
        <w:spacing w:after="0" w:line="1" w:lineRule="exact"/>
        <w:rPr>
          <w:rFonts w:ascii="Arial" w:cs="Arial" w:eastAsia="Arial" w:hAnsi="Arial"/>
          <w:sz w:val="16"/>
          <w:szCs w:val="16"/>
          <w:b w:val="1"/>
          <w:bCs w:val="1"/>
          <w:color w:val="auto"/>
        </w:rPr>
      </w:pPr>
    </w:p>
    <w:p>
      <w:pPr>
        <w:ind w:left="360" w:hanging="172"/>
        <w:spacing w:after="0"/>
        <w:tabs>
          <w:tab w:leader="none" w:pos="360" w:val="left"/>
        </w:tabs>
        <w:numPr>
          <w:ilvl w:val="0"/>
          <w:numId w:val="281"/>
        </w:numPr>
        <w:rPr>
          <w:rFonts w:ascii="Arial" w:cs="Arial" w:eastAsia="Arial" w:hAnsi="Arial"/>
          <w:sz w:val="16"/>
          <w:szCs w:val="16"/>
          <w:b w:val="1"/>
          <w:bCs w:val="1"/>
          <w:color w:val="auto"/>
        </w:rPr>
      </w:pPr>
      <w:r>
        <w:rPr>
          <w:rFonts w:ascii="Arial" w:cs="Arial" w:eastAsia="Arial" w:hAnsi="Arial"/>
          <w:sz w:val="16"/>
          <w:szCs w:val="16"/>
          <w:color w:val="auto"/>
        </w:rPr>
        <w:t>Our SRI and carbon intensity targets both enable the Firm to support secure and affordable energy and a transition to a low-carbon economy.</w:t>
      </w:r>
    </w:p>
    <w:p>
      <w:pPr>
        <w:spacing w:after="0" w:line="86" w:lineRule="exact"/>
        <w:rPr>
          <w:rFonts w:ascii="Arial" w:cs="Arial" w:eastAsia="Arial" w:hAnsi="Arial"/>
          <w:sz w:val="16"/>
          <w:szCs w:val="16"/>
          <w:b w:val="1"/>
          <w:bCs w:val="1"/>
          <w:color w:val="auto"/>
        </w:rPr>
      </w:pPr>
    </w:p>
    <w:p>
      <w:pPr>
        <w:ind w:left="360" w:hanging="172"/>
        <w:spacing w:after="0"/>
        <w:tabs>
          <w:tab w:leader="none" w:pos="360" w:val="left"/>
        </w:tabs>
        <w:numPr>
          <w:ilvl w:val="0"/>
          <w:numId w:val="281"/>
        </w:numPr>
        <w:rPr>
          <w:rFonts w:ascii="Arial" w:cs="Arial" w:eastAsia="Arial" w:hAnsi="Arial"/>
          <w:sz w:val="16"/>
          <w:szCs w:val="16"/>
          <w:b w:val="1"/>
          <w:bCs w:val="1"/>
          <w:color w:val="auto"/>
        </w:rPr>
      </w:pPr>
      <w:r>
        <w:rPr>
          <w:rFonts w:ascii="Arial" w:cs="Arial" w:eastAsia="Arial" w:hAnsi="Arial"/>
          <w:sz w:val="16"/>
          <w:szCs w:val="16"/>
          <w:color w:val="auto"/>
        </w:rPr>
        <w:t>Our industry-leading returns speak to the Firm’s disciplined management and continued focus on generating value for our shareholders.</w:t>
      </w:r>
    </w:p>
    <w:p>
      <w:pPr>
        <w:spacing w:after="0" w:line="86" w:lineRule="exact"/>
        <w:rPr>
          <w:rFonts w:ascii="Arial" w:cs="Arial" w:eastAsia="Arial" w:hAnsi="Arial"/>
          <w:sz w:val="16"/>
          <w:szCs w:val="16"/>
          <w:b w:val="1"/>
          <w:bCs w:val="1"/>
          <w:color w:val="auto"/>
        </w:rPr>
      </w:pPr>
    </w:p>
    <w:p>
      <w:pPr>
        <w:ind w:left="380" w:right="280" w:hanging="192"/>
        <w:spacing w:after="0" w:line="321" w:lineRule="auto"/>
        <w:tabs>
          <w:tab w:leader="none" w:pos="364" w:val="left"/>
        </w:tabs>
        <w:numPr>
          <w:ilvl w:val="0"/>
          <w:numId w:val="281"/>
        </w:numPr>
        <w:rPr>
          <w:rFonts w:ascii="Arial" w:cs="Arial" w:eastAsia="Arial" w:hAnsi="Arial"/>
          <w:sz w:val="16"/>
          <w:szCs w:val="16"/>
          <w:b w:val="1"/>
          <w:bCs w:val="1"/>
          <w:color w:val="auto"/>
        </w:rPr>
      </w:pPr>
      <w:r>
        <w:rPr>
          <w:rFonts w:ascii="Arial" w:cs="Arial" w:eastAsia="Arial" w:hAnsi="Arial"/>
          <w:sz w:val="16"/>
          <w:szCs w:val="16"/>
          <w:color w:val="auto"/>
        </w:rPr>
        <w:t>The proposal’s requested report would not provide meaningful or relevant disclosure to shareholders. A static report of this kind would be insufficient in reflecting our responsiveness to the complex and dynamic operating environment and would incur unnecessary expense.</w:t>
      </w:r>
    </w:p>
    <w:p>
      <w:pPr>
        <w:spacing w:after="0" w:line="39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October 2025, JPMorganChase announced the SRI, a $1.5 trillion, 10-year plan to facilitate, finance and invest in industries critical to U.S. national economic security and resiliency. Through SRI, the Firm is championing long-term economic security and resiliency by supporting industries including supply chain and manufacturing, defense and aerospace, energy independence and resilience, strategic and frontier technologies, and pharma and healthtech.</w:t>
      </w:r>
    </w:p>
    <w:p>
      <w:pPr>
        <w:spacing w:after="0" w:line="10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Firm also has climate-related metrics and targets to help us understand the impacts of our efforts and how we can support an energy-secure transition to a low-carbon economy. To date, we have set nine carbon intensity targets for eight sectors of our financing portfolio: Oil &amp; Gas, Electric Power, Auto Manufacturing, Aviation, Shipping, Iron &amp; Steel, Cement and Aluminum. We have consistently noted that our targets indicate our intent to capture sustainability-related opportunities, not to restrict our financing. As described in Carbon Compass®, our targets are based on the International Energy Agency's Net Zero 2050 Emissions by 2050 Scenario (IEA NZE), which assumes ongoing roles for oil and gas through 2030 and beyond.</w:t>
      </w:r>
    </w:p>
    <w:p>
      <w:pPr>
        <w:spacing w:after="0" w:line="10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proposal is premised on a fundamental misunderstanding of the Firm’s approach to business opportunities. It assumes the Firm cannot pursue SRI and meet its carbon intensity targets at the same time. In fact, the Firm’s global, diversified franchise allows us to serve clients and communities with wide-ranging needs and manage to multiple objectives simultaneously. Many of these objectives are complementary; this includes our SRI and climate-related targets. Many efforts that advance the SRI’s Energy Independence and Resilience pillar may also aid our clients in their decarbonization efforts, which in turn will progress our carbon intensity targets. For example, advancements in technologies such as nuclear power, energy storage and grid resilience will assist many of our clients in their decarbonization efforts.</w:t>
      </w:r>
    </w:p>
    <w:p>
      <w:pPr>
        <w:spacing w:after="0" w:line="11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make business decisions and manage multiple initiatives to advance the Firm’s long-term delivery of shareholder value. Management is responsible for executing the Firm’s strategic and commercial objectives, including SRI. The Board of Directors provides appropriate oversight of SRI, including with respect to strategic direction, notable investments and the integration of investments with policy initiatives. Our industry-leading returns speak to the Firm’s disciplined management and continued focus on generating value for our shareholders. In 2025, the Firm generated record revenue for the eighth-consecutive year, with return on tangible common equity</w:t>
      </w:r>
      <w:r>
        <w:rPr>
          <w:rFonts w:ascii="Arial" w:cs="Arial" w:eastAsia="Arial" w:hAnsi="Arial"/>
          <w:sz w:val="21"/>
          <w:szCs w:val="21"/>
          <w:color w:val="auto"/>
          <w:vertAlign w:val="superscript"/>
        </w:rPr>
        <w:t>7</w:t>
      </w:r>
      <w:r>
        <w:rPr>
          <w:rFonts w:ascii="Arial" w:cs="Arial" w:eastAsia="Arial" w:hAnsi="Arial"/>
          <w:sz w:val="16"/>
          <w:szCs w:val="16"/>
          <w:color w:val="auto"/>
        </w:rPr>
        <w:t xml:space="preserve"> of 20%, reflecting strong underlying performance across our businesses.</w:t>
      </w:r>
    </w:p>
    <w:p>
      <w:pPr>
        <w:spacing w:after="0" w:line="46" w:lineRule="exact"/>
        <w:rPr>
          <w:sz w:val="20"/>
          <w:szCs w:val="20"/>
          <w:color w:val="auto"/>
        </w:rPr>
      </w:pPr>
    </w:p>
    <w:p>
      <w:pPr>
        <w:ind w:right="460"/>
        <w:spacing w:after="0" w:line="295" w:lineRule="auto"/>
        <w:rPr>
          <w:sz w:val="20"/>
          <w:szCs w:val="20"/>
          <w:color w:val="auto"/>
        </w:rPr>
      </w:pPr>
      <w:r>
        <w:rPr>
          <w:rFonts w:ascii="Arial" w:cs="Arial" w:eastAsia="Arial" w:hAnsi="Arial"/>
          <w:sz w:val="16"/>
          <w:szCs w:val="16"/>
          <w:color w:val="auto"/>
        </w:rPr>
        <w:t>JPMorganChase provides regular disclosures regarding our approach to energy security and climate initiatives in our public reports, including our Sustainability Report, regulatory filings and other disclosures. As the SRI evolves, we intend to provide additional disclosure if and when management deems it appropriate. The proposal’s request for an analysis that is premised on an oversimplified and inaccurate understanding of the Firm’s business initiatives would result in a report that would not provide shareholders with meaningful or relevant information and incur unnecessary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55753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Board of Directors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343" w:lineRule="exact"/>
        <w:rPr>
          <w:sz w:val="20"/>
          <w:szCs w:val="20"/>
          <w:color w:val="auto"/>
        </w:rPr>
      </w:pPr>
    </w:p>
    <w:p>
      <w:pPr>
        <w:ind w:left="200" w:hanging="192"/>
        <w:spacing w:after="0"/>
        <w:tabs>
          <w:tab w:leader="none" w:pos="200" w:val="left"/>
        </w:tabs>
        <w:numPr>
          <w:ilvl w:val="0"/>
          <w:numId w:val="282"/>
        </w:numPr>
        <w:rPr>
          <w:rFonts w:ascii="Arial" w:cs="Arial" w:eastAsia="Arial" w:hAnsi="Arial"/>
          <w:sz w:val="19"/>
          <w:szCs w:val="19"/>
          <w:color w:val="auto"/>
          <w:vertAlign w:val="superscript"/>
        </w:rPr>
      </w:pPr>
      <w:r>
        <w:rPr>
          <w:rFonts w:ascii="Arial" w:cs="Arial" w:eastAsia="Arial" w:hAnsi="Arial"/>
          <w:sz w:val="13"/>
          <w:szCs w:val="13"/>
          <w:color w:val="auto"/>
        </w:rPr>
        <w:t>Return on tangible common equity is a non-GAAP financial measure; refer to Note 1 on page 103 for a further discussion of these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651510" cy="8572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90868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PROPOSAL 5:</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29"/>
          <w:szCs w:val="29"/>
          <w:color w:val="auto"/>
        </w:rPr>
        <w:t>Independent board chairman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John Chevedden has advised us that he intends to introduce 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158115</wp:posOffset>
            </wp:positionV>
            <wp:extent cx="1800225" cy="3600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8002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Shareholders request that the Board of Directors adopt an enduring policy, and amend the governing documents as necessary including the Corporate Governance Guidelines in order that 2 separate people hold the office of the Chairman and the office of the CEO as soon as possible.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Chairman of the Board shall be an Independent Director. An independent Lead Director shall not be a substitute for an independent Board Chairman.</w:t>
      </w:r>
    </w:p>
    <w:p>
      <w:pPr>
        <w:spacing w:after="0" w:line="16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Board shall have the discretion to select an interim Chairman of the Board, who is not an Independent Director, to serve while the Board is required to seek an Independent Chairman of the Board on an accelerated basis. This policy could be phased in when there is a contract renewal for our current CEO or for the next CEO transition although it is better to adopt it now to obtain the maximum benefit.</w:t>
      </w:r>
    </w:p>
    <w:p>
      <w:pPr>
        <w:spacing w:after="0" w:line="104"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auto"/>
        </w:rPr>
        <w:t>An independent Board Chairman at all times improves corporate governance by bringing impartiality, objective oversight, and external expertise to board decisions, mitigating conflicts of interest, enhancing transparency, and boosting shareholder confidence.</w:t>
      </w:r>
    </w:p>
    <w:p>
      <w:pPr>
        <w:spacing w:after="0" w:line="88"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This detached perspective allows the chairman to focus on shareholder interests, strengthen management accountability, and provide critical checks and balances, ultimately contributing to long-term sustainability and credibility.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An independent Board Chairman could help JPM avoid unfavorable JPM news reports likle those that emerged in 2025.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Germany's Federal Financial Supervisory Authority fined JPM $51 million for shortcomings in its system for preventing money laundering.</w:t>
      </w:r>
    </w:p>
    <w:p>
      <w:pPr>
        <w:spacing w:after="0" w:line="167"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Reports in October 2025 revisited JPMorgan's ties to convicted sex offender Jeffrey Epstein, detailing how JPM reportedly disregarded red flags about his questionable activities for years, an issue that previously led to significant JPM settlements in 2023.</w:t>
      </w:r>
    </w:p>
    <w:p>
      <w:pPr>
        <w:spacing w:after="0" w:line="88"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An October 2025 report said that "irregularities" in the Commercial &amp; Investment Banking (CIB) division, specifically concerning borrower-related collateral in secured lending facilities, contributed to higher-than-expected provisions for credit losses.</w:t>
      </w:r>
    </w:p>
    <w:p>
      <w:pPr>
        <w:spacing w:after="0" w:line="75"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A former executive who was convicted of defrauding JPM during its acquisition of the college financial aid platform Frank was sentenced to 5-years in prison in November 2025, drawing negative attention to JPM's flawed acquisition process.</w:t>
      </w:r>
    </w:p>
    <w:p>
      <w:pPr>
        <w:spacing w:after="0" w:line="88"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JPM's Q3 2025 earnings call highlighted negative points such as an 8% increase in expenses, elevated wholesale charge-offs due to instances of apparent fraud in secured lending, and flat retail deposit growth.</w:t>
      </w:r>
    </w:p>
    <w:p>
      <w:pPr>
        <w:spacing w:after="0" w:line="8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JPM's strict return-to-office mandates were cited as an example of an employer policy that risks losing talented employees. Another mark against attracting talented employees was a class-action lawsuit against JPM, alleging it mismanaged its employee health and prescription benefits program, resulting employees vastly overpaying for costs and premiums.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Please vote yes: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Support for an Independent Board Chairman —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886460</wp:posOffset>
            </wp:positionV>
            <wp:extent cx="651510" cy="8572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86</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auto"/>
        </w:rPr>
        <w:t>Board response to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324040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32320" cy="32404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The Board of Directors recommends that shareholders vote </w:t>
      </w:r>
      <w:r>
        <w:rPr>
          <w:rFonts w:ascii="Arial" w:cs="Arial" w:eastAsia="Arial" w:hAnsi="Arial"/>
          <w:sz w:val="16"/>
          <w:szCs w:val="16"/>
          <w:b w:val="1"/>
          <w:bCs w:val="1"/>
          <w:u w:val="single" w:color="auto"/>
          <w:color w:val="auto"/>
        </w:rPr>
        <w:t>AGAINST</w:t>
      </w:r>
      <w:r>
        <w:rPr>
          <w:rFonts w:ascii="Arial" w:cs="Arial" w:eastAsia="Arial" w:hAnsi="Arial"/>
          <w:sz w:val="16"/>
          <w:szCs w:val="16"/>
          <w:color w:val="auto"/>
        </w:rPr>
        <w:t xml:space="preserve"> this proposal for the following reasons:</w:t>
      </w:r>
    </w:p>
    <w:p>
      <w:pPr>
        <w:spacing w:after="0" w:line="73" w:lineRule="exact"/>
        <w:rPr>
          <w:sz w:val="20"/>
          <w:szCs w:val="20"/>
          <w:color w:val="auto"/>
        </w:rPr>
      </w:pPr>
    </w:p>
    <w:p>
      <w:pPr>
        <w:ind w:left="380" w:right="220" w:hanging="192"/>
        <w:spacing w:after="0" w:line="276" w:lineRule="auto"/>
        <w:tabs>
          <w:tab w:leader="none" w:pos="364" w:val="left"/>
        </w:tabs>
        <w:numPr>
          <w:ilvl w:val="0"/>
          <w:numId w:val="283"/>
        </w:numPr>
        <w:rPr>
          <w:rFonts w:ascii="Arial" w:cs="Arial" w:eastAsia="Arial" w:hAnsi="Arial"/>
          <w:sz w:val="16"/>
          <w:szCs w:val="16"/>
          <w:b w:val="1"/>
          <w:bCs w:val="1"/>
          <w:color w:val="auto"/>
        </w:rPr>
      </w:pPr>
      <w:r>
        <w:rPr>
          <w:rFonts w:ascii="Arial" w:cs="Arial" w:eastAsia="Arial" w:hAnsi="Arial"/>
          <w:sz w:val="16"/>
          <w:szCs w:val="16"/>
          <w:color w:val="auto"/>
        </w:rPr>
        <w:t>Determining the optimal Board leadership structure is crucial for fulfilling the Board's fiduciary duty to shareholders. The Board conducts an annual evaluation of its leadership structure, leveraging its experience, judgment, boardroom insight, and ongoing shareholder feedback to make informed decisions. Historically, the Board has separated the Chair and CEO roles in half of the Firm’s previous six management transitions and enhanced our Corporate Governance Principles such that the general policy of the Board shall be that upon the next CEO transition, the Chair and Chief Executive Officer positions shall be separate and that each position shall be held by a different individual, subject to the Board’s determination of the leadership structure that best serves the Firm and its shareholders. This flexibility demonstrates the Board's commitment to adapting its leadership structure to best serve the Firm's interests, effectively discharging its fiduciary responsibilities.</w:t>
      </w:r>
    </w:p>
    <w:p>
      <w:pPr>
        <w:spacing w:after="0" w:line="17" w:lineRule="exact"/>
        <w:rPr>
          <w:rFonts w:ascii="Arial" w:cs="Arial" w:eastAsia="Arial" w:hAnsi="Arial"/>
          <w:sz w:val="16"/>
          <w:szCs w:val="16"/>
          <w:b w:val="1"/>
          <w:bCs w:val="1"/>
          <w:color w:val="auto"/>
        </w:rPr>
      </w:pPr>
    </w:p>
    <w:p>
      <w:pPr>
        <w:ind w:left="380" w:right="200" w:hanging="192"/>
        <w:spacing w:after="0" w:line="272" w:lineRule="auto"/>
        <w:tabs>
          <w:tab w:leader="none" w:pos="364" w:val="left"/>
        </w:tabs>
        <w:numPr>
          <w:ilvl w:val="0"/>
          <w:numId w:val="283"/>
        </w:numPr>
        <w:rPr>
          <w:rFonts w:ascii="Arial" w:cs="Arial" w:eastAsia="Arial" w:hAnsi="Arial"/>
          <w:sz w:val="16"/>
          <w:szCs w:val="16"/>
          <w:b w:val="1"/>
          <w:bCs w:val="1"/>
          <w:color w:val="auto"/>
        </w:rPr>
      </w:pPr>
      <w:r>
        <w:rPr>
          <w:rFonts w:ascii="Arial" w:cs="Arial" w:eastAsia="Arial" w:hAnsi="Arial"/>
          <w:sz w:val="16"/>
          <w:szCs w:val="16"/>
          <w:color w:val="auto"/>
        </w:rPr>
        <w:t>The proposal fails to recognize the robustness of the Firm’s Lead Independent Director role which is empowered to serve as a strong independent leader and provides effective independent oversight. The current Lead Independent Director has been particularly effective at guiding the Board’s responsiveness to shareholder concerns, reflected in the consistently high shareholder support received by our Lead Independent Director during his tenure in the role. Further, the Board meets separately from Mr. Dimon at every regularly scheduled meeting and has unfettered access</w:t>
      </w:r>
    </w:p>
    <w:p>
      <w:pPr>
        <w:spacing w:after="0" w:line="1"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6"/>
          <w:szCs w:val="16"/>
          <w:color w:val="auto"/>
        </w:rPr>
        <w:t>to management.</w:t>
      </w:r>
    </w:p>
    <w:p>
      <w:pPr>
        <w:spacing w:after="0" w:line="60" w:lineRule="exact"/>
        <w:rPr>
          <w:rFonts w:ascii="Arial" w:cs="Arial" w:eastAsia="Arial" w:hAnsi="Arial"/>
          <w:sz w:val="16"/>
          <w:szCs w:val="16"/>
          <w:b w:val="1"/>
          <w:bCs w:val="1"/>
          <w:color w:val="auto"/>
        </w:rPr>
      </w:pPr>
    </w:p>
    <w:p>
      <w:pPr>
        <w:ind w:left="380" w:right="580" w:hanging="192"/>
        <w:spacing w:after="0" w:line="278" w:lineRule="auto"/>
        <w:tabs>
          <w:tab w:leader="none" w:pos="364" w:val="left"/>
        </w:tabs>
        <w:numPr>
          <w:ilvl w:val="0"/>
          <w:numId w:val="283"/>
        </w:numPr>
        <w:rPr>
          <w:rFonts w:ascii="Arial" w:cs="Arial" w:eastAsia="Arial" w:hAnsi="Arial"/>
          <w:sz w:val="16"/>
          <w:szCs w:val="16"/>
          <w:b w:val="1"/>
          <w:bCs w:val="1"/>
          <w:color w:val="auto"/>
        </w:rPr>
      </w:pPr>
      <w:r>
        <w:rPr>
          <w:rFonts w:ascii="Arial" w:cs="Arial" w:eastAsia="Arial" w:hAnsi="Arial"/>
          <w:sz w:val="16"/>
          <w:szCs w:val="16"/>
          <w:color w:val="auto"/>
        </w:rPr>
        <w:t>The proposal, premised on an unsupported link between leadership structure and news coverage, calls for a mandatory, enduring, and inflexible policy on leadership structure that may violate Delaware law, and presents absolutely no evidence that a policy to maintain a separate CEO and Chair leadership structure serves the best interests of the Firm and its shareholders. In fact, this underlying assumption is contradicted by the practices of the majority of the largest U.S. public companies and the Firm’s consistent financial outperformance under its current leadership structure.</w:t>
      </w:r>
    </w:p>
    <w:p>
      <w:pPr>
        <w:spacing w:after="0" w:line="14" w:lineRule="exact"/>
        <w:rPr>
          <w:rFonts w:ascii="Arial" w:cs="Arial" w:eastAsia="Arial" w:hAnsi="Arial"/>
          <w:sz w:val="16"/>
          <w:szCs w:val="16"/>
          <w:b w:val="1"/>
          <w:bCs w:val="1"/>
          <w:color w:val="auto"/>
        </w:rPr>
      </w:pPr>
    </w:p>
    <w:p>
      <w:pPr>
        <w:ind w:left="380" w:right="280" w:hanging="192"/>
        <w:spacing w:after="0" w:line="256" w:lineRule="auto"/>
        <w:tabs>
          <w:tab w:leader="none" w:pos="364" w:val="left"/>
        </w:tabs>
        <w:numPr>
          <w:ilvl w:val="0"/>
          <w:numId w:val="283"/>
        </w:numPr>
        <w:rPr>
          <w:rFonts w:ascii="Arial" w:cs="Arial" w:eastAsia="Arial" w:hAnsi="Arial"/>
          <w:sz w:val="16"/>
          <w:szCs w:val="16"/>
          <w:b w:val="1"/>
          <w:bCs w:val="1"/>
          <w:color w:val="auto"/>
        </w:rPr>
      </w:pPr>
      <w:r>
        <w:rPr>
          <w:rFonts w:ascii="Arial" w:cs="Arial" w:eastAsia="Arial" w:hAnsi="Arial"/>
          <w:sz w:val="16"/>
          <w:szCs w:val="16"/>
          <w:color w:val="auto"/>
        </w:rPr>
        <w:t>Outstanding long-term performance does not happen without exceptional leadership. Under the current leadership structure, in 2025, the Firm delivered strong results and maintained its fortress balance sheet principles, delivering a return on tangible common equity</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("ROTCE") that has consistently outperformed our major competitors. As described throughout this proxy statement, this structure has allowed for effective execution on long-term strategic priorities.</w:t>
      </w:r>
    </w:p>
    <w:p>
      <w:pPr>
        <w:spacing w:after="0" w:line="200" w:lineRule="exact"/>
        <w:rPr>
          <w:sz w:val="20"/>
          <w:szCs w:val="20"/>
          <w:color w:val="auto"/>
        </w:rPr>
      </w:pPr>
    </w:p>
    <w:p>
      <w:pPr>
        <w:spacing w:after="0" w:line="236"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continue to disagree with this prescriptive proposal—annually resubmitted by the same proponent with varying rationales—and a majority of our shareholders have rejected similar proposals for many years. The Board remains focused on maintaining the leadership structure that best serves long-term shareholder value and remains in the best position to determine the appropriate structure of its leadership at any given time. The Board has implemented strong governance around its assessment by requiring an annual review of leadership structure. Each year the Board considers, among other factors, the composition of the Board, the individuals serving in leadership roles and their respective responsibilities and performance, the needs and opportunities of the Firm at the time, the Firm’s long-term performance and shareholder feedback. Importantly, our Board is not fixed in its view of whether the Firm is best served by a combined or separated Chair/CEO function – in fact, it has separated the Chair and CEO roles in half of the Firm’s six previous management transitions. Further, the Board responded to support garnered by a proposal in 2021 to enhance our Corporate Governance Principles such that the general policy of the Board shall be that upon the next CEO transition, the Chair and Chief Executive Officer positions shall be separate and that each position shall be held by a different individual, subject to the Board’s determination of the leadership structure that best serves the Firm and its shareholders at that time. This demonstrates the Board’s ability to effectively discharge its fiduciary duties with respect to leadership structure.</w:t>
      </w:r>
    </w:p>
    <w:p>
      <w:pPr>
        <w:spacing w:after="0" w:line="10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The Board also considers the performance and effectiveness of our Lead Independent Director, Stephen B. Burke, who is empowered to serve as a strong independent leader and an effective independent oversight. Mr. Burke is independent under New York Stock Exchange rules and the Board’s independence standards which are described in the Firm’s Corporate Governance Principles (see p. 18 of this proxy statement for further information). Mr. Burke facilitates the Board’s independent oversight of management, including by promoting open dialogue among independent directors during Board meetings, at executive sessions without the CEO, and in between Board meetings. The Board meets separately from Mr. Dimon at every regularly scheduled meeting and provides direct feedback to him afterward. The Board hears directly from line of business CEOs and the COO at Board meetings and has unfettered access to and direct relationships with senior management. A simple majority of the Board can remove the CEO at any time, for any reason. The CEO has no contract and serves at the</w:t>
      </w:r>
    </w:p>
    <w:p>
      <w:pPr>
        <w:spacing w:after="0" w:line="223" w:lineRule="exact"/>
        <w:rPr>
          <w:sz w:val="20"/>
          <w:szCs w:val="20"/>
          <w:color w:val="auto"/>
        </w:rPr>
      </w:pPr>
    </w:p>
    <w:p>
      <w:pPr>
        <w:ind w:left="200" w:hanging="192"/>
        <w:spacing w:after="0"/>
        <w:tabs>
          <w:tab w:leader="none" w:pos="200" w:val="left"/>
        </w:tabs>
        <w:numPr>
          <w:ilvl w:val="0"/>
          <w:numId w:val="284"/>
        </w:numPr>
        <w:rPr>
          <w:rFonts w:ascii="Arial" w:cs="Arial" w:eastAsia="Arial" w:hAnsi="Arial"/>
          <w:sz w:val="19"/>
          <w:szCs w:val="19"/>
          <w:color w:val="auto"/>
          <w:vertAlign w:val="superscript"/>
        </w:rPr>
      </w:pPr>
      <w:r>
        <w:rPr>
          <w:rFonts w:ascii="Arial" w:cs="Arial" w:eastAsia="Arial" w:hAnsi="Arial"/>
          <w:sz w:val="13"/>
          <w:szCs w:val="13"/>
          <w:color w:val="auto"/>
        </w:rPr>
        <w:t>ROTCE is a non-GAAP financial measure; refer to Note 1 on page 103 for a further discussion of these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394335</wp:posOffset>
            </wp:positionV>
            <wp:extent cx="651510" cy="8572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pleasure of the Board. Mr. Burke has been overwhelmingly supported by shareholders, receiving more than 90% of shareholder votes for each election during his tenure as Lead Independent Director.</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Board has been clear that it believes a mandatory or “enduring” policy that requires a separate independent Chair undermines its discretion to respond to shareholder feedback and use its experience, judgment, and boardroom insight to make the best-informed decision about leadership at the time and has consistently recommended against adoption of such a policy. The proposal’s request for an “enduring” policy would require the Board to abdicate its fiduciary duty to shareholders</w:t>
      </w:r>
    </w:p>
    <w:p>
      <w:pPr>
        <w:spacing w:after="0" w:line="11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and imposes restrictions on current and future Board action in a manner that may violate Delaware law. At least four companies have made similar arguments in exclusion letters submitted to the Securities and Exchange Commission, with supporting opinions from Delaware counsel. They argue that the proposed Board policy, if implemented, would violate Delaware law because a key aspect of the proposal is that it could never be changed by the Board or the stockholders in the future even if they believed such a change to be in the best interests of the company and its stockholders.</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There is no consensus on a single ideal leadership structure for all companies, as evidenced by the proponent's lack of empirical support. However, a clear “market practice” exists among our peers; a market practice study shows the majority of the 100-largest U.S. public companies listed on the New York Stock Exchange and Nasdaq have a combined CEO and Chair role, and at 39% of companies where the chair and CEO positions are separated, the chair is not independent. In the financial services sector specifically, we have seen additional consolidation of CEO and Chair roles in the past year, further evidencing the effectiveness of this leadership structure, depending on a company’s circumstances.</w:t>
      </w:r>
    </w:p>
    <w:p>
      <w:pPr>
        <w:spacing w:after="0" w:line="11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proposal is also premised on an unsupported link between leadership structure and news coverage. The proposal baselessly claims that an independent Chair could help the Firm avoid “unfavorable JPM news reports” without explaining how or why an independent Chair could have insulated the Firm from such coverage. In fact, media coverage is often subjective and driven by factors unrelated to Board leadership structure, and the proposal fails to demonstrate any such link. The Firm operates in a competitive environment and complex regulatory landscape, and risk is inherent to our business. The Board’s current leadership structure enables it to provide effective independent oversight of management, helping the Firm navigate these challenges while protecting long-term shareholder value.</w:t>
      </w:r>
    </w:p>
    <w:p>
      <w:pPr>
        <w:spacing w:after="0" w:line="1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Under Mr. Dimon's leadership as Chair and CEO, overseen by an otherwise independent Board and Lead Independent Director, the Firm continues to deliver strong results and maintain its fortress balance sheet principles, while investing in and executing on long-term strategic initiatives. In 2025, the Firm achieved a ROTCE of 20% that has consistently outperformed our major competitors, demonstrating effective oversight and leadership achieved through a combined structure. As described throughout this proxy statement, the combined leadership structure has allowed for effective execution on strategic priorities, enhancing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55689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32320" cy="55689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Board of Directors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697865</wp:posOffset>
            </wp:positionV>
            <wp:extent cx="651510" cy="8572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88</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90868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PROPOSAL 6:</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29"/>
          <w:szCs w:val="29"/>
          <w:color w:val="auto"/>
        </w:rPr>
        <w:t>Lobbying alignment</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The Missionary Oblates of Mary Immaculate has advised us that it intends to introduce the following resolution:</w:t>
      </w:r>
    </w:p>
    <w:p>
      <w:pPr>
        <w:spacing w:after="0" w:line="235"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the Board of Directors take steps to analyze and report to shareholders (at reasonable cost and omitting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on the alignment of JPMorgan Chase’s lobbying and public policy advocacy with its stated public policy positions. This report should include both direct lobbying and indirect advocacy through trade associations and politically active social welfare organizations and criteria used to analyze alignment.</w:t>
      </w:r>
    </w:p>
    <w:p>
      <w:pPr>
        <w:spacing w:after="0" w:line="94"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Our company is active in numerous public policy debates and lobbying on key issues affecting it financially, including issues</w:t>
      </w:r>
      <w:r>
        <w:rPr>
          <w:rFonts w:ascii="Arial" w:cs="Arial" w:eastAsia="Arial" w:hAnsi="Arial"/>
          <w:sz w:val="16"/>
          <w:szCs w:val="16"/>
          <w:b w:val="1"/>
          <w:bCs w:val="1"/>
          <w:color w:val="auto"/>
        </w:rPr>
        <w:t xml:space="preserve"> </w:t>
      </w:r>
      <w:r>
        <w:rPr>
          <w:rFonts w:ascii="Arial" w:cs="Arial" w:eastAsia="Arial" w:hAnsi="Arial"/>
          <w:sz w:val="16"/>
          <w:szCs w:val="16"/>
          <w:color w:val="auto"/>
        </w:rPr>
        <w:t>like tax reform, trade policy, climate change. JPMorgan Chase describes values and beliefs guiding the Company in its Sustainability Report. But sometimes trade associations or other organizations to which they belong or contribute, advocate for policies that contradict or undercut company positions. Companies with serious misalignment face reputational risk and, where misalignment involves issues core to value creation, risk to the business.</w:t>
      </w:r>
    </w:p>
    <w:p>
      <w:pPr>
        <w:spacing w:after="0" w:line="10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For example, climate change poses systemic financial risk, potentially reducing global GDP by up to 19% by midcentury.</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Corporate lobbying and policy action inconsistent with mitigating negative climate impacts and transitioning to a low carbon economy may present risks to investors and companies. It is important for JPMorgan Chase to assess how their trade associations or politically active nonprofits they support lobby on climate laws and regulations.</w:t>
      </w:r>
    </w:p>
    <w:p>
      <w:pPr>
        <w:spacing w:after="0" w:line="123"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For example, the bank presently supports ALEC, a controversial organization that promotes model legislation for states which attack work on diversity or climate change. In addition, the bank was identified as supporting the State Financial Officers Federation (SFOF), which has waged a coordinated attack on climate policy.</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The company risks reputational damage by funding organizations lobbying against climate legislation, contradicting its public statements and potentially undermining achievement of its climate goals.</w:t>
      </w:r>
    </w:p>
    <w:p>
      <w:pPr>
        <w:spacing w:after="0" w:line="120"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Another example is lobbying by trade associations to limit shareholder rights and their ability to file resolutions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while in contrast the company respects and values its engagements with investors.</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commend the company for its present disclosure of lobbying and oversight. However, current disclosures do not adequately explain how the Company ensures its lobbying aligns with its public policy positions and how it manages policy misalignment risks. Such a review does not automatically lead to ending membership in such organizations but could include expanding ways to engage and change that organization. While we would expect that management oversees involvement in trade associations and politically active nonprofit organizations, we believe JPMorgan Chase should deepen scrutiny of their actions, how they analyze alignment with their advocacy and describe options when contradictions arise.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urge JPMorgan Chase to issue a lobbying alignment report similar to those published by Ford, General Motors, Honeywell, United Airlines and Unilever.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hanging="192"/>
        <w:spacing w:after="0"/>
        <w:tabs>
          <w:tab w:leader="none" w:pos="200" w:val="left"/>
        </w:tabs>
        <w:numPr>
          <w:ilvl w:val="0"/>
          <w:numId w:val="285"/>
        </w:numPr>
        <w:rPr>
          <w:rFonts w:ascii="Arial" w:cs="Arial" w:eastAsia="Arial" w:hAnsi="Arial"/>
          <w:sz w:val="19"/>
          <w:szCs w:val="19"/>
          <w:color w:val="auto"/>
          <w:vertAlign w:val="superscript"/>
        </w:rPr>
      </w:pPr>
      <w:r>
        <w:rPr>
          <w:rFonts w:ascii="Arial" w:cs="Arial" w:eastAsia="Arial" w:hAnsi="Arial"/>
          <w:sz w:val="13"/>
          <w:szCs w:val="13"/>
          <w:color w:val="auto"/>
        </w:rPr>
        <w:t>https://www.nature.com/articles/s41586-024-07219-0</w:t>
      </w:r>
    </w:p>
    <w:p>
      <w:pPr>
        <w:spacing w:after="0" w:line="79" w:lineRule="exact"/>
        <w:rPr>
          <w:sz w:val="20"/>
          <w:szCs w:val="20"/>
          <w:color w:val="auto"/>
        </w:rPr>
      </w:pPr>
    </w:p>
    <w:p>
      <w:pPr>
        <w:ind w:left="200" w:hanging="192"/>
        <w:spacing w:after="0"/>
        <w:tabs>
          <w:tab w:leader="none" w:pos="200" w:val="left"/>
        </w:tabs>
        <w:numPr>
          <w:ilvl w:val="0"/>
          <w:numId w:val="286"/>
        </w:numPr>
        <w:rPr>
          <w:rFonts w:ascii="Arial" w:cs="Arial" w:eastAsia="Arial" w:hAnsi="Arial"/>
          <w:sz w:val="19"/>
          <w:szCs w:val="19"/>
          <w:color w:val="auto"/>
          <w:vertAlign w:val="superscript"/>
        </w:rPr>
      </w:pPr>
      <w:r>
        <w:rPr>
          <w:rFonts w:ascii="Arial" w:cs="Arial" w:eastAsia="Arial" w:hAnsi="Arial"/>
          <w:sz w:val="13"/>
          <w:szCs w:val="13"/>
          <w:color w:val="auto"/>
        </w:rPr>
        <w:t>https://www.nytimes.com/2022/08/05/climate/republican-treasurers-climate-change.html</w:t>
      </w:r>
    </w:p>
    <w:p>
      <w:pPr>
        <w:spacing w:after="0" w:line="79" w:lineRule="exact"/>
        <w:rPr>
          <w:sz w:val="20"/>
          <w:szCs w:val="20"/>
          <w:color w:val="auto"/>
        </w:rPr>
      </w:pPr>
    </w:p>
    <w:p>
      <w:pPr>
        <w:ind w:left="200" w:hanging="192"/>
        <w:spacing w:after="0"/>
        <w:tabs>
          <w:tab w:leader="none" w:pos="200" w:val="left"/>
        </w:tabs>
        <w:numPr>
          <w:ilvl w:val="0"/>
          <w:numId w:val="287"/>
        </w:numPr>
        <w:rPr>
          <w:rFonts w:ascii="Arial" w:cs="Arial" w:eastAsia="Arial" w:hAnsi="Arial"/>
          <w:sz w:val="19"/>
          <w:szCs w:val="19"/>
          <w:color w:val="auto"/>
          <w:vertAlign w:val="superscript"/>
        </w:rPr>
      </w:pPr>
      <w:r>
        <w:rPr>
          <w:rFonts w:ascii="Arial" w:cs="Arial" w:eastAsia="Arial" w:hAnsi="Arial"/>
          <w:sz w:val="13"/>
          <w:szCs w:val="13"/>
          <w:color w:val="auto"/>
        </w:rPr>
        <w:t>https://www.businessroundtable.org/business-roundtable-calls-for-bold-reform-of-the-corporate-proxy-process-in-new-white-paper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651510" cy="8572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auto"/>
        </w:rPr>
        <w:t>Board response to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062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32320" cy="17062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The Board of Directors recommends that shareholders vote </w:t>
      </w:r>
      <w:r>
        <w:rPr>
          <w:rFonts w:ascii="Arial" w:cs="Arial" w:eastAsia="Arial" w:hAnsi="Arial"/>
          <w:sz w:val="16"/>
          <w:szCs w:val="16"/>
          <w:b w:val="1"/>
          <w:bCs w:val="1"/>
          <w:u w:val="single" w:color="auto"/>
          <w:color w:val="auto"/>
        </w:rPr>
        <w:t>AGAINST</w:t>
      </w:r>
      <w:r>
        <w:rPr>
          <w:rFonts w:ascii="Arial" w:cs="Arial" w:eastAsia="Arial" w:hAnsi="Arial"/>
          <w:sz w:val="16"/>
          <w:szCs w:val="16"/>
          <w:color w:val="auto"/>
        </w:rPr>
        <w:t xml:space="preserve"> this proposal for the following reasons:</w:t>
      </w:r>
    </w:p>
    <w:p>
      <w:pPr>
        <w:spacing w:after="0" w:line="86" w:lineRule="exact"/>
        <w:rPr>
          <w:sz w:val="20"/>
          <w:szCs w:val="20"/>
          <w:color w:val="auto"/>
        </w:rPr>
      </w:pPr>
    </w:p>
    <w:p>
      <w:pPr>
        <w:ind w:left="360" w:right="1080" w:hanging="186"/>
        <w:spacing w:after="0" w:line="304" w:lineRule="auto"/>
        <w:tabs>
          <w:tab w:leader="none" w:pos="344" w:val="left"/>
        </w:tabs>
        <w:numPr>
          <w:ilvl w:val="0"/>
          <w:numId w:val="288"/>
        </w:numPr>
        <w:rPr>
          <w:rFonts w:ascii="Arial" w:cs="Arial" w:eastAsia="Arial" w:hAnsi="Arial"/>
          <w:sz w:val="16"/>
          <w:szCs w:val="16"/>
          <w:b w:val="1"/>
          <w:bCs w:val="1"/>
          <w:color w:val="auto"/>
        </w:rPr>
      </w:pPr>
      <w:r>
        <w:rPr>
          <w:rFonts w:ascii="Arial" w:cs="Arial" w:eastAsia="Arial" w:hAnsi="Arial"/>
          <w:sz w:val="16"/>
          <w:szCs w:val="16"/>
          <w:color w:val="auto"/>
        </w:rPr>
        <w:t>The Firm maintains strong governance over the policies and practices tied to our major lobbying priorities and principal trade association memberships, including oversight by the Board’s Public Responsibility Committee ("PRC").</w:t>
      </w:r>
    </w:p>
    <w:p>
      <w:pPr>
        <w:spacing w:after="0" w:line="6" w:lineRule="exact"/>
        <w:rPr>
          <w:rFonts w:ascii="Arial" w:cs="Arial" w:eastAsia="Arial" w:hAnsi="Arial"/>
          <w:sz w:val="16"/>
          <w:szCs w:val="16"/>
          <w:b w:val="1"/>
          <w:bCs w:val="1"/>
          <w:color w:val="auto"/>
        </w:rPr>
      </w:pPr>
    </w:p>
    <w:p>
      <w:pPr>
        <w:ind w:left="360" w:right="320" w:hanging="186"/>
        <w:spacing w:after="0" w:line="308" w:lineRule="auto"/>
        <w:tabs>
          <w:tab w:leader="none" w:pos="344" w:val="left"/>
        </w:tabs>
        <w:numPr>
          <w:ilvl w:val="0"/>
          <w:numId w:val="288"/>
        </w:numPr>
        <w:rPr>
          <w:rFonts w:ascii="Arial" w:cs="Arial" w:eastAsia="Arial" w:hAnsi="Arial"/>
          <w:sz w:val="16"/>
          <w:szCs w:val="16"/>
          <w:b w:val="1"/>
          <w:bCs w:val="1"/>
          <w:color w:val="auto"/>
        </w:rPr>
      </w:pPr>
      <w:r>
        <w:rPr>
          <w:rFonts w:ascii="Arial" w:cs="Arial" w:eastAsia="Arial" w:hAnsi="Arial"/>
          <w:sz w:val="16"/>
          <w:szCs w:val="16"/>
          <w:color w:val="auto"/>
        </w:rPr>
        <w:t>Active engagement in the political process—including through public policy advocacy, lobbying and trade association membership—is an important tool to advance and protect the long-term interests of the Firm and our shareholders.</w:t>
      </w:r>
    </w:p>
    <w:p>
      <w:pPr>
        <w:ind w:left="360" w:right="360" w:hanging="186"/>
        <w:spacing w:after="0" w:line="292" w:lineRule="auto"/>
        <w:tabs>
          <w:tab w:leader="none" w:pos="344" w:val="left"/>
        </w:tabs>
        <w:numPr>
          <w:ilvl w:val="0"/>
          <w:numId w:val="288"/>
        </w:numPr>
        <w:rPr>
          <w:rFonts w:ascii="Arial" w:cs="Arial" w:eastAsia="Arial" w:hAnsi="Arial"/>
          <w:sz w:val="16"/>
          <w:szCs w:val="16"/>
          <w:b w:val="1"/>
          <w:bCs w:val="1"/>
          <w:color w:val="auto"/>
        </w:rPr>
      </w:pPr>
      <w:r>
        <w:rPr>
          <w:rFonts w:ascii="Arial" w:cs="Arial" w:eastAsia="Arial" w:hAnsi="Arial"/>
          <w:sz w:val="16"/>
          <w:szCs w:val="16"/>
          <w:color w:val="auto"/>
        </w:rPr>
        <w:t>The Firm values discourse with stakeholders holding diverse viewpoints. Participation in these forums does not mean that we agree with all stakeholders’ positions, as we make independent decisions on each issue. If we identify significant divergence from a stakeholder’s position about an issue, we constructively share our perspective.</w:t>
      </w:r>
    </w:p>
    <w:p>
      <w:pPr>
        <w:spacing w:after="0" w:line="16" w:lineRule="exact"/>
        <w:rPr>
          <w:rFonts w:ascii="Arial" w:cs="Arial" w:eastAsia="Arial" w:hAnsi="Arial"/>
          <w:sz w:val="16"/>
          <w:szCs w:val="16"/>
          <w:b w:val="1"/>
          <w:bCs w:val="1"/>
          <w:color w:val="auto"/>
        </w:rPr>
      </w:pPr>
    </w:p>
    <w:p>
      <w:pPr>
        <w:jc w:val="both"/>
        <w:ind w:left="360" w:right="720" w:hanging="186"/>
        <w:spacing w:after="0" w:line="304" w:lineRule="auto"/>
        <w:tabs>
          <w:tab w:leader="none" w:pos="344" w:val="left"/>
        </w:tabs>
        <w:numPr>
          <w:ilvl w:val="0"/>
          <w:numId w:val="288"/>
        </w:numPr>
        <w:rPr>
          <w:rFonts w:ascii="Arial" w:cs="Arial" w:eastAsia="Arial" w:hAnsi="Arial"/>
          <w:sz w:val="16"/>
          <w:szCs w:val="16"/>
          <w:b w:val="1"/>
          <w:bCs w:val="1"/>
          <w:color w:val="auto"/>
        </w:rPr>
      </w:pPr>
      <w:r>
        <w:rPr>
          <w:rFonts w:ascii="Arial" w:cs="Arial" w:eastAsia="Arial" w:hAnsi="Arial"/>
          <w:sz w:val="16"/>
          <w:szCs w:val="16"/>
          <w:color w:val="auto"/>
        </w:rPr>
        <w:t>Because we already provide detailed disclosures about our lobbying activities, trade association memberships and governance and oversight practices, the requested report would not provide shareholders with meaningful additional information and would incur unnecessary expense.</w:t>
      </w:r>
    </w:p>
    <w:p>
      <w:pPr>
        <w:spacing w:after="0" w:line="200" w:lineRule="exact"/>
        <w:rPr>
          <w:sz w:val="20"/>
          <w:szCs w:val="20"/>
          <w:color w:val="auto"/>
        </w:rPr>
      </w:pPr>
    </w:p>
    <w:p>
      <w:pPr>
        <w:spacing w:after="0" w:line="21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JPMorganChase believes that active engagement in policy discussions of importance to the Firm—including through public policy advocacy, lobbying and trade association membership—advances and protects the long-term interests of the Firm and our shareholders. Given that our business is subject to extensive laws and regulations, which may significantly affect our operations, revenue and expense outlook, we engage with a range of trade associations and organizations involved in policy development about topics relevant to our enterprise. Engagements with a spectrum of stakeholders helps us address the broad array of issues that may affect our Firm, clients and the markets in which we operate.</w:t>
      </w:r>
    </w:p>
    <w:p>
      <w:pPr>
        <w:spacing w:after="0" w:line="10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Firm focuses its lobbying efforts toward issues that may significantly affect our operations, revenue and expense outlook. Our membership in any trade association or organization does not mean we endorse each position one may take, including positions tied to climate- or governance-related matters. The Firm makes independent decisions and, when appropriate, provides feedback on the efforts by these associations. Through ongoing dialogue with stakeholders, including shareholders, trade associations and advocacy organizations, we are able to advocate for the Firm’s policy positions. Requiring full alignment on every policy issue would constrain our engagement and narrow the coalitions available to advocate for matters that directly affect shareholder value.</w:t>
      </w:r>
    </w:p>
    <w:p>
      <w:pPr>
        <w:spacing w:after="0" w:line="10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JPMorganChase maintains internal processes to evaluate the alignment of our memberships and affiliations with our long-term strategy. The Firm’s political engagement and public policy activities are directed by our global Government Relations and Public Policy team ("GRPP"). The GRPP team reports to the Head of Corporate Responsibility, who regularly reports to the PRC of the Board regarding the Firm’s political engagement. At least annually, the PRC reviews the Firm's significant policies and practices regarding major lobbying priorities and principal trade association memberships that relate to the Firm's public policy objectives, which may, from time to time, result in us exiting a group when continued membership is not in the best interest of the Firm. This process allows the Firm’s political engagement efforts to remain focused on public policy issues most relevant to the long-term interests of the Firm and our clients and shareholders.</w:t>
      </w:r>
    </w:p>
    <w:p>
      <w:pPr>
        <w:spacing w:after="0" w:line="10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Political Engagement and Public Policy ("PEPP") Statement page of our website provides extensive information about our lobbying, governance and disclosure practices. The PEPP Statement hosts five years of Political Engagement Reports that disclose key subjects on which we have lobbied and our aggregate annual federal lobbying expense. The Political Engagement Reports also provide links and instructions for accessing our prior-year federal quarterly lobbying reports, which include our corporate lobbying expenditures and related issues, for the public and our shareholders to access. The Political Engagement Reports also disclose our principal trade associations and the aggregate total of dues attributable to lobbying.</w:t>
      </w:r>
    </w:p>
    <w:p>
      <w:pPr>
        <w:spacing w:after="0" w:line="10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Given our existing oversight and disclosure practices regarding public policy engagement, lobbying and trade association membership, the requested report would impose administrative burdens and costs on the Firm without providing shareholders with meaningful new information. The Board is confident that our current approach helps maintain strong governance, alignment with our values and the advancement and protection of the long-term interests of the Firm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5689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32320" cy="55689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Board of Directors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697865</wp:posOffset>
            </wp:positionV>
            <wp:extent cx="651510" cy="8572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90</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7" w:right="39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9460"/>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90868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PROPOSAL 7:</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29"/>
          <w:szCs w:val="29"/>
          <w:color w:val="auto"/>
        </w:rPr>
        <w:t>Sustainability ROI report</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The National Center for Public Policy Research has advised us that it intends to introduce the following resolution: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JPMorgan Chase &amp; Co. ("the Company") has fiduciary duties to prioritize the financial interests of its shareholders.</w:t>
      </w:r>
    </w:p>
    <w:p>
      <w:pPr>
        <w:spacing w:after="0" w:line="170" w:lineRule="exact"/>
        <w:rPr>
          <w:sz w:val="20"/>
          <w:szCs w:val="20"/>
          <w:color w:val="auto"/>
        </w:rPr>
      </w:pPr>
    </w:p>
    <w:p>
      <w:pPr>
        <w:ind w:right="680"/>
        <w:spacing w:after="0" w:line="25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While the Company asserts that its approach to sustainability is “driven by commercial considerations,”</w:t>
      </w:r>
      <w:r>
        <w:rPr>
          <w:rFonts w:ascii="Arial" w:cs="Arial" w:eastAsia="Arial" w:hAnsi="Arial"/>
          <w:sz w:val="21"/>
          <w:szCs w:val="21"/>
          <w:color w:val="auto"/>
          <w:vertAlign w:val="superscript"/>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the sheer magnitude of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allocated to environmental and social objectives requires rigorous financial transparency.</w:t>
      </w:r>
    </w:p>
    <w:p>
      <w:pPr>
        <w:spacing w:after="0" w:line="118"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Shareholders should be concerned that the 2024 Sustainability Report</w:t>
      </w:r>
      <w:r>
        <w:rPr>
          <w:rFonts w:ascii="Arial" w:cs="Arial" w:eastAsia="Arial" w:hAnsi="Arial"/>
          <w:sz w:val="21"/>
          <w:szCs w:val="21"/>
          <w:color w:val="auto"/>
          <w:vertAlign w:val="superscript"/>
        </w:rPr>
        <w:t>2</w:t>
      </w:r>
      <w:r>
        <w:rPr>
          <w:rFonts w:ascii="Arial" w:cs="Arial" w:eastAsia="Arial" w:hAnsi="Arial"/>
          <w:sz w:val="16"/>
          <w:szCs w:val="16"/>
          <w:b w:val="1"/>
          <w:bCs w:val="1"/>
          <w:color w:val="auto"/>
        </w:rPr>
        <w:t xml:space="preserve"> </w:t>
      </w:r>
      <w:r>
        <w:rPr>
          <w:rFonts w:ascii="Arial" w:cs="Arial" w:eastAsia="Arial" w:hAnsi="Arial"/>
          <w:sz w:val="16"/>
          <w:szCs w:val="16"/>
          <w:color w:val="auto"/>
        </w:rPr>
        <w:t>emphasizes volume-based metrics (total dollars committed) rather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performance-based metrics (profitability or risk-adjusted expected returns), potentially obscuring whether these initiatives generate shareholder value.</w:t>
      </w:r>
    </w:p>
    <w:p>
      <w:pPr>
        <w:spacing w:after="0" w:line="14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the Board of Directors issue a report by the next annual meeting, at reasonable cost and omitting 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assessing whether and to what extent the Company’s sustainability investments referenced in its 2024 Sustainability Report were authorized based on positive Net Present Value (NPV) analysis and are maintained based on quantifiable Return on Investment (ROI) metrics.</w:t>
      </w:r>
    </w:p>
    <w:p>
      <w:pPr>
        <w:spacing w:after="0" w:line="91"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b w:val="1"/>
          <w:bCs w:val="1"/>
          <w:color w:val="auto"/>
        </w:rPr>
        <w:t xml:space="preserve">SUPPORTING STATEMENT: </w:t>
      </w:r>
      <w:r>
        <w:rPr>
          <w:rFonts w:ascii="Arial" w:cs="Arial" w:eastAsia="Arial" w:hAnsi="Arial"/>
          <w:sz w:val="16"/>
          <w:szCs w:val="16"/>
          <w:color w:val="auto"/>
        </w:rPr>
        <w:t>The Company’s 2024 Sustainability Report details massive capital mobilization without apparently providing the requisite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data to determine if these investments are fully informed by traditional financial metrics.</w:t>
      </w:r>
    </w:p>
    <w:p>
      <w:pPr>
        <w:spacing w:after="0" w:line="88" w:lineRule="exact"/>
        <w:rPr>
          <w:sz w:val="20"/>
          <w:szCs w:val="20"/>
          <w:color w:val="auto"/>
        </w:rPr>
      </w:pPr>
    </w:p>
    <w:p>
      <w:pPr>
        <w:ind w:left="260" w:hanging="252"/>
        <w:spacing w:after="0" w:line="291" w:lineRule="auto"/>
        <w:tabs>
          <w:tab w:leader="none" w:pos="284" w:val="left"/>
        </w:tabs>
        <w:numPr>
          <w:ilvl w:val="0"/>
          <w:numId w:val="289"/>
        </w:numPr>
        <w:rPr>
          <w:rFonts w:ascii="Arial" w:cs="Arial" w:eastAsia="Arial" w:hAnsi="Arial"/>
          <w:sz w:val="16"/>
          <w:szCs w:val="16"/>
          <w:b w:val="1"/>
          <w:bCs w:val="1"/>
          <w:color w:val="8F5A39"/>
        </w:rPr>
      </w:pPr>
      <w:r>
        <w:rPr>
          <w:rFonts w:ascii="Arial" w:cs="Arial" w:eastAsia="Arial" w:hAnsi="Arial"/>
          <w:sz w:val="16"/>
          <w:szCs w:val="16"/>
          <w:color w:val="auto"/>
        </w:rPr>
        <w:t>The $2.5 Trillion Sustainable Development Target (SDT): The Company has established a goal to finance and facilitate $2.5 trillion by 2030, having already deployed $900 billion since 2021. In 2024 alone, the Company deployed $226 billion toward this target. While the Company claims these targets “indicate our intent to capture sustainability-related opportunities,” there is no disclosure confirming that this $2.5 trillion portfolio was authorized based on NPV calculations comparable to the Company’s traditional lines of business. And without ROI data, shareholders cannot assess if this volume is driven by genuine market demand or artificial targets detached from economic reality.</w:t>
      </w:r>
    </w:p>
    <w:p>
      <w:pPr>
        <w:spacing w:after="0" w:line="99" w:lineRule="exact"/>
        <w:rPr>
          <w:rFonts w:ascii="Arial" w:cs="Arial" w:eastAsia="Arial" w:hAnsi="Arial"/>
          <w:sz w:val="16"/>
          <w:szCs w:val="16"/>
          <w:b w:val="1"/>
          <w:bCs w:val="1"/>
          <w:color w:val="8F5A39"/>
        </w:rPr>
      </w:pPr>
    </w:p>
    <w:p>
      <w:pPr>
        <w:ind w:left="260" w:right="340" w:hanging="252"/>
        <w:spacing w:after="0" w:line="295" w:lineRule="auto"/>
        <w:tabs>
          <w:tab w:leader="none" w:pos="257" w:val="left"/>
        </w:tabs>
        <w:numPr>
          <w:ilvl w:val="0"/>
          <w:numId w:val="289"/>
        </w:numPr>
        <w:rPr>
          <w:rFonts w:ascii="Arial" w:cs="Arial" w:eastAsia="Arial" w:hAnsi="Arial"/>
          <w:sz w:val="16"/>
          <w:szCs w:val="16"/>
          <w:b w:val="1"/>
          <w:bCs w:val="1"/>
          <w:color w:val="8F5A39"/>
        </w:rPr>
      </w:pPr>
      <w:r>
        <w:rPr>
          <w:rFonts w:ascii="Arial" w:cs="Arial" w:eastAsia="Arial" w:hAnsi="Arial"/>
          <w:sz w:val="16"/>
          <w:szCs w:val="16"/>
          <w:color w:val="auto"/>
        </w:rPr>
        <w:t>The Development Finance Portfolio: In 2024, the Company qualified approximately $129 billion toward Development Finance. This capital is directed toward emerging economies to support United Nations Sustainable Development Goals. Financing in emerging markets inherently carries higher risk profiles. The Report notes these transactions are qualified based on “anticipated environmental and socioeconomic impacts,” yet apparently fails to demonstrate that these investments represent the best use of shareholder assets based on traditional financial metrics.</w:t>
      </w:r>
    </w:p>
    <w:p>
      <w:pPr>
        <w:spacing w:after="0" w:line="107" w:lineRule="exact"/>
        <w:rPr>
          <w:rFonts w:ascii="Arial" w:cs="Arial" w:eastAsia="Arial" w:hAnsi="Arial"/>
          <w:sz w:val="16"/>
          <w:szCs w:val="16"/>
          <w:b w:val="1"/>
          <w:bCs w:val="1"/>
          <w:color w:val="8F5A39"/>
        </w:rPr>
      </w:pPr>
    </w:p>
    <w:p>
      <w:pPr>
        <w:ind w:left="260" w:right="280" w:hanging="252"/>
        <w:spacing w:after="0" w:line="291" w:lineRule="auto"/>
        <w:tabs>
          <w:tab w:leader="none" w:pos="257" w:val="left"/>
        </w:tabs>
        <w:numPr>
          <w:ilvl w:val="0"/>
          <w:numId w:val="289"/>
        </w:numPr>
        <w:rPr>
          <w:rFonts w:ascii="Arial" w:cs="Arial" w:eastAsia="Arial" w:hAnsi="Arial"/>
          <w:sz w:val="16"/>
          <w:szCs w:val="16"/>
          <w:b w:val="1"/>
          <w:bCs w:val="1"/>
          <w:color w:val="8F5A39"/>
        </w:rPr>
      </w:pPr>
      <w:r>
        <w:rPr>
          <w:rFonts w:ascii="Arial" w:cs="Arial" w:eastAsia="Arial" w:hAnsi="Arial"/>
          <w:sz w:val="16"/>
          <w:szCs w:val="16"/>
          <w:color w:val="auto"/>
        </w:rPr>
        <w:t>The Green Objective: The Company has targeted $1 trillion specifically for “Green” initiatives by 2030, with $68 billion deployed in 2024 for renewable energy and green bonds. The Report states that the Company's approach is “rooted in commercial considerations.” However, “commercial considerations” is a vague standard compared to clear NPV and ROI. Given the political and regulatory pressures to expand green financing, shareholders require assurance that the authorization of this $1 trillion target was grounded in mathematical proof of value rather than ideological alignment.</w:t>
      </w:r>
    </w:p>
    <w:p>
      <w:pPr>
        <w:spacing w:after="0" w:line="100"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Absent this report, shareholders are unable to distinguish between prudent business expansion and non-financial social endeavors. We urge a vote FOR this proposal to ensure financial discipline governs the Company’s sustainability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hanging="192"/>
        <w:spacing w:after="0"/>
        <w:tabs>
          <w:tab w:leader="none" w:pos="200" w:val="left"/>
        </w:tabs>
        <w:numPr>
          <w:ilvl w:val="0"/>
          <w:numId w:val="290"/>
        </w:numPr>
        <w:rPr>
          <w:rFonts w:ascii="Arial" w:cs="Arial" w:eastAsia="Arial" w:hAnsi="Arial"/>
          <w:sz w:val="19"/>
          <w:szCs w:val="19"/>
          <w:color w:val="auto"/>
          <w:vertAlign w:val="superscript"/>
        </w:rPr>
      </w:pPr>
      <w:r>
        <w:rPr>
          <w:rFonts w:ascii="Arial" w:cs="Arial" w:eastAsia="Arial" w:hAnsi="Arial"/>
          <w:sz w:val="13"/>
          <w:szCs w:val="13"/>
          <w:color w:val="auto"/>
        </w:rPr>
        <w:t>https://www.jpmorganchase.com/content/dam/jpmorganchase/documents/about/jpmc-sustainability-report-2024.pdf</w:t>
      </w:r>
    </w:p>
    <w:p>
      <w:pPr>
        <w:spacing w:after="0" w:line="79" w:lineRule="exact"/>
        <w:rPr>
          <w:sz w:val="20"/>
          <w:szCs w:val="20"/>
          <w:color w:val="auto"/>
        </w:rPr>
      </w:pPr>
    </w:p>
    <w:p>
      <w:pPr>
        <w:ind w:left="200" w:hanging="192"/>
        <w:spacing w:after="0"/>
        <w:tabs>
          <w:tab w:leader="none" w:pos="200" w:val="left"/>
        </w:tabs>
        <w:numPr>
          <w:ilvl w:val="0"/>
          <w:numId w:val="291"/>
        </w:numPr>
        <w:rPr>
          <w:rFonts w:ascii="Arial" w:cs="Arial" w:eastAsia="Arial" w:hAnsi="Arial"/>
          <w:sz w:val="19"/>
          <w:szCs w:val="19"/>
          <w:color w:val="auto"/>
          <w:vertAlign w:val="superscript"/>
        </w:rPr>
      </w:pPr>
      <w:r>
        <w:rPr>
          <w:rFonts w:ascii="Arial" w:cs="Arial" w:eastAsia="Arial" w:hAnsi="Arial"/>
          <w:sz w:val="13"/>
          <w:szCs w:val="13"/>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651510" cy="8572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auto"/>
        </w:rPr>
        <w:t>Board response to proposal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213487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32320" cy="213487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The Board of Directors recommends that shareholders vote </w:t>
      </w:r>
      <w:r>
        <w:rPr>
          <w:rFonts w:ascii="Arial" w:cs="Arial" w:eastAsia="Arial" w:hAnsi="Arial"/>
          <w:sz w:val="16"/>
          <w:szCs w:val="16"/>
          <w:b w:val="1"/>
          <w:bCs w:val="1"/>
          <w:u w:val="single" w:color="auto"/>
          <w:color w:val="auto"/>
        </w:rPr>
        <w:t>AGAINST</w:t>
      </w:r>
      <w:r>
        <w:rPr>
          <w:rFonts w:ascii="Arial" w:cs="Arial" w:eastAsia="Arial" w:hAnsi="Arial"/>
          <w:sz w:val="16"/>
          <w:szCs w:val="16"/>
          <w:color w:val="auto"/>
        </w:rPr>
        <w:t xml:space="preserve"> this proposal for the following reasons:</w:t>
      </w:r>
    </w:p>
    <w:p>
      <w:pPr>
        <w:spacing w:after="0" w:line="73" w:lineRule="exact"/>
        <w:rPr>
          <w:sz w:val="20"/>
          <w:szCs w:val="20"/>
          <w:color w:val="auto"/>
        </w:rPr>
      </w:pPr>
    </w:p>
    <w:p>
      <w:pPr>
        <w:ind w:left="360" w:right="620" w:hanging="186"/>
        <w:spacing w:after="0" w:line="266" w:lineRule="auto"/>
        <w:tabs>
          <w:tab w:leader="none" w:pos="344" w:val="left"/>
        </w:tabs>
        <w:numPr>
          <w:ilvl w:val="0"/>
          <w:numId w:val="292"/>
        </w:numPr>
        <w:rPr>
          <w:rFonts w:ascii="Arial" w:cs="Arial" w:eastAsia="Arial" w:hAnsi="Arial"/>
          <w:sz w:val="16"/>
          <w:szCs w:val="16"/>
          <w:b w:val="1"/>
          <w:bCs w:val="1"/>
          <w:color w:val="auto"/>
        </w:rPr>
      </w:pPr>
      <w:r>
        <w:rPr>
          <w:rFonts w:ascii="Arial" w:cs="Arial" w:eastAsia="Arial" w:hAnsi="Arial"/>
          <w:sz w:val="16"/>
          <w:szCs w:val="16"/>
          <w:color w:val="auto"/>
        </w:rPr>
        <w:t>The proposal incorrectly assumes that JPMorganChase's sustainability-related activities are somehow distinct from commercially motivated business. The reality is that clients across sectors — energy companies, manufacturers, municipalities, institutional investors — are demanding sustainability-related products and services, and the Firm is meeting that demand.</w:t>
      </w:r>
    </w:p>
    <w:p>
      <w:pPr>
        <w:spacing w:after="0" w:line="22" w:lineRule="exact"/>
        <w:rPr>
          <w:rFonts w:ascii="Arial" w:cs="Arial" w:eastAsia="Arial" w:hAnsi="Arial"/>
          <w:sz w:val="16"/>
          <w:szCs w:val="16"/>
          <w:b w:val="1"/>
          <w:bCs w:val="1"/>
          <w:color w:val="auto"/>
        </w:rPr>
      </w:pPr>
    </w:p>
    <w:p>
      <w:pPr>
        <w:ind w:left="360" w:hanging="186"/>
        <w:spacing w:after="0"/>
        <w:tabs>
          <w:tab w:leader="none" w:pos="360" w:val="left"/>
        </w:tabs>
        <w:numPr>
          <w:ilvl w:val="0"/>
          <w:numId w:val="292"/>
        </w:numPr>
        <w:rPr>
          <w:rFonts w:ascii="Arial" w:cs="Arial" w:eastAsia="Arial" w:hAnsi="Arial"/>
          <w:sz w:val="16"/>
          <w:szCs w:val="16"/>
          <w:b w:val="1"/>
          <w:bCs w:val="1"/>
          <w:color w:val="auto"/>
        </w:rPr>
      </w:pPr>
      <w:r>
        <w:rPr>
          <w:rFonts w:ascii="Arial" w:cs="Arial" w:eastAsia="Arial" w:hAnsi="Arial"/>
          <w:sz w:val="16"/>
          <w:szCs w:val="16"/>
          <w:color w:val="auto"/>
        </w:rPr>
        <w:t>These sustainability-related products and services are evaluated using commercial standards consistent with our other offerings.</w:t>
      </w:r>
    </w:p>
    <w:p>
      <w:pPr>
        <w:spacing w:after="0" w:line="59" w:lineRule="exact"/>
        <w:rPr>
          <w:rFonts w:ascii="Arial" w:cs="Arial" w:eastAsia="Arial" w:hAnsi="Arial"/>
          <w:sz w:val="16"/>
          <w:szCs w:val="16"/>
          <w:b w:val="1"/>
          <w:bCs w:val="1"/>
          <w:color w:val="auto"/>
        </w:rPr>
      </w:pPr>
    </w:p>
    <w:p>
      <w:pPr>
        <w:ind w:left="360" w:right="240" w:hanging="186"/>
        <w:spacing w:after="0" w:line="286" w:lineRule="auto"/>
        <w:tabs>
          <w:tab w:leader="none" w:pos="344" w:val="left"/>
        </w:tabs>
        <w:numPr>
          <w:ilvl w:val="0"/>
          <w:numId w:val="292"/>
        </w:numPr>
        <w:rPr>
          <w:rFonts w:ascii="Arial" w:cs="Arial" w:eastAsia="Arial" w:hAnsi="Arial"/>
          <w:sz w:val="16"/>
          <w:szCs w:val="16"/>
          <w:b w:val="1"/>
          <w:bCs w:val="1"/>
          <w:color w:val="auto"/>
        </w:rPr>
      </w:pPr>
      <w:r>
        <w:rPr>
          <w:rFonts w:ascii="Arial" w:cs="Arial" w:eastAsia="Arial" w:hAnsi="Arial"/>
          <w:sz w:val="16"/>
          <w:szCs w:val="16"/>
          <w:color w:val="auto"/>
        </w:rPr>
        <w:t>We make business decisions based on our assessment of the facts and in consideration of commercial drivers and our business principles, including a clear focus on long-term shareholder value.</w:t>
      </w:r>
    </w:p>
    <w:p>
      <w:pPr>
        <w:spacing w:after="0" w:line="7" w:lineRule="exact"/>
        <w:rPr>
          <w:rFonts w:ascii="Arial" w:cs="Arial" w:eastAsia="Arial" w:hAnsi="Arial"/>
          <w:sz w:val="16"/>
          <w:szCs w:val="16"/>
          <w:b w:val="1"/>
          <w:bCs w:val="1"/>
          <w:color w:val="auto"/>
        </w:rPr>
      </w:pPr>
    </w:p>
    <w:p>
      <w:pPr>
        <w:ind w:left="360" w:right="560" w:hanging="186"/>
        <w:spacing w:after="0" w:line="286" w:lineRule="auto"/>
        <w:tabs>
          <w:tab w:leader="none" w:pos="344" w:val="left"/>
        </w:tabs>
        <w:numPr>
          <w:ilvl w:val="0"/>
          <w:numId w:val="292"/>
        </w:numPr>
        <w:rPr>
          <w:rFonts w:ascii="Arial" w:cs="Arial" w:eastAsia="Arial" w:hAnsi="Arial"/>
          <w:sz w:val="16"/>
          <w:szCs w:val="16"/>
          <w:b w:val="1"/>
          <w:bCs w:val="1"/>
          <w:color w:val="auto"/>
        </w:rPr>
      </w:pPr>
      <w:r>
        <w:rPr>
          <w:rFonts w:ascii="Arial" w:cs="Arial" w:eastAsia="Arial" w:hAnsi="Arial"/>
          <w:sz w:val="16"/>
          <w:szCs w:val="16"/>
          <w:color w:val="auto"/>
        </w:rPr>
        <w:t>The two requested metrics oversimplify the commercial assessment the Firm undertakes in deciding whether and how to allocate capital and are inconsistent with our stated approach to making commercially based decisions.</w:t>
      </w:r>
    </w:p>
    <w:p>
      <w:pPr>
        <w:spacing w:after="0" w:line="7" w:lineRule="exact"/>
        <w:rPr>
          <w:rFonts w:ascii="Arial" w:cs="Arial" w:eastAsia="Arial" w:hAnsi="Arial"/>
          <w:sz w:val="16"/>
          <w:szCs w:val="16"/>
          <w:b w:val="1"/>
          <w:bCs w:val="1"/>
          <w:color w:val="auto"/>
        </w:rPr>
      </w:pPr>
    </w:p>
    <w:p>
      <w:pPr>
        <w:ind w:left="360" w:right="220" w:hanging="186"/>
        <w:spacing w:after="0" w:line="281" w:lineRule="auto"/>
        <w:tabs>
          <w:tab w:leader="none" w:pos="344" w:val="left"/>
        </w:tabs>
        <w:numPr>
          <w:ilvl w:val="0"/>
          <w:numId w:val="292"/>
        </w:numPr>
        <w:rPr>
          <w:rFonts w:ascii="Arial" w:cs="Arial" w:eastAsia="Arial" w:hAnsi="Arial"/>
          <w:sz w:val="16"/>
          <w:szCs w:val="16"/>
          <w:b w:val="1"/>
          <w:bCs w:val="1"/>
          <w:color w:val="auto"/>
        </w:rPr>
      </w:pPr>
      <w:r>
        <w:rPr>
          <w:rFonts w:ascii="Arial" w:cs="Arial" w:eastAsia="Arial" w:hAnsi="Arial"/>
          <w:sz w:val="16"/>
          <w:szCs w:val="16"/>
          <w:color w:val="auto"/>
        </w:rPr>
        <w:t>Our strong track record in delivering shareholder value underscores management’s effectiveness in executing strategic priorities and investing for the long term.</w:t>
      </w:r>
    </w:p>
    <w:p>
      <w:pPr>
        <w:spacing w:after="0" w:line="1" w:lineRule="exact"/>
        <w:rPr>
          <w:rFonts w:ascii="Arial" w:cs="Arial" w:eastAsia="Arial" w:hAnsi="Arial"/>
          <w:sz w:val="16"/>
          <w:szCs w:val="16"/>
          <w:b w:val="1"/>
          <w:bCs w:val="1"/>
          <w:color w:val="auto"/>
        </w:rPr>
      </w:pPr>
    </w:p>
    <w:p>
      <w:pPr>
        <w:ind w:left="360" w:right="320" w:hanging="186"/>
        <w:spacing w:after="0" w:line="275" w:lineRule="auto"/>
        <w:tabs>
          <w:tab w:leader="none" w:pos="344" w:val="left"/>
        </w:tabs>
        <w:numPr>
          <w:ilvl w:val="0"/>
          <w:numId w:val="292"/>
        </w:numPr>
        <w:rPr>
          <w:rFonts w:ascii="Arial" w:cs="Arial" w:eastAsia="Arial" w:hAnsi="Arial"/>
          <w:sz w:val="16"/>
          <w:szCs w:val="16"/>
          <w:b w:val="1"/>
          <w:bCs w:val="1"/>
          <w:color w:val="auto"/>
        </w:rPr>
      </w:pPr>
      <w:r>
        <w:rPr>
          <w:rFonts w:ascii="Arial" w:cs="Arial" w:eastAsia="Arial" w:hAnsi="Arial"/>
          <w:sz w:val="16"/>
          <w:szCs w:val="16"/>
          <w:color w:val="auto"/>
        </w:rPr>
        <w:t>JPMorganChase already provides regular disclosures regarding our sustainability-related activities in our ongoing public reports, including our Sustainability Report, regulatory filings and other disclosures. The requested report would not provide shareholders any meaningful information and would incur unnecessary costs.</w:t>
      </w:r>
    </w:p>
    <w:p>
      <w:pPr>
        <w:spacing w:after="0" w:line="3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At JPMorganChase, we pursue sustainability-related business where it advances long-term shareholder value. We see demand for sustainability-related products and services from corporate, municipal, and institutional clients, and we compete to win that business where it meets our commercial standards. Our Sustainable Development Target ("SDT") — our goal to finance and facilitate more than $2.5 trillion over 10 years from 2021 through the end of 2030 — reflects our capacity to support clients and win business in a growth segment, not a commitment detached from economics. Furthermore, we assess our targets, including our SDT, using our own independent assessment of what we determine is reasonable and will serve the best interests of our business and clients.</w:t>
      </w:r>
    </w:p>
    <w:p>
      <w:pPr>
        <w:spacing w:after="0" w:line="11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We provide a wide range of financing products, investment solutions and strategic advice – each with different risk and reward profiles – to help our clients achieve their goals. We include some of these activities in how we measure our progress toward the $2.5 trillion SDT, which includes the Green, Development Finance and Community Development objectives referenced in the proposal. The SDT was established to help catalyze global sustainable economic growth, using the Firm's capital and expertise, consistent with our independent business judgment, to support our clients and customers by capitalizing on new opportunities to finance new solutions to a low-carbon economy while also aiming to contribute to socioeconomic development and inclusive growth.</w:t>
      </w:r>
    </w:p>
    <w:p>
      <w:pPr>
        <w:spacing w:after="0" w:line="10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Each of the Firm’s Lines of Business sets its own strategy based on a variety of commercial considerations, including potential revenue opportunities, expected expense, potential strategic advantages, individual client and customer preferences and risk profiles. We also have consistently noted that our targets, including our SDT, are subject to prerequisites and critical considerations, both within and outside our control, that may affect our ability to meet them. Sustainability-related products and services, including transactions counted toward SDT, are subject to the same credit review, risk assessment, and return expectations as any other business activity the Firm undertakes. Our disclosure of the total dollar value of financing and facilitation we provided with respect to the SDT illustrates our nuanced approach; we disclose this metric because it serves as an indicator of our capacity to support and scale growth across diverse industries and highlights the breadth of services and capabilities that the Firm delivers to the market. The SDT is an aggregation of activity across lines of business, not a separate asset class, standalone fund, or managed portfolio with its own profits and losses. Thus, the relevant measure is firmwide performance, not portfolio-level return.</w:t>
      </w:r>
    </w:p>
    <w:p>
      <w:pPr>
        <w:spacing w:after="0" w:line="10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contrast to our approach, the proposal asks JPMorganChase to conduct an overly prescriptive assessment of its former and current sustainability activities with a retroactive net present value (“NPV”) analysis coupled with an assessment of the degree to which these activities are maintained based on “quantifiable Return on Investment (“ROI”) metrics". The prescribed assessment is not aligned with the Firm’s approach to business opportunities and would oversimplify the commercial assessment the Firm currently undertakes in deciding whether and how to allocate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386080</wp:posOffset>
            </wp:positionV>
            <wp:extent cx="651510" cy="8572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92</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proposal’s limited focus on an NPV and ROI analysis excludes many of the important considerations our businesses use to drive robust financial performance and transparent reporting, which underpin our commitment to delivering long-term shareholder value. Our industry-leading returns speak to management's effectiveness in executing strategic priorities and investing for the long term with a continued focus on generating value for our shareholders. In 2025, the Firm generated record revenue for the eighth-consecutive year, with return on tangible common equity</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of 20%, reflecting strong underlying performance across our businesses.</w:t>
      </w:r>
    </w:p>
    <w:p>
      <w:pPr>
        <w:spacing w:after="0" w:line="120"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We provide regular disclosures regarding our sustainability-related activities in our public reports, including our Sustainability Report, regulatory filings and other disclosures. The proposal’s request to evaluate sustainability efforts across the Firm’s franchise based on NPV and ROI metrics would not produce relevant information for shareholders and would incur unnecessary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55753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Board of Directors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0" w:hanging="192"/>
        <w:spacing w:after="0"/>
        <w:tabs>
          <w:tab w:leader="none" w:pos="200" w:val="left"/>
        </w:tabs>
        <w:numPr>
          <w:ilvl w:val="0"/>
          <w:numId w:val="293"/>
        </w:numPr>
        <w:rPr>
          <w:rFonts w:ascii="Arial" w:cs="Arial" w:eastAsia="Arial" w:hAnsi="Arial"/>
          <w:sz w:val="19"/>
          <w:szCs w:val="19"/>
          <w:color w:val="auto"/>
          <w:vertAlign w:val="superscript"/>
        </w:rPr>
      </w:pPr>
      <w:r>
        <w:rPr>
          <w:rFonts w:ascii="Arial" w:cs="Arial" w:eastAsia="Arial" w:hAnsi="Arial"/>
          <w:sz w:val="13"/>
          <w:szCs w:val="13"/>
          <w:color w:val="auto"/>
        </w:rPr>
        <w:t>Return on tangible common equity is a non-GAAP financial measure; refer to Note 1 on page 103 for a further discussion of these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291465</wp:posOffset>
            </wp:positionV>
            <wp:extent cx="651510" cy="8572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980"/>
        <w:spacing w:after="0" w:line="270" w:lineRule="auto"/>
        <w:rPr>
          <w:sz w:val="20"/>
          <w:szCs w:val="20"/>
          <w:color w:val="auto"/>
        </w:rPr>
      </w:pPr>
      <w:r>
        <w:rPr>
          <w:rFonts w:ascii="Arial" w:cs="Arial" w:eastAsia="Arial" w:hAnsi="Arial"/>
          <w:sz w:val="52"/>
          <w:szCs w:val="52"/>
          <w:color w:val="auto"/>
        </w:rPr>
        <w:t>Information about the annual meeting of shareholders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auto"/>
        </w:rPr>
        <w:t>General</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color w:val="auto"/>
        </w:rPr>
        <w:t>Why am I receiving these materials?</w:t>
      </w:r>
    </w:p>
    <w:p>
      <w:pPr>
        <w:spacing w:after="0" w:line="5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You are invited to attend JPMorganChase’s Annual Meeting of Shareholders and vote on the proposals described in this proxy statement because you were a JPMorganChase shareholder on March 20, 2026 (the “Record Date”). JPMorganChase is soliciting proxies for use at the annual meeting, including any postponements or adjournments.</w:t>
      </w:r>
    </w:p>
    <w:p>
      <w:pPr>
        <w:spacing w:after="0" w:line="93"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b w:val="1"/>
          <w:bCs w:val="1"/>
          <w:i w:val="1"/>
          <w:iCs w:val="1"/>
          <w:color w:val="auto"/>
        </w:rPr>
        <w:t>Even if you plan on attending the annual meeting through our virtual meeting site, we encourage you to vote your shares in advance using one of the methods described in this proxy statement to ensure that your vote will be represented at the annual meeting.</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auto"/>
        </w:rPr>
        <w:t>When and where is our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We will hold our annual meeting on Tuesday, May 19, 2026, at 10:00 a.m. Eastern Time.</w:t>
      </w:r>
    </w:p>
    <w:p>
      <w:pPr>
        <w:spacing w:after="0" w:line="181"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The annual meeting will be held in a virtual meeting format only. To participate in the virtual meeting, visit www.virtualshareholdermeeting.com/JPM2026 and enter the 16-digit control number included on your proxy card, voting instruction form or Notice you previously received.</w:t>
      </w:r>
    </w:p>
    <w:p>
      <w:pPr>
        <w:spacing w:after="0" w:line="75"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If you have any questions about accessing the virtual meeting website for the annual meeting, please contact the Office of the Secretary by sending an email to corporate.secretary@jpmchase.com or calling (212) 270-6000 by May 15, 2026.</w:t>
      </w:r>
    </w:p>
    <w:p>
      <w:pPr>
        <w:spacing w:after="0" w:line="88"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If you encounter any technical difficulties with the virtual meeting site on the day of the meeting, please call the technical support number that will be posted on the virtual meeting log-in page.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We encourage you to vote your shares prior to the annual meeting.</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auto"/>
        </w:rPr>
        <w:t>What is included in our proxy materials?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Our proxy materials, which are available on our website at jpmorganchase.com/ir/annual-report, include:</w:t>
      </w:r>
    </w:p>
    <w:p>
      <w:pPr>
        <w:spacing w:after="0" w:line="181" w:lineRule="exact"/>
        <w:rPr>
          <w:sz w:val="20"/>
          <w:szCs w:val="20"/>
          <w:color w:val="auto"/>
        </w:rPr>
      </w:pPr>
    </w:p>
    <w:p>
      <w:pPr>
        <w:ind w:left="180" w:hanging="172"/>
        <w:spacing w:after="0"/>
        <w:tabs>
          <w:tab w:leader="none" w:pos="180" w:val="left"/>
        </w:tabs>
        <w:numPr>
          <w:ilvl w:val="0"/>
          <w:numId w:val="294"/>
        </w:numPr>
        <w:rPr>
          <w:rFonts w:ascii="Arial" w:cs="Arial" w:eastAsia="Arial" w:hAnsi="Arial"/>
          <w:sz w:val="16"/>
          <w:szCs w:val="16"/>
          <w:b w:val="1"/>
          <w:bCs w:val="1"/>
          <w:color w:val="auto"/>
        </w:rPr>
      </w:pPr>
      <w:r>
        <w:rPr>
          <w:rFonts w:ascii="Arial" w:cs="Arial" w:eastAsia="Arial" w:hAnsi="Arial"/>
          <w:sz w:val="16"/>
          <w:szCs w:val="16"/>
          <w:color w:val="auto"/>
        </w:rPr>
        <w:t>Our Notice of 2026 Annual Meeting of Shareholders;</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294"/>
        </w:numPr>
        <w:rPr>
          <w:rFonts w:ascii="Arial" w:cs="Arial" w:eastAsia="Arial" w:hAnsi="Arial"/>
          <w:sz w:val="16"/>
          <w:szCs w:val="16"/>
          <w:b w:val="1"/>
          <w:bCs w:val="1"/>
          <w:color w:val="auto"/>
        </w:rPr>
      </w:pPr>
      <w:r>
        <w:rPr>
          <w:rFonts w:ascii="Arial" w:cs="Arial" w:eastAsia="Arial" w:hAnsi="Arial"/>
          <w:sz w:val="16"/>
          <w:szCs w:val="16"/>
          <w:color w:val="auto"/>
        </w:rPr>
        <w:t>Our Proxy Statement; and</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294"/>
        </w:numPr>
        <w:rPr>
          <w:rFonts w:ascii="Arial" w:cs="Arial" w:eastAsia="Arial" w:hAnsi="Arial"/>
          <w:sz w:val="16"/>
          <w:szCs w:val="16"/>
          <w:b w:val="1"/>
          <w:bCs w:val="1"/>
          <w:color w:val="auto"/>
        </w:rPr>
      </w:pPr>
      <w:r>
        <w:rPr>
          <w:rFonts w:ascii="Arial" w:cs="Arial" w:eastAsia="Arial" w:hAnsi="Arial"/>
          <w:sz w:val="16"/>
          <w:szCs w:val="16"/>
          <w:color w:val="auto"/>
        </w:rPr>
        <w:t>Our 2025 Annual Report to Shareholders</w:t>
      </w:r>
    </w:p>
    <w:p>
      <w:pPr>
        <w:spacing w:after="0" w:line="181"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color w:val="auto"/>
        </w:rPr>
        <w:t>If you received printed versions of these materials by mail (rather than through electronic delivery), the materials also included a proxy card or voting instruction form. For further information, see “Information about paper and electronic delivery of proxy materials” on page 99.</w:t>
      </w:r>
    </w:p>
    <w:p>
      <w:pPr>
        <w:spacing w:after="0" w:line="245" w:lineRule="exact"/>
        <w:rPr>
          <w:sz w:val="20"/>
          <w:szCs w:val="20"/>
          <w:color w:val="auto"/>
        </w:rPr>
      </w:pPr>
    </w:p>
    <w:p>
      <w:pPr>
        <w:spacing w:after="0"/>
        <w:rPr>
          <w:sz w:val="20"/>
          <w:szCs w:val="20"/>
          <w:color w:val="auto"/>
        </w:rPr>
      </w:pPr>
      <w:r>
        <w:rPr>
          <w:rFonts w:ascii="Arial" w:cs="Arial" w:eastAsia="Arial" w:hAnsi="Arial"/>
          <w:sz w:val="29"/>
          <w:szCs w:val="29"/>
          <w:color w:val="auto"/>
        </w:rPr>
        <w:t>Attending and voting at the annual meeting</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color w:val="auto"/>
        </w:rPr>
        <w:t>Can I attend our annual meeting?</w:t>
      </w:r>
    </w:p>
    <w:p>
      <w:pPr>
        <w:spacing w:after="0" w:line="58"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Shareholders as of the close of business on the Record Date and/or their authorized representatives are permitted to attend our annual meeting virtually by following the procedures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373380</wp:posOffset>
            </wp:positionV>
            <wp:extent cx="651510" cy="8572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94</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auto"/>
        </w:rPr>
        <w:t>Information about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auto"/>
        </w:rPr>
        <w:t>How can I ask questions pertinent to meeting matters?</w:t>
      </w:r>
    </w:p>
    <w:p>
      <w:pPr>
        <w:spacing w:after="0" w:line="4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Shareholders may submit questions either before the meeting, from April 22 to May 13, 2026, or during a portion of the meeting. If you wish to submit a question before the meeting, you may log into www.proxyvote.com using your 16-digit control number and follow the instructions to submit a question. Alternatively, if you wish to submit a question during the meeting, log into the virtual meeting platform at www.virtualshareholdermeeting.com/JPM2026 using the 16-digit control number and follow the instructions to submit a question.</w:t>
      </w:r>
    </w:p>
    <w:p>
      <w:pPr>
        <w:spacing w:after="0" w:line="108" w:lineRule="exact"/>
        <w:rPr>
          <w:sz w:val="20"/>
          <w:szCs w:val="20"/>
          <w:color w:val="auto"/>
        </w:rPr>
      </w:pPr>
    </w:p>
    <w:p>
      <w:pPr>
        <w:ind w:right="800"/>
        <w:spacing w:after="0" w:line="321" w:lineRule="auto"/>
        <w:rPr>
          <w:sz w:val="20"/>
          <w:szCs w:val="20"/>
          <w:color w:val="auto"/>
        </w:rPr>
      </w:pPr>
      <w:r>
        <w:rPr>
          <w:rFonts w:ascii="Arial" w:cs="Arial" w:eastAsia="Arial" w:hAnsi="Arial"/>
          <w:sz w:val="16"/>
          <w:szCs w:val="16"/>
          <w:color w:val="auto"/>
        </w:rPr>
        <w:t>Questions pertinent to meeting matters will be answered during the meeting, subject to time limitations. Rules of Conduct including procedures for shareholder questions will be posted on the virtual meeting platform.</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auto"/>
        </w:rPr>
        <w:t>Who can vote at our annual meeting?</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You can vote your shares of common stock at our annual meeting if you were a shareholder at the close of business on the Record Date.</w:t>
      </w:r>
    </w:p>
    <w:p>
      <w:pPr>
        <w:spacing w:after="0" w:line="167"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At the close of business on the Record Date, there were 2,682,219,629 shares of common stock outstanding, each of which entitles the holder to one vote for each matter to be voted on at our annual meeting.</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How do I vote?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To be valid, your vote by Internet, telephone or mail must be received by the deadline specified on the proxy card or voting instruction form, as applicable.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shd w:val="clear" w:color="auto" w:fill="F4EFE7"/>
          </w:tcPr>
          <w:p>
            <w:pPr>
              <w:spacing w:after="0"/>
              <w:rPr>
                <w:sz w:val="16"/>
                <w:szCs w:val="16"/>
                <w:color w:val="auto"/>
              </w:rPr>
            </w:pPr>
          </w:p>
        </w:tc>
        <w:tc>
          <w:tcPr>
            <w:tcW w:w="4000" w:type="dxa"/>
            <w:vAlign w:val="bottom"/>
            <w:shd w:val="clear" w:color="auto" w:fill="F4EFE7"/>
          </w:tcPr>
          <w:p>
            <w:pPr>
              <w:ind w:left="1620"/>
              <w:spacing w:after="0"/>
              <w:rPr>
                <w:sz w:val="20"/>
                <w:szCs w:val="20"/>
                <w:color w:val="auto"/>
              </w:rPr>
            </w:pPr>
            <w:r>
              <w:rPr>
                <w:rFonts w:ascii="Arial" w:cs="Arial" w:eastAsia="Arial" w:hAnsi="Arial"/>
                <w:sz w:val="14"/>
                <w:szCs w:val="14"/>
                <w:b w:val="1"/>
                <w:bCs w:val="1"/>
                <w:color w:val="8F5A39"/>
              </w:rPr>
              <w:t>If you are a</w:t>
            </w:r>
          </w:p>
        </w:tc>
        <w:tc>
          <w:tcPr>
            <w:tcW w:w="3660" w:type="dxa"/>
            <w:vAlign w:val="bottom"/>
            <w:shd w:val="clear" w:color="auto" w:fill="F4EFE7"/>
          </w:tcPr>
          <w:p>
            <w:pPr>
              <w:ind w:left="900"/>
              <w:spacing w:after="0"/>
              <w:rPr>
                <w:sz w:val="20"/>
                <w:szCs w:val="20"/>
                <w:color w:val="auto"/>
              </w:rPr>
            </w:pPr>
            <w:r>
              <w:rPr>
                <w:rFonts w:ascii="Arial" w:cs="Arial" w:eastAsia="Arial" w:hAnsi="Arial"/>
                <w:sz w:val="14"/>
                <w:szCs w:val="14"/>
                <w:b w:val="1"/>
                <w:bCs w:val="1"/>
                <w:color w:val="8F5A39"/>
              </w:rPr>
              <w:t>If you are a beneficial owner of</w:t>
            </w:r>
          </w:p>
        </w:tc>
        <w:tc>
          <w:tcPr>
            <w:tcW w:w="240" w:type="dxa"/>
            <w:vAlign w:val="bottom"/>
            <w:shd w:val="clear" w:color="auto" w:fill="F4EFE7"/>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shd w:val="clear" w:color="auto" w:fill="F4EFE7"/>
          </w:tcPr>
          <w:p>
            <w:pPr>
              <w:spacing w:after="0"/>
              <w:rPr>
                <w:sz w:val="17"/>
                <w:szCs w:val="17"/>
                <w:color w:val="auto"/>
              </w:rPr>
            </w:pPr>
          </w:p>
        </w:tc>
        <w:tc>
          <w:tcPr>
            <w:tcW w:w="4000" w:type="dxa"/>
            <w:vAlign w:val="bottom"/>
            <w:tcBorders>
              <w:bottom w:val="single" w:sz="8" w:color="auto"/>
            </w:tcBorders>
            <w:shd w:val="clear" w:color="auto" w:fill="F4EFE7"/>
          </w:tcPr>
          <w:p>
            <w:pPr>
              <w:ind w:left="1260"/>
              <w:spacing w:after="0"/>
              <w:rPr>
                <w:sz w:val="20"/>
                <w:szCs w:val="20"/>
                <w:color w:val="auto"/>
              </w:rPr>
            </w:pPr>
            <w:r>
              <w:rPr>
                <w:rFonts w:ascii="Arial" w:cs="Arial" w:eastAsia="Arial" w:hAnsi="Arial"/>
                <w:sz w:val="14"/>
                <w:szCs w:val="14"/>
                <w:b w:val="1"/>
                <w:bCs w:val="1"/>
                <w:color w:val="8F5A39"/>
              </w:rPr>
              <w:t>shareholder of record</w:t>
            </w:r>
          </w:p>
        </w:tc>
        <w:tc>
          <w:tcPr>
            <w:tcW w:w="3660" w:type="dxa"/>
            <w:vAlign w:val="bottom"/>
            <w:tcBorders>
              <w:bottom w:val="single" w:sz="8" w:color="auto"/>
            </w:tcBorders>
            <w:shd w:val="clear" w:color="auto" w:fill="F4EFE7"/>
          </w:tcPr>
          <w:p>
            <w:pPr>
              <w:ind w:left="1040"/>
              <w:spacing w:after="0"/>
              <w:rPr>
                <w:sz w:val="20"/>
                <w:szCs w:val="20"/>
                <w:color w:val="auto"/>
              </w:rPr>
            </w:pPr>
            <w:r>
              <w:rPr>
                <w:rFonts w:ascii="Arial" w:cs="Arial" w:eastAsia="Arial" w:hAnsi="Arial"/>
                <w:sz w:val="14"/>
                <w:szCs w:val="14"/>
                <w:b w:val="1"/>
                <w:bCs w:val="1"/>
                <w:color w:val="8F5A39"/>
              </w:rPr>
              <w:t>shares held in street name</w:t>
            </w:r>
          </w:p>
        </w:tc>
        <w:tc>
          <w:tcPr>
            <w:tcW w:w="240" w:type="dxa"/>
            <w:vAlign w:val="bottom"/>
            <w:tcBorders>
              <w:bottom w:val="single" w:sz="8" w:color="auto"/>
            </w:tcBorders>
            <w:shd w:val="clear" w:color="auto" w:fill="F4EFE7"/>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40" w:type="dxa"/>
            <w:vAlign w:val="bottom"/>
          </w:tcPr>
          <w:p>
            <w:pPr>
              <w:ind w:left="20"/>
              <w:spacing w:after="0"/>
              <w:rPr>
                <w:sz w:val="20"/>
                <w:szCs w:val="20"/>
                <w:color w:val="auto"/>
              </w:rPr>
            </w:pPr>
            <w:r>
              <w:rPr>
                <w:rFonts w:ascii="Arial" w:cs="Arial" w:eastAsia="Arial" w:hAnsi="Arial"/>
                <w:sz w:val="16"/>
                <w:szCs w:val="16"/>
                <w:color w:val="auto"/>
              </w:rPr>
              <w:t>Through the virtual meeting site during the</w:t>
            </w:r>
          </w:p>
        </w:tc>
        <w:tc>
          <w:tcPr>
            <w:tcW w:w="4000" w:type="dxa"/>
            <w:vAlign w:val="bottom"/>
          </w:tcPr>
          <w:p>
            <w:pPr>
              <w:ind w:left="160"/>
              <w:spacing w:after="0"/>
              <w:rPr>
                <w:sz w:val="20"/>
                <w:szCs w:val="20"/>
                <w:color w:val="auto"/>
              </w:rPr>
            </w:pPr>
            <w:r>
              <w:rPr>
                <w:rFonts w:ascii="Arial" w:cs="Arial" w:eastAsia="Arial" w:hAnsi="Arial"/>
                <w:sz w:val="16"/>
                <w:szCs w:val="16"/>
                <w:color w:val="auto"/>
              </w:rPr>
              <w:t>Complete and submit a ballot online during the</w:t>
            </w:r>
          </w:p>
        </w:tc>
        <w:tc>
          <w:tcPr>
            <w:tcW w:w="3660" w:type="dxa"/>
            <w:vAlign w:val="bottom"/>
          </w:tcPr>
          <w:p>
            <w:pPr>
              <w:ind w:left="160"/>
              <w:spacing w:after="0"/>
              <w:rPr>
                <w:sz w:val="20"/>
                <w:szCs w:val="20"/>
                <w:color w:val="auto"/>
              </w:rPr>
            </w:pPr>
            <w:r>
              <w:rPr>
                <w:rFonts w:ascii="Arial" w:cs="Arial" w:eastAsia="Arial" w:hAnsi="Arial"/>
                <w:sz w:val="16"/>
                <w:szCs w:val="16"/>
                <w:color w:val="auto"/>
              </w:rPr>
              <w:t>Complete and submit a ballot online during the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6"/>
                <w:szCs w:val="16"/>
                <w:color w:val="auto"/>
              </w:rPr>
              <w:t>meeting</w:t>
            </w:r>
          </w:p>
        </w:tc>
        <w:tc>
          <w:tcPr>
            <w:tcW w:w="4000" w:type="dxa"/>
            <w:vAlign w:val="bottom"/>
          </w:tcPr>
          <w:p>
            <w:pPr>
              <w:ind w:left="160"/>
              <w:spacing w:after="0"/>
              <w:rPr>
                <w:sz w:val="20"/>
                <w:szCs w:val="20"/>
                <w:color w:val="auto"/>
              </w:rPr>
            </w:pPr>
            <w:r>
              <w:rPr>
                <w:rFonts w:ascii="Arial" w:cs="Arial" w:eastAsia="Arial" w:hAnsi="Arial"/>
                <w:sz w:val="16"/>
                <w:szCs w:val="16"/>
                <w:color w:val="auto"/>
              </w:rPr>
              <w:t>meeting at</w:t>
            </w:r>
          </w:p>
        </w:tc>
        <w:tc>
          <w:tcPr>
            <w:tcW w:w="3660" w:type="dxa"/>
            <w:vAlign w:val="bottom"/>
          </w:tcPr>
          <w:p>
            <w:pPr>
              <w:ind w:left="160"/>
              <w:spacing w:after="0"/>
              <w:rPr>
                <w:sz w:val="20"/>
                <w:szCs w:val="20"/>
                <w:color w:val="auto"/>
              </w:rPr>
            </w:pPr>
            <w:r>
              <w:rPr>
                <w:rFonts w:ascii="Arial" w:cs="Arial" w:eastAsia="Arial" w:hAnsi="Arial"/>
                <w:sz w:val="16"/>
                <w:szCs w:val="16"/>
                <w:color w:val="auto"/>
              </w:rPr>
              <w:t>meeting at www.virtualshareholdermeeting.com/</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6"/>
                <w:szCs w:val="16"/>
                <w:color w:val="auto"/>
              </w:rPr>
              <w:t>www.virtualshareholdermeeting.com/JPM2026.</w:t>
            </w:r>
          </w:p>
        </w:tc>
        <w:tc>
          <w:tcPr>
            <w:tcW w:w="3660" w:type="dxa"/>
            <w:vAlign w:val="bottom"/>
          </w:tcPr>
          <w:p>
            <w:pPr>
              <w:ind w:left="160"/>
              <w:spacing w:after="0"/>
              <w:rPr>
                <w:sz w:val="20"/>
                <w:szCs w:val="20"/>
                <w:color w:val="auto"/>
              </w:rPr>
            </w:pPr>
            <w:r>
              <w:rPr>
                <w:rFonts w:ascii="Arial" w:cs="Arial" w:eastAsia="Arial" w:hAnsi="Arial"/>
                <w:sz w:val="16"/>
                <w:szCs w:val="16"/>
                <w:color w:val="auto"/>
              </w:rPr>
              <w:t>JPM2026.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3340" w:type="dxa"/>
            <w:vAlign w:val="bottom"/>
            <w:tcBorders>
              <w:bottom w:val="single" w:sz="8" w:color="B2B2B2"/>
            </w:tcBorders>
          </w:tcPr>
          <w:p>
            <w:pPr>
              <w:spacing w:after="0"/>
              <w:rPr>
                <w:sz w:val="3"/>
                <w:szCs w:val="3"/>
                <w:color w:val="auto"/>
              </w:rPr>
            </w:pPr>
          </w:p>
        </w:tc>
        <w:tc>
          <w:tcPr>
            <w:tcW w:w="4000" w:type="dxa"/>
            <w:vAlign w:val="bottom"/>
            <w:tcBorders>
              <w:bottom w:val="single" w:sz="8" w:color="B2B2B2"/>
            </w:tcBorders>
          </w:tcPr>
          <w:p>
            <w:pPr>
              <w:spacing w:after="0"/>
              <w:rPr>
                <w:sz w:val="3"/>
                <w:szCs w:val="3"/>
                <w:color w:val="auto"/>
              </w:rPr>
            </w:pPr>
          </w:p>
        </w:tc>
        <w:tc>
          <w:tcPr>
            <w:tcW w:w="3660" w:type="dxa"/>
            <w:vAlign w:val="bottom"/>
            <w:tcBorders>
              <w:bottom w:val="single" w:sz="8" w:color="B2B2B2"/>
            </w:tcBorders>
          </w:tcPr>
          <w:p>
            <w:pPr>
              <w:spacing w:after="0"/>
              <w:rPr>
                <w:sz w:val="3"/>
                <w:szCs w:val="3"/>
                <w:color w:val="auto"/>
              </w:rPr>
            </w:pPr>
          </w:p>
        </w:tc>
        <w:tc>
          <w:tcPr>
            <w:tcW w:w="24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0"/>
              <w:spacing w:after="0"/>
              <w:rPr>
                <w:sz w:val="20"/>
                <w:szCs w:val="20"/>
                <w:color w:val="auto"/>
              </w:rPr>
            </w:pPr>
            <w:r>
              <w:rPr>
                <w:rFonts w:ascii="Arial" w:cs="Arial" w:eastAsia="Arial" w:hAnsi="Arial"/>
                <w:sz w:val="16"/>
                <w:szCs w:val="16"/>
                <w:color w:val="auto"/>
              </w:rPr>
              <w:t>Online (24 hours a day) — Use the Internet</w:t>
            </w:r>
          </w:p>
        </w:tc>
        <w:tc>
          <w:tcPr>
            <w:tcW w:w="4000" w:type="dxa"/>
            <w:vAlign w:val="bottom"/>
          </w:tcPr>
          <w:p>
            <w:pPr>
              <w:ind w:left="160"/>
              <w:spacing w:after="0"/>
              <w:rPr>
                <w:sz w:val="20"/>
                <w:szCs w:val="20"/>
                <w:color w:val="auto"/>
              </w:rPr>
            </w:pPr>
            <w:r>
              <w:rPr>
                <w:rFonts w:ascii="Arial" w:cs="Arial" w:eastAsia="Arial" w:hAnsi="Arial"/>
                <w:sz w:val="16"/>
                <w:szCs w:val="16"/>
                <w:color w:val="auto"/>
              </w:rPr>
              <w:t>Go to www.proxyvote.com and follow the</w:t>
            </w:r>
          </w:p>
        </w:tc>
        <w:tc>
          <w:tcPr>
            <w:tcW w:w="3660" w:type="dxa"/>
            <w:vAlign w:val="bottom"/>
          </w:tcPr>
          <w:p>
            <w:pPr>
              <w:ind w:left="160"/>
              <w:spacing w:after="0"/>
              <w:rPr>
                <w:sz w:val="20"/>
                <w:szCs w:val="20"/>
                <w:color w:val="auto"/>
              </w:rPr>
            </w:pPr>
            <w:r>
              <w:rPr>
                <w:rFonts w:ascii="Arial" w:cs="Arial" w:eastAsia="Arial" w:hAnsi="Arial"/>
                <w:sz w:val="16"/>
                <w:szCs w:val="16"/>
                <w:color w:val="auto"/>
              </w:rPr>
              <w:t>Go to www.proxyvote.com and follow the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6"/>
                <w:szCs w:val="16"/>
                <w:color w:val="auto"/>
              </w:rPr>
              <w:t>to transmit your voting instructions up until</w:t>
            </w:r>
          </w:p>
        </w:tc>
        <w:tc>
          <w:tcPr>
            <w:tcW w:w="4000" w:type="dxa"/>
            <w:vAlign w:val="bottom"/>
          </w:tcPr>
          <w:p>
            <w:pPr>
              <w:ind w:left="160"/>
              <w:spacing w:after="0"/>
              <w:rPr>
                <w:sz w:val="20"/>
                <w:szCs w:val="20"/>
                <w:color w:val="auto"/>
              </w:rPr>
            </w:pPr>
            <w:r>
              <w:rPr>
                <w:rFonts w:ascii="Arial" w:cs="Arial" w:eastAsia="Arial" w:hAnsi="Arial"/>
                <w:sz w:val="16"/>
                <w:szCs w:val="16"/>
                <w:color w:val="auto"/>
              </w:rPr>
              <w:t>instructions.</w:t>
            </w:r>
          </w:p>
        </w:tc>
        <w:tc>
          <w:tcPr>
            <w:tcW w:w="3660" w:type="dxa"/>
            <w:vAlign w:val="bottom"/>
          </w:tcPr>
          <w:p>
            <w:pPr>
              <w:ind w:left="160"/>
              <w:spacing w:after="0"/>
              <w:rPr>
                <w:sz w:val="20"/>
                <w:szCs w:val="20"/>
                <w:color w:val="auto"/>
              </w:rPr>
            </w:pPr>
            <w:r>
              <w:rPr>
                <w:rFonts w:ascii="Arial" w:cs="Arial" w:eastAsia="Arial" w:hAnsi="Arial"/>
                <w:sz w:val="16"/>
                <w:szCs w:val="16"/>
                <w:color w:val="auto"/>
              </w:rPr>
              <w:t>instructions.</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6"/>
                <w:szCs w:val="16"/>
                <w:color w:val="auto"/>
              </w:rPr>
              <w:t>11:59 P.M. Eastern Time the day before the</w:t>
            </w:r>
          </w:p>
        </w:tc>
        <w:tc>
          <w:tcPr>
            <w:tcW w:w="40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6"/>
                <w:szCs w:val="16"/>
                <w:color w:val="auto"/>
              </w:rPr>
              <w:t>meeting date.</w:t>
            </w:r>
          </w:p>
        </w:tc>
        <w:tc>
          <w:tcPr>
            <w:tcW w:w="40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3340" w:type="dxa"/>
            <w:vAlign w:val="bottom"/>
            <w:tcBorders>
              <w:bottom w:val="single" w:sz="8" w:color="B2B2B2"/>
            </w:tcBorders>
          </w:tcPr>
          <w:p>
            <w:pPr>
              <w:spacing w:after="0"/>
              <w:rPr>
                <w:sz w:val="3"/>
                <w:szCs w:val="3"/>
                <w:color w:val="auto"/>
              </w:rPr>
            </w:pPr>
          </w:p>
        </w:tc>
        <w:tc>
          <w:tcPr>
            <w:tcW w:w="4000" w:type="dxa"/>
            <w:vAlign w:val="bottom"/>
            <w:tcBorders>
              <w:bottom w:val="single" w:sz="8" w:color="B2B2B2"/>
            </w:tcBorders>
          </w:tcPr>
          <w:p>
            <w:pPr>
              <w:spacing w:after="0"/>
              <w:rPr>
                <w:sz w:val="3"/>
                <w:szCs w:val="3"/>
                <w:color w:val="auto"/>
              </w:rPr>
            </w:pPr>
          </w:p>
        </w:tc>
        <w:tc>
          <w:tcPr>
            <w:tcW w:w="3660" w:type="dxa"/>
            <w:vAlign w:val="bottom"/>
            <w:tcBorders>
              <w:bottom w:val="single" w:sz="8" w:color="B2B2B2"/>
            </w:tcBorders>
          </w:tcPr>
          <w:p>
            <w:pPr>
              <w:spacing w:after="0"/>
              <w:rPr>
                <w:sz w:val="3"/>
                <w:szCs w:val="3"/>
                <w:color w:val="auto"/>
              </w:rPr>
            </w:pPr>
          </w:p>
        </w:tc>
        <w:tc>
          <w:tcPr>
            <w:tcW w:w="24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0"/>
              <w:spacing w:after="0"/>
              <w:rPr>
                <w:sz w:val="20"/>
                <w:szCs w:val="20"/>
                <w:color w:val="auto"/>
              </w:rPr>
            </w:pPr>
            <w:r>
              <w:rPr>
                <w:rFonts w:ascii="Arial" w:cs="Arial" w:eastAsia="Arial" w:hAnsi="Arial"/>
                <w:sz w:val="16"/>
                <w:szCs w:val="16"/>
                <w:color w:val="auto"/>
              </w:rPr>
              <w:t>By Telephone (24 hours a day) — Use any</w:t>
            </w:r>
          </w:p>
        </w:tc>
        <w:tc>
          <w:tcPr>
            <w:tcW w:w="4000" w:type="dxa"/>
            <w:vAlign w:val="bottom"/>
          </w:tcPr>
          <w:p>
            <w:pPr>
              <w:ind w:left="160"/>
              <w:spacing w:after="0"/>
              <w:rPr>
                <w:sz w:val="20"/>
                <w:szCs w:val="20"/>
                <w:color w:val="auto"/>
              </w:rPr>
            </w:pPr>
            <w:r>
              <w:rPr>
                <w:rFonts w:ascii="Arial" w:cs="Arial" w:eastAsia="Arial" w:hAnsi="Arial"/>
                <w:sz w:val="16"/>
                <w:szCs w:val="16"/>
                <w:color w:val="auto"/>
              </w:rPr>
              <w:t>1-800-690-6903</w:t>
            </w:r>
          </w:p>
        </w:tc>
        <w:tc>
          <w:tcPr>
            <w:tcW w:w="3660" w:type="dxa"/>
            <w:vAlign w:val="bottom"/>
          </w:tcPr>
          <w:p>
            <w:pPr>
              <w:ind w:left="160"/>
              <w:spacing w:after="0"/>
              <w:rPr>
                <w:sz w:val="20"/>
                <w:szCs w:val="20"/>
                <w:color w:val="auto"/>
              </w:rPr>
            </w:pPr>
            <w:r>
              <w:rPr>
                <w:rFonts w:ascii="Arial" w:cs="Arial" w:eastAsia="Arial" w:hAnsi="Arial"/>
                <w:sz w:val="16"/>
                <w:szCs w:val="16"/>
                <w:color w:val="auto"/>
              </w:rPr>
              <w:t>1-800-454-8683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6"/>
                <w:szCs w:val="16"/>
                <w:color w:val="auto"/>
              </w:rPr>
              <w:t>touch-tone telephone to transmit your voting</w:t>
            </w:r>
          </w:p>
        </w:tc>
        <w:tc>
          <w:tcPr>
            <w:tcW w:w="4000" w:type="dxa"/>
            <w:vAlign w:val="bottom"/>
          </w:tcPr>
          <w:p>
            <w:pPr>
              <w:spacing w:after="0"/>
              <w:rPr>
                <w:sz w:val="18"/>
                <w:szCs w:val="18"/>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16"/>
                <w:szCs w:val="16"/>
                <w:color w:val="auto"/>
              </w:rPr>
              <w:t>The availability of voting by telephone may depend</w:t>
            </w:r>
          </w:p>
        </w:tc>
        <w:tc>
          <w:tcPr>
            <w:tcW w:w="0" w:type="dxa"/>
            <w:vAlign w:val="bottom"/>
          </w:tcPr>
          <w:p>
            <w:pPr>
              <w:spacing w:after="0"/>
              <w:rPr>
                <w:sz w:val="1"/>
                <w:szCs w:val="1"/>
                <w:color w:val="auto"/>
              </w:rPr>
            </w:pPr>
          </w:p>
        </w:tc>
      </w:tr>
      <w:tr>
        <w:trPr>
          <w:trHeight w:val="135"/>
        </w:trPr>
        <w:tc>
          <w:tcPr>
            <w:tcW w:w="3340" w:type="dxa"/>
            <w:vAlign w:val="bottom"/>
            <w:vMerge w:val="restart"/>
          </w:tcPr>
          <w:p>
            <w:pPr>
              <w:ind w:left="20"/>
              <w:spacing w:after="0"/>
              <w:rPr>
                <w:sz w:val="20"/>
                <w:szCs w:val="20"/>
                <w:color w:val="auto"/>
              </w:rPr>
            </w:pPr>
            <w:r>
              <w:rPr>
                <w:rFonts w:ascii="Arial" w:cs="Arial" w:eastAsia="Arial" w:hAnsi="Arial"/>
                <w:sz w:val="16"/>
                <w:szCs w:val="16"/>
                <w:color w:val="auto"/>
              </w:rPr>
              <w:t>instructions up until 11:59 P.M. Eastern</w:t>
            </w:r>
          </w:p>
        </w:tc>
        <w:tc>
          <w:tcPr>
            <w:tcW w:w="4000" w:type="dxa"/>
            <w:vAlign w:val="bottom"/>
          </w:tcPr>
          <w:p>
            <w:pPr>
              <w:spacing w:after="0"/>
              <w:rPr>
                <w:sz w:val="11"/>
                <w:szCs w:val="11"/>
                <w:color w:val="auto"/>
              </w:rPr>
            </w:pPr>
          </w:p>
        </w:tc>
        <w:tc>
          <w:tcPr>
            <w:tcW w:w="3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340" w:type="dxa"/>
            <w:vAlign w:val="bottom"/>
            <w:vMerge w:val="continue"/>
          </w:tcPr>
          <w:p>
            <w:pPr>
              <w:spacing w:after="0"/>
              <w:rPr>
                <w:sz w:val="7"/>
                <w:szCs w:val="7"/>
                <w:color w:val="auto"/>
              </w:rPr>
            </w:pPr>
          </w:p>
        </w:tc>
        <w:tc>
          <w:tcPr>
            <w:tcW w:w="4000" w:type="dxa"/>
            <w:vAlign w:val="bottom"/>
          </w:tcPr>
          <w:p>
            <w:pPr>
              <w:spacing w:after="0"/>
              <w:rPr>
                <w:sz w:val="7"/>
                <w:szCs w:val="7"/>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16"/>
                <w:szCs w:val="16"/>
                <w:color w:val="auto"/>
              </w:rPr>
              <w:t>on the voting process of the organization that holds</w:t>
            </w:r>
          </w:p>
        </w:tc>
        <w:tc>
          <w:tcPr>
            <w:tcW w:w="0" w:type="dxa"/>
            <w:vAlign w:val="bottom"/>
          </w:tcPr>
          <w:p>
            <w:pPr>
              <w:spacing w:after="0"/>
              <w:rPr>
                <w:sz w:val="1"/>
                <w:szCs w:val="1"/>
                <w:color w:val="auto"/>
              </w:rPr>
            </w:pPr>
          </w:p>
        </w:tc>
      </w:tr>
      <w:tr>
        <w:trPr>
          <w:trHeight w:val="135"/>
        </w:trPr>
        <w:tc>
          <w:tcPr>
            <w:tcW w:w="3340" w:type="dxa"/>
            <w:vAlign w:val="bottom"/>
            <w:vMerge w:val="restart"/>
          </w:tcPr>
          <w:p>
            <w:pPr>
              <w:ind w:left="20"/>
              <w:spacing w:after="0"/>
              <w:rPr>
                <w:sz w:val="20"/>
                <w:szCs w:val="20"/>
                <w:color w:val="auto"/>
              </w:rPr>
            </w:pPr>
            <w:r>
              <w:rPr>
                <w:rFonts w:ascii="Arial" w:cs="Arial" w:eastAsia="Arial" w:hAnsi="Arial"/>
                <w:sz w:val="16"/>
                <w:szCs w:val="16"/>
                <w:color w:val="auto"/>
              </w:rPr>
              <w:t>Time the day before the meeting date.</w:t>
            </w:r>
          </w:p>
        </w:tc>
        <w:tc>
          <w:tcPr>
            <w:tcW w:w="4000" w:type="dxa"/>
            <w:vAlign w:val="bottom"/>
          </w:tcPr>
          <w:p>
            <w:pPr>
              <w:spacing w:after="0"/>
              <w:rPr>
                <w:sz w:val="11"/>
                <w:szCs w:val="11"/>
                <w:color w:val="auto"/>
              </w:rPr>
            </w:pPr>
          </w:p>
        </w:tc>
        <w:tc>
          <w:tcPr>
            <w:tcW w:w="3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340" w:type="dxa"/>
            <w:vAlign w:val="bottom"/>
            <w:vMerge w:val="continue"/>
          </w:tcPr>
          <w:p>
            <w:pPr>
              <w:spacing w:after="0"/>
              <w:rPr>
                <w:sz w:val="7"/>
                <w:szCs w:val="7"/>
                <w:color w:val="auto"/>
              </w:rPr>
            </w:pPr>
          </w:p>
        </w:tc>
        <w:tc>
          <w:tcPr>
            <w:tcW w:w="4000" w:type="dxa"/>
            <w:vAlign w:val="bottom"/>
          </w:tcPr>
          <w:p>
            <w:pPr>
              <w:spacing w:after="0"/>
              <w:rPr>
                <w:sz w:val="7"/>
                <w:szCs w:val="7"/>
                <w:color w:val="auto"/>
              </w:rPr>
            </w:pPr>
          </w:p>
        </w:tc>
        <w:tc>
          <w:tcPr>
            <w:tcW w:w="3660" w:type="dxa"/>
            <w:vAlign w:val="bottom"/>
            <w:vMerge w:val="restart"/>
          </w:tcPr>
          <w:p>
            <w:pPr>
              <w:ind w:left="160"/>
              <w:spacing w:after="0"/>
              <w:rPr>
                <w:sz w:val="20"/>
                <w:szCs w:val="20"/>
                <w:color w:val="auto"/>
              </w:rPr>
            </w:pPr>
            <w:r>
              <w:rPr>
                <w:rFonts w:ascii="Arial" w:cs="Arial" w:eastAsia="Arial" w:hAnsi="Arial"/>
                <w:sz w:val="16"/>
                <w:szCs w:val="16"/>
                <w:color w:val="auto"/>
              </w:rPr>
              <w:t>your shares.</w:t>
            </w: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3340" w:type="dxa"/>
            <w:vAlign w:val="bottom"/>
            <w:tcBorders>
              <w:bottom w:val="single" w:sz="8" w:color="B2B2B2"/>
            </w:tcBorders>
          </w:tcPr>
          <w:p>
            <w:pPr>
              <w:spacing w:after="0"/>
              <w:rPr>
                <w:sz w:val="3"/>
                <w:szCs w:val="3"/>
                <w:color w:val="auto"/>
              </w:rPr>
            </w:pPr>
          </w:p>
        </w:tc>
        <w:tc>
          <w:tcPr>
            <w:tcW w:w="4000" w:type="dxa"/>
            <w:vAlign w:val="bottom"/>
            <w:tcBorders>
              <w:bottom w:val="single" w:sz="8" w:color="B2B2B2"/>
            </w:tcBorders>
          </w:tcPr>
          <w:p>
            <w:pPr>
              <w:spacing w:after="0"/>
              <w:rPr>
                <w:sz w:val="3"/>
                <w:szCs w:val="3"/>
                <w:color w:val="auto"/>
              </w:rPr>
            </w:pPr>
          </w:p>
        </w:tc>
        <w:tc>
          <w:tcPr>
            <w:tcW w:w="3660" w:type="dxa"/>
            <w:vAlign w:val="bottom"/>
            <w:tcBorders>
              <w:bottom w:val="single" w:sz="8" w:color="B2B2B2"/>
            </w:tcBorders>
          </w:tcPr>
          <w:p>
            <w:pPr>
              <w:spacing w:after="0"/>
              <w:rPr>
                <w:sz w:val="3"/>
                <w:szCs w:val="3"/>
                <w:color w:val="auto"/>
              </w:rPr>
            </w:pPr>
          </w:p>
        </w:tc>
        <w:tc>
          <w:tcPr>
            <w:tcW w:w="24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0"/>
              <w:spacing w:after="0"/>
              <w:rPr>
                <w:sz w:val="20"/>
                <w:szCs w:val="20"/>
                <w:color w:val="auto"/>
              </w:rPr>
            </w:pPr>
            <w:r>
              <w:rPr>
                <w:rFonts w:ascii="Arial" w:cs="Arial" w:eastAsia="Arial" w:hAnsi="Arial"/>
                <w:sz w:val="16"/>
                <w:szCs w:val="16"/>
                <w:color w:val="auto"/>
              </w:rPr>
              <w:t>By Mail</w:t>
            </w:r>
          </w:p>
        </w:tc>
        <w:tc>
          <w:tcPr>
            <w:tcW w:w="4000" w:type="dxa"/>
            <w:vAlign w:val="bottom"/>
          </w:tcPr>
          <w:p>
            <w:pPr>
              <w:ind w:left="160"/>
              <w:spacing w:after="0"/>
              <w:rPr>
                <w:sz w:val="20"/>
                <w:szCs w:val="20"/>
                <w:color w:val="auto"/>
              </w:rPr>
            </w:pPr>
            <w:r>
              <w:rPr>
                <w:rFonts w:ascii="Arial" w:cs="Arial" w:eastAsia="Arial" w:hAnsi="Arial"/>
                <w:sz w:val="16"/>
                <w:szCs w:val="16"/>
                <w:color w:val="auto"/>
              </w:rPr>
              <w:t>Return a properly executed and dated proxy card in</w:t>
            </w:r>
          </w:p>
        </w:tc>
        <w:tc>
          <w:tcPr>
            <w:tcW w:w="3660" w:type="dxa"/>
            <w:vAlign w:val="bottom"/>
          </w:tcPr>
          <w:p>
            <w:pPr>
              <w:ind w:left="160"/>
              <w:spacing w:after="0"/>
              <w:rPr>
                <w:sz w:val="20"/>
                <w:szCs w:val="20"/>
                <w:color w:val="auto"/>
              </w:rPr>
            </w:pPr>
            <w:r>
              <w:rPr>
                <w:rFonts w:ascii="Arial" w:cs="Arial" w:eastAsia="Arial" w:hAnsi="Arial"/>
                <w:sz w:val="16"/>
                <w:szCs w:val="16"/>
                <w:color w:val="auto"/>
              </w:rPr>
              <w:t>Return a properly executed and dated voting</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6"/>
                <w:szCs w:val="16"/>
                <w:color w:val="auto"/>
              </w:rPr>
              <w:t>the pre-paid envelope we have provided or return it</w:t>
            </w:r>
          </w:p>
        </w:tc>
        <w:tc>
          <w:tcPr>
            <w:tcW w:w="3660" w:type="dxa"/>
            <w:vAlign w:val="bottom"/>
          </w:tcPr>
          <w:p>
            <w:pPr>
              <w:ind w:left="160"/>
              <w:spacing w:after="0"/>
              <w:rPr>
                <w:sz w:val="20"/>
                <w:szCs w:val="20"/>
                <w:color w:val="auto"/>
              </w:rPr>
            </w:pPr>
            <w:r>
              <w:rPr>
                <w:rFonts w:ascii="Arial" w:cs="Arial" w:eastAsia="Arial" w:hAnsi="Arial"/>
                <w:sz w:val="16"/>
                <w:szCs w:val="16"/>
                <w:color w:val="auto"/>
              </w:rPr>
              <w:t>instruction form using the method(s) your bank,</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6"/>
                <w:szCs w:val="16"/>
                <w:color w:val="auto"/>
              </w:rPr>
              <w:t>to JPMorgan Chase &amp; Co., c/o Broadridge, 51</w:t>
            </w:r>
          </w:p>
        </w:tc>
        <w:tc>
          <w:tcPr>
            <w:tcW w:w="3660" w:type="dxa"/>
            <w:vAlign w:val="bottom"/>
          </w:tcPr>
          <w:p>
            <w:pPr>
              <w:ind w:left="160"/>
              <w:spacing w:after="0"/>
              <w:rPr>
                <w:sz w:val="20"/>
                <w:szCs w:val="20"/>
                <w:color w:val="auto"/>
              </w:rPr>
            </w:pPr>
            <w:r>
              <w:rPr>
                <w:rFonts w:ascii="Arial" w:cs="Arial" w:eastAsia="Arial" w:hAnsi="Arial"/>
                <w:sz w:val="16"/>
                <w:szCs w:val="16"/>
                <w:color w:val="auto"/>
              </w:rPr>
              <w:t>brokerage firm, broker-dealer or other similar</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6"/>
                <w:szCs w:val="16"/>
                <w:color w:val="auto"/>
              </w:rPr>
              <w:t>Mercedes Way, Edgewood, NY 11717.</w:t>
            </w:r>
          </w:p>
        </w:tc>
        <w:tc>
          <w:tcPr>
            <w:tcW w:w="3660" w:type="dxa"/>
            <w:vAlign w:val="bottom"/>
          </w:tcPr>
          <w:p>
            <w:pPr>
              <w:ind w:left="160"/>
              <w:spacing w:after="0"/>
              <w:rPr>
                <w:sz w:val="20"/>
                <w:szCs w:val="20"/>
                <w:color w:val="auto"/>
              </w:rPr>
            </w:pPr>
            <w:r>
              <w:rPr>
                <w:rFonts w:ascii="Arial" w:cs="Arial" w:eastAsia="Arial" w:hAnsi="Arial"/>
                <w:sz w:val="16"/>
                <w:szCs w:val="16"/>
                <w:color w:val="auto"/>
              </w:rPr>
              <w:t>organizations make available.</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334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68"/>
        </w:trPr>
        <w:tc>
          <w:tcPr>
            <w:tcW w:w="3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60" w:type="dxa"/>
            <w:vAlign w:val="bottom"/>
            <w:vMerge w:val="restart"/>
          </w:tcPr>
          <w:p>
            <w:pPr>
              <w:ind w:left="1780"/>
              <w:spacing w:after="0"/>
              <w:rPr>
                <w:sz w:val="20"/>
                <w:szCs w:val="20"/>
                <w:color w:val="auto"/>
              </w:rPr>
            </w:pPr>
            <w:r>
              <w:rPr>
                <w:rFonts w:ascii="Arial" w:cs="Arial" w:eastAsia="Arial" w:hAnsi="Arial"/>
                <w:sz w:val="14"/>
                <w:szCs w:val="14"/>
                <w:color w:val="auto"/>
              </w:rPr>
              <w:t>2026 Proxy Statement</w:t>
            </w:r>
          </w:p>
        </w:tc>
        <w:tc>
          <w:tcPr>
            <w:tcW w:w="24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4000" w:type="dxa"/>
            <w:vAlign w:val="bottom"/>
          </w:tcPr>
          <w:p>
            <w:pPr>
              <w:spacing w:after="0"/>
              <w:rPr>
                <w:sz w:val="5"/>
                <w:szCs w:val="5"/>
                <w:color w:val="auto"/>
              </w:rPr>
            </w:pPr>
          </w:p>
        </w:tc>
        <w:tc>
          <w:tcPr>
            <w:tcW w:w="3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33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-402590</wp:posOffset>
            </wp:positionV>
            <wp:extent cx="651510" cy="8572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Information about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auto"/>
        </w:rPr>
        <w:t>Can I change my vote after I have voted?</w:t>
      </w:r>
    </w:p>
    <w:p>
      <w:pPr>
        <w:spacing w:after="0" w:line="34"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color w:val="auto"/>
        </w:rPr>
        <w:t>You can revoke your proxy and change your vote at any time before the closing of the polls at our annual meeting, subject to the voting deadlines that are described on the proxy card or voting instruction form, as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You can revoke your vote:</w:t>
      </w:r>
    </w:p>
    <w:p>
      <w:pPr>
        <w:spacing w:after="0" w:line="167" w:lineRule="exact"/>
        <w:rPr>
          <w:sz w:val="20"/>
          <w:szCs w:val="20"/>
          <w:color w:val="auto"/>
        </w:rPr>
      </w:pPr>
    </w:p>
    <w:p>
      <w:pPr>
        <w:ind w:left="200" w:right="60" w:hanging="192"/>
        <w:spacing w:after="0" w:line="301" w:lineRule="auto"/>
        <w:tabs>
          <w:tab w:leader="none" w:pos="184" w:val="left"/>
        </w:tabs>
        <w:numPr>
          <w:ilvl w:val="0"/>
          <w:numId w:val="295"/>
        </w:numPr>
        <w:rPr>
          <w:rFonts w:ascii="Arial" w:cs="Arial" w:eastAsia="Arial" w:hAnsi="Arial"/>
          <w:sz w:val="16"/>
          <w:szCs w:val="16"/>
          <w:b w:val="1"/>
          <w:bCs w:val="1"/>
          <w:color w:val="auto"/>
        </w:rPr>
      </w:pPr>
      <w:r>
        <w:rPr>
          <w:rFonts w:ascii="Arial" w:cs="Arial" w:eastAsia="Arial" w:hAnsi="Arial"/>
          <w:sz w:val="16"/>
          <w:szCs w:val="16"/>
          <w:color w:val="auto"/>
        </w:rPr>
        <w:t>During the virtual meeting. If you attend the annual meeting at www.virtualshareholdermeeting.com/JPM2026, you may revoke your proxy and change your vote by voting online during the meeting. Your attendance at the annual meeting will not automatically revoke your proxy unless you properly vote at the annual meeting.</w:t>
      </w:r>
    </w:p>
    <w:p>
      <w:pPr>
        <w:spacing w:after="0" w:line="9" w:lineRule="exact"/>
        <w:rPr>
          <w:rFonts w:ascii="Arial" w:cs="Arial" w:eastAsia="Arial" w:hAnsi="Arial"/>
          <w:sz w:val="16"/>
          <w:szCs w:val="16"/>
          <w:b w:val="1"/>
          <w:bCs w:val="1"/>
          <w:color w:val="auto"/>
        </w:rPr>
      </w:pPr>
    </w:p>
    <w:p>
      <w:pPr>
        <w:ind w:left="200" w:right="560" w:hanging="192"/>
        <w:spacing w:after="0" w:line="316" w:lineRule="auto"/>
        <w:tabs>
          <w:tab w:leader="none" w:pos="184" w:val="left"/>
        </w:tabs>
        <w:numPr>
          <w:ilvl w:val="0"/>
          <w:numId w:val="295"/>
        </w:numPr>
        <w:rPr>
          <w:rFonts w:ascii="Arial" w:cs="Arial" w:eastAsia="Arial" w:hAnsi="Arial"/>
          <w:sz w:val="16"/>
          <w:szCs w:val="16"/>
          <w:b w:val="1"/>
          <w:bCs w:val="1"/>
          <w:color w:val="auto"/>
        </w:rPr>
      </w:pPr>
      <w:r>
        <w:rPr>
          <w:rFonts w:ascii="Arial" w:cs="Arial" w:eastAsia="Arial" w:hAnsi="Arial"/>
          <w:sz w:val="16"/>
          <w:szCs w:val="16"/>
          <w:color w:val="auto"/>
        </w:rPr>
        <w:t>In writing. You may request that your prior proxy be revoked by delivering a written notice of revocation prior to the annual meeting via email to corporate.secretary@jpmchase.com or mail to the Office of the Secretary, JPMorgan Chase &amp; Co., 270 Park Avenue, New York, New York 10017.</w:t>
      </w:r>
    </w:p>
    <w:p>
      <w:pPr>
        <w:spacing w:after="0" w:line="1" w:lineRule="exact"/>
        <w:rPr>
          <w:rFonts w:ascii="Arial" w:cs="Arial" w:eastAsia="Arial" w:hAnsi="Arial"/>
          <w:sz w:val="16"/>
          <w:szCs w:val="16"/>
          <w:b w:val="1"/>
          <w:bCs w:val="1"/>
          <w:color w:val="auto"/>
        </w:rPr>
      </w:pPr>
    </w:p>
    <w:p>
      <w:pPr>
        <w:ind w:left="200" w:right="60" w:hanging="192"/>
        <w:spacing w:after="0" w:line="316" w:lineRule="auto"/>
        <w:tabs>
          <w:tab w:leader="none" w:pos="184" w:val="left"/>
        </w:tabs>
        <w:numPr>
          <w:ilvl w:val="0"/>
          <w:numId w:val="295"/>
        </w:numPr>
        <w:rPr>
          <w:rFonts w:ascii="Arial" w:cs="Arial" w:eastAsia="Arial" w:hAnsi="Arial"/>
          <w:sz w:val="16"/>
          <w:szCs w:val="16"/>
          <w:b w:val="1"/>
          <w:bCs w:val="1"/>
          <w:color w:val="auto"/>
        </w:rPr>
      </w:pPr>
      <w:r>
        <w:rPr>
          <w:rFonts w:ascii="Arial" w:cs="Arial" w:eastAsia="Arial" w:hAnsi="Arial"/>
          <w:sz w:val="16"/>
          <w:szCs w:val="16"/>
          <w:color w:val="auto"/>
        </w:rPr>
        <w:t>Online at www.proxyvote.com. You may change your vote at www.proxyvote.com until 11:59 P.M. Eastern Time the day before the meeting date, in which case only your latest Internet proxy submitted prior to the annual meeting will be counted.</w:t>
      </w:r>
    </w:p>
    <w:p>
      <w:pPr>
        <w:spacing w:after="0" w:line="1" w:lineRule="exact"/>
        <w:rPr>
          <w:rFonts w:ascii="Arial" w:cs="Arial" w:eastAsia="Arial" w:hAnsi="Arial"/>
          <w:sz w:val="16"/>
          <w:szCs w:val="16"/>
          <w:b w:val="1"/>
          <w:bCs w:val="1"/>
          <w:color w:val="auto"/>
        </w:rPr>
      </w:pPr>
    </w:p>
    <w:p>
      <w:pPr>
        <w:ind w:left="200" w:right="80" w:hanging="192"/>
        <w:spacing w:after="0" w:line="316" w:lineRule="auto"/>
        <w:tabs>
          <w:tab w:leader="none" w:pos="184" w:val="left"/>
        </w:tabs>
        <w:numPr>
          <w:ilvl w:val="0"/>
          <w:numId w:val="295"/>
        </w:numPr>
        <w:rPr>
          <w:rFonts w:ascii="Arial" w:cs="Arial" w:eastAsia="Arial" w:hAnsi="Arial"/>
          <w:sz w:val="16"/>
          <w:szCs w:val="16"/>
          <w:b w:val="1"/>
          <w:bCs w:val="1"/>
          <w:color w:val="auto"/>
        </w:rPr>
      </w:pPr>
      <w:r>
        <w:rPr>
          <w:rFonts w:ascii="Arial" w:cs="Arial" w:eastAsia="Arial" w:hAnsi="Arial"/>
          <w:sz w:val="16"/>
          <w:szCs w:val="16"/>
          <w:color w:val="auto"/>
        </w:rPr>
        <w:t>Telephone. You may change your vote using the phone voting method described above, in which case only your latest telephone proxy submitted prior to the annual meeting will be counted.</w:t>
      </w:r>
    </w:p>
    <w:p>
      <w:pPr>
        <w:spacing w:after="0" w:line="1" w:lineRule="exact"/>
        <w:rPr>
          <w:rFonts w:ascii="Arial" w:cs="Arial" w:eastAsia="Arial" w:hAnsi="Arial"/>
          <w:sz w:val="16"/>
          <w:szCs w:val="16"/>
          <w:b w:val="1"/>
          <w:bCs w:val="1"/>
          <w:color w:val="auto"/>
        </w:rPr>
      </w:pPr>
    </w:p>
    <w:p>
      <w:pPr>
        <w:ind w:left="200" w:right="280" w:hanging="192"/>
        <w:spacing w:after="0" w:line="321" w:lineRule="auto"/>
        <w:tabs>
          <w:tab w:leader="none" w:pos="184" w:val="left"/>
        </w:tabs>
        <w:numPr>
          <w:ilvl w:val="0"/>
          <w:numId w:val="295"/>
        </w:numPr>
        <w:rPr>
          <w:rFonts w:ascii="Arial" w:cs="Arial" w:eastAsia="Arial" w:hAnsi="Arial"/>
          <w:sz w:val="16"/>
          <w:szCs w:val="16"/>
          <w:b w:val="1"/>
          <w:bCs w:val="1"/>
          <w:color w:val="auto"/>
        </w:rPr>
      </w:pPr>
      <w:r>
        <w:rPr>
          <w:rFonts w:ascii="Arial" w:cs="Arial" w:eastAsia="Arial" w:hAnsi="Arial"/>
          <w:sz w:val="16"/>
          <w:szCs w:val="16"/>
          <w:color w:val="auto"/>
        </w:rPr>
        <w:t>Mail. You may revoke your proxy and change your vote by signing and returning a new proxy card or voting instruction form dated as of a later date, in which case only your latest proxy card or voting instruction form received prior to the annual meeting will be counted.</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auto"/>
        </w:rPr>
        <w:t>How are shares voted?</w:t>
      </w:r>
    </w:p>
    <w:p>
      <w:pPr>
        <w:spacing w:after="0" w:line="58"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All shares represented by valid ballots or valid proxies received prior to the taking of the vote at the annual meeting will be voted. If you do not vote at the annual meeting, the persons named as proxies on the proxy card will vote your shares as you have instructed.</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auto"/>
        </w:rPr>
        <w:t>How will my shares be voted if I do not give specific voting instructions?</w:t>
      </w:r>
    </w:p>
    <w:p>
      <w:pPr>
        <w:spacing w:after="0" w:line="5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i w:val="1"/>
          <w:iCs w:val="1"/>
          <w:color w:val="auto"/>
        </w:rPr>
        <w:t xml:space="preserve">Shareholder of Record: </w:t>
      </w:r>
      <w:r>
        <w:rPr>
          <w:rFonts w:ascii="Arial" w:cs="Arial" w:eastAsia="Arial" w:hAnsi="Arial"/>
          <w:sz w:val="16"/>
          <w:szCs w:val="16"/>
          <w:color w:val="auto"/>
        </w:rPr>
        <w:t>If you are a shareholder of record and do not return a proxy card, or if you sign, date and return a proxy card but do not give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instructions, then the persons named as proxies on the proxy card will vote your shares in the manner recommended by our Board on all matters presented in this proxy statement. In addition, the proxies may determine in their discretion how to vote your shares regarding any other matters properly presented for a vote at our annual meeting.</w:t>
      </w:r>
    </w:p>
    <w:p>
      <w:pPr>
        <w:spacing w:after="0" w:line="9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Although our Board does not anticipate that any of the director nominees will be unable to stand for election as a director nominee at our annual meeting, if this occurs, the persons named as proxies on the proxy card will vote your shares in favor of such other person or persons as may be recommended by our Governance Committee and designated by the Board.</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 are a beneficial owner of shares held in street name and the organization holding your shares does</w:t>
      </w:r>
      <w:r>
        <w:rPr>
          <w:rFonts w:ascii="Arial" w:cs="Arial" w:eastAsia="Arial" w:hAnsi="Arial"/>
          <w:sz w:val="16"/>
          <w:szCs w:val="16"/>
          <w:i w:val="1"/>
          <w:iCs w:val="1"/>
          <w:color w:val="auto"/>
        </w:rPr>
        <w:t xml:space="preserve"> </w:t>
      </w:r>
      <w:r>
        <w:rPr>
          <w:rFonts w:ascii="Arial" w:cs="Arial" w:eastAsia="Arial" w:hAnsi="Arial"/>
          <w:sz w:val="16"/>
          <w:szCs w:val="16"/>
          <w:color w:val="auto"/>
        </w:rPr>
        <w:t>not receive specific voting instructions from you, how your shares may be voted will depend on whether the proposal is considered “routine” or “non-routine,” as described below.</w:t>
      </w:r>
    </w:p>
    <w:p>
      <w:pPr>
        <w:spacing w:after="0" w:line="9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i w:val="1"/>
          <w:iCs w:val="1"/>
          <w:color w:val="auto"/>
        </w:rPr>
        <w:t xml:space="preserve">Participants in the 401(k) Savings Plan: </w:t>
      </w:r>
      <w:r>
        <w:rPr>
          <w:rFonts w:ascii="Arial" w:cs="Arial" w:eastAsia="Arial" w:hAnsi="Arial"/>
          <w:sz w:val="16"/>
          <w:szCs w:val="16"/>
          <w:color w:val="auto"/>
        </w:rPr>
        <w:t>The trustee of the JPMorganChase 401(k) Savings Plan (“Plan”) will vote the shares held in the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Fund as of the Record Date. If you have an interest in the JPMorganChase Common Stock Fund through the Plan, your vote will provide voting instructions to the trustee. If no voting instructions are given, the trustee will vote uninstructed shares in the same proportion as voted shares.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auto"/>
        </w:rPr>
        <w:t>Which proposals are considered “routine” or “non-routine”?</w:t>
      </w:r>
    </w:p>
    <w:p>
      <w:pPr>
        <w:spacing w:after="0" w:line="45" w:lineRule="exact"/>
        <w:rPr>
          <w:sz w:val="20"/>
          <w:szCs w:val="20"/>
          <w:color w:val="auto"/>
        </w:rPr>
      </w:pPr>
    </w:p>
    <w:p>
      <w:pPr>
        <w:jc w:val="both"/>
        <w:ind w:right="300"/>
        <w:spacing w:after="0" w:line="301" w:lineRule="auto"/>
        <w:rPr>
          <w:sz w:val="20"/>
          <w:szCs w:val="20"/>
          <w:color w:val="auto"/>
        </w:rPr>
      </w:pPr>
      <w:r>
        <w:rPr>
          <w:rFonts w:ascii="Arial" w:cs="Arial" w:eastAsia="Arial" w:hAnsi="Arial"/>
          <w:sz w:val="16"/>
          <w:szCs w:val="16"/>
          <w:color w:val="auto"/>
        </w:rPr>
        <w:t>The ratification of the appointment of the independent registered public accounting firm is considered to be a “routine” matter under NYSE rules. A bank, brokerage firm, broker-dealer or other similar organization may generally vote in their discretion on routine matters, if specific voting instructions are not received from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383540</wp:posOffset>
            </wp:positionV>
            <wp:extent cx="651510" cy="8572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96</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auto"/>
        </w:rPr>
        <w:t>Information about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All other proposals are considered “non-routine” under NYSE rules and are therefore “non-discretionary” matters. This means your bank, brokerage firm, broker-dealer or other similar organization may not vote your shares without instructions from you. If the organization that holds your shares does not receive instructions from you on how to vote on one of these non-routine matters, it will so inform the inspector of election. This is generally referred to as a “broker non-vote.”</w:t>
      </w:r>
    </w:p>
    <w:p>
      <w:pPr>
        <w:spacing w:after="0" w:line="262" w:lineRule="exact"/>
        <w:rPr>
          <w:sz w:val="20"/>
          <w:szCs w:val="20"/>
          <w:color w:val="auto"/>
        </w:rPr>
      </w:pPr>
    </w:p>
    <w:p>
      <w:pPr>
        <w:ind w:right="140"/>
        <w:spacing w:after="0" w:line="262" w:lineRule="auto"/>
        <w:rPr>
          <w:sz w:val="20"/>
          <w:szCs w:val="20"/>
          <w:color w:val="auto"/>
        </w:rPr>
      </w:pPr>
      <w:r>
        <w:rPr>
          <w:rFonts w:ascii="Arial" w:cs="Arial" w:eastAsia="Arial" w:hAnsi="Arial"/>
          <w:sz w:val="25"/>
          <w:szCs w:val="25"/>
          <w:color w:val="auto"/>
        </w:rPr>
        <w:t>What is the difference between holding shares as a shareholder of record and as a beneficial owner of shares held in street name?</w:t>
      </w:r>
    </w:p>
    <w:p>
      <w:pPr>
        <w:spacing w:after="0" w:line="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i w:val="1"/>
          <w:iCs w:val="1"/>
          <w:color w:val="auto"/>
        </w:rPr>
        <w:t xml:space="preserve">Shareholder of Record: </w:t>
      </w:r>
      <w:r>
        <w:rPr>
          <w:rFonts w:ascii="Arial" w:cs="Arial" w:eastAsia="Arial" w:hAnsi="Arial"/>
          <w:sz w:val="16"/>
          <w:szCs w:val="16"/>
          <w:color w:val="auto"/>
        </w:rPr>
        <w:t>If your shares of JPMorganChase common stock are registered directly in your name with our transfer agent, Computershare, you</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a “shareholder of record” of those shares.</w:t>
      </w:r>
    </w:p>
    <w:p>
      <w:pPr>
        <w:spacing w:after="0" w:line="3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your shares are held in an account at a bank, brokerage firm, broker-dealer or other similar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you are a beneficial owner of shares held in street name. In that case, you will have received these proxy materials, as well as a voting instruction form, from the organization holding your shares and, as a beneficial owner, you have the right to direct the organization as to how to vote them. Most individual shareholders are beneficial owners of shares held in street name.</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auto"/>
        </w:rPr>
        <w:t>What is the voting requirement to approve each of the proposals?</w:t>
      </w:r>
    </w:p>
    <w:p>
      <w:pPr>
        <w:spacing w:after="0" w:line="45"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i w:val="1"/>
          <w:iCs w:val="1"/>
          <w:color w:val="auto"/>
        </w:rPr>
        <w:t xml:space="preserve">Quorum Requirement: </w:t>
      </w:r>
      <w:r>
        <w:rPr>
          <w:rFonts w:ascii="Arial" w:cs="Arial" w:eastAsia="Arial" w:hAnsi="Arial"/>
          <w:sz w:val="16"/>
          <w:szCs w:val="16"/>
          <w:color w:val="auto"/>
        </w:rPr>
        <w:t>Before any business can be transacted at our annual meeting, a quorum must be present. Holders of a majority of the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entitled to vote at the annual meeting, present at the meeting or represented by proxy, will constitute a quorum. Abstentions and broker non-votes are treated as present for quorum purposes.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Requirements for each proposal: </w:t>
      </w:r>
      <w:r>
        <w:rPr>
          <w:rFonts w:ascii="Arial" w:cs="Arial" w:eastAsia="Arial" w:hAnsi="Arial"/>
          <w:sz w:val="16"/>
          <w:szCs w:val="16"/>
          <w:color w:val="auto"/>
        </w:rPr>
        <w:t>What is the voting requirement for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25717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79"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8F5A39"/>
        </w:rPr>
        <w:t>Effect of</w:t>
      </w:r>
    </w:p>
    <w:p>
      <w:pPr>
        <w:spacing w:after="0" w:line="20" w:lineRule="exact"/>
        <w:rPr>
          <w:sz w:val="20"/>
          <w:szCs w:val="20"/>
          <w:color w:val="auto"/>
        </w:rPr>
      </w:pPr>
    </w:p>
    <w:p>
      <w:pPr>
        <w:ind w:left="20"/>
        <w:spacing w:after="0"/>
        <w:tabs>
          <w:tab w:leader="none" w:pos="2380" w:val="left"/>
          <w:tab w:leader="none" w:pos="4660" w:val="left"/>
          <w:tab w:leader="none" w:pos="7100" w:val="left"/>
          <w:tab w:leader="none" w:pos="8860" w:val="left"/>
        </w:tabs>
        <w:rPr>
          <w:sz w:val="20"/>
          <w:szCs w:val="20"/>
          <w:color w:val="auto"/>
        </w:rPr>
      </w:pPr>
      <w:r>
        <w:rPr>
          <w:rFonts w:ascii="Arial" w:cs="Arial" w:eastAsia="Arial" w:hAnsi="Arial"/>
          <w:sz w:val="14"/>
          <w:szCs w:val="14"/>
          <w:b w:val="1"/>
          <w:bCs w:val="1"/>
          <w:color w:val="8F5A39"/>
        </w:rPr>
        <w:t>Proposal</w:t>
      </w:r>
      <w:r>
        <w:rPr>
          <w:sz w:val="20"/>
          <w:szCs w:val="20"/>
          <w:color w:val="auto"/>
        </w:rPr>
        <w:tab/>
      </w:r>
      <w:r>
        <w:rPr>
          <w:rFonts w:ascii="Arial" w:cs="Arial" w:eastAsia="Arial" w:hAnsi="Arial"/>
          <w:sz w:val="14"/>
          <w:szCs w:val="14"/>
          <w:b w:val="1"/>
          <w:bCs w:val="1"/>
          <w:color w:val="8F5A39"/>
        </w:rPr>
        <w:t>Voting options</w:t>
      </w:r>
      <w:r>
        <w:rPr>
          <w:sz w:val="20"/>
          <w:szCs w:val="20"/>
          <w:color w:val="auto"/>
        </w:rPr>
        <w:tab/>
      </w:r>
      <w:r>
        <w:rPr>
          <w:rFonts w:ascii="Arial" w:cs="Arial" w:eastAsia="Arial" w:hAnsi="Arial"/>
          <w:sz w:val="14"/>
          <w:szCs w:val="14"/>
          <w:b w:val="1"/>
          <w:bCs w:val="1"/>
          <w:color w:val="8F5A39"/>
        </w:rPr>
        <w:t>Vote requirement</w:t>
      </w:r>
      <w:r>
        <w:rPr>
          <w:sz w:val="20"/>
          <w:szCs w:val="20"/>
          <w:color w:val="auto"/>
        </w:rPr>
        <w:tab/>
      </w:r>
      <w:r>
        <w:rPr>
          <w:rFonts w:ascii="Arial" w:cs="Arial" w:eastAsia="Arial" w:hAnsi="Arial"/>
          <w:sz w:val="14"/>
          <w:szCs w:val="14"/>
          <w:b w:val="1"/>
          <w:bCs w:val="1"/>
          <w:color w:val="8F5A39"/>
        </w:rPr>
        <w:t>abstentions</w:t>
      </w:r>
      <w:r>
        <w:rPr>
          <w:rFonts w:ascii="Arial" w:cs="Arial" w:eastAsia="Arial" w:hAnsi="Arial"/>
          <w:sz w:val="18"/>
          <w:szCs w:val="18"/>
          <w:b w:val="1"/>
          <w:bCs w:val="1"/>
          <w:color w:val="8F5A39"/>
          <w:vertAlign w:val="superscript"/>
        </w:rPr>
        <w:t>1</w:t>
      </w:r>
      <w:r>
        <w:rPr>
          <w:sz w:val="20"/>
          <w:szCs w:val="20"/>
          <w:color w:val="auto"/>
        </w:rPr>
        <w:tab/>
      </w:r>
      <w:r>
        <w:rPr>
          <w:rFonts w:ascii="Arial" w:cs="Arial" w:eastAsia="Arial" w:hAnsi="Arial"/>
          <w:sz w:val="14"/>
          <w:szCs w:val="14"/>
          <w:b w:val="1"/>
          <w:bCs w:val="1"/>
          <w:color w:val="8F5A39"/>
        </w:rPr>
        <w:t>Effect of broker non-votes</w:t>
      </w:r>
      <w:r>
        <w:rPr>
          <w:rFonts w:ascii="Arial" w:cs="Arial" w:eastAsia="Arial" w:hAnsi="Arial"/>
          <w:sz w:val="18"/>
          <w:szCs w:val="18"/>
          <w:b w:val="1"/>
          <w:bCs w:val="1"/>
          <w:color w:val="8F5A39"/>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F5A3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59" w:lineRule="exact"/>
        <w:rPr>
          <w:sz w:val="20"/>
          <w:szCs w:val="20"/>
          <w:color w:val="auto"/>
        </w:rPr>
      </w:pPr>
    </w:p>
    <w:p>
      <w:pPr>
        <w:ind w:left="20"/>
        <w:spacing w:after="0"/>
        <w:tabs>
          <w:tab w:leader="none" w:pos="2000" w:val="left"/>
          <w:tab w:leader="none" w:pos="3780" w:val="left"/>
        </w:tabs>
        <w:rPr>
          <w:sz w:val="20"/>
          <w:szCs w:val="20"/>
          <w:color w:val="auto"/>
        </w:rPr>
      </w:pPr>
      <w:r>
        <w:rPr>
          <w:rFonts w:ascii="Arial" w:cs="Arial" w:eastAsia="Arial" w:hAnsi="Arial"/>
          <w:sz w:val="16"/>
          <w:szCs w:val="16"/>
          <w:color w:val="auto"/>
        </w:rPr>
        <w:t>– Election of directors</w:t>
      </w:r>
      <w:r>
        <w:rPr>
          <w:rFonts w:ascii="Arial" w:cs="Arial" w:eastAsia="Arial" w:hAnsi="Arial"/>
          <w:sz w:val="21"/>
          <w:szCs w:val="21"/>
          <w:color w:val="auto"/>
          <w:vertAlign w:val="superscript"/>
        </w:rPr>
        <w:t>3</w:t>
      </w:r>
      <w:r>
        <w:rPr>
          <w:sz w:val="20"/>
          <w:szCs w:val="20"/>
          <w:color w:val="auto"/>
        </w:rPr>
        <w:tab/>
      </w:r>
      <w:r>
        <w:rPr>
          <w:rFonts w:ascii="Arial" w:cs="Arial" w:eastAsia="Arial" w:hAnsi="Arial"/>
          <w:sz w:val="16"/>
          <w:szCs w:val="16"/>
          <w:color w:val="auto"/>
        </w:rPr>
        <w:t>FOR, AGAINST or</w:t>
      </w:r>
      <w:r>
        <w:rPr>
          <w:sz w:val="20"/>
          <w:szCs w:val="20"/>
          <w:color w:val="auto"/>
        </w:rPr>
        <w:tab/>
      </w:r>
      <w:r>
        <w:rPr>
          <w:rFonts w:ascii="Arial" w:cs="Arial" w:eastAsia="Arial" w:hAnsi="Arial"/>
          <w:sz w:val="16"/>
          <w:szCs w:val="16"/>
          <w:color w:val="auto"/>
        </w:rPr>
        <w:t>Majority of the votes cast FOR or</w:t>
      </w:r>
    </w:p>
    <w:p>
      <w:pPr>
        <w:jc w:val="right"/>
        <w:spacing w:after="0"/>
        <w:tabs>
          <w:tab w:leader="none" w:pos="2680" w:val="left"/>
        </w:tabs>
        <w:rPr>
          <w:sz w:val="20"/>
          <w:szCs w:val="20"/>
          <w:color w:val="auto"/>
        </w:rPr>
      </w:pPr>
      <w:r>
        <w:rPr>
          <w:rFonts w:ascii="Arial" w:cs="Arial" w:eastAsia="Arial" w:hAnsi="Arial"/>
          <w:sz w:val="16"/>
          <w:szCs w:val="16"/>
          <w:color w:val="auto"/>
        </w:rPr>
        <w:t>ABSTAIN (for each</w:t>
      </w:r>
      <w:r>
        <w:rPr>
          <w:sz w:val="20"/>
          <w:szCs w:val="20"/>
          <w:color w:val="auto"/>
        </w:rPr>
        <w:tab/>
      </w:r>
      <w:r>
        <w:rPr>
          <w:rFonts w:ascii="Arial" w:cs="Arial" w:eastAsia="Arial" w:hAnsi="Arial"/>
          <w:sz w:val="16"/>
          <w:szCs w:val="16"/>
          <w:color w:val="auto"/>
        </w:rPr>
        <w:t>AGAINST (for each director nominee)</w:t>
      </w:r>
    </w:p>
    <w:p>
      <w:pPr>
        <w:spacing w:after="0" w:line="15"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No effect — not</w:t>
      </w:r>
      <w:r>
        <w:rPr>
          <w:sz w:val="20"/>
          <w:szCs w:val="20"/>
          <w:color w:val="auto"/>
        </w:rPr>
        <w:tab/>
      </w:r>
      <w:r>
        <w:rPr>
          <w:rFonts w:ascii="Arial" w:cs="Arial" w:eastAsia="Arial" w:hAnsi="Arial"/>
          <w:sz w:val="16"/>
          <w:szCs w:val="16"/>
          <w:color w:val="auto"/>
        </w:rPr>
        <w:t>No effect — not entitled to vote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counted as 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vote cast</w:t>
      </w:r>
    </w:p>
    <w:p>
      <w:pPr>
        <w:spacing w:after="0" w:line="79" w:lineRule="exact"/>
        <w:rPr>
          <w:sz w:val="20"/>
          <w:szCs w:val="20"/>
          <w:color w:val="auto"/>
        </w:rPr>
      </w:pPr>
    </w:p>
    <w:p>
      <w:pPr>
        <w:sectPr>
          <w:pgSz w:w="11900" w:h="16838" w:orient="portrait"/>
          <w:cols w:equalWidth="0" w:num="2">
            <w:col w:w="6500" w:space="260"/>
            <w:col w:w="4480"/>
          </w:cols>
          <w:pgMar w:left="320" w:top="157"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8F5A3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60" w:type="dxa"/>
            <w:vAlign w:val="bottom"/>
          </w:tcPr>
          <w:p>
            <w:pPr>
              <w:ind w:left="20"/>
              <w:spacing w:after="0"/>
              <w:rPr>
                <w:sz w:val="20"/>
                <w:szCs w:val="20"/>
                <w:color w:val="auto"/>
              </w:rPr>
            </w:pPr>
            <w:r>
              <w:rPr>
                <w:rFonts w:ascii="Arial" w:cs="Arial" w:eastAsia="Arial" w:hAnsi="Arial"/>
                <w:sz w:val="16"/>
                <w:szCs w:val="16"/>
                <w:color w:val="auto"/>
              </w:rPr>
              <w:t>– Advisory vote on</w:t>
            </w:r>
          </w:p>
        </w:tc>
        <w:tc>
          <w:tcPr>
            <w:tcW w:w="1720" w:type="dxa"/>
            <w:vAlign w:val="bottom"/>
          </w:tcPr>
          <w:p>
            <w:pPr>
              <w:ind w:left="160"/>
              <w:spacing w:after="0"/>
              <w:rPr>
                <w:sz w:val="20"/>
                <w:szCs w:val="20"/>
                <w:color w:val="auto"/>
              </w:rPr>
            </w:pPr>
            <w:r>
              <w:rPr>
                <w:rFonts w:ascii="Arial" w:cs="Arial" w:eastAsia="Arial" w:hAnsi="Arial"/>
                <w:sz w:val="16"/>
                <w:szCs w:val="16"/>
                <w:color w:val="auto"/>
              </w:rPr>
              <w:t>FOR, AGAINST or</w:t>
            </w:r>
          </w:p>
        </w:tc>
        <w:tc>
          <w:tcPr>
            <w:tcW w:w="3000" w:type="dxa"/>
            <w:vAlign w:val="bottom"/>
          </w:tcPr>
          <w:p>
            <w:pPr>
              <w:ind w:left="220"/>
              <w:spacing w:after="0"/>
              <w:rPr>
                <w:sz w:val="20"/>
                <w:szCs w:val="20"/>
                <w:color w:val="auto"/>
              </w:rPr>
            </w:pPr>
            <w:r>
              <w:rPr>
                <w:rFonts w:ascii="Arial" w:cs="Arial" w:eastAsia="Arial" w:hAnsi="Arial"/>
                <w:sz w:val="16"/>
                <w:szCs w:val="16"/>
                <w:color w:val="auto"/>
              </w:rPr>
              <w:t>Majority of the shares present or</w:t>
            </w:r>
          </w:p>
        </w:tc>
        <w:tc>
          <w:tcPr>
            <w:tcW w:w="1600" w:type="dxa"/>
            <w:vAlign w:val="bottom"/>
          </w:tcPr>
          <w:p>
            <w:pPr>
              <w:ind w:left="180"/>
              <w:spacing w:after="0"/>
              <w:rPr>
                <w:sz w:val="20"/>
                <w:szCs w:val="20"/>
                <w:color w:val="auto"/>
              </w:rPr>
            </w:pPr>
            <w:r>
              <w:rPr>
                <w:rFonts w:ascii="Arial" w:cs="Arial" w:eastAsia="Arial" w:hAnsi="Arial"/>
                <w:sz w:val="16"/>
                <w:szCs w:val="16"/>
                <w:color w:val="auto"/>
              </w:rPr>
              <w:t>Counts as a vote</w:t>
            </w:r>
          </w:p>
        </w:tc>
        <w:tc>
          <w:tcPr>
            <w:tcW w:w="3060" w:type="dxa"/>
            <w:vAlign w:val="bottom"/>
          </w:tcPr>
          <w:p>
            <w:pPr>
              <w:ind w:left="200"/>
              <w:spacing w:after="0"/>
              <w:rPr>
                <w:sz w:val="20"/>
                <w:szCs w:val="20"/>
                <w:color w:val="auto"/>
              </w:rPr>
            </w:pPr>
            <w:r>
              <w:rPr>
                <w:rFonts w:ascii="Arial" w:cs="Arial" w:eastAsia="Arial" w:hAnsi="Arial"/>
                <w:sz w:val="16"/>
                <w:szCs w:val="16"/>
                <w:color w:val="auto"/>
              </w:rPr>
              <w:t>No effect — not entitled to vote</w:t>
            </w:r>
          </w:p>
        </w:tc>
      </w:tr>
      <w:tr>
        <w:trPr>
          <w:trHeight w:val="213"/>
        </w:trPr>
        <w:tc>
          <w:tcPr>
            <w:tcW w:w="1860" w:type="dxa"/>
            <w:vAlign w:val="bottom"/>
          </w:tcPr>
          <w:p>
            <w:pPr>
              <w:ind w:left="20"/>
              <w:spacing w:after="0" w:line="213" w:lineRule="exact"/>
              <w:rPr>
                <w:sz w:val="20"/>
                <w:szCs w:val="20"/>
                <w:color w:val="auto"/>
              </w:rPr>
            </w:pPr>
            <w:r>
              <w:rPr>
                <w:rFonts w:ascii="Arial" w:cs="Arial" w:eastAsia="Arial" w:hAnsi="Arial"/>
                <w:sz w:val="16"/>
                <w:szCs w:val="16"/>
                <w:color w:val="auto"/>
              </w:rPr>
              <w:t>compensation</w:t>
            </w:r>
            <w:r>
              <w:rPr>
                <w:rFonts w:ascii="Arial" w:cs="Arial" w:eastAsia="Arial" w:hAnsi="Arial"/>
                <w:sz w:val="21"/>
                <w:szCs w:val="21"/>
                <w:color w:val="auto"/>
                <w:vertAlign w:val="superscript"/>
              </w:rPr>
              <w:t>4</w:t>
            </w:r>
          </w:p>
        </w:tc>
        <w:tc>
          <w:tcPr>
            <w:tcW w:w="1720" w:type="dxa"/>
            <w:vAlign w:val="bottom"/>
          </w:tcPr>
          <w:p>
            <w:pPr>
              <w:ind w:left="160"/>
              <w:spacing w:after="0"/>
              <w:rPr>
                <w:sz w:val="20"/>
                <w:szCs w:val="20"/>
                <w:color w:val="auto"/>
              </w:rPr>
            </w:pPr>
            <w:r>
              <w:rPr>
                <w:rFonts w:ascii="Arial" w:cs="Arial" w:eastAsia="Arial" w:hAnsi="Arial"/>
                <w:sz w:val="16"/>
                <w:szCs w:val="16"/>
                <w:color w:val="auto"/>
              </w:rPr>
              <w:t>ABSTAIN</w:t>
            </w:r>
          </w:p>
        </w:tc>
        <w:tc>
          <w:tcPr>
            <w:tcW w:w="3000" w:type="dxa"/>
            <w:vAlign w:val="bottom"/>
          </w:tcPr>
          <w:p>
            <w:pPr>
              <w:ind w:left="220"/>
              <w:spacing w:after="0"/>
              <w:rPr>
                <w:sz w:val="20"/>
                <w:szCs w:val="20"/>
                <w:color w:val="auto"/>
              </w:rPr>
            </w:pPr>
            <w:r>
              <w:rPr>
                <w:rFonts w:ascii="Arial" w:cs="Arial" w:eastAsia="Arial" w:hAnsi="Arial"/>
                <w:sz w:val="16"/>
                <w:szCs w:val="16"/>
                <w:color w:val="auto"/>
              </w:rPr>
              <w:t>represented by proxy and entitled to</w:t>
            </w:r>
          </w:p>
        </w:tc>
        <w:tc>
          <w:tcPr>
            <w:tcW w:w="1600" w:type="dxa"/>
            <w:vAlign w:val="bottom"/>
          </w:tcPr>
          <w:p>
            <w:pPr>
              <w:ind w:left="180"/>
              <w:spacing w:after="0"/>
              <w:rPr>
                <w:sz w:val="20"/>
                <w:szCs w:val="20"/>
                <w:color w:val="auto"/>
              </w:rPr>
            </w:pPr>
            <w:r>
              <w:rPr>
                <w:rFonts w:ascii="Arial" w:cs="Arial" w:eastAsia="Arial" w:hAnsi="Arial"/>
                <w:sz w:val="16"/>
                <w:szCs w:val="16"/>
                <w:color w:val="auto"/>
              </w:rPr>
              <w:t>AGAINST</w:t>
            </w:r>
          </w:p>
        </w:tc>
        <w:tc>
          <w:tcPr>
            <w:tcW w:w="3060" w:type="dxa"/>
            <w:vAlign w:val="bottom"/>
          </w:tcPr>
          <w:p>
            <w:pPr>
              <w:spacing w:after="0"/>
              <w:rPr>
                <w:sz w:val="18"/>
                <w:szCs w:val="18"/>
                <w:color w:val="auto"/>
              </w:rPr>
            </w:pPr>
          </w:p>
        </w:tc>
      </w:tr>
      <w:tr>
        <w:trPr>
          <w:trHeight w:val="215"/>
        </w:trPr>
        <w:tc>
          <w:tcPr>
            <w:tcW w:w="1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6"/>
                <w:szCs w:val="16"/>
                <w:color w:val="auto"/>
              </w:rPr>
              <w:t>vote on the proposal</w:t>
            </w:r>
          </w:p>
        </w:tc>
        <w:tc>
          <w:tcPr>
            <w:tcW w:w="160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9"/>
        </w:trPr>
        <w:tc>
          <w:tcPr>
            <w:tcW w:w="1860" w:type="dxa"/>
            <w:vAlign w:val="bottom"/>
            <w:tcBorders>
              <w:bottom w:val="single" w:sz="8" w:color="B2B2B2"/>
            </w:tcBorders>
          </w:tcPr>
          <w:p>
            <w:pPr>
              <w:spacing w:after="0"/>
              <w:rPr>
                <w:sz w:val="2"/>
                <w:szCs w:val="2"/>
                <w:color w:val="auto"/>
              </w:rPr>
            </w:pPr>
          </w:p>
        </w:tc>
        <w:tc>
          <w:tcPr>
            <w:tcW w:w="1720" w:type="dxa"/>
            <w:vAlign w:val="bottom"/>
            <w:tcBorders>
              <w:bottom w:val="single" w:sz="8" w:color="B2B2B2"/>
            </w:tcBorders>
          </w:tcPr>
          <w:p>
            <w:pPr>
              <w:spacing w:after="0"/>
              <w:rPr>
                <w:sz w:val="2"/>
                <w:szCs w:val="2"/>
                <w:color w:val="auto"/>
              </w:rPr>
            </w:pPr>
          </w:p>
        </w:tc>
        <w:tc>
          <w:tcPr>
            <w:tcW w:w="3000" w:type="dxa"/>
            <w:vAlign w:val="bottom"/>
            <w:tcBorders>
              <w:bottom w:val="single" w:sz="8" w:color="B2B2B2"/>
            </w:tcBorders>
          </w:tcPr>
          <w:p>
            <w:pPr>
              <w:spacing w:after="0"/>
              <w:rPr>
                <w:sz w:val="2"/>
                <w:szCs w:val="2"/>
                <w:color w:val="auto"/>
              </w:rPr>
            </w:pPr>
          </w:p>
        </w:tc>
        <w:tc>
          <w:tcPr>
            <w:tcW w:w="1600" w:type="dxa"/>
            <w:vAlign w:val="bottom"/>
            <w:tcBorders>
              <w:bottom w:val="single" w:sz="8" w:color="B2B2B2"/>
            </w:tcBorders>
          </w:tcPr>
          <w:p>
            <w:pPr>
              <w:spacing w:after="0"/>
              <w:rPr>
                <w:sz w:val="2"/>
                <w:szCs w:val="2"/>
                <w:color w:val="auto"/>
              </w:rPr>
            </w:pPr>
          </w:p>
        </w:tc>
        <w:tc>
          <w:tcPr>
            <w:tcW w:w="3060" w:type="dxa"/>
            <w:vAlign w:val="bottom"/>
            <w:tcBorders>
              <w:bottom w:val="single" w:sz="8" w:color="B2B2B2"/>
            </w:tcBorders>
          </w:tcPr>
          <w:p>
            <w:pPr>
              <w:spacing w:after="0"/>
              <w:rPr>
                <w:sz w:val="2"/>
                <w:szCs w:val="2"/>
                <w:color w:val="auto"/>
              </w:rPr>
            </w:pPr>
          </w:p>
        </w:tc>
      </w:tr>
      <w:tr>
        <w:trPr>
          <w:trHeight w:val="216"/>
        </w:trPr>
        <w:tc>
          <w:tcPr>
            <w:tcW w:w="18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Audit matters:</w:t>
            </w:r>
          </w:p>
        </w:tc>
        <w:tc>
          <w:tcPr>
            <w:tcW w:w="1720" w:type="dxa"/>
            <w:vAlign w:val="bottom"/>
            <w:tcBorders>
              <w:bottom w:val="single" w:sz="8" w:color="B2B2B2"/>
            </w:tcBorders>
          </w:tcPr>
          <w:p>
            <w:pPr>
              <w:spacing w:after="0"/>
              <w:rPr>
                <w:sz w:val="18"/>
                <w:szCs w:val="18"/>
                <w:color w:val="auto"/>
              </w:rPr>
            </w:pPr>
          </w:p>
        </w:tc>
        <w:tc>
          <w:tcPr>
            <w:tcW w:w="3000" w:type="dxa"/>
            <w:vAlign w:val="bottom"/>
            <w:tcBorders>
              <w:bottom w:val="single" w:sz="8" w:color="B2B2B2"/>
            </w:tcBorders>
          </w:tcPr>
          <w:p>
            <w:pPr>
              <w:spacing w:after="0"/>
              <w:rPr>
                <w:sz w:val="18"/>
                <w:szCs w:val="18"/>
                <w:color w:val="auto"/>
              </w:rPr>
            </w:pPr>
          </w:p>
        </w:tc>
        <w:tc>
          <w:tcPr>
            <w:tcW w:w="1600" w:type="dxa"/>
            <w:vAlign w:val="bottom"/>
            <w:tcBorders>
              <w:bottom w:val="single" w:sz="8" w:color="B2B2B2"/>
            </w:tcBorders>
          </w:tcPr>
          <w:p>
            <w:pPr>
              <w:spacing w:after="0"/>
              <w:rPr>
                <w:sz w:val="18"/>
                <w:szCs w:val="18"/>
                <w:color w:val="auto"/>
              </w:rPr>
            </w:pPr>
          </w:p>
        </w:tc>
        <w:tc>
          <w:tcPr>
            <w:tcW w:w="3060" w:type="dxa"/>
            <w:vAlign w:val="bottom"/>
            <w:tcBorders>
              <w:bottom w:val="single" w:sz="8" w:color="B2B2B2"/>
            </w:tcBorders>
          </w:tcPr>
          <w:p>
            <w:pPr>
              <w:spacing w:after="0"/>
              <w:rPr>
                <w:sz w:val="18"/>
                <w:szCs w:val="18"/>
                <w:color w:val="auto"/>
              </w:rPr>
            </w:pPr>
          </w:p>
        </w:tc>
      </w:tr>
      <w:tr>
        <w:trPr>
          <w:trHeight w:val="228"/>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Ratification of independent FOR, AGAINST or</w:t>
            </w:r>
          </w:p>
        </w:tc>
        <w:tc>
          <w:tcPr>
            <w:tcW w:w="3000" w:type="dxa"/>
            <w:vAlign w:val="bottom"/>
          </w:tcPr>
          <w:p>
            <w:pPr>
              <w:ind w:left="220"/>
              <w:spacing w:after="0"/>
              <w:rPr>
                <w:sz w:val="20"/>
                <w:szCs w:val="20"/>
                <w:color w:val="auto"/>
              </w:rPr>
            </w:pPr>
            <w:r>
              <w:rPr>
                <w:rFonts w:ascii="Arial" w:cs="Arial" w:eastAsia="Arial" w:hAnsi="Arial"/>
                <w:sz w:val="16"/>
                <w:szCs w:val="16"/>
                <w:color w:val="auto"/>
              </w:rPr>
              <w:t>Majority of the shares present or</w:t>
            </w:r>
          </w:p>
        </w:tc>
        <w:tc>
          <w:tcPr>
            <w:tcW w:w="1600" w:type="dxa"/>
            <w:vAlign w:val="bottom"/>
          </w:tcPr>
          <w:p>
            <w:pPr>
              <w:ind w:left="180"/>
              <w:spacing w:after="0"/>
              <w:rPr>
                <w:sz w:val="20"/>
                <w:szCs w:val="20"/>
                <w:color w:val="auto"/>
              </w:rPr>
            </w:pPr>
            <w:r>
              <w:rPr>
                <w:rFonts w:ascii="Arial" w:cs="Arial" w:eastAsia="Arial" w:hAnsi="Arial"/>
                <w:sz w:val="16"/>
                <w:szCs w:val="16"/>
                <w:color w:val="auto"/>
              </w:rPr>
              <w:t>Counts as a vote</w:t>
            </w:r>
          </w:p>
        </w:tc>
        <w:tc>
          <w:tcPr>
            <w:tcW w:w="3060" w:type="dxa"/>
            <w:vAlign w:val="bottom"/>
          </w:tcPr>
          <w:p>
            <w:pPr>
              <w:ind w:left="200"/>
              <w:spacing w:after="0"/>
              <w:rPr>
                <w:sz w:val="20"/>
                <w:szCs w:val="20"/>
                <w:color w:val="auto"/>
              </w:rPr>
            </w:pPr>
            <w:r>
              <w:rPr>
                <w:rFonts w:ascii="Arial" w:cs="Arial" w:eastAsia="Arial" w:hAnsi="Arial"/>
                <w:sz w:val="16"/>
                <w:szCs w:val="16"/>
                <w:color w:val="auto"/>
              </w:rPr>
              <w:t>N/A — the organization that holds</w:t>
            </w:r>
          </w:p>
        </w:tc>
      </w:tr>
      <w:tr>
        <w:trPr>
          <w:trHeight w:val="204"/>
        </w:trPr>
        <w:tc>
          <w:tcPr>
            <w:tcW w:w="1860" w:type="dxa"/>
            <w:vAlign w:val="bottom"/>
          </w:tcPr>
          <w:p>
            <w:pPr>
              <w:ind w:left="20"/>
              <w:spacing w:after="0"/>
              <w:rPr>
                <w:sz w:val="20"/>
                <w:szCs w:val="20"/>
                <w:color w:val="auto"/>
              </w:rPr>
            </w:pPr>
            <w:r>
              <w:rPr>
                <w:rFonts w:ascii="Arial" w:cs="Arial" w:eastAsia="Arial" w:hAnsi="Arial"/>
                <w:sz w:val="16"/>
                <w:szCs w:val="16"/>
                <w:color w:val="auto"/>
              </w:rPr>
              <w:t>auditor</w:t>
            </w:r>
          </w:p>
        </w:tc>
        <w:tc>
          <w:tcPr>
            <w:tcW w:w="1720" w:type="dxa"/>
            <w:vAlign w:val="bottom"/>
          </w:tcPr>
          <w:p>
            <w:pPr>
              <w:ind w:left="160"/>
              <w:spacing w:after="0"/>
              <w:rPr>
                <w:sz w:val="20"/>
                <w:szCs w:val="20"/>
                <w:color w:val="auto"/>
              </w:rPr>
            </w:pPr>
            <w:r>
              <w:rPr>
                <w:rFonts w:ascii="Arial" w:cs="Arial" w:eastAsia="Arial" w:hAnsi="Arial"/>
                <w:sz w:val="16"/>
                <w:szCs w:val="16"/>
                <w:color w:val="auto"/>
              </w:rPr>
              <w:t>ABSTAIN</w:t>
            </w:r>
          </w:p>
        </w:tc>
        <w:tc>
          <w:tcPr>
            <w:tcW w:w="3000" w:type="dxa"/>
            <w:vAlign w:val="bottom"/>
          </w:tcPr>
          <w:p>
            <w:pPr>
              <w:ind w:left="220"/>
              <w:spacing w:after="0"/>
              <w:rPr>
                <w:sz w:val="20"/>
                <w:szCs w:val="20"/>
                <w:color w:val="auto"/>
              </w:rPr>
            </w:pPr>
            <w:r>
              <w:rPr>
                <w:rFonts w:ascii="Arial" w:cs="Arial" w:eastAsia="Arial" w:hAnsi="Arial"/>
                <w:sz w:val="16"/>
                <w:szCs w:val="16"/>
                <w:color w:val="auto"/>
              </w:rPr>
              <w:t>represented by proxy and entitled to</w:t>
            </w:r>
          </w:p>
        </w:tc>
        <w:tc>
          <w:tcPr>
            <w:tcW w:w="1600" w:type="dxa"/>
            <w:vAlign w:val="bottom"/>
          </w:tcPr>
          <w:p>
            <w:pPr>
              <w:ind w:left="180"/>
              <w:spacing w:after="0"/>
              <w:rPr>
                <w:sz w:val="20"/>
                <w:szCs w:val="20"/>
                <w:color w:val="auto"/>
              </w:rPr>
            </w:pPr>
            <w:r>
              <w:rPr>
                <w:rFonts w:ascii="Arial" w:cs="Arial" w:eastAsia="Arial" w:hAnsi="Arial"/>
                <w:sz w:val="16"/>
                <w:szCs w:val="16"/>
                <w:color w:val="auto"/>
              </w:rPr>
              <w:t>AGAINST</w:t>
            </w:r>
          </w:p>
        </w:tc>
        <w:tc>
          <w:tcPr>
            <w:tcW w:w="3060" w:type="dxa"/>
            <w:vAlign w:val="bottom"/>
          </w:tcPr>
          <w:p>
            <w:pPr>
              <w:ind w:left="200"/>
              <w:spacing w:after="0"/>
              <w:rPr>
                <w:sz w:val="20"/>
                <w:szCs w:val="20"/>
                <w:color w:val="auto"/>
              </w:rPr>
            </w:pPr>
            <w:r>
              <w:rPr>
                <w:rFonts w:ascii="Arial" w:cs="Arial" w:eastAsia="Arial" w:hAnsi="Arial"/>
                <w:sz w:val="16"/>
                <w:szCs w:val="16"/>
                <w:color w:val="auto"/>
              </w:rPr>
              <w:t>shares of beneficial owners may vote in</w:t>
            </w:r>
          </w:p>
        </w:tc>
      </w:tr>
      <w:tr>
        <w:trPr>
          <w:trHeight w:val="215"/>
        </w:trPr>
        <w:tc>
          <w:tcPr>
            <w:tcW w:w="1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6"/>
                <w:szCs w:val="16"/>
                <w:color w:val="auto"/>
              </w:rPr>
              <w:t>vote on the proposal</w:t>
            </w:r>
          </w:p>
        </w:tc>
        <w:tc>
          <w:tcPr>
            <w:tcW w:w="160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6"/>
                <w:szCs w:val="16"/>
                <w:color w:val="auto"/>
              </w:rPr>
              <w:t>their discretion</w:t>
            </w:r>
          </w:p>
        </w:tc>
      </w:tr>
      <w:tr>
        <w:trPr>
          <w:trHeight w:val="29"/>
        </w:trPr>
        <w:tc>
          <w:tcPr>
            <w:tcW w:w="1860" w:type="dxa"/>
            <w:vAlign w:val="bottom"/>
            <w:tcBorders>
              <w:bottom w:val="single" w:sz="8" w:color="B2B2B2"/>
            </w:tcBorders>
          </w:tcPr>
          <w:p>
            <w:pPr>
              <w:spacing w:after="0"/>
              <w:rPr>
                <w:sz w:val="2"/>
                <w:szCs w:val="2"/>
                <w:color w:val="auto"/>
              </w:rPr>
            </w:pPr>
          </w:p>
        </w:tc>
        <w:tc>
          <w:tcPr>
            <w:tcW w:w="1720" w:type="dxa"/>
            <w:vAlign w:val="bottom"/>
            <w:tcBorders>
              <w:bottom w:val="single" w:sz="8" w:color="B2B2B2"/>
            </w:tcBorders>
          </w:tcPr>
          <w:p>
            <w:pPr>
              <w:spacing w:after="0"/>
              <w:rPr>
                <w:sz w:val="2"/>
                <w:szCs w:val="2"/>
                <w:color w:val="auto"/>
              </w:rPr>
            </w:pPr>
          </w:p>
        </w:tc>
        <w:tc>
          <w:tcPr>
            <w:tcW w:w="3000" w:type="dxa"/>
            <w:vAlign w:val="bottom"/>
            <w:tcBorders>
              <w:bottom w:val="single" w:sz="8" w:color="B2B2B2"/>
            </w:tcBorders>
          </w:tcPr>
          <w:p>
            <w:pPr>
              <w:spacing w:after="0"/>
              <w:rPr>
                <w:sz w:val="2"/>
                <w:szCs w:val="2"/>
                <w:color w:val="auto"/>
              </w:rPr>
            </w:pPr>
          </w:p>
        </w:tc>
        <w:tc>
          <w:tcPr>
            <w:tcW w:w="1600" w:type="dxa"/>
            <w:vAlign w:val="bottom"/>
            <w:tcBorders>
              <w:bottom w:val="single" w:sz="8" w:color="B2B2B2"/>
            </w:tcBorders>
          </w:tcPr>
          <w:p>
            <w:pPr>
              <w:spacing w:after="0"/>
              <w:rPr>
                <w:sz w:val="2"/>
                <w:szCs w:val="2"/>
                <w:color w:val="auto"/>
              </w:rPr>
            </w:pPr>
          </w:p>
        </w:tc>
        <w:tc>
          <w:tcPr>
            <w:tcW w:w="3060" w:type="dxa"/>
            <w:vAlign w:val="bottom"/>
            <w:tcBorders>
              <w:bottom w:val="single" w:sz="8" w:color="B2B2B2"/>
            </w:tcBorders>
          </w:tcPr>
          <w:p>
            <w:pPr>
              <w:spacing w:after="0"/>
              <w:rPr>
                <w:sz w:val="2"/>
                <w:szCs w:val="2"/>
                <w:color w:val="auto"/>
              </w:rPr>
            </w:pPr>
          </w:p>
        </w:tc>
      </w:tr>
      <w:tr>
        <w:trPr>
          <w:trHeight w:val="217"/>
        </w:trPr>
        <w:tc>
          <w:tcPr>
            <w:tcW w:w="186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8F5A39"/>
              </w:rPr>
              <w:t>Shareholder proposals:</w:t>
            </w:r>
          </w:p>
        </w:tc>
        <w:tc>
          <w:tcPr>
            <w:tcW w:w="1720" w:type="dxa"/>
            <w:vAlign w:val="bottom"/>
            <w:tcBorders>
              <w:bottom w:val="single" w:sz="8" w:color="B2B2B2"/>
            </w:tcBorders>
          </w:tcPr>
          <w:p>
            <w:pPr>
              <w:spacing w:after="0"/>
              <w:rPr>
                <w:sz w:val="18"/>
                <w:szCs w:val="18"/>
                <w:color w:val="auto"/>
              </w:rPr>
            </w:pPr>
          </w:p>
        </w:tc>
        <w:tc>
          <w:tcPr>
            <w:tcW w:w="3000" w:type="dxa"/>
            <w:vAlign w:val="bottom"/>
            <w:tcBorders>
              <w:bottom w:val="single" w:sz="8" w:color="B2B2B2"/>
            </w:tcBorders>
          </w:tcPr>
          <w:p>
            <w:pPr>
              <w:spacing w:after="0"/>
              <w:rPr>
                <w:sz w:val="18"/>
                <w:szCs w:val="18"/>
                <w:color w:val="auto"/>
              </w:rPr>
            </w:pPr>
          </w:p>
        </w:tc>
        <w:tc>
          <w:tcPr>
            <w:tcW w:w="1600" w:type="dxa"/>
            <w:vAlign w:val="bottom"/>
            <w:tcBorders>
              <w:bottom w:val="single" w:sz="8" w:color="B2B2B2"/>
            </w:tcBorders>
          </w:tcPr>
          <w:p>
            <w:pPr>
              <w:spacing w:after="0"/>
              <w:rPr>
                <w:sz w:val="18"/>
                <w:szCs w:val="18"/>
                <w:color w:val="auto"/>
              </w:rPr>
            </w:pPr>
          </w:p>
        </w:tc>
        <w:tc>
          <w:tcPr>
            <w:tcW w:w="3060" w:type="dxa"/>
            <w:vAlign w:val="bottom"/>
            <w:tcBorders>
              <w:bottom w:val="single" w:sz="8" w:color="B2B2B2"/>
            </w:tcBorders>
          </w:tcPr>
          <w:p>
            <w:pPr>
              <w:spacing w:after="0"/>
              <w:rPr>
                <w:sz w:val="18"/>
                <w:szCs w:val="18"/>
                <w:color w:val="auto"/>
              </w:rPr>
            </w:pPr>
          </w:p>
        </w:tc>
      </w:tr>
      <w:tr>
        <w:trPr>
          <w:trHeight w:val="228"/>
        </w:trPr>
        <w:tc>
          <w:tcPr>
            <w:tcW w:w="1860" w:type="dxa"/>
            <w:vAlign w:val="bottom"/>
          </w:tcPr>
          <w:p>
            <w:pPr>
              <w:ind w:left="20"/>
              <w:spacing w:after="0"/>
              <w:rPr>
                <w:sz w:val="20"/>
                <w:szCs w:val="20"/>
                <w:color w:val="auto"/>
              </w:rPr>
            </w:pPr>
            <w:r>
              <w:rPr>
                <w:rFonts w:ascii="Arial" w:cs="Arial" w:eastAsia="Arial" w:hAnsi="Arial"/>
                <w:sz w:val="16"/>
                <w:szCs w:val="16"/>
                <w:color w:val="auto"/>
              </w:rPr>
              <w:t>Voting requirements for</w:t>
            </w:r>
          </w:p>
        </w:tc>
        <w:tc>
          <w:tcPr>
            <w:tcW w:w="1720" w:type="dxa"/>
            <w:vAlign w:val="bottom"/>
          </w:tcPr>
          <w:p>
            <w:pPr>
              <w:ind w:left="160"/>
              <w:spacing w:after="0"/>
              <w:rPr>
                <w:sz w:val="20"/>
                <w:szCs w:val="20"/>
                <w:color w:val="auto"/>
              </w:rPr>
            </w:pPr>
            <w:r>
              <w:rPr>
                <w:rFonts w:ascii="Arial" w:cs="Arial" w:eastAsia="Arial" w:hAnsi="Arial"/>
                <w:sz w:val="16"/>
                <w:szCs w:val="16"/>
                <w:color w:val="auto"/>
              </w:rPr>
              <w:t>FOR, AGAINST or</w:t>
            </w:r>
          </w:p>
        </w:tc>
        <w:tc>
          <w:tcPr>
            <w:tcW w:w="3000" w:type="dxa"/>
            <w:vAlign w:val="bottom"/>
          </w:tcPr>
          <w:p>
            <w:pPr>
              <w:ind w:left="220"/>
              <w:spacing w:after="0"/>
              <w:rPr>
                <w:sz w:val="20"/>
                <w:szCs w:val="20"/>
                <w:color w:val="auto"/>
              </w:rPr>
            </w:pPr>
            <w:r>
              <w:rPr>
                <w:rFonts w:ascii="Arial" w:cs="Arial" w:eastAsia="Arial" w:hAnsi="Arial"/>
                <w:sz w:val="16"/>
                <w:szCs w:val="16"/>
                <w:color w:val="auto"/>
              </w:rPr>
              <w:t>Majority of the shares present or</w:t>
            </w:r>
          </w:p>
        </w:tc>
        <w:tc>
          <w:tcPr>
            <w:tcW w:w="1600" w:type="dxa"/>
            <w:vAlign w:val="bottom"/>
          </w:tcPr>
          <w:p>
            <w:pPr>
              <w:ind w:left="180"/>
              <w:spacing w:after="0"/>
              <w:rPr>
                <w:sz w:val="20"/>
                <w:szCs w:val="20"/>
                <w:color w:val="auto"/>
              </w:rPr>
            </w:pPr>
            <w:r>
              <w:rPr>
                <w:rFonts w:ascii="Arial" w:cs="Arial" w:eastAsia="Arial" w:hAnsi="Arial"/>
                <w:sz w:val="16"/>
                <w:szCs w:val="16"/>
                <w:color w:val="auto"/>
              </w:rPr>
              <w:t>Counts as a vote</w:t>
            </w:r>
          </w:p>
        </w:tc>
        <w:tc>
          <w:tcPr>
            <w:tcW w:w="3060" w:type="dxa"/>
            <w:vAlign w:val="bottom"/>
          </w:tcPr>
          <w:p>
            <w:pPr>
              <w:ind w:left="200"/>
              <w:spacing w:after="0"/>
              <w:rPr>
                <w:sz w:val="20"/>
                <w:szCs w:val="20"/>
                <w:color w:val="auto"/>
              </w:rPr>
            </w:pPr>
            <w:r>
              <w:rPr>
                <w:rFonts w:ascii="Arial" w:cs="Arial" w:eastAsia="Arial" w:hAnsi="Arial"/>
                <w:sz w:val="16"/>
                <w:szCs w:val="16"/>
                <w:color w:val="auto"/>
              </w:rPr>
              <w:t>No effect — not entitled to vote</w:t>
            </w:r>
          </w:p>
        </w:tc>
      </w:tr>
      <w:tr>
        <w:trPr>
          <w:trHeight w:val="204"/>
        </w:trPr>
        <w:tc>
          <w:tcPr>
            <w:tcW w:w="1860" w:type="dxa"/>
            <w:vAlign w:val="bottom"/>
          </w:tcPr>
          <w:p>
            <w:pPr>
              <w:ind w:left="20"/>
              <w:spacing w:after="0"/>
              <w:rPr>
                <w:sz w:val="20"/>
                <w:szCs w:val="20"/>
                <w:color w:val="auto"/>
              </w:rPr>
            </w:pPr>
            <w:r>
              <w:rPr>
                <w:rFonts w:ascii="Arial" w:cs="Arial" w:eastAsia="Arial" w:hAnsi="Arial"/>
                <w:sz w:val="16"/>
                <w:szCs w:val="16"/>
                <w:color w:val="auto"/>
              </w:rPr>
              <w:t>each proposal are the</w:t>
            </w:r>
          </w:p>
        </w:tc>
        <w:tc>
          <w:tcPr>
            <w:tcW w:w="1720" w:type="dxa"/>
            <w:vAlign w:val="bottom"/>
          </w:tcPr>
          <w:p>
            <w:pPr>
              <w:ind w:left="160"/>
              <w:spacing w:after="0"/>
              <w:rPr>
                <w:sz w:val="20"/>
                <w:szCs w:val="20"/>
                <w:color w:val="auto"/>
              </w:rPr>
            </w:pPr>
            <w:r>
              <w:rPr>
                <w:rFonts w:ascii="Arial" w:cs="Arial" w:eastAsia="Arial" w:hAnsi="Arial"/>
                <w:sz w:val="16"/>
                <w:szCs w:val="16"/>
                <w:color w:val="auto"/>
              </w:rPr>
              <w:t>ABSTAIN</w:t>
            </w:r>
          </w:p>
        </w:tc>
        <w:tc>
          <w:tcPr>
            <w:tcW w:w="3000" w:type="dxa"/>
            <w:vAlign w:val="bottom"/>
          </w:tcPr>
          <w:p>
            <w:pPr>
              <w:ind w:left="220"/>
              <w:spacing w:after="0"/>
              <w:rPr>
                <w:sz w:val="20"/>
                <w:szCs w:val="20"/>
                <w:color w:val="auto"/>
              </w:rPr>
            </w:pPr>
            <w:r>
              <w:rPr>
                <w:rFonts w:ascii="Arial" w:cs="Arial" w:eastAsia="Arial" w:hAnsi="Arial"/>
                <w:sz w:val="16"/>
                <w:szCs w:val="16"/>
                <w:color w:val="auto"/>
              </w:rPr>
              <w:t>represented by proxy and entitled to</w:t>
            </w:r>
          </w:p>
        </w:tc>
        <w:tc>
          <w:tcPr>
            <w:tcW w:w="1600" w:type="dxa"/>
            <w:vAlign w:val="bottom"/>
          </w:tcPr>
          <w:p>
            <w:pPr>
              <w:ind w:left="180"/>
              <w:spacing w:after="0"/>
              <w:rPr>
                <w:sz w:val="20"/>
                <w:szCs w:val="20"/>
                <w:color w:val="auto"/>
              </w:rPr>
            </w:pPr>
            <w:r>
              <w:rPr>
                <w:rFonts w:ascii="Arial" w:cs="Arial" w:eastAsia="Arial" w:hAnsi="Arial"/>
                <w:sz w:val="16"/>
                <w:szCs w:val="16"/>
                <w:color w:val="auto"/>
              </w:rPr>
              <w:t>AGAINST</w:t>
            </w:r>
          </w:p>
        </w:tc>
        <w:tc>
          <w:tcPr>
            <w:tcW w:w="3060" w:type="dxa"/>
            <w:vAlign w:val="bottom"/>
          </w:tcPr>
          <w:p>
            <w:pPr>
              <w:spacing w:after="0"/>
              <w:rPr>
                <w:sz w:val="17"/>
                <w:szCs w:val="17"/>
                <w:color w:val="auto"/>
              </w:rPr>
            </w:pPr>
          </w:p>
        </w:tc>
      </w:tr>
      <w:tr>
        <w:trPr>
          <w:trHeight w:val="215"/>
        </w:trPr>
        <w:tc>
          <w:tcPr>
            <w:tcW w:w="1860" w:type="dxa"/>
            <w:vAlign w:val="bottom"/>
          </w:tcPr>
          <w:p>
            <w:pPr>
              <w:ind w:left="20"/>
              <w:spacing w:after="0"/>
              <w:rPr>
                <w:sz w:val="20"/>
                <w:szCs w:val="20"/>
                <w:color w:val="auto"/>
              </w:rPr>
            </w:pPr>
            <w:r>
              <w:rPr>
                <w:rFonts w:ascii="Arial" w:cs="Arial" w:eastAsia="Arial" w:hAnsi="Arial"/>
                <w:sz w:val="16"/>
                <w:szCs w:val="16"/>
                <w:color w:val="auto"/>
              </w:rPr>
              <w:t>same</w:t>
            </w:r>
          </w:p>
        </w:tc>
        <w:tc>
          <w:tcPr>
            <w:tcW w:w="172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6"/>
                <w:szCs w:val="16"/>
                <w:color w:val="auto"/>
              </w:rPr>
              <w:t>vote on the proposal</w:t>
            </w:r>
          </w:p>
        </w:tc>
        <w:tc>
          <w:tcPr>
            <w:tcW w:w="160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9"/>
        </w:trPr>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ind w:left="200" w:hanging="192"/>
        <w:spacing w:after="0"/>
        <w:tabs>
          <w:tab w:leader="none" w:pos="200" w:val="left"/>
        </w:tabs>
        <w:numPr>
          <w:ilvl w:val="0"/>
          <w:numId w:val="296"/>
        </w:numPr>
        <w:rPr>
          <w:rFonts w:ascii="Arial" w:cs="Arial" w:eastAsia="Arial" w:hAnsi="Arial"/>
          <w:sz w:val="18"/>
          <w:szCs w:val="18"/>
          <w:color w:val="auto"/>
          <w:vertAlign w:val="superscript"/>
        </w:rPr>
      </w:pPr>
      <w:r>
        <w:rPr>
          <w:rFonts w:ascii="Arial" w:cs="Arial" w:eastAsia="Arial" w:hAnsi="Arial"/>
          <w:sz w:val="12"/>
          <w:szCs w:val="12"/>
          <w:color w:val="auto"/>
        </w:rPr>
        <w:t>For election of directors, abstentions have no effect because the required vote is determined as follows: votes FOR divided by the sum of votes FOR plus votes AGAINST. For all other proposals</w:t>
      </w:r>
    </w:p>
    <w:p>
      <w:pPr>
        <w:ind w:left="200" w:right="320"/>
        <w:spacing w:after="0" w:line="229" w:lineRule="auto"/>
        <w:rPr>
          <w:rFonts w:ascii="Arial" w:cs="Arial" w:eastAsia="Arial" w:hAnsi="Arial"/>
          <w:sz w:val="18"/>
          <w:szCs w:val="18"/>
          <w:color w:val="auto"/>
          <w:vertAlign w:val="superscript"/>
        </w:rPr>
      </w:pPr>
      <w:r>
        <w:rPr>
          <w:rFonts w:ascii="Arial" w:cs="Arial" w:eastAsia="Arial" w:hAnsi="Arial"/>
          <w:sz w:val="13"/>
          <w:szCs w:val="13"/>
          <w:color w:val="auto"/>
        </w:rPr>
        <w:t>(management and shareholder), abstentions are counted as a vote AGAINST the proposal because the required vote is determined as follows: votes FOR divided by the sum of votes FOR plus votes AGAINST plus votes ABSTAINING.</w:t>
      </w:r>
    </w:p>
    <w:p>
      <w:pPr>
        <w:ind w:left="200" w:hanging="192"/>
        <w:spacing w:after="0" w:line="201" w:lineRule="auto"/>
        <w:tabs>
          <w:tab w:leader="none" w:pos="200" w:val="left"/>
        </w:tabs>
        <w:numPr>
          <w:ilvl w:val="0"/>
          <w:numId w:val="297"/>
        </w:numPr>
        <w:rPr>
          <w:rFonts w:ascii="Arial" w:cs="Arial" w:eastAsia="Arial" w:hAnsi="Arial"/>
          <w:sz w:val="18"/>
          <w:szCs w:val="18"/>
          <w:color w:val="auto"/>
          <w:vertAlign w:val="superscript"/>
        </w:rPr>
      </w:pPr>
      <w:r>
        <w:rPr>
          <w:rFonts w:ascii="Arial" w:cs="Arial" w:eastAsia="Arial" w:hAnsi="Arial"/>
          <w:sz w:val="12"/>
          <w:szCs w:val="12"/>
          <w:color w:val="auto"/>
        </w:rPr>
        <w:t>For all proposals (management and shareholder) other than ratification of the independent auditor, broker non-votes have no effect because they are not considered shares entitled to vote on the</w:t>
      </w:r>
    </w:p>
    <w:p>
      <w:pPr>
        <w:ind w:left="200"/>
        <w:spacing w:after="0" w:line="199" w:lineRule="auto"/>
        <w:rPr>
          <w:sz w:val="20"/>
          <w:szCs w:val="20"/>
          <w:color w:val="auto"/>
        </w:rPr>
      </w:pPr>
      <w:r>
        <w:rPr>
          <w:rFonts w:ascii="Arial" w:cs="Arial" w:eastAsia="Arial" w:hAnsi="Arial"/>
          <w:sz w:val="13"/>
          <w:szCs w:val="13"/>
          <w:color w:val="auto"/>
        </w:rPr>
        <w:t>proposal.</w:t>
      </w:r>
    </w:p>
    <w:p>
      <w:pPr>
        <w:spacing w:after="0" w:line="13" w:lineRule="exact"/>
        <w:rPr>
          <w:sz w:val="20"/>
          <w:szCs w:val="20"/>
          <w:color w:val="auto"/>
        </w:rPr>
      </w:pPr>
    </w:p>
    <w:p>
      <w:pPr>
        <w:ind w:left="200" w:right="160" w:hanging="192"/>
        <w:spacing w:after="0" w:line="206" w:lineRule="auto"/>
        <w:tabs>
          <w:tab w:leader="none" w:pos="193" w:val="left"/>
        </w:tabs>
        <w:numPr>
          <w:ilvl w:val="0"/>
          <w:numId w:val="298"/>
        </w:numPr>
        <w:rPr>
          <w:rFonts w:ascii="Arial" w:cs="Arial" w:eastAsia="Arial" w:hAnsi="Arial"/>
          <w:sz w:val="19"/>
          <w:szCs w:val="19"/>
          <w:color w:val="auto"/>
          <w:vertAlign w:val="superscript"/>
        </w:rPr>
      </w:pPr>
      <w:r>
        <w:rPr>
          <w:rFonts w:ascii="Arial" w:cs="Arial" w:eastAsia="Arial" w:hAnsi="Arial"/>
          <w:sz w:val="13"/>
          <w:szCs w:val="13"/>
          <w:color w:val="auto"/>
        </w:rPr>
        <w:t>If, in a non-contested election of directors, an incumbent nominee for director is not re-elected by a majority of votes cast, such nominee must tender their resignation, and the Board of Directors, through a process managed by the Governance Committee, will decide whether to accept the resignation at its next regular meeting. Unless the Board decides to reject the offer or to postpone the effective date, the resignation shall become effective 45 days after the date of the election.</w:t>
      </w:r>
    </w:p>
    <w:p>
      <w:pPr>
        <w:ind w:left="200" w:hanging="192"/>
        <w:spacing w:after="0" w:line="198" w:lineRule="auto"/>
        <w:tabs>
          <w:tab w:leader="none" w:pos="200" w:val="left"/>
        </w:tabs>
        <w:numPr>
          <w:ilvl w:val="0"/>
          <w:numId w:val="299"/>
        </w:numPr>
        <w:rPr>
          <w:rFonts w:ascii="Arial" w:cs="Arial" w:eastAsia="Arial" w:hAnsi="Arial"/>
          <w:sz w:val="19"/>
          <w:szCs w:val="19"/>
          <w:color w:val="auto"/>
          <w:vertAlign w:val="superscript"/>
        </w:rPr>
      </w:pPr>
      <w:r>
        <w:rPr>
          <w:rFonts w:ascii="Arial" w:cs="Arial" w:eastAsia="Arial" w:hAnsi="Arial"/>
          <w:sz w:val="13"/>
          <w:szCs w:val="13"/>
          <w:color w:val="auto"/>
        </w:rPr>
        <w:t>The result of the advisory vote on compensation is not binding on the Board, whether or not the resolution is passed under the standard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386715</wp:posOffset>
            </wp:positionV>
            <wp:extent cx="651510" cy="8572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Information about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auto"/>
        </w:rPr>
        <w:t>Is my vote confidential?</w:t>
      </w:r>
    </w:p>
    <w:p>
      <w:pPr>
        <w:spacing w:after="0" w:line="45"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Proxy instructions, ballots and voting tabulations that identify individual shareholders are handled in a manner that protects your voting privacy. JPMorganChase will not disclose the proxy instructions or ballots of individual shareholders except to those recording the vote, or as may be required in accordance with appropriate legal process, or as authorized by the shareholder.</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auto"/>
        </w:rPr>
        <w:t>Could other matters be decided at the 2026 annual meeting?</w:t>
      </w:r>
    </w:p>
    <w:p>
      <w:pPr>
        <w:spacing w:after="0" w:line="4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do not know of any matters that will be considered at the annual meeting other than those described above. If a shareholder proposal that was properly excluded from this proxy statement or is otherwise not properly presented at the meeting is nevertheless brought before the meeting, the Chair will declare such a proposal out of order, and it will be disregarded. If any other matters arise at the annual meeting that are properly presented at the meeting, the proxies will be voted at the discretion of the proxy holders.</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auto"/>
        </w:rPr>
        <w:t>What happens if the meeting is postponed or adjourned?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Your proxy will still be good and may be voted at the postponed or adjourned meeting. You will still be able to change or revoke your proxy until it is voted.</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auto"/>
        </w:rPr>
        <w:t>Who counts the votes cast at our annual meeting?</w:t>
      </w:r>
    </w:p>
    <w:p>
      <w:pPr>
        <w:spacing w:after="0" w:line="45"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Representatives of Broadridge Financial Solutions, Inc. will tabulate the votes cast at our annual meeting, and American Election Services, LLC will act as the independent inspector of election.</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auto"/>
        </w:rPr>
        <w:t>Where can I find the voting results of our annual meeting?</w:t>
      </w:r>
    </w:p>
    <w:p>
      <w:pPr>
        <w:spacing w:after="0" w:line="58"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We expect to announce the preliminary voting results at our annual meeting. The final voting results will be reported on a Current Report on Form 8-K that will be filed with the SEC and be available on our website.</w:t>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auto"/>
        </w:rPr>
        <w:t>Who is paying the costs of this proxy solicitation?</w:t>
      </w:r>
    </w:p>
    <w:p>
      <w:pPr>
        <w:spacing w:after="0" w:line="5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JPMorganChase is paying the costs of the solicitation of proxies. JPMorganChase has retained MacKenzie Partners, Inc. to assist in the distribution of proxy materials and the solicitation of proxies from brokerage firms, banks, broker-dealers and other similar organizations representing beneficial owners of shares. We have agreed to pay MacKenzie Partners a fee of approximately $55,000 plus reimbursement of certain out-of-pocket expenses.</w:t>
      </w:r>
    </w:p>
    <w:p>
      <w:pPr>
        <w:spacing w:after="0" w:line="91"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auto"/>
        </w:rPr>
        <w:t>JPMorganChase must also pay brokerage firms, banks, broker-dealers and other similar organizations representing beneficial owners certain fees associated with:</w:t>
      </w:r>
    </w:p>
    <w:p>
      <w:pPr>
        <w:spacing w:after="0" w:line="88" w:lineRule="exact"/>
        <w:rPr>
          <w:sz w:val="20"/>
          <w:szCs w:val="20"/>
          <w:color w:val="auto"/>
        </w:rPr>
      </w:pPr>
    </w:p>
    <w:p>
      <w:pPr>
        <w:ind w:left="180" w:hanging="172"/>
        <w:spacing w:after="0"/>
        <w:tabs>
          <w:tab w:leader="none" w:pos="180" w:val="left"/>
        </w:tabs>
        <w:numPr>
          <w:ilvl w:val="0"/>
          <w:numId w:val="300"/>
        </w:numPr>
        <w:rPr>
          <w:rFonts w:ascii="Arial" w:cs="Arial" w:eastAsia="Arial" w:hAnsi="Arial"/>
          <w:sz w:val="16"/>
          <w:szCs w:val="16"/>
          <w:b w:val="1"/>
          <w:bCs w:val="1"/>
          <w:color w:val="auto"/>
        </w:rPr>
      </w:pPr>
      <w:r>
        <w:rPr>
          <w:rFonts w:ascii="Arial" w:cs="Arial" w:eastAsia="Arial" w:hAnsi="Arial"/>
          <w:sz w:val="16"/>
          <w:szCs w:val="16"/>
          <w:color w:val="auto"/>
        </w:rPr>
        <w:t>Forwarding the Notice of Internet Availability to beneficial owners;</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300"/>
        </w:numPr>
        <w:rPr>
          <w:rFonts w:ascii="Arial" w:cs="Arial" w:eastAsia="Arial" w:hAnsi="Arial"/>
          <w:sz w:val="16"/>
          <w:szCs w:val="16"/>
          <w:b w:val="1"/>
          <w:bCs w:val="1"/>
          <w:color w:val="auto"/>
        </w:rPr>
      </w:pPr>
      <w:r>
        <w:rPr>
          <w:rFonts w:ascii="Arial" w:cs="Arial" w:eastAsia="Arial" w:hAnsi="Arial"/>
          <w:sz w:val="16"/>
          <w:szCs w:val="16"/>
          <w:color w:val="auto"/>
        </w:rPr>
        <w:t>Forwarding printed proxy materials by mail to beneficial owners who specifically request them; and</w:t>
      </w:r>
    </w:p>
    <w:p>
      <w:pPr>
        <w:spacing w:after="0" w:line="86" w:lineRule="exact"/>
        <w:rPr>
          <w:rFonts w:ascii="Arial" w:cs="Arial" w:eastAsia="Arial" w:hAnsi="Arial"/>
          <w:sz w:val="16"/>
          <w:szCs w:val="16"/>
          <w:b w:val="1"/>
          <w:bCs w:val="1"/>
          <w:color w:val="auto"/>
        </w:rPr>
      </w:pPr>
    </w:p>
    <w:p>
      <w:pPr>
        <w:ind w:left="180" w:hanging="172"/>
        <w:spacing w:after="0"/>
        <w:tabs>
          <w:tab w:leader="none" w:pos="180" w:val="left"/>
        </w:tabs>
        <w:numPr>
          <w:ilvl w:val="0"/>
          <w:numId w:val="300"/>
        </w:numPr>
        <w:rPr>
          <w:rFonts w:ascii="Arial" w:cs="Arial" w:eastAsia="Arial" w:hAnsi="Arial"/>
          <w:sz w:val="16"/>
          <w:szCs w:val="16"/>
          <w:b w:val="1"/>
          <w:bCs w:val="1"/>
          <w:color w:val="auto"/>
        </w:rPr>
      </w:pPr>
      <w:r>
        <w:rPr>
          <w:rFonts w:ascii="Arial" w:cs="Arial" w:eastAsia="Arial" w:hAnsi="Arial"/>
          <w:sz w:val="16"/>
          <w:szCs w:val="16"/>
          <w:color w:val="auto"/>
        </w:rPr>
        <w:t>Obtaining beneficial owners’ voting instructions.</w:t>
      </w:r>
    </w:p>
    <w:p>
      <w:pPr>
        <w:spacing w:after="0" w:line="167"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In addition to solicitations by mail, the persons who will be serving as the proxies and JPMorganChase’s directors, officers and employees may solicit, without additional compensation, proxies on JPMorganChase’s behalf in person, by phone or by electronic communication.</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How do I inspect the list of shareholders of record?</w:t>
      </w:r>
    </w:p>
    <w:p>
      <w:pPr>
        <w:spacing w:after="0" w:line="4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 list of shareholders of record as of March 20, 2026 will be available for inspection during ordinary business hours at our offices at 270 Park Avenue, New York, New York 10017, from May 8, 2026, to May 18, 2026. Please contact the Office of the Secretary by sending an email to corporate.secretary@jpmchase.com if you wish to inspect the list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383540</wp:posOffset>
            </wp:positionV>
            <wp:extent cx="651510" cy="8572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98</w:t>
            </w:r>
          </w:p>
        </w:tc>
        <w:tc>
          <w:tcPr>
            <w:tcW w:w="1680" w:type="dxa"/>
            <w:vAlign w:val="bottom"/>
            <w:vMerge w:val="restart"/>
          </w:tcPr>
          <w:p>
            <w:pPr>
              <w:ind w:left="24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auto"/>
        </w:rPr>
        <w:t>Information about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color w:val="auto"/>
        </w:rPr>
        <w:t>Information about paper and electronic delivery of proxy materials</w:t>
      </w:r>
    </w:p>
    <w:p>
      <w:pPr>
        <w:spacing w:after="0" w:line="4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JPMorganChase uses the SEC rule commonly known as “Notice and Access” that permits companies to furnish proxy materials to our shareholders over the Internet. This process enables us to expedite delivery of materials to our shareholders and reduces the costs to us of printing and mailing paper proxy materials.</w:t>
      </w:r>
    </w:p>
    <w:p>
      <w:pPr>
        <w:spacing w:after="0" w:line="91" w:lineRule="exact"/>
        <w:rPr>
          <w:sz w:val="20"/>
          <w:szCs w:val="20"/>
          <w:color w:val="auto"/>
        </w:rPr>
      </w:pPr>
    </w:p>
    <w:p>
      <w:pPr>
        <w:jc w:val="both"/>
        <w:ind w:right="320"/>
        <w:spacing w:after="0" w:line="301" w:lineRule="auto"/>
        <w:rPr>
          <w:sz w:val="20"/>
          <w:szCs w:val="20"/>
          <w:color w:val="auto"/>
        </w:rPr>
      </w:pPr>
      <w:r>
        <w:rPr>
          <w:rFonts w:ascii="Arial" w:cs="Arial" w:eastAsia="Arial" w:hAnsi="Arial"/>
          <w:sz w:val="16"/>
          <w:szCs w:val="16"/>
          <w:color w:val="auto"/>
        </w:rPr>
        <w:t>In accordance with the Notice and Access rules, on or about April 6, 2026, we sent those current shareholders of record on March 20, 2026, the Record Date for the annual meeting, a Notice. The Notice contains instructions on how to access our proxy statement and annual report online. If you received a Notice, you will not receive a printed copy of the proxy materials in the mail.</w:t>
      </w:r>
    </w:p>
    <w:p>
      <w:pPr>
        <w:spacing w:after="0" w:line="104"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If you received a Notice, and would like to receive copies of our proxy materials in print by mail, or electronically by email, please follow the instructions in the Notice.</w:t>
      </w:r>
    </w:p>
    <w:p>
      <w:pPr>
        <w:spacing w:after="0" w:line="88"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Shareholders who do not receive the Notice will receive copies of our proxy statement and 2025 Annual Report to Shareholders either by mail or email. The copies will be sent on or about April 6, 2026.</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auto"/>
        </w:rPr>
        <w:t>How can I obtain an additional proxy card?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can contact the Office of the Secretary by sending an email to corporate.secretary@jpmchase.com or calling (212) 270-6000.</w:t>
      </w:r>
    </w:p>
    <w:p>
      <w:pPr>
        <w:spacing w:after="0" w:line="181" w:lineRule="exact"/>
        <w:rPr>
          <w:sz w:val="20"/>
          <w:szCs w:val="20"/>
          <w:color w:val="auto"/>
        </w:rPr>
      </w:pPr>
    </w:p>
    <w:p>
      <w:pPr>
        <w:ind w:right="860"/>
        <w:spacing w:after="0" w:line="321" w:lineRule="auto"/>
        <w:rPr>
          <w:sz w:val="20"/>
          <w:szCs w:val="20"/>
          <w:color w:val="auto"/>
        </w:rPr>
      </w:pPr>
      <w:r>
        <w:rPr>
          <w:rFonts w:ascii="Arial" w:cs="Arial" w:eastAsia="Arial" w:hAnsi="Arial"/>
          <w:sz w:val="16"/>
          <w:szCs w:val="16"/>
          <w:color w:val="auto"/>
        </w:rPr>
        <w:t>If you hold your shares of common stock in street name, contact your account representative at the bank, brokerage firm, broker-dealer or similar organization through which you hold your shares.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How do I sign up for electronic delivery of proxy materials?</w:t>
      </w:r>
    </w:p>
    <w:p>
      <w:pPr>
        <w:spacing w:after="0" w:line="4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This proxy statement and our 2025 Annual Report to Shareholders are available on our website at: jpmorganchase.com. If you would like to help reduce the environmental impact of our annual meetings and our costs of printing and mailing future materials, you can agree to access these documents in the future over the Internet rather than receiving printed copies in the mail. For your convenience, you may find links to sign up for electronic delivery for both shareholders of record and beneficial owners who hold shares in street name at https://enroll.icsdelivery.com/jpm.</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Once you sign up, you will continue to receive proxy materials electronically until you revoke this preference.</w:t>
      </w:r>
    </w:p>
    <w:p>
      <w:pPr>
        <w:spacing w:after="0" w:line="321" w:lineRule="exact"/>
        <w:rPr>
          <w:sz w:val="20"/>
          <w:szCs w:val="20"/>
          <w:color w:val="auto"/>
        </w:rPr>
      </w:pPr>
    </w:p>
    <w:p>
      <w:pPr>
        <w:ind w:right="620"/>
        <w:spacing w:after="0" w:line="268" w:lineRule="auto"/>
        <w:rPr>
          <w:sz w:val="20"/>
          <w:szCs w:val="20"/>
          <w:color w:val="auto"/>
        </w:rPr>
      </w:pPr>
      <w:r>
        <w:rPr>
          <w:rFonts w:ascii="Arial" w:cs="Arial" w:eastAsia="Arial" w:hAnsi="Arial"/>
          <w:sz w:val="25"/>
          <w:szCs w:val="25"/>
          <w:color w:val="auto"/>
        </w:rPr>
        <w:t>I share an address with another shareholder, and we received only one paper copy of the proxy materials. How can I obtain an additional copy of the proxy materials?</w:t>
      </w:r>
    </w:p>
    <w:p>
      <w:pPr>
        <w:spacing w:after="0" w:line="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JPMorganChase has adopted a procedure called “householding.” Under this procedure, JPMorganChase may deliver a single copy of the proxy statement and annual report to multiple shareholders who share the same address, unless we have received contrary instructions from one or more of the shareholders. Each shareholder continues to receive a separate proxy card. This procedure reduces the environmental impact of our annual meetings and our printing and mailing costs.</w:t>
      </w:r>
    </w:p>
    <w:p>
      <w:pPr>
        <w:spacing w:after="0" w:line="9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If your household received a single set of proxy materials, but you prefer to receive a separate copy of the proxy statement and 2025 Annual Report, you may contact the Office of the Secretary via email at corporate.secretary@jpmchase.com, via mail at the Office of the Secretary, JPMorgan Chase &amp; Co., 270 Park Avenue, New York, New York 10017, or by phone at 212-270-6000 and these documents will be delivered to you promptly upon receiving the request.</w:t>
      </w:r>
    </w:p>
    <w:p>
      <w:pPr>
        <w:spacing w:after="0" w:line="104"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Alternatively, if you are receiving more than one copy of the proxy materials at a single address and would like to participate in householding, please contact Broadridge Financial Services at 1-866-540-7095. If you are a beneficial owner who holds shares in street name, contact your bank, brokerage firm, broker-dealer or similar organization to request information about householding.</w:t>
      </w:r>
    </w:p>
    <w:p>
      <w:pPr>
        <w:spacing w:after="0" w:line="9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You may change your householding preferences at any time, by contacting Broadridge Financial Services at 1-866-540-7095 or by sending a written request to Broadridge Financial Services, Inc., Householding Department, 51 Mercedes Way, Edgewood, NY 11717, or by contacting the bank, brokerage firm, broker-dealer or similar organization through which you hold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366395</wp:posOffset>
            </wp:positionV>
            <wp:extent cx="651510" cy="8572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4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68"/>
        </w:trPr>
        <w:tc>
          <w:tcPr>
            <w:tcW w:w="108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Information about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color w:val="auto"/>
        </w:rPr>
        <w:t>Other</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color w:val="auto"/>
        </w:rPr>
        <w:t>How do I obtain more information about JPMorganChase?</w:t>
      </w:r>
    </w:p>
    <w:p>
      <w:pPr>
        <w:spacing w:after="0" w:line="4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Governance Principles, Code of Conduct, Code of Ethics for Finance Professionals, Business Principles, the Political Engagement and Public Policy Statement, Sustainability Report, the By-laws and the charters of our principal standing committees are posted on our website at jpmorganchase.com. These documents will also be made available to any shareholder who requests them by writing to the Secretary at corporate.secretary@jpmchase.com, or Office of the Secretary, JPMorgan Chase &amp; Co., 270 Park Avenue, New York, New York 10017.</w:t>
      </w:r>
    </w:p>
    <w:p>
      <w:pPr>
        <w:spacing w:after="0" w:line="108"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Information that the Firm is required to disclose under Article 20 (Corporate Governance Statement) of Directive 2013/34/EU, as adopted in the European Union and the United Kingdom, may be found in this proxy statement under the headings “Corporate governance” and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373380</wp:posOffset>
            </wp:positionV>
            <wp:extent cx="651510" cy="8572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60" w:type="dxa"/>
            <w:vAlign w:val="bottom"/>
          </w:tcPr>
          <w:p>
            <w:pPr>
              <w:jc w:val="right"/>
              <w:ind w:right="148"/>
              <w:spacing w:after="0"/>
              <w:rPr>
                <w:sz w:val="20"/>
                <w:szCs w:val="20"/>
                <w:color w:val="auto"/>
              </w:rPr>
            </w:pPr>
            <w:r>
              <w:rPr>
                <w:rFonts w:ascii="Arial" w:cs="Arial" w:eastAsia="Arial" w:hAnsi="Arial"/>
                <w:sz w:val="14"/>
                <w:szCs w:val="14"/>
                <w:color w:val="auto"/>
                <w:w w:val="94"/>
              </w:rPr>
              <w:t>100</w:t>
            </w:r>
          </w:p>
        </w:tc>
        <w:tc>
          <w:tcPr>
            <w:tcW w:w="1640" w:type="dxa"/>
            <w:vAlign w:val="bottom"/>
            <w:vMerge w:val="restart"/>
          </w:tcPr>
          <w:p>
            <w:pPr>
              <w:ind w:left="20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80"/>
        <w:spacing w:after="0" w:line="270" w:lineRule="auto"/>
        <w:rPr>
          <w:sz w:val="20"/>
          <w:szCs w:val="20"/>
          <w:color w:val="auto"/>
        </w:rPr>
      </w:pPr>
      <w:r>
        <w:rPr>
          <w:rFonts w:ascii="Arial" w:cs="Arial" w:eastAsia="Arial" w:hAnsi="Arial"/>
          <w:sz w:val="52"/>
          <w:szCs w:val="52"/>
          <w:color w:val="auto"/>
        </w:rPr>
        <w:t>Shareholder proposals and nominations for the 2027 annual meeting</w:t>
      </w:r>
    </w:p>
    <w:p>
      <w:pPr>
        <w:spacing w:after="0" w:line="385" w:lineRule="exact"/>
        <w:rPr>
          <w:sz w:val="20"/>
          <w:szCs w:val="20"/>
          <w:color w:val="auto"/>
        </w:rPr>
      </w:pPr>
    </w:p>
    <w:p>
      <w:pPr>
        <w:spacing w:after="0"/>
        <w:rPr>
          <w:sz w:val="20"/>
          <w:szCs w:val="20"/>
          <w:color w:val="auto"/>
        </w:rPr>
      </w:pPr>
      <w:r>
        <w:rPr>
          <w:rFonts w:ascii="Arial" w:cs="Arial" w:eastAsia="Arial" w:hAnsi="Arial"/>
          <w:sz w:val="25"/>
          <w:szCs w:val="25"/>
          <w:color w:val="auto"/>
        </w:rPr>
        <w:t>How do I submit a proposal for inclusion at the 2027 annual meeting of shareholders?</w:t>
      </w:r>
    </w:p>
    <w:p>
      <w:pPr>
        <w:spacing w:after="0" w:line="4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For a shareholder proposal to be included in the proxy materials and be distributed by us in connection with our 2027 Annual Meeting of Shareholders, the proposal must be received by the Secretary of JPMorganChase no later than December 7, 2026. Such proposals must comply with all requirements of Rule 14a-8 promulgated by the Securities and Exchange Commission.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auto"/>
        </w:rPr>
        <w:t>How can I submit nominees for inclusion in the proxy materials for the 2027 annual meeting?</w:t>
      </w:r>
    </w:p>
    <w:p>
      <w:pPr>
        <w:spacing w:after="0" w:line="4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Firm’s By-laws provide for a right of proxy access. This By-law enables shareholders, under specified conditions, to include their nominees for election as directors in the Firm’s proxy statement. Under By-law Section 1.10, a shareholder (or group of up to 20 shareholders) who has continuously owned at least 3% of the Firm’s outstanding shares for at least three consecutive years may nominate up to 20% of the Board (but in any event at least two directors) and have such nominee(s) included in the Firm’s proxy statement, if the shareholder(s) and the nominee(s) satisfy the applicable requirements set forth in the Firm’s By-laws.</w:t>
      </w:r>
    </w:p>
    <w:p>
      <w:pPr>
        <w:spacing w:after="0" w:line="113"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If a shareholder is seeking to have one or more nominees included in the Firm’s 2027 proxy statement, the notice required by the Firm’s By-laws must be received by the Secretary of JPMorganChase not later than December 7, 2026, and not earlier than November 7, 2026.</w:t>
      </w:r>
    </w:p>
    <w:p>
      <w:pPr>
        <w:spacing w:after="0" w:line="228" w:lineRule="exact"/>
        <w:rPr>
          <w:sz w:val="20"/>
          <w:szCs w:val="20"/>
          <w:color w:val="auto"/>
        </w:rPr>
      </w:pPr>
    </w:p>
    <w:p>
      <w:pPr>
        <w:ind w:right="400"/>
        <w:spacing w:after="0" w:line="268" w:lineRule="auto"/>
        <w:rPr>
          <w:sz w:val="20"/>
          <w:szCs w:val="20"/>
          <w:color w:val="auto"/>
        </w:rPr>
      </w:pPr>
      <w:r>
        <w:rPr>
          <w:rFonts w:ascii="Arial" w:cs="Arial" w:eastAsia="Arial" w:hAnsi="Arial"/>
          <w:sz w:val="25"/>
          <w:szCs w:val="25"/>
          <w:color w:val="auto"/>
        </w:rPr>
        <w:t>How do I submit nominees for election of directors at the 2027 annual meeting other than through proxy access?</w:t>
      </w:r>
    </w:p>
    <w:p>
      <w:pPr>
        <w:spacing w:after="0" w:line="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Under our By-laws, nominations for director (other than through proxy access described above) may be made by a shareholder who is entitled to vote and complies with other applicable requirements set forth in the By-laws. The notice by shareholders who intend to nominate directors at the 2027 Annual Meeting of Shareholders must be received by the Secretary of JPMorganChase no earlier than January 19, 2027 and no later than the close of business on February 18, 2027. Notice of director nominations must satisfy the provisions in our By-laws relating to director nominations and set forth information required by Rule 14a-19(b) of the Securities Exchange Act of 1934. The advance notice provisions under our By-laws are in addition to, and separate from, the requirements that a shareholder must meet in order to have a nominee included in the proxy statement.</w:t>
      </w:r>
    </w:p>
    <w:p>
      <w:pPr>
        <w:spacing w:after="0" w:line="269" w:lineRule="exact"/>
        <w:rPr>
          <w:sz w:val="20"/>
          <w:szCs w:val="20"/>
          <w:color w:val="auto"/>
        </w:rPr>
      </w:pPr>
    </w:p>
    <w:p>
      <w:pPr>
        <w:ind w:right="140"/>
        <w:spacing w:after="0" w:line="262" w:lineRule="auto"/>
        <w:rPr>
          <w:sz w:val="20"/>
          <w:szCs w:val="20"/>
          <w:color w:val="auto"/>
        </w:rPr>
      </w:pPr>
      <w:r>
        <w:rPr>
          <w:rFonts w:ascii="Arial" w:cs="Arial" w:eastAsia="Arial" w:hAnsi="Arial"/>
          <w:sz w:val="25"/>
          <w:szCs w:val="25"/>
          <w:color w:val="auto"/>
        </w:rPr>
        <w:t>How can I submit proposals at our 2027 annual meeting of shareholders, that are not to be included in the proxy materials?</w:t>
      </w:r>
    </w:p>
    <w:p>
      <w:pPr>
        <w:spacing w:after="0" w:line="2"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Our By-laws govern the submission of other business proposals that a shareholder wishes to have considered at a meeting of shareholders, but that are not included in JPMorganChase’s proxy statement for that meeting.</w:t>
      </w:r>
    </w:p>
    <w:p>
      <w:pPr>
        <w:spacing w:after="0" w:line="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Under our By-laws, other business proposals to be addressed at our next annual meeting may be made by a shareholder who is entitled to vote and complies with other applicable requirements set forth in the Firm’s By-laws. The notice must contain the information required by the Firm’s By-laws and must be received by the Secretary of JPMorganChase not later than the close of business on February 18, 2027, and not earlier than January 19, 2027.</w:t>
      </w:r>
    </w:p>
    <w:p>
      <w:pPr>
        <w:spacing w:after="0" w:line="91"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These advance notice provisions are in addition to, and separate from, the requirements that a shareholder must meet in order to have a proposal included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356235</wp:posOffset>
            </wp:positionV>
            <wp:extent cx="651510" cy="8572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76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8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68"/>
        </w:trPr>
        <w:tc>
          <w:tcPr>
            <w:tcW w:w="107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 proposals and nominations for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A proxy granted by a shareholder will give discretionary authority to the proxies to vote on any matters introduced pursuant to the advance-notice By-law provisions described above, subject to applicable rules of the SEC.</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How can I obtain a copy of JPMorganChase’s By-laws?</w:t>
      </w:r>
    </w:p>
    <w:p>
      <w:pPr>
        <w:spacing w:after="0" w:line="45"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Copies of our By-laws are available on our website at: jpmorganchase.com/about/governance or may be obtained by contacting the Office of the Secretary via email at corporate.secretary@jpmchase.com or via mail at the Office of the Secretary, JPMorgan Chase &amp; Co., 270 Park Avenue, New York, New York 10017.</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auto"/>
        </w:rPr>
        <w:t>Where should a shareholder send his or her proposals?</w:t>
      </w:r>
    </w:p>
    <w:p>
      <w:pPr>
        <w:spacing w:after="0" w:line="4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Shareholder proposals (including nominees for director pursuant to the Firm’s By-laws) should be emailed to the Office of the Secretary at corporate.secretary@jpmchase.com. A copy may be mailed to the Secretary at JPMorgan Chase &amp; Co., Office of the Secretary, 270 Park Avenue, New York, New York 10017. We strongly encourage you to use email to submit a proposal. If a proposal is sent by means other than email, please provide a copy by email to ensure delivery.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8F5A39"/>
        </w:rPr>
        <w:t>Reid R. Broda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319405</wp:posOffset>
            </wp:positionV>
            <wp:extent cx="651510" cy="8572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60" w:type="dxa"/>
            <w:vAlign w:val="bottom"/>
          </w:tcPr>
          <w:p>
            <w:pPr>
              <w:jc w:val="right"/>
              <w:ind w:right="148"/>
              <w:spacing w:after="0"/>
              <w:rPr>
                <w:sz w:val="20"/>
                <w:szCs w:val="20"/>
                <w:color w:val="auto"/>
              </w:rPr>
            </w:pPr>
            <w:r>
              <w:rPr>
                <w:rFonts w:ascii="Arial" w:cs="Arial" w:eastAsia="Arial" w:hAnsi="Arial"/>
                <w:sz w:val="14"/>
                <w:szCs w:val="14"/>
                <w:color w:val="auto"/>
                <w:w w:val="94"/>
              </w:rPr>
              <w:t>102</w:t>
            </w:r>
          </w:p>
        </w:tc>
        <w:tc>
          <w:tcPr>
            <w:tcW w:w="1640" w:type="dxa"/>
            <w:vAlign w:val="bottom"/>
            <w:vMerge w:val="restart"/>
          </w:tcPr>
          <w:p>
            <w:pPr>
              <w:ind w:left="20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52"/>
          <w:szCs w:val="52"/>
          <w:color w:val="auto"/>
        </w:rPr>
        <w:t>Notes on non-GAAP financial measures</w:t>
      </w:r>
    </w:p>
    <w:p>
      <w:pPr>
        <w:spacing w:after="0" w:line="200" w:lineRule="exact"/>
        <w:rPr>
          <w:sz w:val="20"/>
          <w:szCs w:val="20"/>
          <w:color w:val="auto"/>
        </w:rPr>
      </w:pPr>
    </w:p>
    <w:p>
      <w:pPr>
        <w:spacing w:after="0" w:line="374" w:lineRule="exact"/>
        <w:rPr>
          <w:sz w:val="20"/>
          <w:szCs w:val="20"/>
          <w:color w:val="auto"/>
        </w:rPr>
      </w:pPr>
    </w:p>
    <w:p>
      <w:pPr>
        <w:ind w:left="260" w:right="40" w:hanging="252"/>
        <w:spacing w:after="0" w:line="284" w:lineRule="auto"/>
        <w:tabs>
          <w:tab w:leader="none" w:pos="284" w:val="left"/>
        </w:tabs>
        <w:numPr>
          <w:ilvl w:val="0"/>
          <w:numId w:val="301"/>
        </w:numPr>
        <w:rPr>
          <w:rFonts w:ascii="Arial" w:cs="Arial" w:eastAsia="Arial" w:hAnsi="Arial"/>
          <w:sz w:val="16"/>
          <w:szCs w:val="16"/>
          <w:b w:val="1"/>
          <w:bCs w:val="1"/>
          <w:color w:val="8F5A39"/>
        </w:rPr>
      </w:pPr>
      <w:r>
        <w:rPr>
          <w:rFonts w:ascii="Arial" w:cs="Arial" w:eastAsia="Arial" w:hAnsi="Arial"/>
          <w:sz w:val="16"/>
          <w:szCs w:val="16"/>
          <w:color w:val="auto"/>
        </w:rPr>
        <w:t>TCE, ROTCE, TBVPS and Pre-tax income ex. LLR are each non-GAAP financial measures. TCE represents the Firm’s common stockholders’ equity (i.e., total stockholders’ equity less preferred stock) less goodwill and identifiable intangible assets (other than mortgage servicing rights), net of related deferred tax liabilities. ROTCE measures the Firm’s net income applicable to common equity as a percentage of average TCE. TBVPS represents the Firm’s TCE at period-end divided by common shares at period-end. Pre-tax income ex. LLR represents income on a managed basis before income tax expense (pre-tax income) excluding the change in loan loss reserves. This reflects the exclusion of the portion of the provision for credit losses attributable to the change in allowance for credit losses. TCE, ROTCE and TBVPS are utilized by the Firm, as well as investors and analysts, in assessing the Firm’s use of equity. Pre-tax income ex. LLR is utilized by the Firm to assess the Firm’s operating performance and management believes this information helps investors understand the effect on reported results and provides an alternate presentation of the Firm’s performance. The following tables provide reconciliations and calculations of these measures for the periods presented.</w:t>
      </w:r>
    </w:p>
    <w:p>
      <w:pPr>
        <w:spacing w:after="0" w:line="25" w:lineRule="exact"/>
        <w:rPr>
          <w:rFonts w:ascii="Arial" w:cs="Arial" w:eastAsia="Arial" w:hAnsi="Arial"/>
          <w:sz w:val="16"/>
          <w:szCs w:val="16"/>
          <w:b w:val="1"/>
          <w:bCs w:val="1"/>
          <w:color w:val="8F5A39"/>
        </w:rPr>
      </w:pPr>
    </w:p>
    <w:p>
      <w:pPr>
        <w:ind w:left="260" w:right="60" w:hanging="252"/>
        <w:spacing w:after="0" w:line="287" w:lineRule="auto"/>
        <w:tabs>
          <w:tab w:leader="none" w:pos="257" w:val="left"/>
        </w:tabs>
        <w:numPr>
          <w:ilvl w:val="0"/>
          <w:numId w:val="301"/>
        </w:numPr>
        <w:rPr>
          <w:rFonts w:ascii="Arial" w:cs="Arial" w:eastAsia="Arial" w:hAnsi="Arial"/>
          <w:sz w:val="16"/>
          <w:szCs w:val="16"/>
          <w:b w:val="1"/>
          <w:bCs w:val="1"/>
          <w:color w:val="8F5A39"/>
        </w:rPr>
      </w:pPr>
      <w:r>
        <w:rPr>
          <w:rFonts w:ascii="Arial" w:cs="Arial" w:eastAsia="Arial" w:hAnsi="Arial"/>
          <w:sz w:val="16"/>
          <w:szCs w:val="16"/>
          <w:color w:val="auto"/>
        </w:rPr>
        <w:t>In addition to analyzing the Firm’s results on a reported basis, management reviews Firmwide results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(and each of the reportable business segments)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the lines of business.</w:t>
      </w: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color w:val="auto"/>
        </w:rPr>
        <w:t>Non-GAAP reconciliations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Borders>
              <w:bottom w:val="single" w:sz="8" w:color="F4EFE7"/>
            </w:tcBorders>
            <w:vMerge w:val="restart"/>
            <w:shd w:val="clear" w:color="auto" w:fill="F4EFE7"/>
          </w:tcPr>
          <w:p>
            <w:pPr>
              <w:ind w:left="20"/>
              <w:spacing w:after="0"/>
              <w:rPr>
                <w:sz w:val="20"/>
                <w:szCs w:val="20"/>
                <w:color w:val="auto"/>
              </w:rPr>
            </w:pPr>
            <w:r>
              <w:rPr>
                <w:rFonts w:ascii="Arial" w:cs="Arial" w:eastAsia="Arial" w:hAnsi="Arial"/>
                <w:sz w:val="13"/>
                <w:szCs w:val="13"/>
                <w:b w:val="1"/>
                <w:bCs w:val="1"/>
                <w:color w:val="8F5A39"/>
              </w:rPr>
              <w:t>Avg. TCE, ROE and ROTCE</w:t>
            </w:r>
          </w:p>
        </w:tc>
        <w:tc>
          <w:tcPr>
            <w:tcW w:w="200" w:type="dxa"/>
            <w:vAlign w:val="bottom"/>
            <w:tcBorders>
              <w:bottom w:val="single" w:sz="8" w:color="F4EFE7"/>
            </w:tcBorders>
            <w:shd w:val="clear" w:color="auto" w:fill="F4EFE7"/>
          </w:tcPr>
          <w:p>
            <w:pPr>
              <w:spacing w:after="0"/>
              <w:rPr>
                <w:sz w:val="23"/>
                <w:szCs w:val="23"/>
                <w:color w:val="auto"/>
              </w:rPr>
            </w:pPr>
          </w:p>
        </w:tc>
        <w:tc>
          <w:tcPr>
            <w:tcW w:w="740" w:type="dxa"/>
            <w:vAlign w:val="bottom"/>
            <w:tcBorders>
              <w:bottom w:val="single" w:sz="8" w:color="F4EFE7"/>
            </w:tcBorders>
            <w:shd w:val="clear" w:color="auto" w:fill="F4EFE7"/>
          </w:tcPr>
          <w:p>
            <w:pPr>
              <w:spacing w:after="0"/>
              <w:rPr>
                <w:sz w:val="23"/>
                <w:szCs w:val="23"/>
                <w:color w:val="auto"/>
              </w:rPr>
            </w:pPr>
          </w:p>
        </w:tc>
        <w:tc>
          <w:tcPr>
            <w:tcW w:w="200" w:type="dxa"/>
            <w:vAlign w:val="bottom"/>
            <w:tcBorders>
              <w:bottom w:val="single" w:sz="8" w:color="F4EFE7"/>
            </w:tcBorders>
            <w:shd w:val="clear" w:color="auto" w:fill="F4EFE7"/>
          </w:tcPr>
          <w:p>
            <w:pPr>
              <w:spacing w:after="0"/>
              <w:rPr>
                <w:sz w:val="23"/>
                <w:szCs w:val="23"/>
                <w:color w:val="auto"/>
              </w:rPr>
            </w:pPr>
          </w:p>
        </w:tc>
        <w:tc>
          <w:tcPr>
            <w:tcW w:w="720" w:type="dxa"/>
            <w:vAlign w:val="bottom"/>
            <w:tcBorders>
              <w:bottom w:val="single" w:sz="8" w:color="F4EFE7"/>
            </w:tcBorders>
            <w:shd w:val="clear" w:color="auto" w:fill="F4EFE7"/>
          </w:tcPr>
          <w:p>
            <w:pPr>
              <w:spacing w:after="0"/>
              <w:rPr>
                <w:sz w:val="23"/>
                <w:szCs w:val="23"/>
                <w:color w:val="auto"/>
              </w:rPr>
            </w:pPr>
          </w:p>
        </w:tc>
        <w:tc>
          <w:tcPr>
            <w:tcW w:w="200" w:type="dxa"/>
            <w:vAlign w:val="bottom"/>
            <w:tcBorders>
              <w:bottom w:val="single" w:sz="8" w:color="F4EFE7"/>
            </w:tcBorders>
            <w:shd w:val="clear" w:color="auto" w:fill="F4EFE7"/>
          </w:tcPr>
          <w:p>
            <w:pPr>
              <w:spacing w:after="0"/>
              <w:rPr>
                <w:sz w:val="23"/>
                <w:szCs w:val="23"/>
                <w:color w:val="auto"/>
              </w:rPr>
            </w:pPr>
          </w:p>
        </w:tc>
        <w:tc>
          <w:tcPr>
            <w:tcW w:w="740" w:type="dxa"/>
            <w:vAlign w:val="bottom"/>
            <w:tcBorders>
              <w:bottom w:val="single" w:sz="8" w:color="F4EFE7"/>
            </w:tcBorders>
            <w:shd w:val="clear" w:color="auto" w:fill="F4EFE7"/>
          </w:tcPr>
          <w:p>
            <w:pPr>
              <w:spacing w:after="0"/>
              <w:rPr>
                <w:sz w:val="23"/>
                <w:szCs w:val="23"/>
                <w:color w:val="auto"/>
              </w:rPr>
            </w:pPr>
          </w:p>
        </w:tc>
        <w:tc>
          <w:tcPr>
            <w:tcW w:w="200" w:type="dxa"/>
            <w:vAlign w:val="bottom"/>
            <w:tcBorders>
              <w:bottom w:val="single" w:sz="8" w:color="F4EFE7"/>
            </w:tcBorders>
            <w:shd w:val="clear" w:color="auto" w:fill="F4EFE7"/>
          </w:tcPr>
          <w:p>
            <w:pPr>
              <w:spacing w:after="0"/>
              <w:rPr>
                <w:sz w:val="23"/>
                <w:szCs w:val="23"/>
                <w:color w:val="auto"/>
              </w:rPr>
            </w:pPr>
          </w:p>
        </w:tc>
        <w:tc>
          <w:tcPr>
            <w:tcW w:w="2940" w:type="dxa"/>
            <w:vAlign w:val="bottom"/>
            <w:tcBorders>
              <w:bottom w:val="single" w:sz="8" w:color="F4EFE7"/>
            </w:tcBorders>
            <w:gridSpan w:val="6"/>
            <w:shd w:val="clear" w:color="auto" w:fill="F4EFE7"/>
          </w:tcPr>
          <w:p>
            <w:pPr>
              <w:ind w:left="460"/>
              <w:spacing w:after="0"/>
              <w:rPr>
                <w:sz w:val="20"/>
                <w:szCs w:val="20"/>
                <w:color w:val="auto"/>
              </w:rPr>
            </w:pPr>
            <w:r>
              <w:rPr>
                <w:rFonts w:ascii="Arial" w:cs="Arial" w:eastAsia="Arial" w:hAnsi="Arial"/>
                <w:sz w:val="13"/>
                <w:szCs w:val="13"/>
                <w:b w:val="1"/>
                <w:bCs w:val="1"/>
                <w:color w:val="8F5A39"/>
                <w:w w:val="96"/>
              </w:rPr>
              <w:t>Average for the year ended December 31,</w:t>
            </w:r>
          </w:p>
        </w:tc>
        <w:tc>
          <w:tcPr>
            <w:tcW w:w="640" w:type="dxa"/>
            <w:vAlign w:val="bottom"/>
            <w:tcBorders>
              <w:bottom w:val="single" w:sz="8" w:color="F4EFE7"/>
            </w:tcBorders>
            <w:shd w:val="clear" w:color="auto" w:fill="F4EFE7"/>
          </w:tcPr>
          <w:p>
            <w:pPr>
              <w:spacing w:after="0"/>
              <w:rPr>
                <w:sz w:val="23"/>
                <w:szCs w:val="23"/>
                <w:color w:val="auto"/>
              </w:rPr>
            </w:pPr>
          </w:p>
        </w:tc>
        <w:tc>
          <w:tcPr>
            <w:tcW w:w="200" w:type="dxa"/>
            <w:vAlign w:val="bottom"/>
            <w:tcBorders>
              <w:bottom w:val="single" w:sz="8" w:color="F4EFE7"/>
            </w:tcBorders>
            <w:shd w:val="clear" w:color="auto" w:fill="F4EFE7"/>
          </w:tcPr>
          <w:p>
            <w:pPr>
              <w:spacing w:after="0"/>
              <w:rPr>
                <w:sz w:val="23"/>
                <w:szCs w:val="23"/>
                <w:color w:val="auto"/>
              </w:rPr>
            </w:pPr>
          </w:p>
        </w:tc>
        <w:tc>
          <w:tcPr>
            <w:tcW w:w="740" w:type="dxa"/>
            <w:vAlign w:val="bottom"/>
            <w:tcBorders>
              <w:bottom w:val="single" w:sz="8" w:color="F4EFE7"/>
            </w:tcBorders>
            <w:shd w:val="clear" w:color="auto" w:fill="F4EFE7"/>
          </w:tcPr>
          <w:p>
            <w:pPr>
              <w:spacing w:after="0"/>
              <w:rPr>
                <w:sz w:val="23"/>
                <w:szCs w:val="23"/>
                <w:color w:val="auto"/>
              </w:rPr>
            </w:pPr>
          </w:p>
        </w:tc>
        <w:tc>
          <w:tcPr>
            <w:tcW w:w="200" w:type="dxa"/>
            <w:vAlign w:val="bottom"/>
            <w:tcBorders>
              <w:bottom w:val="single" w:sz="8" w:color="F4EFE7"/>
            </w:tcBorders>
            <w:shd w:val="clear" w:color="auto" w:fill="F4EFE7"/>
          </w:tcPr>
          <w:p>
            <w:pPr>
              <w:spacing w:after="0"/>
              <w:rPr>
                <w:sz w:val="23"/>
                <w:szCs w:val="23"/>
                <w:color w:val="auto"/>
              </w:rPr>
            </w:pPr>
          </w:p>
        </w:tc>
        <w:tc>
          <w:tcPr>
            <w:tcW w:w="740" w:type="dxa"/>
            <w:vAlign w:val="bottom"/>
            <w:tcBorders>
              <w:bottom w:val="single" w:sz="8" w:color="F4EFE7"/>
            </w:tcBorders>
            <w:shd w:val="clear" w:color="auto" w:fill="F4EFE7"/>
          </w:tcPr>
          <w:p>
            <w:pPr>
              <w:spacing w:after="0"/>
              <w:rPr>
                <w:sz w:val="23"/>
                <w:szCs w:val="23"/>
                <w:color w:val="auto"/>
              </w:rPr>
            </w:pPr>
          </w:p>
        </w:tc>
        <w:tc>
          <w:tcPr>
            <w:tcW w:w="200" w:type="dxa"/>
            <w:vAlign w:val="bottom"/>
            <w:tcBorders>
              <w:bottom w:val="single" w:sz="8" w:color="F4EFE7"/>
            </w:tcBorders>
            <w:shd w:val="clear" w:color="auto" w:fill="F4EFE7"/>
          </w:tcPr>
          <w:p>
            <w:pPr>
              <w:spacing w:after="0"/>
              <w:rPr>
                <w:sz w:val="23"/>
                <w:szCs w:val="23"/>
                <w:color w:val="auto"/>
              </w:rPr>
            </w:pPr>
          </w:p>
        </w:tc>
        <w:tc>
          <w:tcPr>
            <w:tcW w:w="740" w:type="dxa"/>
            <w:vAlign w:val="bottom"/>
            <w:tcBorders>
              <w:bottom w:val="single" w:sz="8" w:color="F4EFE7"/>
            </w:tcBorders>
            <w:shd w:val="clear" w:color="auto" w:fill="F4EFE7"/>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1840" w:type="dxa"/>
            <w:vAlign w:val="bottom"/>
            <w:tcBorders>
              <w:top w:val="single" w:sz="8" w:color="F4EFE7"/>
            </w:tcBorders>
            <w:vMerge w:val="continue"/>
            <w:shd w:val="clear" w:color="auto" w:fill="F4EFE7"/>
          </w:tcPr>
          <w:p>
            <w:pPr>
              <w:spacing w:after="0"/>
              <w:rPr>
                <w:sz w:val="3"/>
                <w:szCs w:val="3"/>
                <w:color w:val="auto"/>
              </w:rPr>
            </w:pPr>
          </w:p>
        </w:tc>
        <w:tc>
          <w:tcPr>
            <w:tcW w:w="200" w:type="dxa"/>
            <w:vAlign w:val="bottom"/>
            <w:tcBorders>
              <w:top w:val="single" w:sz="8" w:color="auto"/>
            </w:tcBorders>
            <w:shd w:val="clear" w:color="auto" w:fill="F4EFE7"/>
          </w:tcPr>
          <w:p>
            <w:pPr>
              <w:spacing w:after="0"/>
              <w:rPr>
                <w:sz w:val="3"/>
                <w:szCs w:val="3"/>
                <w:color w:val="auto"/>
              </w:rPr>
            </w:pPr>
          </w:p>
        </w:tc>
        <w:tc>
          <w:tcPr>
            <w:tcW w:w="740" w:type="dxa"/>
            <w:vAlign w:val="bottom"/>
            <w:tcBorders>
              <w:top w:val="single" w:sz="8" w:color="auto"/>
            </w:tcBorders>
            <w:shd w:val="clear" w:color="auto" w:fill="F4EFE7"/>
          </w:tcPr>
          <w:p>
            <w:pPr>
              <w:spacing w:after="0"/>
              <w:rPr>
                <w:sz w:val="3"/>
                <w:szCs w:val="3"/>
                <w:color w:val="auto"/>
              </w:rPr>
            </w:pPr>
          </w:p>
        </w:tc>
        <w:tc>
          <w:tcPr>
            <w:tcW w:w="200" w:type="dxa"/>
            <w:vAlign w:val="bottom"/>
            <w:tcBorders>
              <w:top w:val="single" w:sz="8" w:color="auto"/>
            </w:tcBorders>
            <w:shd w:val="clear" w:color="auto" w:fill="F4EFE7"/>
          </w:tcPr>
          <w:p>
            <w:pPr>
              <w:spacing w:after="0"/>
              <w:rPr>
                <w:sz w:val="3"/>
                <w:szCs w:val="3"/>
                <w:color w:val="auto"/>
              </w:rPr>
            </w:pPr>
          </w:p>
        </w:tc>
        <w:tc>
          <w:tcPr>
            <w:tcW w:w="720" w:type="dxa"/>
            <w:vAlign w:val="bottom"/>
            <w:tcBorders>
              <w:top w:val="single" w:sz="8" w:color="auto"/>
            </w:tcBorders>
            <w:shd w:val="clear" w:color="auto" w:fill="F4EFE7"/>
          </w:tcPr>
          <w:p>
            <w:pPr>
              <w:spacing w:after="0"/>
              <w:rPr>
                <w:sz w:val="3"/>
                <w:szCs w:val="3"/>
                <w:color w:val="auto"/>
              </w:rPr>
            </w:pPr>
          </w:p>
        </w:tc>
        <w:tc>
          <w:tcPr>
            <w:tcW w:w="200" w:type="dxa"/>
            <w:vAlign w:val="bottom"/>
            <w:tcBorders>
              <w:top w:val="single" w:sz="8" w:color="auto"/>
            </w:tcBorders>
            <w:shd w:val="clear" w:color="auto" w:fill="F4EFE7"/>
          </w:tcPr>
          <w:p>
            <w:pPr>
              <w:spacing w:after="0"/>
              <w:rPr>
                <w:sz w:val="3"/>
                <w:szCs w:val="3"/>
                <w:color w:val="auto"/>
              </w:rPr>
            </w:pPr>
          </w:p>
        </w:tc>
        <w:tc>
          <w:tcPr>
            <w:tcW w:w="740" w:type="dxa"/>
            <w:vAlign w:val="bottom"/>
            <w:tcBorders>
              <w:top w:val="single" w:sz="8" w:color="auto"/>
            </w:tcBorders>
            <w:shd w:val="clear" w:color="auto" w:fill="F4EFE7"/>
          </w:tcPr>
          <w:p>
            <w:pPr>
              <w:spacing w:after="0"/>
              <w:rPr>
                <w:sz w:val="3"/>
                <w:szCs w:val="3"/>
                <w:color w:val="auto"/>
              </w:rPr>
            </w:pPr>
          </w:p>
        </w:tc>
        <w:tc>
          <w:tcPr>
            <w:tcW w:w="200" w:type="dxa"/>
            <w:vAlign w:val="bottom"/>
            <w:tcBorders>
              <w:top w:val="single" w:sz="8" w:color="auto"/>
            </w:tcBorders>
            <w:shd w:val="clear" w:color="auto" w:fill="F4EFE7"/>
          </w:tcPr>
          <w:p>
            <w:pPr>
              <w:spacing w:after="0"/>
              <w:rPr>
                <w:sz w:val="3"/>
                <w:szCs w:val="3"/>
                <w:color w:val="auto"/>
              </w:rPr>
            </w:pPr>
          </w:p>
        </w:tc>
        <w:tc>
          <w:tcPr>
            <w:tcW w:w="740" w:type="dxa"/>
            <w:vAlign w:val="bottom"/>
            <w:tcBorders>
              <w:top w:val="single" w:sz="8" w:color="auto"/>
            </w:tcBorders>
            <w:shd w:val="clear" w:color="auto" w:fill="F4EFE7"/>
          </w:tcPr>
          <w:p>
            <w:pPr>
              <w:spacing w:after="0"/>
              <w:rPr>
                <w:sz w:val="3"/>
                <w:szCs w:val="3"/>
                <w:color w:val="auto"/>
              </w:rPr>
            </w:pPr>
          </w:p>
        </w:tc>
        <w:tc>
          <w:tcPr>
            <w:tcW w:w="200" w:type="dxa"/>
            <w:vAlign w:val="bottom"/>
            <w:tcBorders>
              <w:top w:val="single" w:sz="8" w:color="auto"/>
            </w:tcBorders>
            <w:shd w:val="clear" w:color="auto" w:fill="F4EFE7"/>
          </w:tcPr>
          <w:p>
            <w:pPr>
              <w:spacing w:after="0"/>
              <w:rPr>
                <w:sz w:val="3"/>
                <w:szCs w:val="3"/>
                <w:color w:val="auto"/>
              </w:rPr>
            </w:pPr>
          </w:p>
        </w:tc>
        <w:tc>
          <w:tcPr>
            <w:tcW w:w="740" w:type="dxa"/>
            <w:vAlign w:val="bottom"/>
            <w:tcBorders>
              <w:top w:val="single" w:sz="8" w:color="auto"/>
            </w:tcBorders>
            <w:shd w:val="clear" w:color="auto" w:fill="F4EFE7"/>
          </w:tcPr>
          <w:p>
            <w:pPr>
              <w:spacing w:after="0"/>
              <w:rPr>
                <w:sz w:val="3"/>
                <w:szCs w:val="3"/>
                <w:color w:val="auto"/>
              </w:rPr>
            </w:pPr>
          </w:p>
        </w:tc>
        <w:tc>
          <w:tcPr>
            <w:tcW w:w="220" w:type="dxa"/>
            <w:vAlign w:val="bottom"/>
            <w:tcBorders>
              <w:top w:val="single" w:sz="8" w:color="auto"/>
            </w:tcBorders>
            <w:shd w:val="clear" w:color="auto" w:fill="F4EFE7"/>
          </w:tcPr>
          <w:p>
            <w:pPr>
              <w:spacing w:after="0"/>
              <w:rPr>
                <w:sz w:val="3"/>
                <w:szCs w:val="3"/>
                <w:color w:val="auto"/>
              </w:rPr>
            </w:pPr>
          </w:p>
        </w:tc>
        <w:tc>
          <w:tcPr>
            <w:tcW w:w="740" w:type="dxa"/>
            <w:vAlign w:val="bottom"/>
            <w:tcBorders>
              <w:top w:val="single" w:sz="8" w:color="auto"/>
            </w:tcBorders>
            <w:shd w:val="clear" w:color="auto" w:fill="F4EFE7"/>
          </w:tcPr>
          <w:p>
            <w:pPr>
              <w:spacing w:after="0"/>
              <w:rPr>
                <w:sz w:val="3"/>
                <w:szCs w:val="3"/>
                <w:color w:val="auto"/>
              </w:rPr>
            </w:pPr>
          </w:p>
        </w:tc>
        <w:tc>
          <w:tcPr>
            <w:tcW w:w="300" w:type="dxa"/>
            <w:vAlign w:val="bottom"/>
            <w:tcBorders>
              <w:top w:val="single" w:sz="8" w:color="auto"/>
            </w:tcBorders>
            <w:shd w:val="clear" w:color="auto" w:fill="F4EFE7"/>
          </w:tcPr>
          <w:p>
            <w:pPr>
              <w:spacing w:after="0"/>
              <w:rPr>
                <w:sz w:val="3"/>
                <w:szCs w:val="3"/>
                <w:color w:val="auto"/>
              </w:rPr>
            </w:pPr>
          </w:p>
        </w:tc>
        <w:tc>
          <w:tcPr>
            <w:tcW w:w="640" w:type="dxa"/>
            <w:vAlign w:val="bottom"/>
            <w:tcBorders>
              <w:top w:val="single" w:sz="8" w:color="auto"/>
            </w:tcBorders>
            <w:shd w:val="clear" w:color="auto" w:fill="F4EFE7"/>
          </w:tcPr>
          <w:p>
            <w:pPr>
              <w:spacing w:after="0"/>
              <w:rPr>
                <w:sz w:val="3"/>
                <w:szCs w:val="3"/>
                <w:color w:val="auto"/>
              </w:rPr>
            </w:pPr>
          </w:p>
        </w:tc>
        <w:tc>
          <w:tcPr>
            <w:tcW w:w="200" w:type="dxa"/>
            <w:vAlign w:val="bottom"/>
            <w:tcBorders>
              <w:top w:val="single" w:sz="8" w:color="auto"/>
            </w:tcBorders>
            <w:shd w:val="clear" w:color="auto" w:fill="F4EFE7"/>
          </w:tcPr>
          <w:p>
            <w:pPr>
              <w:spacing w:after="0"/>
              <w:rPr>
                <w:sz w:val="3"/>
                <w:szCs w:val="3"/>
                <w:color w:val="auto"/>
              </w:rPr>
            </w:pPr>
          </w:p>
        </w:tc>
        <w:tc>
          <w:tcPr>
            <w:tcW w:w="740" w:type="dxa"/>
            <w:vAlign w:val="bottom"/>
            <w:tcBorders>
              <w:top w:val="single" w:sz="8" w:color="auto"/>
            </w:tcBorders>
            <w:shd w:val="clear" w:color="auto" w:fill="F4EFE7"/>
          </w:tcPr>
          <w:p>
            <w:pPr>
              <w:spacing w:after="0"/>
              <w:rPr>
                <w:sz w:val="3"/>
                <w:szCs w:val="3"/>
                <w:color w:val="auto"/>
              </w:rPr>
            </w:pPr>
          </w:p>
        </w:tc>
        <w:tc>
          <w:tcPr>
            <w:tcW w:w="200" w:type="dxa"/>
            <w:vAlign w:val="bottom"/>
            <w:tcBorders>
              <w:top w:val="single" w:sz="8" w:color="auto"/>
            </w:tcBorders>
            <w:shd w:val="clear" w:color="auto" w:fill="F4EFE7"/>
          </w:tcPr>
          <w:p>
            <w:pPr>
              <w:spacing w:after="0"/>
              <w:rPr>
                <w:sz w:val="3"/>
                <w:szCs w:val="3"/>
                <w:color w:val="auto"/>
              </w:rPr>
            </w:pPr>
          </w:p>
        </w:tc>
        <w:tc>
          <w:tcPr>
            <w:tcW w:w="740" w:type="dxa"/>
            <w:vAlign w:val="bottom"/>
            <w:tcBorders>
              <w:top w:val="single" w:sz="8" w:color="auto"/>
            </w:tcBorders>
            <w:shd w:val="clear" w:color="auto" w:fill="F4EFE7"/>
          </w:tcPr>
          <w:p>
            <w:pPr>
              <w:spacing w:after="0"/>
              <w:rPr>
                <w:sz w:val="3"/>
                <w:szCs w:val="3"/>
                <w:color w:val="auto"/>
              </w:rPr>
            </w:pPr>
          </w:p>
        </w:tc>
        <w:tc>
          <w:tcPr>
            <w:tcW w:w="200" w:type="dxa"/>
            <w:vAlign w:val="bottom"/>
            <w:tcBorders>
              <w:top w:val="single" w:sz="8" w:color="auto"/>
            </w:tcBorders>
            <w:shd w:val="clear" w:color="auto" w:fill="F4EFE7"/>
          </w:tcPr>
          <w:p>
            <w:pPr>
              <w:spacing w:after="0"/>
              <w:rPr>
                <w:sz w:val="3"/>
                <w:szCs w:val="3"/>
                <w:color w:val="auto"/>
              </w:rPr>
            </w:pPr>
          </w:p>
        </w:tc>
        <w:tc>
          <w:tcPr>
            <w:tcW w:w="740" w:type="dxa"/>
            <w:vAlign w:val="bottom"/>
            <w:tcBorders>
              <w:top w:val="single" w:sz="8" w:color="auto"/>
            </w:tcBorders>
            <w:shd w:val="clear" w:color="auto" w:fill="F4EFE7"/>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840" w:type="dxa"/>
            <w:vAlign w:val="bottom"/>
            <w:tcBorders>
              <w:bottom w:val="single" w:sz="8" w:color="F4EFE7"/>
            </w:tcBorders>
            <w:shd w:val="clear" w:color="auto" w:fill="F4EFE7"/>
          </w:tcPr>
          <w:p>
            <w:pPr>
              <w:ind w:left="20"/>
              <w:spacing w:after="0"/>
              <w:rPr>
                <w:sz w:val="20"/>
                <w:szCs w:val="20"/>
                <w:color w:val="auto"/>
              </w:rPr>
            </w:pPr>
            <w:r>
              <w:rPr>
                <w:rFonts w:ascii="Arial" w:cs="Arial" w:eastAsia="Arial" w:hAnsi="Arial"/>
                <w:sz w:val="13"/>
                <w:szCs w:val="13"/>
                <w:color w:val="8F5A39"/>
              </w:rPr>
              <w:t>(in millions, except ratio data)</w:t>
            </w:r>
          </w:p>
        </w:tc>
        <w:tc>
          <w:tcPr>
            <w:tcW w:w="200" w:type="dxa"/>
            <w:vAlign w:val="bottom"/>
            <w:tcBorders>
              <w:bottom w:val="single" w:sz="8" w:color="F4EFE7"/>
            </w:tcBorders>
            <w:shd w:val="clear" w:color="auto" w:fill="F4EFE7"/>
          </w:tcPr>
          <w:p>
            <w:pPr>
              <w:spacing w:after="0"/>
              <w:rPr>
                <w:sz w:val="16"/>
                <w:szCs w:val="16"/>
                <w:color w:val="auto"/>
              </w:rPr>
            </w:pPr>
          </w:p>
        </w:tc>
        <w:tc>
          <w:tcPr>
            <w:tcW w:w="740" w:type="dxa"/>
            <w:vAlign w:val="bottom"/>
            <w:tcBorders>
              <w:bottom w:val="single" w:sz="8" w:color="F4EFE7"/>
            </w:tcBorders>
            <w:shd w:val="clear" w:color="auto" w:fill="F4EFE7"/>
          </w:tcPr>
          <w:p>
            <w:pPr>
              <w:jc w:val="right"/>
              <w:ind w:right="277"/>
              <w:spacing w:after="0"/>
              <w:rPr>
                <w:sz w:val="20"/>
                <w:szCs w:val="20"/>
                <w:color w:val="auto"/>
              </w:rPr>
            </w:pPr>
            <w:r>
              <w:rPr>
                <w:rFonts w:ascii="Arial" w:cs="Arial" w:eastAsia="Arial" w:hAnsi="Arial"/>
                <w:sz w:val="13"/>
                <w:szCs w:val="13"/>
                <w:b w:val="1"/>
                <w:bCs w:val="1"/>
                <w:color w:val="8F5A39"/>
              </w:rPr>
              <w:t>2016</w:t>
            </w:r>
          </w:p>
        </w:tc>
        <w:tc>
          <w:tcPr>
            <w:tcW w:w="200" w:type="dxa"/>
            <w:vAlign w:val="bottom"/>
            <w:tcBorders>
              <w:bottom w:val="single" w:sz="8" w:color="F4EFE7"/>
            </w:tcBorders>
            <w:shd w:val="clear" w:color="auto" w:fill="F4EFE7"/>
          </w:tcPr>
          <w:p>
            <w:pPr>
              <w:spacing w:after="0"/>
              <w:rPr>
                <w:sz w:val="16"/>
                <w:szCs w:val="16"/>
                <w:color w:val="auto"/>
              </w:rPr>
            </w:pPr>
          </w:p>
        </w:tc>
        <w:tc>
          <w:tcPr>
            <w:tcW w:w="720" w:type="dxa"/>
            <w:vAlign w:val="bottom"/>
            <w:tcBorders>
              <w:bottom w:val="single" w:sz="8" w:color="F4EFE7"/>
            </w:tcBorders>
            <w:shd w:val="clear" w:color="auto" w:fill="F4EFE7"/>
          </w:tcPr>
          <w:p>
            <w:pPr>
              <w:jc w:val="right"/>
              <w:ind w:right="257"/>
              <w:spacing w:after="0"/>
              <w:rPr>
                <w:sz w:val="20"/>
                <w:szCs w:val="20"/>
                <w:color w:val="auto"/>
              </w:rPr>
            </w:pPr>
            <w:r>
              <w:rPr>
                <w:rFonts w:ascii="Arial" w:cs="Arial" w:eastAsia="Arial" w:hAnsi="Arial"/>
                <w:sz w:val="13"/>
                <w:szCs w:val="13"/>
                <w:b w:val="1"/>
                <w:bCs w:val="1"/>
                <w:color w:val="8F5A39"/>
              </w:rPr>
              <w:t>2017</w:t>
            </w:r>
          </w:p>
        </w:tc>
        <w:tc>
          <w:tcPr>
            <w:tcW w:w="200" w:type="dxa"/>
            <w:vAlign w:val="bottom"/>
            <w:tcBorders>
              <w:bottom w:val="single" w:sz="8" w:color="F4EFE7"/>
            </w:tcBorders>
            <w:shd w:val="clear" w:color="auto" w:fill="F4EFE7"/>
          </w:tcPr>
          <w:p>
            <w:pPr>
              <w:spacing w:after="0"/>
              <w:rPr>
                <w:sz w:val="16"/>
                <w:szCs w:val="16"/>
                <w:color w:val="auto"/>
              </w:rPr>
            </w:pPr>
          </w:p>
        </w:tc>
        <w:tc>
          <w:tcPr>
            <w:tcW w:w="740" w:type="dxa"/>
            <w:vAlign w:val="bottom"/>
            <w:tcBorders>
              <w:bottom w:val="single" w:sz="8" w:color="F4EFE7"/>
            </w:tcBorders>
            <w:shd w:val="clear" w:color="auto" w:fill="F4EFE7"/>
          </w:tcPr>
          <w:p>
            <w:pPr>
              <w:jc w:val="right"/>
              <w:ind w:right="257"/>
              <w:spacing w:after="0"/>
              <w:rPr>
                <w:sz w:val="20"/>
                <w:szCs w:val="20"/>
                <w:color w:val="auto"/>
              </w:rPr>
            </w:pPr>
            <w:r>
              <w:rPr>
                <w:rFonts w:ascii="Arial" w:cs="Arial" w:eastAsia="Arial" w:hAnsi="Arial"/>
                <w:sz w:val="13"/>
                <w:szCs w:val="13"/>
                <w:b w:val="1"/>
                <w:bCs w:val="1"/>
                <w:color w:val="8F5A39"/>
              </w:rPr>
              <w:t>2018</w:t>
            </w:r>
          </w:p>
        </w:tc>
        <w:tc>
          <w:tcPr>
            <w:tcW w:w="200" w:type="dxa"/>
            <w:vAlign w:val="bottom"/>
            <w:tcBorders>
              <w:bottom w:val="single" w:sz="8" w:color="F4EFE7"/>
            </w:tcBorders>
            <w:shd w:val="clear" w:color="auto" w:fill="F4EFE7"/>
          </w:tcPr>
          <w:p>
            <w:pPr>
              <w:spacing w:after="0"/>
              <w:rPr>
                <w:sz w:val="16"/>
                <w:szCs w:val="16"/>
                <w:color w:val="auto"/>
              </w:rPr>
            </w:pPr>
          </w:p>
        </w:tc>
        <w:tc>
          <w:tcPr>
            <w:tcW w:w="740" w:type="dxa"/>
            <w:vAlign w:val="bottom"/>
            <w:tcBorders>
              <w:bottom w:val="single" w:sz="8" w:color="F4EFE7"/>
            </w:tcBorders>
            <w:shd w:val="clear" w:color="auto" w:fill="F4EFE7"/>
          </w:tcPr>
          <w:p>
            <w:pPr>
              <w:jc w:val="right"/>
              <w:ind w:right="257"/>
              <w:spacing w:after="0"/>
              <w:rPr>
                <w:sz w:val="20"/>
                <w:szCs w:val="20"/>
                <w:color w:val="auto"/>
              </w:rPr>
            </w:pPr>
            <w:r>
              <w:rPr>
                <w:rFonts w:ascii="Arial" w:cs="Arial" w:eastAsia="Arial" w:hAnsi="Arial"/>
                <w:sz w:val="13"/>
                <w:szCs w:val="13"/>
                <w:b w:val="1"/>
                <w:bCs w:val="1"/>
                <w:color w:val="8F5A39"/>
              </w:rPr>
              <w:t>2019</w:t>
            </w:r>
          </w:p>
        </w:tc>
        <w:tc>
          <w:tcPr>
            <w:tcW w:w="200" w:type="dxa"/>
            <w:vAlign w:val="bottom"/>
            <w:tcBorders>
              <w:bottom w:val="single" w:sz="8" w:color="F4EFE7"/>
            </w:tcBorders>
            <w:shd w:val="clear" w:color="auto" w:fill="F4EFE7"/>
          </w:tcPr>
          <w:p>
            <w:pPr>
              <w:spacing w:after="0"/>
              <w:rPr>
                <w:sz w:val="16"/>
                <w:szCs w:val="16"/>
                <w:color w:val="auto"/>
              </w:rPr>
            </w:pPr>
          </w:p>
        </w:tc>
        <w:tc>
          <w:tcPr>
            <w:tcW w:w="740" w:type="dxa"/>
            <w:vAlign w:val="bottom"/>
            <w:tcBorders>
              <w:bottom w:val="single" w:sz="8" w:color="F4EFE7"/>
            </w:tcBorders>
            <w:shd w:val="clear" w:color="auto" w:fill="F4EFE7"/>
          </w:tcPr>
          <w:p>
            <w:pPr>
              <w:jc w:val="right"/>
              <w:ind w:right="257"/>
              <w:spacing w:after="0"/>
              <w:rPr>
                <w:sz w:val="20"/>
                <w:szCs w:val="20"/>
                <w:color w:val="auto"/>
              </w:rPr>
            </w:pPr>
            <w:r>
              <w:rPr>
                <w:rFonts w:ascii="Arial" w:cs="Arial" w:eastAsia="Arial" w:hAnsi="Arial"/>
                <w:sz w:val="13"/>
                <w:szCs w:val="13"/>
                <w:b w:val="1"/>
                <w:bCs w:val="1"/>
                <w:color w:val="8F5A39"/>
              </w:rPr>
              <w:t>2020</w:t>
            </w:r>
          </w:p>
        </w:tc>
        <w:tc>
          <w:tcPr>
            <w:tcW w:w="220" w:type="dxa"/>
            <w:vAlign w:val="bottom"/>
            <w:tcBorders>
              <w:bottom w:val="single" w:sz="8" w:color="F4EFE7"/>
            </w:tcBorders>
            <w:shd w:val="clear" w:color="auto" w:fill="F4EFE7"/>
          </w:tcPr>
          <w:p>
            <w:pPr>
              <w:spacing w:after="0"/>
              <w:rPr>
                <w:sz w:val="16"/>
                <w:szCs w:val="16"/>
                <w:color w:val="auto"/>
              </w:rPr>
            </w:pPr>
          </w:p>
        </w:tc>
        <w:tc>
          <w:tcPr>
            <w:tcW w:w="740" w:type="dxa"/>
            <w:vAlign w:val="bottom"/>
            <w:tcBorders>
              <w:bottom w:val="single" w:sz="8" w:color="F4EFE7"/>
            </w:tcBorders>
            <w:shd w:val="clear" w:color="auto" w:fill="F4EFE7"/>
          </w:tcPr>
          <w:p>
            <w:pPr>
              <w:jc w:val="right"/>
              <w:ind w:right="277"/>
              <w:spacing w:after="0"/>
              <w:rPr>
                <w:sz w:val="20"/>
                <w:szCs w:val="20"/>
                <w:color w:val="auto"/>
              </w:rPr>
            </w:pPr>
            <w:r>
              <w:rPr>
                <w:rFonts w:ascii="Arial" w:cs="Arial" w:eastAsia="Arial" w:hAnsi="Arial"/>
                <w:sz w:val="13"/>
                <w:szCs w:val="13"/>
                <w:b w:val="1"/>
                <w:bCs w:val="1"/>
                <w:color w:val="8F5A39"/>
              </w:rPr>
              <w:t>2021</w:t>
            </w:r>
          </w:p>
        </w:tc>
        <w:tc>
          <w:tcPr>
            <w:tcW w:w="300" w:type="dxa"/>
            <w:vAlign w:val="bottom"/>
            <w:tcBorders>
              <w:bottom w:val="single" w:sz="8" w:color="F4EFE7"/>
            </w:tcBorders>
            <w:shd w:val="clear" w:color="auto" w:fill="F4EFE7"/>
          </w:tcPr>
          <w:p>
            <w:pPr>
              <w:spacing w:after="0"/>
              <w:rPr>
                <w:sz w:val="16"/>
                <w:szCs w:val="16"/>
                <w:color w:val="auto"/>
              </w:rPr>
            </w:pPr>
          </w:p>
        </w:tc>
        <w:tc>
          <w:tcPr>
            <w:tcW w:w="640" w:type="dxa"/>
            <w:vAlign w:val="bottom"/>
            <w:tcBorders>
              <w:bottom w:val="single" w:sz="8" w:color="F4EFE7"/>
            </w:tcBorders>
            <w:shd w:val="clear" w:color="auto" w:fill="F4EFE7"/>
          </w:tcPr>
          <w:p>
            <w:pPr>
              <w:jc w:val="right"/>
              <w:ind w:right="277"/>
              <w:spacing w:after="0"/>
              <w:rPr>
                <w:sz w:val="20"/>
                <w:szCs w:val="20"/>
                <w:color w:val="auto"/>
              </w:rPr>
            </w:pPr>
            <w:r>
              <w:rPr>
                <w:rFonts w:ascii="Arial" w:cs="Arial" w:eastAsia="Arial" w:hAnsi="Arial"/>
                <w:sz w:val="13"/>
                <w:szCs w:val="13"/>
                <w:b w:val="1"/>
                <w:bCs w:val="1"/>
                <w:color w:val="8F5A39"/>
                <w:w w:val="96"/>
              </w:rPr>
              <w:t>2022</w:t>
            </w:r>
          </w:p>
        </w:tc>
        <w:tc>
          <w:tcPr>
            <w:tcW w:w="200" w:type="dxa"/>
            <w:vAlign w:val="bottom"/>
            <w:tcBorders>
              <w:bottom w:val="single" w:sz="8" w:color="F4EFE7"/>
            </w:tcBorders>
            <w:shd w:val="clear" w:color="auto" w:fill="F4EFE7"/>
          </w:tcPr>
          <w:p>
            <w:pPr>
              <w:spacing w:after="0"/>
              <w:rPr>
                <w:sz w:val="16"/>
                <w:szCs w:val="16"/>
                <w:color w:val="auto"/>
              </w:rPr>
            </w:pPr>
          </w:p>
        </w:tc>
        <w:tc>
          <w:tcPr>
            <w:tcW w:w="740" w:type="dxa"/>
            <w:vAlign w:val="bottom"/>
            <w:tcBorders>
              <w:bottom w:val="single" w:sz="8" w:color="F4EFE7"/>
            </w:tcBorders>
            <w:shd w:val="clear" w:color="auto" w:fill="F4EFE7"/>
          </w:tcPr>
          <w:p>
            <w:pPr>
              <w:jc w:val="right"/>
              <w:ind w:right="257"/>
              <w:spacing w:after="0"/>
              <w:rPr>
                <w:sz w:val="20"/>
                <w:szCs w:val="20"/>
                <w:color w:val="auto"/>
              </w:rPr>
            </w:pPr>
            <w:r>
              <w:rPr>
                <w:rFonts w:ascii="Arial" w:cs="Arial" w:eastAsia="Arial" w:hAnsi="Arial"/>
                <w:sz w:val="13"/>
                <w:szCs w:val="13"/>
                <w:b w:val="1"/>
                <w:bCs w:val="1"/>
                <w:color w:val="8F5A39"/>
              </w:rPr>
              <w:t>2023</w:t>
            </w:r>
          </w:p>
        </w:tc>
        <w:tc>
          <w:tcPr>
            <w:tcW w:w="200" w:type="dxa"/>
            <w:vAlign w:val="bottom"/>
            <w:tcBorders>
              <w:bottom w:val="single" w:sz="8" w:color="F4EFE7"/>
            </w:tcBorders>
            <w:shd w:val="clear" w:color="auto" w:fill="F4EFE7"/>
          </w:tcPr>
          <w:p>
            <w:pPr>
              <w:spacing w:after="0"/>
              <w:rPr>
                <w:sz w:val="16"/>
                <w:szCs w:val="16"/>
                <w:color w:val="auto"/>
              </w:rPr>
            </w:pPr>
          </w:p>
        </w:tc>
        <w:tc>
          <w:tcPr>
            <w:tcW w:w="740" w:type="dxa"/>
            <w:vAlign w:val="bottom"/>
            <w:tcBorders>
              <w:bottom w:val="single" w:sz="8" w:color="F4EFE7"/>
            </w:tcBorders>
            <w:shd w:val="clear" w:color="auto" w:fill="F4EFE7"/>
          </w:tcPr>
          <w:p>
            <w:pPr>
              <w:jc w:val="right"/>
              <w:ind w:right="257"/>
              <w:spacing w:after="0"/>
              <w:rPr>
                <w:sz w:val="20"/>
                <w:szCs w:val="20"/>
                <w:color w:val="auto"/>
              </w:rPr>
            </w:pPr>
            <w:r>
              <w:rPr>
                <w:rFonts w:ascii="Arial" w:cs="Arial" w:eastAsia="Arial" w:hAnsi="Arial"/>
                <w:sz w:val="13"/>
                <w:szCs w:val="13"/>
                <w:color w:val="8F5A39"/>
              </w:rPr>
              <w:t>2024</w:t>
            </w:r>
          </w:p>
        </w:tc>
        <w:tc>
          <w:tcPr>
            <w:tcW w:w="200" w:type="dxa"/>
            <w:vAlign w:val="bottom"/>
            <w:tcBorders>
              <w:bottom w:val="single" w:sz="8" w:color="F4EFE7"/>
            </w:tcBorders>
            <w:shd w:val="clear" w:color="auto" w:fill="F4EFE7"/>
          </w:tcPr>
          <w:p>
            <w:pPr>
              <w:spacing w:after="0"/>
              <w:rPr>
                <w:sz w:val="16"/>
                <w:szCs w:val="16"/>
                <w:color w:val="auto"/>
              </w:rPr>
            </w:pPr>
          </w:p>
        </w:tc>
        <w:tc>
          <w:tcPr>
            <w:tcW w:w="740" w:type="dxa"/>
            <w:vAlign w:val="bottom"/>
            <w:tcBorders>
              <w:bottom w:val="single" w:sz="8" w:color="F4EFE7"/>
            </w:tcBorders>
            <w:shd w:val="clear" w:color="auto" w:fill="F4EFE7"/>
          </w:tcPr>
          <w:p>
            <w:pPr>
              <w:jc w:val="right"/>
              <w:ind w:right="257"/>
              <w:spacing w:after="0"/>
              <w:rPr>
                <w:sz w:val="20"/>
                <w:szCs w:val="20"/>
                <w:color w:val="auto"/>
              </w:rPr>
            </w:pPr>
            <w:r>
              <w:rPr>
                <w:rFonts w:ascii="Arial" w:cs="Arial" w:eastAsia="Arial" w:hAnsi="Arial"/>
                <w:sz w:val="13"/>
                <w:szCs w:val="13"/>
                <w:b w:val="1"/>
                <w:bCs w:val="1"/>
                <w:color w:val="8F5A39"/>
              </w:rPr>
              <w:t>2025</w:t>
            </w:r>
          </w:p>
        </w:tc>
        <w:tc>
          <w:tcPr>
            <w:tcW w:w="0" w:type="dxa"/>
            <w:vAlign w:val="bottom"/>
          </w:tcPr>
          <w:p>
            <w:pPr>
              <w:spacing w:after="0"/>
              <w:rPr>
                <w:sz w:val="1"/>
                <w:szCs w:val="1"/>
                <w:color w:val="auto"/>
              </w:rPr>
            </w:pPr>
          </w:p>
        </w:tc>
      </w:tr>
      <w:tr>
        <w:trPr>
          <w:trHeight w:val="175"/>
        </w:trPr>
        <w:tc>
          <w:tcPr>
            <w:tcW w:w="18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Common stockholders’ equity</w:t>
            </w: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224,631</w:t>
            </w: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230,350</w:t>
            </w: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229,222</w:t>
            </w: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232,907</w:t>
            </w: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236,865</w:t>
            </w:r>
          </w:p>
        </w:tc>
        <w:tc>
          <w:tcPr>
            <w:tcW w:w="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250,968</w:t>
            </w:r>
          </w:p>
        </w:tc>
        <w:tc>
          <w:tcPr>
            <w:tcW w:w="30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w w:val="93"/>
              </w:rPr>
              <w:t>253,068</w:t>
            </w: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282,056</w:t>
            </w: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312,370</w:t>
            </w: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332,754</w:t>
            </w:r>
          </w:p>
        </w:tc>
        <w:tc>
          <w:tcPr>
            <w:tcW w:w="0" w:type="dxa"/>
            <w:vAlign w:val="bottom"/>
          </w:tcPr>
          <w:p>
            <w:pPr>
              <w:spacing w:after="0"/>
              <w:rPr>
                <w:sz w:val="1"/>
                <w:szCs w:val="1"/>
                <w:color w:val="auto"/>
              </w:rPr>
            </w:pPr>
          </w:p>
        </w:tc>
      </w:tr>
      <w:tr>
        <w:trPr>
          <w:trHeight w:val="22"/>
        </w:trPr>
        <w:tc>
          <w:tcPr>
            <w:tcW w:w="18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30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20"/>
              <w:spacing w:after="0"/>
              <w:rPr>
                <w:sz w:val="20"/>
                <w:szCs w:val="20"/>
                <w:color w:val="auto"/>
              </w:rPr>
            </w:pPr>
            <w:r>
              <w:rPr>
                <w:rFonts w:ascii="Arial" w:cs="Arial" w:eastAsia="Arial" w:hAnsi="Arial"/>
                <w:sz w:val="13"/>
                <w:szCs w:val="13"/>
                <w:color w:val="auto"/>
              </w:rPr>
              <w:t>Less: Goodwill</w:t>
            </w:r>
          </w:p>
        </w:tc>
        <w:tc>
          <w:tcPr>
            <w:tcW w:w="20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47,310</w:t>
            </w:r>
          </w:p>
        </w:tc>
        <w:tc>
          <w:tcPr>
            <w:tcW w:w="20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47,317</w:t>
            </w:r>
          </w:p>
        </w:tc>
        <w:tc>
          <w:tcPr>
            <w:tcW w:w="20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47,491</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47,620</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47,820</w:t>
            </w:r>
          </w:p>
        </w:tc>
        <w:tc>
          <w:tcPr>
            <w:tcW w:w="22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49,584</w:t>
            </w:r>
          </w:p>
        </w:tc>
        <w:tc>
          <w:tcPr>
            <w:tcW w:w="30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50,952</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52,258</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52,627</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b w:val="1"/>
                <w:bCs w:val="1"/>
                <w:color w:val="auto"/>
              </w:rPr>
              <w:t>52,677</w:t>
            </w:r>
          </w:p>
        </w:tc>
        <w:tc>
          <w:tcPr>
            <w:tcW w:w="0" w:type="dxa"/>
            <w:vAlign w:val="bottom"/>
          </w:tcPr>
          <w:p>
            <w:pPr>
              <w:spacing w:after="0"/>
              <w:rPr>
                <w:sz w:val="1"/>
                <w:szCs w:val="1"/>
                <w:color w:val="auto"/>
              </w:rPr>
            </w:pPr>
          </w:p>
        </w:tc>
      </w:tr>
      <w:tr>
        <w:trPr>
          <w:trHeight w:val="22"/>
        </w:trPr>
        <w:tc>
          <w:tcPr>
            <w:tcW w:w="18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30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20"/>
              <w:spacing w:after="0"/>
              <w:rPr>
                <w:sz w:val="20"/>
                <w:szCs w:val="20"/>
                <w:color w:val="auto"/>
              </w:rPr>
            </w:pPr>
            <w:r>
              <w:rPr>
                <w:rFonts w:ascii="Arial" w:cs="Arial" w:eastAsia="Arial" w:hAnsi="Arial"/>
                <w:sz w:val="13"/>
                <w:szCs w:val="13"/>
                <w:color w:val="auto"/>
              </w:rPr>
              <w:t>Less: Other intangible assets</w:t>
            </w:r>
          </w:p>
        </w:tc>
        <w:tc>
          <w:tcPr>
            <w:tcW w:w="20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922</w:t>
            </w:r>
          </w:p>
        </w:tc>
        <w:tc>
          <w:tcPr>
            <w:tcW w:w="20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832</w:t>
            </w:r>
          </w:p>
        </w:tc>
        <w:tc>
          <w:tcPr>
            <w:tcW w:w="20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807</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789</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781</w:t>
            </w:r>
          </w:p>
        </w:tc>
        <w:tc>
          <w:tcPr>
            <w:tcW w:w="22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876</w:t>
            </w:r>
          </w:p>
        </w:tc>
        <w:tc>
          <w:tcPr>
            <w:tcW w:w="30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1,112</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2,572</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3,042</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b w:val="1"/>
                <w:bCs w:val="1"/>
                <w:color w:val="auto"/>
              </w:rPr>
              <w:t>2,706</w:t>
            </w:r>
          </w:p>
        </w:tc>
        <w:tc>
          <w:tcPr>
            <w:tcW w:w="0" w:type="dxa"/>
            <w:vAlign w:val="bottom"/>
          </w:tcPr>
          <w:p>
            <w:pPr>
              <w:spacing w:after="0"/>
              <w:rPr>
                <w:sz w:val="1"/>
                <w:szCs w:val="1"/>
                <w:color w:val="auto"/>
              </w:rPr>
            </w:pPr>
          </w:p>
        </w:tc>
      </w:tr>
      <w:tr>
        <w:trPr>
          <w:trHeight w:val="22"/>
        </w:trPr>
        <w:tc>
          <w:tcPr>
            <w:tcW w:w="18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300" w:type="dxa"/>
            <w:vAlign w:val="bottom"/>
            <w:tcBorders>
              <w:bottom w:val="single" w:sz="8" w:color="B2B2B2"/>
            </w:tcBorders>
          </w:tcPr>
          <w:p>
            <w:pPr>
              <w:spacing w:after="0" w:line="20" w:lineRule="exact"/>
              <w:rPr>
                <w:sz w:val="1"/>
                <w:szCs w:val="1"/>
                <w:color w:val="auto"/>
              </w:rPr>
            </w:pPr>
          </w:p>
        </w:tc>
        <w:tc>
          <w:tcPr>
            <w:tcW w:w="6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74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1840" w:type="dxa"/>
            <w:vAlign w:val="bottom"/>
          </w:tcPr>
          <w:p>
            <w:pPr>
              <w:ind w:left="20"/>
              <w:spacing w:after="0"/>
              <w:rPr>
                <w:sz w:val="20"/>
                <w:szCs w:val="20"/>
                <w:color w:val="auto"/>
              </w:rPr>
            </w:pPr>
            <w:r>
              <w:rPr>
                <w:rFonts w:ascii="Arial" w:cs="Arial" w:eastAsia="Arial" w:hAnsi="Arial"/>
                <w:sz w:val="13"/>
                <w:szCs w:val="13"/>
                <w:color w:val="auto"/>
              </w:rPr>
              <w:t>Add: Certain deferred</w:t>
            </w:r>
          </w:p>
        </w:tc>
        <w:tc>
          <w:tcPr>
            <w:tcW w:w="200" w:type="dxa"/>
            <w:vAlign w:val="bottom"/>
          </w:tcPr>
          <w:p>
            <w:pPr>
              <w:spacing w:after="0"/>
              <w:rPr>
                <w:sz w:val="13"/>
                <w:szCs w:val="13"/>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3,212</w:t>
            </w:r>
          </w:p>
        </w:tc>
        <w:tc>
          <w:tcPr>
            <w:tcW w:w="200" w:type="dxa"/>
            <w:vAlign w:val="bottom"/>
          </w:tcPr>
          <w:p>
            <w:pPr>
              <w:spacing w:after="0"/>
              <w:rPr>
                <w:sz w:val="13"/>
                <w:szCs w:val="13"/>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3,116</w:t>
            </w:r>
          </w:p>
        </w:tc>
        <w:tc>
          <w:tcPr>
            <w:tcW w:w="200" w:type="dxa"/>
            <w:vAlign w:val="bottom"/>
          </w:tcPr>
          <w:p>
            <w:pPr>
              <w:spacing w:after="0"/>
              <w:rPr>
                <w:sz w:val="13"/>
                <w:szCs w:val="13"/>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2,231</w:t>
            </w:r>
          </w:p>
        </w:tc>
        <w:tc>
          <w:tcPr>
            <w:tcW w:w="20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2,328</w:t>
            </w:r>
          </w:p>
        </w:tc>
        <w:tc>
          <w:tcPr>
            <w:tcW w:w="20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2,399</w:t>
            </w:r>
          </w:p>
        </w:tc>
        <w:tc>
          <w:tcPr>
            <w:tcW w:w="220" w:type="dxa"/>
            <w:vAlign w:val="bottom"/>
          </w:tcPr>
          <w:p>
            <w:pPr>
              <w:spacing w:after="0"/>
              <w:rPr>
                <w:sz w:val="13"/>
                <w:szCs w:val="13"/>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2,474</w:t>
            </w:r>
          </w:p>
        </w:tc>
        <w:tc>
          <w:tcPr>
            <w:tcW w:w="300" w:type="dxa"/>
            <w:vAlign w:val="bottom"/>
          </w:tcPr>
          <w:p>
            <w:pPr>
              <w:spacing w:after="0"/>
              <w:rPr>
                <w:sz w:val="13"/>
                <w:szCs w:val="1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2,505</w:t>
            </w:r>
          </w:p>
        </w:tc>
        <w:tc>
          <w:tcPr>
            <w:tcW w:w="20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2,883</w:t>
            </w:r>
          </w:p>
        </w:tc>
        <w:tc>
          <w:tcPr>
            <w:tcW w:w="20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2,970</w:t>
            </w:r>
          </w:p>
        </w:tc>
        <w:tc>
          <w:tcPr>
            <w:tcW w:w="20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b w:val="1"/>
                <w:bCs w:val="1"/>
                <w:color w:val="auto"/>
              </w:rPr>
              <w:t>2,921</w:t>
            </w:r>
          </w:p>
        </w:tc>
        <w:tc>
          <w:tcPr>
            <w:tcW w:w="0" w:type="dxa"/>
            <w:vAlign w:val="bottom"/>
          </w:tcPr>
          <w:p>
            <w:pPr>
              <w:spacing w:after="0"/>
              <w:rPr>
                <w:sz w:val="1"/>
                <w:szCs w:val="1"/>
                <w:color w:val="auto"/>
              </w:rPr>
            </w:pPr>
          </w:p>
        </w:tc>
      </w:tr>
      <w:tr>
        <w:trPr>
          <w:trHeight w:val="193"/>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tax liabilities</w:t>
            </w:r>
            <w:r>
              <w:rPr>
                <w:rFonts w:ascii="Arial" w:cs="Arial" w:eastAsia="Arial" w:hAnsi="Arial"/>
                <w:sz w:val="16"/>
                <w:szCs w:val="16"/>
                <w:color w:val="auto"/>
                <w:vertAlign w:val="superscript"/>
              </w:rPr>
              <w:t>(a)</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40" w:type="dxa"/>
            <w:vAlign w:val="bottom"/>
          </w:tcPr>
          <w:p>
            <w:pPr>
              <w:ind w:left="20"/>
              <w:spacing w:after="0"/>
              <w:rPr>
                <w:sz w:val="20"/>
                <w:szCs w:val="20"/>
                <w:color w:val="auto"/>
              </w:rPr>
            </w:pPr>
            <w:r>
              <w:rPr>
                <w:rFonts w:ascii="Arial" w:cs="Arial" w:eastAsia="Arial" w:hAnsi="Arial"/>
                <w:sz w:val="13"/>
                <w:szCs w:val="13"/>
                <w:b w:val="1"/>
                <w:bCs w:val="1"/>
                <w:color w:val="auto"/>
              </w:rPr>
              <w:t>Tangible common equity</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179,611</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185,317</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183,155</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186,826</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190,663</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202,982</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17"/>
              <w:spacing w:after="0"/>
              <w:rPr>
                <w:sz w:val="20"/>
                <w:szCs w:val="20"/>
                <w:color w:val="auto"/>
              </w:rPr>
            </w:pPr>
            <w:r>
              <w:rPr>
                <w:rFonts w:ascii="Arial" w:cs="Arial" w:eastAsia="Arial" w:hAnsi="Arial"/>
                <w:sz w:val="13"/>
                <w:szCs w:val="13"/>
                <w:color w:val="auto"/>
                <w:w w:val="93"/>
              </w:rPr>
              <w:t>203,509</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230,109</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259,671</w:t>
            </w: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b w:val="1"/>
                <w:bCs w:val="1"/>
                <w:color w:val="auto"/>
              </w:rPr>
              <w:t>280,292</w:t>
            </w:r>
          </w:p>
        </w:tc>
        <w:tc>
          <w:tcPr>
            <w:tcW w:w="0" w:type="dxa"/>
            <w:vAlign w:val="bottom"/>
          </w:tcPr>
          <w:p>
            <w:pPr>
              <w:spacing w:after="0"/>
              <w:rPr>
                <w:sz w:val="1"/>
                <w:szCs w:val="1"/>
                <w:color w:val="auto"/>
              </w:rPr>
            </w:pPr>
          </w:p>
        </w:tc>
      </w:tr>
      <w:tr>
        <w:trPr>
          <w:trHeight w:val="22"/>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1840" w:type="dxa"/>
            <w:vAlign w:val="bottom"/>
          </w:tcPr>
          <w:p>
            <w:pPr>
              <w:ind w:left="20"/>
              <w:spacing w:after="0"/>
              <w:rPr>
                <w:sz w:val="20"/>
                <w:szCs w:val="20"/>
                <w:color w:val="auto"/>
              </w:rPr>
            </w:pPr>
            <w:r>
              <w:rPr>
                <w:rFonts w:ascii="Arial" w:cs="Arial" w:eastAsia="Arial" w:hAnsi="Arial"/>
                <w:sz w:val="13"/>
                <w:szCs w:val="13"/>
                <w:color w:val="auto"/>
              </w:rPr>
              <w:t>Net income applicable to</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23,086</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22,778</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30,923</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34,844</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27,548</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46,734</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36,081</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48,051</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57,212</w:t>
            </w:r>
          </w:p>
        </w:tc>
        <w:tc>
          <w:tcPr>
            <w:tcW w:w="2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b w:val="1"/>
                <w:bCs w:val="1"/>
                <w:color w:val="auto"/>
              </w:rPr>
              <w:t>55,949</w:t>
            </w:r>
          </w:p>
        </w:tc>
        <w:tc>
          <w:tcPr>
            <w:tcW w:w="0" w:type="dxa"/>
            <w:vAlign w:val="bottom"/>
          </w:tcPr>
          <w:p>
            <w:pPr>
              <w:spacing w:after="0"/>
              <w:rPr>
                <w:sz w:val="1"/>
                <w:szCs w:val="1"/>
                <w:color w:val="auto"/>
              </w:rPr>
            </w:pPr>
          </w:p>
        </w:tc>
      </w:tr>
      <w:tr>
        <w:trPr>
          <w:trHeight w:val="166"/>
        </w:trPr>
        <w:tc>
          <w:tcPr>
            <w:tcW w:w="1840" w:type="dxa"/>
            <w:vAlign w:val="bottom"/>
          </w:tcPr>
          <w:p>
            <w:pPr>
              <w:ind w:left="20"/>
              <w:spacing w:after="0"/>
              <w:rPr>
                <w:sz w:val="20"/>
                <w:szCs w:val="20"/>
                <w:color w:val="auto"/>
              </w:rPr>
            </w:pPr>
            <w:r>
              <w:rPr>
                <w:rFonts w:ascii="Arial" w:cs="Arial" w:eastAsia="Arial" w:hAnsi="Arial"/>
                <w:sz w:val="13"/>
                <w:szCs w:val="13"/>
                <w:color w:val="auto"/>
              </w:rPr>
              <w:t>common equity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84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2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300" w:type="dxa"/>
            <w:vAlign w:val="bottom"/>
            <w:tcBorders>
              <w:bottom w:val="single" w:sz="8" w:color="B2B2B2"/>
            </w:tcBorders>
          </w:tcPr>
          <w:p>
            <w:pPr>
              <w:spacing w:after="0"/>
              <w:rPr>
                <w:sz w:val="2"/>
                <w:szCs w:val="2"/>
                <w:color w:val="auto"/>
              </w:rPr>
            </w:pPr>
          </w:p>
        </w:tc>
        <w:tc>
          <w:tcPr>
            <w:tcW w:w="64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200" w:type="dxa"/>
            <w:vAlign w:val="bottom"/>
            <w:tcBorders>
              <w:bottom w:val="single" w:sz="8" w:color="B2B2B2"/>
            </w:tcBorders>
          </w:tcPr>
          <w:p>
            <w:pPr>
              <w:spacing w:after="0"/>
              <w:rPr>
                <w:sz w:val="2"/>
                <w:szCs w:val="2"/>
                <w:color w:val="auto"/>
              </w:rPr>
            </w:pPr>
          </w:p>
        </w:tc>
        <w:tc>
          <w:tcPr>
            <w:tcW w:w="74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B2B2B2"/>
            </w:tcBorders>
          </w:tcPr>
          <w:p>
            <w:pPr>
              <w:ind w:left="20"/>
              <w:spacing w:after="0"/>
              <w:rPr>
                <w:sz w:val="20"/>
                <w:szCs w:val="20"/>
                <w:color w:val="auto"/>
              </w:rPr>
            </w:pPr>
            <w:r>
              <w:rPr>
                <w:rFonts w:ascii="Arial" w:cs="Arial" w:eastAsia="Arial" w:hAnsi="Arial"/>
                <w:sz w:val="13"/>
                <w:szCs w:val="13"/>
                <w:color w:val="auto"/>
              </w:rPr>
              <w:t>Return on common equity</w:t>
            </w:r>
            <w:r>
              <w:rPr>
                <w:rFonts w:ascii="Arial" w:cs="Arial" w:eastAsia="Arial" w:hAnsi="Arial"/>
                <w:sz w:val="16"/>
                <w:szCs w:val="16"/>
                <w:color w:val="auto"/>
                <w:vertAlign w:val="superscript"/>
              </w:rPr>
              <w:t>(b)</w:t>
            </w:r>
          </w:p>
        </w:tc>
        <w:tc>
          <w:tcPr>
            <w:tcW w:w="2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10%</w:t>
            </w:r>
          </w:p>
        </w:tc>
        <w:tc>
          <w:tcPr>
            <w:tcW w:w="200" w:type="dxa"/>
            <w:vAlign w:val="bottom"/>
            <w:tcBorders>
              <w:bottom w:val="single" w:sz="8" w:color="B2B2B2"/>
            </w:tcBorders>
          </w:tcPr>
          <w:p>
            <w:pPr>
              <w:spacing w:after="0"/>
              <w:rPr>
                <w:sz w:val="17"/>
                <w:szCs w:val="17"/>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10%</w:t>
            </w:r>
          </w:p>
        </w:tc>
        <w:tc>
          <w:tcPr>
            <w:tcW w:w="2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13%</w:t>
            </w:r>
          </w:p>
        </w:tc>
        <w:tc>
          <w:tcPr>
            <w:tcW w:w="2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ind w:left="460"/>
              <w:spacing w:after="0"/>
              <w:rPr>
                <w:sz w:val="20"/>
                <w:szCs w:val="20"/>
                <w:color w:val="auto"/>
              </w:rPr>
            </w:pPr>
            <w:r>
              <w:rPr>
                <w:rFonts w:ascii="Arial" w:cs="Arial" w:eastAsia="Arial" w:hAnsi="Arial"/>
                <w:sz w:val="13"/>
                <w:szCs w:val="13"/>
                <w:color w:val="auto"/>
                <w:w w:val="99"/>
              </w:rPr>
              <w:t>15%</w:t>
            </w:r>
          </w:p>
        </w:tc>
        <w:tc>
          <w:tcPr>
            <w:tcW w:w="2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12%</w:t>
            </w:r>
          </w:p>
        </w:tc>
        <w:tc>
          <w:tcPr>
            <w:tcW w:w="22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19%</w:t>
            </w:r>
          </w:p>
        </w:tc>
        <w:tc>
          <w:tcPr>
            <w:tcW w:w="300" w:type="dxa"/>
            <w:vAlign w:val="bottom"/>
            <w:tcBorders>
              <w:bottom w:val="single" w:sz="8" w:color="B2B2B2"/>
            </w:tcBorders>
          </w:tcPr>
          <w:p>
            <w:pPr>
              <w:spacing w:after="0"/>
              <w:rPr>
                <w:sz w:val="17"/>
                <w:szCs w:val="17"/>
                <w:color w:val="auto"/>
              </w:rPr>
            </w:pPr>
          </w:p>
        </w:tc>
        <w:tc>
          <w:tcPr>
            <w:tcW w:w="6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14%</w:t>
            </w:r>
          </w:p>
        </w:tc>
        <w:tc>
          <w:tcPr>
            <w:tcW w:w="2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17%</w:t>
            </w:r>
          </w:p>
        </w:tc>
        <w:tc>
          <w:tcPr>
            <w:tcW w:w="2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3"/>
                <w:szCs w:val="13"/>
                <w:color w:val="auto"/>
              </w:rPr>
              <w:t>18%</w:t>
            </w:r>
          </w:p>
        </w:tc>
        <w:tc>
          <w:tcPr>
            <w:tcW w:w="20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3"/>
                <w:szCs w:val="13"/>
                <w:b w:val="1"/>
                <w:bCs w:val="1"/>
                <w:color w:val="auto"/>
              </w:rPr>
              <w:t>17%</w:t>
            </w:r>
          </w:p>
        </w:tc>
        <w:tc>
          <w:tcPr>
            <w:tcW w:w="0" w:type="dxa"/>
            <w:vAlign w:val="bottom"/>
          </w:tcPr>
          <w:p>
            <w:pPr>
              <w:spacing w:after="0"/>
              <w:rPr>
                <w:sz w:val="1"/>
                <w:szCs w:val="1"/>
                <w:color w:val="auto"/>
              </w:rPr>
            </w:pPr>
          </w:p>
        </w:tc>
      </w:tr>
      <w:tr>
        <w:trPr>
          <w:trHeight w:val="151"/>
        </w:trPr>
        <w:tc>
          <w:tcPr>
            <w:tcW w:w="1840" w:type="dxa"/>
            <w:vAlign w:val="bottom"/>
          </w:tcPr>
          <w:p>
            <w:pPr>
              <w:ind w:left="20"/>
              <w:spacing w:after="0"/>
              <w:rPr>
                <w:sz w:val="20"/>
                <w:szCs w:val="20"/>
                <w:color w:val="auto"/>
              </w:rPr>
            </w:pPr>
            <w:r>
              <w:rPr>
                <w:rFonts w:ascii="Arial" w:cs="Arial" w:eastAsia="Arial" w:hAnsi="Arial"/>
                <w:sz w:val="13"/>
                <w:szCs w:val="13"/>
                <w:color w:val="auto"/>
              </w:rPr>
              <w:t>Return on tangible</w:t>
            </w:r>
          </w:p>
        </w:tc>
        <w:tc>
          <w:tcPr>
            <w:tcW w:w="200" w:type="dxa"/>
            <w:vAlign w:val="bottom"/>
          </w:tcPr>
          <w:p>
            <w:pPr>
              <w:spacing w:after="0"/>
              <w:rPr>
                <w:sz w:val="13"/>
                <w:szCs w:val="13"/>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3"/>
                <w:szCs w:val="13"/>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3"/>
                <w:szCs w:val="13"/>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17</w:t>
            </w:r>
          </w:p>
        </w:tc>
        <w:tc>
          <w:tcPr>
            <w:tcW w:w="20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19</w:t>
            </w:r>
          </w:p>
        </w:tc>
        <w:tc>
          <w:tcPr>
            <w:tcW w:w="20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14</w:t>
            </w:r>
          </w:p>
        </w:tc>
        <w:tc>
          <w:tcPr>
            <w:tcW w:w="220" w:type="dxa"/>
            <w:vAlign w:val="bottom"/>
          </w:tcPr>
          <w:p>
            <w:pPr>
              <w:spacing w:after="0"/>
              <w:rPr>
                <w:sz w:val="13"/>
                <w:szCs w:val="13"/>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23</w:t>
            </w:r>
          </w:p>
        </w:tc>
        <w:tc>
          <w:tcPr>
            <w:tcW w:w="300" w:type="dxa"/>
            <w:vAlign w:val="bottom"/>
          </w:tcPr>
          <w:p>
            <w:pPr>
              <w:spacing w:after="0"/>
              <w:rPr>
                <w:sz w:val="13"/>
                <w:szCs w:val="1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18</w:t>
            </w:r>
          </w:p>
        </w:tc>
        <w:tc>
          <w:tcPr>
            <w:tcW w:w="20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3"/>
                <w:szCs w:val="13"/>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b w:val="1"/>
                <w:bCs w:val="1"/>
                <w:color w:val="auto"/>
              </w:rPr>
              <w:t>20</w:t>
            </w:r>
          </w:p>
        </w:tc>
        <w:tc>
          <w:tcPr>
            <w:tcW w:w="0" w:type="dxa"/>
            <w:vAlign w:val="bottom"/>
          </w:tcPr>
          <w:p>
            <w:pPr>
              <w:spacing w:after="0"/>
              <w:rPr>
                <w:sz w:val="1"/>
                <w:szCs w:val="1"/>
                <w:color w:val="auto"/>
              </w:rPr>
            </w:pPr>
          </w:p>
        </w:tc>
      </w:tr>
      <w:tr>
        <w:trPr>
          <w:trHeight w:val="193"/>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common equity</w:t>
            </w:r>
            <w:r>
              <w:rPr>
                <w:rFonts w:ascii="Arial" w:cs="Arial" w:eastAsia="Arial" w:hAnsi="Arial"/>
                <w:sz w:val="16"/>
                <w:szCs w:val="16"/>
                <w:color w:val="auto"/>
                <w:vertAlign w:val="superscript"/>
              </w:rPr>
              <w:t>(c)</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0" w:right="220" w:hanging="192"/>
        <w:spacing w:after="0" w:line="201" w:lineRule="auto"/>
        <w:tabs>
          <w:tab w:leader="none" w:pos="201" w:val="left"/>
        </w:tabs>
        <w:numPr>
          <w:ilvl w:val="0"/>
          <w:numId w:val="302"/>
        </w:numPr>
        <w:rPr>
          <w:rFonts w:ascii="Arial" w:cs="Arial" w:eastAsia="Arial" w:hAnsi="Arial"/>
          <w:sz w:val="19"/>
          <w:szCs w:val="19"/>
          <w:color w:val="auto"/>
          <w:vertAlign w:val="superscript"/>
        </w:rPr>
      </w:pPr>
      <w:r>
        <w:rPr>
          <w:rFonts w:ascii="Arial" w:cs="Arial" w:eastAsia="Arial" w:hAnsi="Arial"/>
          <w:sz w:val="13"/>
          <w:szCs w:val="13"/>
          <w:color w:val="auto"/>
        </w:rPr>
        <w:t>Represents deferred tax liabilities related to tax-deductible goodwill and to identifiable intangibles created in nontaxable transactions, which are netted against goodwill and other intangibles when calculating TCE.</w:t>
      </w:r>
    </w:p>
    <w:p>
      <w:pPr>
        <w:ind w:left="180" w:hanging="172"/>
        <w:spacing w:after="0" w:line="182" w:lineRule="auto"/>
        <w:tabs>
          <w:tab w:leader="none" w:pos="180" w:val="left"/>
        </w:tabs>
        <w:numPr>
          <w:ilvl w:val="0"/>
          <w:numId w:val="302"/>
        </w:numPr>
        <w:rPr>
          <w:rFonts w:ascii="Arial" w:cs="Arial" w:eastAsia="Arial" w:hAnsi="Arial"/>
          <w:sz w:val="17"/>
          <w:szCs w:val="17"/>
          <w:color w:val="auto"/>
          <w:vertAlign w:val="superscript"/>
        </w:rPr>
      </w:pPr>
      <w:r>
        <w:rPr>
          <w:rFonts w:ascii="Arial" w:cs="Arial" w:eastAsia="Arial" w:hAnsi="Arial"/>
          <w:sz w:val="11"/>
          <w:szCs w:val="11"/>
          <w:color w:val="auto"/>
        </w:rPr>
        <w:t>Represents net income applicable to common equity / average common stockholders’ equity.</w:t>
      </w:r>
    </w:p>
    <w:p>
      <w:pPr>
        <w:ind w:left="200" w:hanging="192"/>
        <w:spacing w:after="0" w:line="189" w:lineRule="auto"/>
        <w:tabs>
          <w:tab w:leader="none" w:pos="200" w:val="left"/>
        </w:tabs>
        <w:numPr>
          <w:ilvl w:val="0"/>
          <w:numId w:val="302"/>
        </w:numPr>
        <w:rPr>
          <w:rFonts w:ascii="Arial" w:cs="Arial" w:eastAsia="Arial" w:hAnsi="Arial"/>
          <w:sz w:val="17"/>
          <w:szCs w:val="17"/>
          <w:color w:val="auto"/>
          <w:vertAlign w:val="superscript"/>
        </w:rPr>
      </w:pPr>
      <w:r>
        <w:rPr>
          <w:rFonts w:ascii="Arial" w:cs="Arial" w:eastAsia="Arial" w:hAnsi="Arial"/>
          <w:sz w:val="11"/>
          <w:szCs w:val="11"/>
          <w:color w:val="auto"/>
        </w:rPr>
        <w:t>Represents net income applicable to common equity / average 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300355</wp:posOffset>
            </wp:positionV>
            <wp:extent cx="651510" cy="8572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76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68"/>
        </w:trPr>
        <w:tc>
          <w:tcPr>
            <w:tcW w:w="107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Notes on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color w:val="auto"/>
        </w:rPr>
        <w:t>Non-GAAP reconciliations (continued)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520" w:type="dxa"/>
            <w:vAlign w:val="bottom"/>
            <w:tcBorders>
              <w:bottom w:val="single" w:sz="8" w:color="F4EFE7"/>
            </w:tcBorders>
            <w:vMerge w:val="restart"/>
            <w:shd w:val="clear" w:color="auto" w:fill="F4EFE7"/>
          </w:tcPr>
          <w:p>
            <w:pPr>
              <w:ind w:left="20"/>
              <w:spacing w:after="0"/>
              <w:rPr>
                <w:sz w:val="20"/>
                <w:szCs w:val="20"/>
                <w:color w:val="auto"/>
              </w:rPr>
            </w:pPr>
            <w:r>
              <w:rPr>
                <w:rFonts w:ascii="Arial" w:cs="Arial" w:eastAsia="Arial" w:hAnsi="Arial"/>
                <w:sz w:val="14"/>
                <w:szCs w:val="14"/>
                <w:b w:val="1"/>
                <w:bCs w:val="1"/>
                <w:color w:val="8F5A39"/>
              </w:rPr>
              <w:t>Managed basis Total net revenue</w:t>
            </w:r>
          </w:p>
        </w:tc>
        <w:tc>
          <w:tcPr>
            <w:tcW w:w="480" w:type="dxa"/>
            <w:vAlign w:val="bottom"/>
            <w:tcBorders>
              <w:bottom w:val="single" w:sz="8" w:color="auto"/>
            </w:tcBorders>
            <w:shd w:val="clear" w:color="auto" w:fill="F4EFE7"/>
          </w:tcPr>
          <w:p>
            <w:pPr>
              <w:spacing w:after="0"/>
              <w:rPr>
                <w:sz w:val="22"/>
                <w:szCs w:val="22"/>
                <w:color w:val="auto"/>
              </w:rPr>
            </w:pPr>
          </w:p>
        </w:tc>
        <w:tc>
          <w:tcPr>
            <w:tcW w:w="2240" w:type="dxa"/>
            <w:vAlign w:val="bottom"/>
            <w:tcBorders>
              <w:bottom w:val="single" w:sz="8" w:color="auto"/>
            </w:tcBorders>
            <w:gridSpan w:val="3"/>
            <w:shd w:val="clear" w:color="auto" w:fill="F4EFE7"/>
          </w:tcPr>
          <w:p>
            <w:pPr>
              <w:jc w:val="right"/>
              <w:ind w:right="421"/>
              <w:spacing w:after="0"/>
              <w:rPr>
                <w:sz w:val="20"/>
                <w:szCs w:val="20"/>
                <w:color w:val="auto"/>
              </w:rPr>
            </w:pPr>
            <w:r>
              <w:rPr>
                <w:rFonts w:ascii="Arial" w:cs="Arial" w:eastAsia="Arial" w:hAnsi="Arial"/>
                <w:sz w:val="14"/>
                <w:szCs w:val="14"/>
                <w:b w:val="1"/>
                <w:bCs w:val="1"/>
                <w:color w:val="8F5A39"/>
              </w:rPr>
              <w:t>Year ended December 31,</w:t>
            </w:r>
          </w:p>
        </w:tc>
        <w:tc>
          <w:tcPr>
            <w:tcW w:w="0" w:type="dxa"/>
            <w:vAlign w:val="bottom"/>
          </w:tcPr>
          <w:p>
            <w:pPr>
              <w:spacing w:after="0"/>
              <w:rPr>
                <w:sz w:val="1"/>
                <w:szCs w:val="1"/>
                <w:color w:val="auto"/>
              </w:rPr>
            </w:pPr>
          </w:p>
        </w:tc>
      </w:tr>
      <w:tr>
        <w:trPr>
          <w:trHeight w:val="45"/>
        </w:trPr>
        <w:tc>
          <w:tcPr>
            <w:tcW w:w="8520" w:type="dxa"/>
            <w:vAlign w:val="bottom"/>
            <w:vMerge w:val="continue"/>
            <w:shd w:val="clear" w:color="auto" w:fill="F4EFE7"/>
          </w:tcPr>
          <w:p>
            <w:pPr>
              <w:spacing w:after="0"/>
              <w:rPr>
                <w:sz w:val="3"/>
                <w:szCs w:val="3"/>
                <w:color w:val="auto"/>
              </w:rPr>
            </w:pPr>
          </w:p>
        </w:tc>
        <w:tc>
          <w:tcPr>
            <w:tcW w:w="480" w:type="dxa"/>
            <w:vAlign w:val="bottom"/>
            <w:shd w:val="clear" w:color="auto" w:fill="F4EFE7"/>
          </w:tcPr>
          <w:p>
            <w:pPr>
              <w:spacing w:after="0"/>
              <w:rPr>
                <w:sz w:val="3"/>
                <w:szCs w:val="3"/>
                <w:color w:val="auto"/>
              </w:rPr>
            </w:pPr>
          </w:p>
        </w:tc>
        <w:tc>
          <w:tcPr>
            <w:tcW w:w="1000" w:type="dxa"/>
            <w:vAlign w:val="bottom"/>
            <w:shd w:val="clear" w:color="auto" w:fill="F4EFE7"/>
          </w:tcPr>
          <w:p>
            <w:pPr>
              <w:spacing w:after="0"/>
              <w:rPr>
                <w:sz w:val="3"/>
                <w:szCs w:val="3"/>
                <w:color w:val="auto"/>
              </w:rPr>
            </w:pPr>
          </w:p>
        </w:tc>
        <w:tc>
          <w:tcPr>
            <w:tcW w:w="360" w:type="dxa"/>
            <w:vAlign w:val="bottom"/>
            <w:shd w:val="clear" w:color="auto" w:fill="F4EFE7"/>
          </w:tcPr>
          <w:p>
            <w:pPr>
              <w:spacing w:after="0"/>
              <w:rPr>
                <w:sz w:val="3"/>
                <w:szCs w:val="3"/>
                <w:color w:val="auto"/>
              </w:rPr>
            </w:pPr>
          </w:p>
        </w:tc>
        <w:tc>
          <w:tcPr>
            <w:tcW w:w="880" w:type="dxa"/>
            <w:vAlign w:val="bottom"/>
            <w:shd w:val="clear" w:color="auto" w:fill="F4EFE7"/>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852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color w:val="8F5A39"/>
              </w:rPr>
              <w:t>(in millions)</w:t>
            </w:r>
          </w:p>
        </w:tc>
        <w:tc>
          <w:tcPr>
            <w:tcW w:w="480" w:type="dxa"/>
            <w:vAlign w:val="bottom"/>
            <w:tcBorders>
              <w:bottom w:val="single" w:sz="8" w:color="auto"/>
            </w:tcBorders>
            <w:shd w:val="clear" w:color="auto" w:fill="F4EFE7"/>
          </w:tcPr>
          <w:p>
            <w:pPr>
              <w:spacing w:after="0"/>
              <w:rPr>
                <w:sz w:val="17"/>
                <w:szCs w:val="17"/>
                <w:color w:val="auto"/>
              </w:rPr>
            </w:pPr>
          </w:p>
        </w:tc>
        <w:tc>
          <w:tcPr>
            <w:tcW w:w="1000" w:type="dxa"/>
            <w:vAlign w:val="bottom"/>
            <w:tcBorders>
              <w:bottom w:val="single" w:sz="8" w:color="auto"/>
            </w:tcBorders>
            <w:shd w:val="clear" w:color="auto" w:fill="F4EFE7"/>
          </w:tcPr>
          <w:p>
            <w:pPr>
              <w:jc w:val="right"/>
              <w:ind w:right="583"/>
              <w:spacing w:after="0"/>
              <w:rPr>
                <w:sz w:val="20"/>
                <w:szCs w:val="20"/>
                <w:color w:val="auto"/>
              </w:rPr>
            </w:pPr>
            <w:r>
              <w:rPr>
                <w:rFonts w:ascii="Arial" w:cs="Arial" w:eastAsia="Arial" w:hAnsi="Arial"/>
                <w:sz w:val="14"/>
                <w:szCs w:val="14"/>
                <w:b w:val="1"/>
                <w:bCs w:val="1"/>
                <w:color w:val="8F5A39"/>
              </w:rPr>
              <w:t>2024</w:t>
            </w:r>
          </w:p>
        </w:tc>
        <w:tc>
          <w:tcPr>
            <w:tcW w:w="360" w:type="dxa"/>
            <w:vAlign w:val="bottom"/>
            <w:tcBorders>
              <w:bottom w:val="single" w:sz="8" w:color="auto"/>
            </w:tcBorders>
            <w:shd w:val="clear" w:color="auto" w:fill="F4EFE7"/>
          </w:tcPr>
          <w:p>
            <w:pPr>
              <w:spacing w:after="0"/>
              <w:rPr>
                <w:sz w:val="17"/>
                <w:szCs w:val="17"/>
                <w:color w:val="auto"/>
              </w:rPr>
            </w:pPr>
          </w:p>
        </w:tc>
        <w:tc>
          <w:tcPr>
            <w:tcW w:w="880" w:type="dxa"/>
            <w:vAlign w:val="bottom"/>
            <w:tcBorders>
              <w:bottom w:val="single" w:sz="8" w:color="auto"/>
            </w:tcBorders>
            <w:shd w:val="clear" w:color="auto" w:fill="F4EFE7"/>
          </w:tcPr>
          <w:p>
            <w:pPr>
              <w:jc w:val="right"/>
              <w:ind w:right="461"/>
              <w:spacing w:after="0"/>
              <w:rPr>
                <w:sz w:val="20"/>
                <w:szCs w:val="20"/>
                <w:color w:val="auto"/>
              </w:rPr>
            </w:pPr>
            <w:r>
              <w:rPr>
                <w:rFonts w:ascii="Arial" w:cs="Arial" w:eastAsia="Arial" w:hAnsi="Arial"/>
                <w:sz w:val="14"/>
                <w:szCs w:val="14"/>
                <w:b w:val="1"/>
                <w:bCs w:val="1"/>
                <w:color w:val="8F5A39"/>
              </w:rPr>
              <w:t>2025</w:t>
            </w:r>
          </w:p>
        </w:tc>
        <w:tc>
          <w:tcPr>
            <w:tcW w:w="0" w:type="dxa"/>
            <w:vAlign w:val="bottom"/>
          </w:tcPr>
          <w:p>
            <w:pPr>
              <w:spacing w:after="0"/>
              <w:rPr>
                <w:sz w:val="1"/>
                <w:szCs w:val="1"/>
                <w:color w:val="auto"/>
              </w:rPr>
            </w:pPr>
          </w:p>
        </w:tc>
      </w:tr>
      <w:tr>
        <w:trPr>
          <w:trHeight w:val="239"/>
        </w:trPr>
        <w:tc>
          <w:tcPr>
            <w:tcW w:w="8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Reported Total net revenue</w:t>
            </w: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2B2B2"/>
            </w:tcBorders>
          </w:tcPr>
          <w:p>
            <w:pPr>
              <w:jc w:val="right"/>
              <w:ind w:right="143"/>
              <w:spacing w:after="0"/>
              <w:rPr>
                <w:sz w:val="20"/>
                <w:szCs w:val="20"/>
                <w:color w:val="auto"/>
              </w:rPr>
            </w:pPr>
            <w:r>
              <w:rPr>
                <w:rFonts w:ascii="Arial" w:cs="Arial" w:eastAsia="Arial" w:hAnsi="Arial"/>
                <w:sz w:val="16"/>
                <w:szCs w:val="16"/>
                <w:color w:val="auto"/>
              </w:rPr>
              <w:t>177,556</w:t>
            </w:r>
          </w:p>
        </w:tc>
        <w:tc>
          <w:tcPr>
            <w:tcW w:w="3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182,447</w:t>
            </w:r>
          </w:p>
        </w:tc>
        <w:tc>
          <w:tcPr>
            <w:tcW w:w="0" w:type="dxa"/>
            <w:vAlign w:val="bottom"/>
          </w:tcPr>
          <w:p>
            <w:pPr>
              <w:spacing w:after="0"/>
              <w:rPr>
                <w:sz w:val="1"/>
                <w:szCs w:val="1"/>
                <w:color w:val="auto"/>
              </w:rPr>
            </w:pPr>
          </w:p>
        </w:tc>
      </w:tr>
      <w:tr>
        <w:trPr>
          <w:trHeight w:val="240"/>
        </w:trPr>
        <w:tc>
          <w:tcPr>
            <w:tcW w:w="8520" w:type="dxa"/>
            <w:vAlign w:val="bottom"/>
            <w:tcBorders>
              <w:bottom w:val="single" w:sz="8" w:color="B2B2B2"/>
            </w:tcBorders>
          </w:tcPr>
          <w:p>
            <w:pPr>
              <w:ind w:left="20"/>
              <w:spacing w:after="0" w:line="240" w:lineRule="exact"/>
              <w:rPr>
                <w:sz w:val="20"/>
                <w:szCs w:val="20"/>
                <w:color w:val="auto"/>
              </w:rPr>
            </w:pPr>
            <w:r>
              <w:rPr>
                <w:rFonts w:ascii="Arial" w:cs="Arial" w:eastAsia="Arial" w:hAnsi="Arial"/>
                <w:sz w:val="16"/>
                <w:szCs w:val="16"/>
                <w:color w:val="auto"/>
              </w:rPr>
              <w:t>Fully taxable-equivalent adjustments</w:t>
            </w:r>
            <w:r>
              <w:rPr>
                <w:rFonts w:ascii="Arial" w:cs="Arial" w:eastAsia="Arial" w:hAnsi="Arial"/>
                <w:sz w:val="21"/>
                <w:szCs w:val="21"/>
                <w:color w:val="auto"/>
                <w:vertAlign w:val="superscript"/>
              </w:rPr>
              <w:t>(a)</w:t>
            </w:r>
          </w:p>
        </w:tc>
        <w:tc>
          <w:tcPr>
            <w:tcW w:w="480" w:type="dxa"/>
            <w:vAlign w:val="bottom"/>
            <w:tcBorders>
              <w:bottom w:val="single" w:sz="8" w:color="B2B2B2"/>
            </w:tcBorders>
          </w:tcPr>
          <w:p>
            <w:pPr>
              <w:spacing w:after="0"/>
              <w:rPr>
                <w:sz w:val="20"/>
                <w:szCs w:val="20"/>
                <w:color w:val="auto"/>
              </w:rPr>
            </w:pPr>
          </w:p>
        </w:tc>
        <w:tc>
          <w:tcPr>
            <w:tcW w:w="1000" w:type="dxa"/>
            <w:vAlign w:val="bottom"/>
            <w:tcBorders>
              <w:bottom w:val="single" w:sz="8" w:color="B2B2B2"/>
            </w:tcBorders>
          </w:tcPr>
          <w:p>
            <w:pPr>
              <w:jc w:val="right"/>
              <w:ind w:right="143"/>
              <w:spacing w:after="0"/>
              <w:rPr>
                <w:sz w:val="20"/>
                <w:szCs w:val="20"/>
                <w:color w:val="auto"/>
              </w:rPr>
            </w:pPr>
            <w:r>
              <w:rPr>
                <w:rFonts w:ascii="Arial" w:cs="Arial" w:eastAsia="Arial" w:hAnsi="Arial"/>
                <w:sz w:val="16"/>
                <w:szCs w:val="16"/>
                <w:color w:val="auto"/>
              </w:rPr>
              <w:t>3,037</w:t>
            </w:r>
          </w:p>
        </w:tc>
        <w:tc>
          <w:tcPr>
            <w:tcW w:w="360" w:type="dxa"/>
            <w:vAlign w:val="bottom"/>
            <w:tcBorders>
              <w:bottom w:val="single" w:sz="8" w:color="B2B2B2"/>
            </w:tcBorders>
          </w:tcPr>
          <w:p>
            <w:pPr>
              <w:spacing w:after="0"/>
              <w:rPr>
                <w:sz w:val="20"/>
                <w:szCs w:val="20"/>
                <w:color w:val="auto"/>
              </w:rPr>
            </w:pPr>
          </w:p>
        </w:tc>
        <w:tc>
          <w:tcPr>
            <w:tcW w:w="8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3,134</w:t>
            </w:r>
          </w:p>
        </w:tc>
        <w:tc>
          <w:tcPr>
            <w:tcW w:w="0" w:type="dxa"/>
            <w:vAlign w:val="bottom"/>
          </w:tcPr>
          <w:p>
            <w:pPr>
              <w:spacing w:after="0"/>
              <w:rPr>
                <w:sz w:val="1"/>
                <w:szCs w:val="1"/>
                <w:color w:val="auto"/>
              </w:rPr>
            </w:pPr>
          </w:p>
        </w:tc>
      </w:tr>
      <w:tr>
        <w:trPr>
          <w:trHeight w:val="233"/>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Managed basis Total net revenue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180,593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185,581</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00" w:hanging="192"/>
        <w:spacing w:after="0"/>
        <w:tabs>
          <w:tab w:leader="none" w:pos="200" w:val="left"/>
        </w:tabs>
        <w:numPr>
          <w:ilvl w:val="0"/>
          <w:numId w:val="303"/>
        </w:numPr>
        <w:rPr>
          <w:rFonts w:ascii="Arial" w:cs="Arial" w:eastAsia="Arial" w:hAnsi="Arial"/>
          <w:sz w:val="19"/>
          <w:szCs w:val="19"/>
          <w:color w:val="auto"/>
          <w:vertAlign w:val="superscript"/>
        </w:rPr>
      </w:pPr>
      <w:r>
        <w:rPr>
          <w:rFonts w:ascii="Arial" w:cs="Arial" w:eastAsia="Arial" w:hAnsi="Arial"/>
          <w:sz w:val="13"/>
          <w:szCs w:val="13"/>
          <w:color w:val="auto"/>
        </w:rPr>
        <w:t>Predominantly recognized in CIB and Corporate.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80" w:type="dxa"/>
            <w:vAlign w:val="bottom"/>
            <w:shd w:val="clear" w:color="auto" w:fill="F4EFE7"/>
          </w:tcPr>
          <w:p>
            <w:pPr>
              <w:ind w:left="20"/>
              <w:spacing w:after="0"/>
              <w:rPr>
                <w:sz w:val="20"/>
                <w:szCs w:val="20"/>
                <w:color w:val="auto"/>
              </w:rPr>
            </w:pPr>
            <w:r>
              <w:rPr>
                <w:rFonts w:ascii="Arial" w:cs="Arial" w:eastAsia="Arial" w:hAnsi="Arial"/>
                <w:sz w:val="14"/>
                <w:szCs w:val="14"/>
                <w:b w:val="1"/>
                <w:bCs w:val="1"/>
                <w:color w:val="8F5A39"/>
              </w:rPr>
              <w:t>BVPS and TBVPS</w:t>
            </w:r>
          </w:p>
        </w:tc>
        <w:tc>
          <w:tcPr>
            <w:tcW w:w="4360" w:type="dxa"/>
            <w:vAlign w:val="bottom"/>
            <w:shd w:val="clear" w:color="auto" w:fill="F4EFE7"/>
          </w:tcPr>
          <w:p>
            <w:pPr>
              <w:spacing w:after="0"/>
              <w:rPr>
                <w:sz w:val="16"/>
                <w:szCs w:val="16"/>
                <w:color w:val="auto"/>
              </w:rPr>
            </w:pPr>
          </w:p>
        </w:tc>
        <w:tc>
          <w:tcPr>
            <w:tcW w:w="800" w:type="dxa"/>
            <w:vAlign w:val="bottom"/>
            <w:shd w:val="clear" w:color="auto" w:fill="F4EFE7"/>
          </w:tcPr>
          <w:p>
            <w:pPr>
              <w:spacing w:after="0"/>
              <w:rPr>
                <w:sz w:val="16"/>
                <w:szCs w:val="16"/>
                <w:color w:val="auto"/>
              </w:rPr>
            </w:pPr>
          </w:p>
        </w:tc>
      </w:tr>
      <w:tr>
        <w:trPr>
          <w:trHeight w:val="205"/>
        </w:trPr>
        <w:tc>
          <w:tcPr>
            <w:tcW w:w="608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4"/>
                <w:szCs w:val="14"/>
                <w:color w:val="8F5A39"/>
              </w:rPr>
              <w:t>(in millions, except ratio data)</w:t>
            </w:r>
          </w:p>
        </w:tc>
        <w:tc>
          <w:tcPr>
            <w:tcW w:w="5160" w:type="dxa"/>
            <w:vAlign w:val="bottom"/>
            <w:tcBorders>
              <w:bottom w:val="single" w:sz="8" w:color="auto"/>
            </w:tcBorders>
            <w:gridSpan w:val="2"/>
            <w:shd w:val="clear" w:color="auto" w:fill="F4EFE7"/>
          </w:tcPr>
          <w:p>
            <w:pPr>
              <w:jc w:val="right"/>
              <w:ind w:right="139"/>
              <w:spacing w:after="0"/>
              <w:rPr>
                <w:sz w:val="20"/>
                <w:szCs w:val="20"/>
                <w:color w:val="auto"/>
              </w:rPr>
            </w:pPr>
            <w:r>
              <w:rPr>
                <w:rFonts w:ascii="Arial" w:cs="Arial" w:eastAsia="Arial" w:hAnsi="Arial"/>
                <w:sz w:val="14"/>
                <w:szCs w:val="14"/>
                <w:b w:val="1"/>
                <w:bCs w:val="1"/>
                <w:color w:val="8F5A39"/>
              </w:rPr>
              <w:t>At December 31, 2025</w:t>
            </w:r>
          </w:p>
        </w:tc>
      </w:tr>
      <w:tr>
        <w:trPr>
          <w:trHeight w:val="239"/>
        </w:trPr>
        <w:tc>
          <w:tcPr>
            <w:tcW w:w="60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Common stockholders’ equity</w:t>
            </w:r>
          </w:p>
        </w:tc>
        <w:tc>
          <w:tcPr>
            <w:tcW w:w="436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342,393</w:t>
            </w:r>
          </w:p>
        </w:tc>
      </w:tr>
      <w:tr>
        <w:trPr>
          <w:trHeight w:val="237"/>
        </w:trPr>
        <w:tc>
          <w:tcPr>
            <w:tcW w:w="60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Less: Goodwill</w:t>
            </w:r>
          </w:p>
        </w:tc>
        <w:tc>
          <w:tcPr>
            <w:tcW w:w="43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52,731</w:t>
            </w:r>
          </w:p>
        </w:tc>
      </w:tr>
      <w:tr>
        <w:trPr>
          <w:trHeight w:val="237"/>
        </w:trPr>
        <w:tc>
          <w:tcPr>
            <w:tcW w:w="60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Less: Other intangible assets</w:t>
            </w:r>
          </w:p>
        </w:tc>
        <w:tc>
          <w:tcPr>
            <w:tcW w:w="43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2,560</w:t>
            </w:r>
          </w:p>
        </w:tc>
      </w:tr>
      <w:tr>
        <w:trPr>
          <w:trHeight w:val="240"/>
        </w:trPr>
        <w:tc>
          <w:tcPr>
            <w:tcW w:w="6080" w:type="dxa"/>
            <w:vAlign w:val="bottom"/>
            <w:tcBorders>
              <w:bottom w:val="single" w:sz="8" w:color="auto"/>
            </w:tcBorders>
          </w:tcPr>
          <w:p>
            <w:pPr>
              <w:ind w:left="20"/>
              <w:spacing w:after="0" w:line="240" w:lineRule="exact"/>
              <w:rPr>
                <w:sz w:val="20"/>
                <w:szCs w:val="20"/>
                <w:color w:val="auto"/>
              </w:rPr>
            </w:pPr>
            <w:r>
              <w:rPr>
                <w:rFonts w:ascii="Arial" w:cs="Arial" w:eastAsia="Arial" w:hAnsi="Arial"/>
                <w:sz w:val="16"/>
                <w:szCs w:val="16"/>
                <w:color w:val="auto"/>
              </w:rPr>
              <w:t>Add: Certain deferred tax liabilities</w:t>
            </w:r>
            <w:r>
              <w:rPr>
                <w:rFonts w:ascii="Arial" w:cs="Arial" w:eastAsia="Arial" w:hAnsi="Arial"/>
                <w:sz w:val="21"/>
                <w:szCs w:val="21"/>
                <w:color w:val="auto"/>
                <w:vertAlign w:val="superscript"/>
              </w:rPr>
              <w:t>(a)</w:t>
            </w:r>
          </w:p>
        </w:tc>
        <w:tc>
          <w:tcPr>
            <w:tcW w:w="4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2,916</w:t>
            </w:r>
          </w:p>
        </w:tc>
      </w:tr>
      <w:tr>
        <w:trPr>
          <w:trHeight w:val="23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Tangible common equity</w:t>
            </w:r>
          </w:p>
        </w:tc>
        <w:tc>
          <w:tcPr>
            <w:tcW w:w="4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290,018</w:t>
            </w:r>
          </w:p>
        </w:tc>
      </w:tr>
      <w:tr>
        <w:trPr>
          <w:trHeight w:val="237"/>
        </w:trPr>
        <w:tc>
          <w:tcPr>
            <w:tcW w:w="60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Common shares</w:t>
            </w:r>
          </w:p>
        </w:tc>
        <w:tc>
          <w:tcPr>
            <w:tcW w:w="43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2,696.2</w:t>
            </w:r>
          </w:p>
        </w:tc>
      </w:tr>
      <w:tr>
        <w:trPr>
          <w:trHeight w:val="240"/>
        </w:trPr>
        <w:tc>
          <w:tcPr>
            <w:tcW w:w="6080" w:type="dxa"/>
            <w:vAlign w:val="bottom"/>
            <w:tcBorders>
              <w:bottom w:val="single" w:sz="8" w:color="B2B2B2"/>
            </w:tcBorders>
          </w:tcPr>
          <w:p>
            <w:pPr>
              <w:ind w:left="20"/>
              <w:spacing w:after="0" w:line="240" w:lineRule="exact"/>
              <w:rPr>
                <w:sz w:val="20"/>
                <w:szCs w:val="20"/>
                <w:color w:val="auto"/>
              </w:rPr>
            </w:pPr>
            <w:r>
              <w:rPr>
                <w:rFonts w:ascii="Arial" w:cs="Arial" w:eastAsia="Arial" w:hAnsi="Arial"/>
                <w:sz w:val="16"/>
                <w:szCs w:val="16"/>
                <w:color w:val="auto"/>
              </w:rPr>
              <w:t>Book value per share</w:t>
            </w:r>
            <w:r>
              <w:rPr>
                <w:rFonts w:ascii="Arial" w:cs="Arial" w:eastAsia="Arial" w:hAnsi="Arial"/>
                <w:sz w:val="21"/>
                <w:szCs w:val="21"/>
                <w:color w:val="auto"/>
                <w:vertAlign w:val="superscript"/>
              </w:rPr>
              <w:t>(b)</w:t>
            </w:r>
          </w:p>
        </w:tc>
        <w:tc>
          <w:tcPr>
            <w:tcW w:w="436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126.99</w:t>
            </w:r>
          </w:p>
        </w:tc>
      </w:tr>
      <w:tr>
        <w:trPr>
          <w:trHeight w:val="236"/>
        </w:trPr>
        <w:tc>
          <w:tcPr>
            <w:tcW w:w="608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Tangible book value per share</w:t>
            </w:r>
            <w:r>
              <w:rPr>
                <w:rFonts w:ascii="Arial" w:cs="Arial" w:eastAsia="Arial" w:hAnsi="Arial"/>
                <w:sz w:val="21"/>
                <w:szCs w:val="21"/>
                <w:color w:val="auto"/>
                <w:vertAlign w:val="superscript"/>
              </w:rPr>
              <w:t>(c)</w:t>
            </w:r>
          </w:p>
        </w:tc>
        <w:tc>
          <w:tcPr>
            <w:tcW w:w="4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107.56</w:t>
            </w:r>
          </w:p>
        </w:tc>
      </w:tr>
    </w:tbl>
    <w:p>
      <w:pPr>
        <w:spacing w:after="0" w:line="144" w:lineRule="exact"/>
        <w:rPr>
          <w:sz w:val="20"/>
          <w:szCs w:val="20"/>
          <w:color w:val="auto"/>
        </w:rPr>
      </w:pPr>
    </w:p>
    <w:p>
      <w:pPr>
        <w:ind w:left="200" w:right="220" w:hanging="192"/>
        <w:spacing w:after="0" w:line="201" w:lineRule="auto"/>
        <w:tabs>
          <w:tab w:leader="none" w:pos="201" w:val="left"/>
        </w:tabs>
        <w:numPr>
          <w:ilvl w:val="0"/>
          <w:numId w:val="304"/>
        </w:numPr>
        <w:rPr>
          <w:rFonts w:ascii="Arial" w:cs="Arial" w:eastAsia="Arial" w:hAnsi="Arial"/>
          <w:sz w:val="19"/>
          <w:szCs w:val="19"/>
          <w:color w:val="auto"/>
          <w:vertAlign w:val="superscript"/>
        </w:rPr>
      </w:pPr>
      <w:r>
        <w:rPr>
          <w:rFonts w:ascii="Arial" w:cs="Arial" w:eastAsia="Arial" w:hAnsi="Arial"/>
          <w:sz w:val="13"/>
          <w:szCs w:val="13"/>
          <w:color w:val="auto"/>
        </w:rPr>
        <w:t>Represents deferred tax liabilities related to tax-deductible goodwill and to identifiable intangibles created in nontaxable transactions, which are netted against goodwill and other intangibles when calculating TCE.</w:t>
      </w:r>
    </w:p>
    <w:p>
      <w:pPr>
        <w:ind w:left="180" w:hanging="172"/>
        <w:spacing w:after="0" w:line="182" w:lineRule="auto"/>
        <w:tabs>
          <w:tab w:leader="none" w:pos="180" w:val="left"/>
        </w:tabs>
        <w:numPr>
          <w:ilvl w:val="0"/>
          <w:numId w:val="304"/>
        </w:numPr>
        <w:rPr>
          <w:rFonts w:ascii="Arial" w:cs="Arial" w:eastAsia="Arial" w:hAnsi="Arial"/>
          <w:sz w:val="17"/>
          <w:szCs w:val="17"/>
          <w:color w:val="auto"/>
          <w:vertAlign w:val="superscript"/>
        </w:rPr>
      </w:pPr>
      <w:r>
        <w:rPr>
          <w:rFonts w:ascii="Arial" w:cs="Arial" w:eastAsia="Arial" w:hAnsi="Arial"/>
          <w:sz w:val="11"/>
          <w:szCs w:val="11"/>
          <w:color w:val="auto"/>
        </w:rPr>
        <w:t>Represents common stockholders’ equity at period-end / common shares at period-end.</w:t>
      </w:r>
    </w:p>
    <w:p>
      <w:pPr>
        <w:ind w:left="200" w:hanging="192"/>
        <w:spacing w:after="0" w:line="189" w:lineRule="auto"/>
        <w:tabs>
          <w:tab w:leader="none" w:pos="200" w:val="left"/>
        </w:tabs>
        <w:numPr>
          <w:ilvl w:val="0"/>
          <w:numId w:val="304"/>
        </w:numPr>
        <w:rPr>
          <w:rFonts w:ascii="Arial" w:cs="Arial" w:eastAsia="Arial" w:hAnsi="Arial"/>
          <w:sz w:val="17"/>
          <w:szCs w:val="17"/>
          <w:color w:val="auto"/>
          <w:vertAlign w:val="superscript"/>
        </w:rPr>
      </w:pPr>
      <w:r>
        <w:rPr>
          <w:rFonts w:ascii="Arial" w:cs="Arial" w:eastAsia="Arial" w:hAnsi="Arial"/>
          <w:sz w:val="11"/>
          <w:szCs w:val="11"/>
          <w:color w:val="auto"/>
        </w:rPr>
        <w:t>Represents TCE at period-end / common shares at period-end.</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Pre-tax income ex. LLR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100" w:type="dxa"/>
            <w:vAlign w:val="bottom"/>
            <w:tcBorders>
              <w:bottom w:val="single" w:sz="8" w:color="F4EFE7"/>
            </w:tcBorders>
            <w:shd w:val="clear" w:color="auto" w:fill="F4EFE7"/>
          </w:tcPr>
          <w:p>
            <w:pPr>
              <w:spacing w:after="0"/>
              <w:rPr>
                <w:sz w:val="22"/>
                <w:szCs w:val="22"/>
                <w:color w:val="auto"/>
              </w:rPr>
            </w:pPr>
          </w:p>
        </w:tc>
        <w:tc>
          <w:tcPr>
            <w:tcW w:w="2120" w:type="dxa"/>
            <w:vAlign w:val="bottom"/>
            <w:tcBorders>
              <w:bottom w:val="single" w:sz="8" w:color="030303"/>
            </w:tcBorders>
            <w:gridSpan w:val="4"/>
            <w:shd w:val="clear" w:color="auto" w:fill="F4EFE7"/>
          </w:tcPr>
          <w:p>
            <w:pPr>
              <w:jc w:val="right"/>
              <w:ind w:right="401"/>
              <w:spacing w:after="0"/>
              <w:rPr>
                <w:sz w:val="20"/>
                <w:szCs w:val="20"/>
                <w:color w:val="auto"/>
              </w:rPr>
            </w:pPr>
            <w:r>
              <w:rPr>
                <w:rFonts w:ascii="Arial" w:cs="Arial" w:eastAsia="Arial" w:hAnsi="Arial"/>
                <w:sz w:val="14"/>
                <w:szCs w:val="14"/>
                <w:b w:val="1"/>
                <w:bCs w:val="1"/>
                <w:color w:val="8F5A39"/>
              </w:rPr>
              <w:t>December 31, 2024</w:t>
            </w:r>
          </w:p>
        </w:tc>
        <w:tc>
          <w:tcPr>
            <w:tcW w:w="2020" w:type="dxa"/>
            <w:vAlign w:val="bottom"/>
            <w:tcBorders>
              <w:bottom w:val="single" w:sz="8" w:color="030303"/>
            </w:tcBorders>
            <w:gridSpan w:val="4"/>
            <w:shd w:val="clear" w:color="auto" w:fill="F4EFE7"/>
          </w:tcPr>
          <w:p>
            <w:pPr>
              <w:jc w:val="right"/>
              <w:ind w:right="281"/>
              <w:spacing w:after="0"/>
              <w:rPr>
                <w:sz w:val="20"/>
                <w:szCs w:val="20"/>
                <w:color w:val="auto"/>
              </w:rPr>
            </w:pPr>
            <w:r>
              <w:rPr>
                <w:rFonts w:ascii="Arial" w:cs="Arial" w:eastAsia="Arial" w:hAnsi="Arial"/>
                <w:sz w:val="14"/>
                <w:szCs w:val="14"/>
                <w:b w:val="1"/>
                <w:bCs w:val="1"/>
                <w:color w:val="8F5A39"/>
              </w:rPr>
              <w:t>December 31, 2025</w:t>
            </w:r>
          </w:p>
        </w:tc>
      </w:tr>
      <w:tr>
        <w:trPr>
          <w:trHeight w:val="250"/>
        </w:trPr>
        <w:tc>
          <w:tcPr>
            <w:tcW w:w="7100" w:type="dxa"/>
            <w:vAlign w:val="bottom"/>
            <w:tcBorders>
              <w:bottom w:val="single" w:sz="8" w:color="030303"/>
            </w:tcBorders>
            <w:shd w:val="clear" w:color="auto" w:fill="F4EFE7"/>
          </w:tcPr>
          <w:p>
            <w:pPr>
              <w:ind w:left="20"/>
              <w:spacing w:after="0"/>
              <w:rPr>
                <w:sz w:val="20"/>
                <w:szCs w:val="20"/>
                <w:color w:val="auto"/>
              </w:rPr>
            </w:pPr>
            <w:r>
              <w:rPr>
                <w:rFonts w:ascii="Arial" w:cs="Arial" w:eastAsia="Arial" w:hAnsi="Arial"/>
                <w:sz w:val="14"/>
                <w:szCs w:val="14"/>
                <w:b w:val="1"/>
                <w:bCs w:val="1"/>
                <w:color w:val="8F5A39"/>
              </w:rPr>
              <w:t>For the year ended</w:t>
            </w:r>
          </w:p>
        </w:tc>
        <w:tc>
          <w:tcPr>
            <w:tcW w:w="1120" w:type="dxa"/>
            <w:vAlign w:val="bottom"/>
            <w:tcBorders>
              <w:bottom w:val="single" w:sz="8" w:color="030303"/>
            </w:tcBorders>
            <w:gridSpan w:val="2"/>
            <w:shd w:val="clear" w:color="auto" w:fill="F4EFE7"/>
          </w:tcPr>
          <w:p>
            <w:pPr>
              <w:jc w:val="right"/>
              <w:ind w:right="219"/>
              <w:spacing w:after="0"/>
              <w:rPr>
                <w:sz w:val="20"/>
                <w:szCs w:val="20"/>
                <w:color w:val="auto"/>
              </w:rPr>
            </w:pPr>
            <w:r>
              <w:rPr>
                <w:rFonts w:ascii="Arial" w:cs="Arial" w:eastAsia="Arial" w:hAnsi="Arial"/>
                <w:sz w:val="14"/>
                <w:szCs w:val="14"/>
                <w:color w:val="auto"/>
              </w:rPr>
              <w:t>Firmwide</w:t>
            </w:r>
          </w:p>
        </w:tc>
        <w:tc>
          <w:tcPr>
            <w:tcW w:w="300" w:type="dxa"/>
            <w:vAlign w:val="bottom"/>
            <w:tcBorders>
              <w:bottom w:val="single" w:sz="8" w:color="030303"/>
            </w:tcBorders>
            <w:shd w:val="clear" w:color="auto" w:fill="F4EFE7"/>
          </w:tcPr>
          <w:p>
            <w:pPr>
              <w:spacing w:after="0"/>
              <w:rPr>
                <w:sz w:val="21"/>
                <w:szCs w:val="21"/>
                <w:color w:val="auto"/>
              </w:rPr>
            </w:pPr>
          </w:p>
        </w:tc>
        <w:tc>
          <w:tcPr>
            <w:tcW w:w="700" w:type="dxa"/>
            <w:vAlign w:val="bottom"/>
            <w:tcBorders>
              <w:bottom w:val="single" w:sz="8" w:color="030303"/>
            </w:tcBorders>
            <w:shd w:val="clear" w:color="auto" w:fill="F4EFE7"/>
          </w:tcPr>
          <w:p>
            <w:pPr>
              <w:jc w:val="right"/>
              <w:ind w:right="261"/>
              <w:spacing w:after="0"/>
              <w:rPr>
                <w:sz w:val="20"/>
                <w:szCs w:val="20"/>
                <w:color w:val="auto"/>
              </w:rPr>
            </w:pPr>
            <w:r>
              <w:rPr>
                <w:rFonts w:ascii="Arial" w:cs="Arial" w:eastAsia="Arial" w:hAnsi="Arial"/>
                <w:sz w:val="14"/>
                <w:szCs w:val="14"/>
                <w:color w:val="auto"/>
              </w:rPr>
              <w:t>CCB</w:t>
            </w:r>
          </w:p>
        </w:tc>
        <w:tc>
          <w:tcPr>
            <w:tcW w:w="1180" w:type="dxa"/>
            <w:vAlign w:val="bottom"/>
            <w:tcBorders>
              <w:bottom w:val="single" w:sz="8" w:color="030303"/>
            </w:tcBorders>
            <w:gridSpan w:val="2"/>
            <w:shd w:val="clear" w:color="auto" w:fill="F4EFE7"/>
          </w:tcPr>
          <w:p>
            <w:pPr>
              <w:jc w:val="right"/>
              <w:ind w:right="219"/>
              <w:spacing w:after="0"/>
              <w:rPr>
                <w:sz w:val="20"/>
                <w:szCs w:val="20"/>
                <w:color w:val="auto"/>
              </w:rPr>
            </w:pPr>
            <w:r>
              <w:rPr>
                <w:rFonts w:ascii="Arial" w:cs="Arial" w:eastAsia="Arial" w:hAnsi="Arial"/>
                <w:sz w:val="14"/>
                <w:szCs w:val="14"/>
                <w:b w:val="1"/>
                <w:bCs w:val="1"/>
                <w:color w:val="auto"/>
              </w:rPr>
              <w:t>Firmwide</w:t>
            </w:r>
          </w:p>
        </w:tc>
        <w:tc>
          <w:tcPr>
            <w:tcW w:w="300" w:type="dxa"/>
            <w:vAlign w:val="bottom"/>
            <w:tcBorders>
              <w:bottom w:val="single" w:sz="8" w:color="030303"/>
            </w:tcBorders>
            <w:shd w:val="clear" w:color="auto" w:fill="F4EFE7"/>
          </w:tcPr>
          <w:p>
            <w:pPr>
              <w:spacing w:after="0"/>
              <w:rPr>
                <w:sz w:val="21"/>
                <w:szCs w:val="21"/>
                <w:color w:val="auto"/>
              </w:rPr>
            </w:pPr>
          </w:p>
        </w:tc>
        <w:tc>
          <w:tcPr>
            <w:tcW w:w="540" w:type="dxa"/>
            <w:vAlign w:val="bottom"/>
            <w:tcBorders>
              <w:bottom w:val="single" w:sz="8" w:color="030303"/>
            </w:tcBorders>
            <w:shd w:val="clear" w:color="auto" w:fill="F4EFE7"/>
          </w:tcPr>
          <w:p>
            <w:pPr>
              <w:jc w:val="right"/>
              <w:ind w:right="101"/>
              <w:spacing w:after="0"/>
              <w:rPr>
                <w:sz w:val="20"/>
                <w:szCs w:val="20"/>
                <w:color w:val="auto"/>
              </w:rPr>
            </w:pPr>
            <w:r>
              <w:rPr>
                <w:rFonts w:ascii="Arial" w:cs="Arial" w:eastAsia="Arial" w:hAnsi="Arial"/>
                <w:sz w:val="14"/>
                <w:szCs w:val="14"/>
                <w:b w:val="1"/>
                <w:bCs w:val="1"/>
                <w:color w:val="auto"/>
              </w:rPr>
              <w:t>CCB</w:t>
            </w:r>
          </w:p>
        </w:tc>
      </w:tr>
      <w:tr>
        <w:trPr>
          <w:trHeight w:val="266"/>
        </w:trPr>
        <w:tc>
          <w:tcPr>
            <w:tcW w:w="7100" w:type="dxa"/>
            <w:vAlign w:val="bottom"/>
            <w:tcBorders>
              <w:bottom w:val="single" w:sz="8" w:color="A9A9A9"/>
            </w:tcBorders>
          </w:tcPr>
          <w:p>
            <w:pPr>
              <w:ind w:left="20"/>
              <w:spacing w:after="0"/>
              <w:rPr>
                <w:sz w:val="20"/>
                <w:szCs w:val="20"/>
                <w:color w:val="auto"/>
              </w:rPr>
            </w:pPr>
            <w:r>
              <w:rPr>
                <w:rFonts w:ascii="Arial" w:cs="Arial" w:eastAsia="Arial" w:hAnsi="Arial"/>
                <w:sz w:val="16"/>
                <w:szCs w:val="16"/>
                <w:color w:val="auto"/>
              </w:rPr>
              <w:t>Reported pre-tax income</w:t>
            </w:r>
          </w:p>
        </w:tc>
        <w:tc>
          <w:tcPr>
            <w:tcW w:w="560" w:type="dxa"/>
            <w:vAlign w:val="bottom"/>
            <w:tcBorders>
              <w:bottom w:val="single" w:sz="8" w:color="A9A9A9"/>
            </w:tcBorders>
          </w:tcPr>
          <w:p>
            <w:pPr>
              <w:jc w:val="right"/>
              <w:ind w:right="2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9A9A9"/>
            </w:tcBorders>
          </w:tcPr>
          <w:p>
            <w:pPr>
              <w:jc w:val="right"/>
              <w:ind w:right="79"/>
              <w:spacing w:after="0"/>
              <w:rPr>
                <w:sz w:val="20"/>
                <w:szCs w:val="20"/>
                <w:color w:val="auto"/>
              </w:rPr>
            </w:pPr>
            <w:r>
              <w:rPr>
                <w:rFonts w:ascii="Arial" w:cs="Arial" w:eastAsia="Arial" w:hAnsi="Arial"/>
                <w:sz w:val="16"/>
                <w:szCs w:val="16"/>
                <w:color w:val="auto"/>
              </w:rPr>
              <w:t>75.1</w:t>
            </w:r>
          </w:p>
        </w:tc>
        <w:tc>
          <w:tcPr>
            <w:tcW w:w="300" w:type="dxa"/>
            <w:vAlign w:val="bottom"/>
            <w:tcBorders>
              <w:bottom w:val="single" w:sz="8" w:color="A9A9A9"/>
            </w:tcBorders>
          </w:tcPr>
          <w:p>
            <w:pPr>
              <w:spacing w:after="0"/>
              <w:rPr>
                <w:sz w:val="23"/>
                <w:szCs w:val="23"/>
                <w:color w:val="auto"/>
              </w:rPr>
            </w:pPr>
          </w:p>
        </w:tc>
        <w:tc>
          <w:tcPr>
            <w:tcW w:w="700" w:type="dxa"/>
            <w:vAlign w:val="bottom"/>
            <w:tcBorders>
              <w:bottom w:val="single" w:sz="8" w:color="A9A9A9"/>
            </w:tcBorders>
          </w:tcPr>
          <w:p>
            <w:pPr>
              <w:spacing w:after="0"/>
              <w:rPr>
                <w:sz w:val="23"/>
                <w:szCs w:val="23"/>
                <w:color w:val="auto"/>
              </w:rPr>
            </w:pPr>
          </w:p>
        </w:tc>
        <w:tc>
          <w:tcPr>
            <w:tcW w:w="600" w:type="dxa"/>
            <w:vAlign w:val="bottom"/>
            <w:tcBorders>
              <w:bottom w:val="single" w:sz="8" w:color="A9A9A9"/>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9A9A9"/>
            </w:tcBorders>
          </w:tcPr>
          <w:p>
            <w:pPr>
              <w:jc w:val="right"/>
              <w:ind w:right="79"/>
              <w:spacing w:after="0"/>
              <w:rPr>
                <w:sz w:val="20"/>
                <w:szCs w:val="20"/>
                <w:color w:val="auto"/>
              </w:rPr>
            </w:pPr>
            <w:r>
              <w:rPr>
                <w:rFonts w:ascii="Arial" w:cs="Arial" w:eastAsia="Arial" w:hAnsi="Arial"/>
                <w:sz w:val="16"/>
                <w:szCs w:val="16"/>
                <w:b w:val="1"/>
                <w:bCs w:val="1"/>
                <w:color w:val="auto"/>
              </w:rPr>
              <w:t>72.6</w:t>
            </w:r>
          </w:p>
        </w:tc>
        <w:tc>
          <w:tcPr>
            <w:tcW w:w="300" w:type="dxa"/>
            <w:vAlign w:val="bottom"/>
            <w:tcBorders>
              <w:bottom w:val="single" w:sz="8" w:color="A9A9A9"/>
            </w:tcBorders>
          </w:tcPr>
          <w:p>
            <w:pPr>
              <w:spacing w:after="0"/>
              <w:rPr>
                <w:sz w:val="23"/>
                <w:szCs w:val="23"/>
                <w:color w:val="auto"/>
              </w:rPr>
            </w:pPr>
          </w:p>
        </w:tc>
        <w:tc>
          <w:tcPr>
            <w:tcW w:w="540" w:type="dxa"/>
            <w:vAlign w:val="bottom"/>
            <w:tcBorders>
              <w:bottom w:val="single" w:sz="8" w:color="A9A9A9"/>
            </w:tcBorders>
          </w:tcPr>
          <w:p>
            <w:pPr>
              <w:spacing w:after="0"/>
              <w:rPr>
                <w:sz w:val="23"/>
                <w:szCs w:val="23"/>
                <w:color w:val="auto"/>
              </w:rPr>
            </w:pPr>
          </w:p>
        </w:tc>
      </w:tr>
      <w:tr>
        <w:trPr>
          <w:trHeight w:val="264"/>
        </w:trPr>
        <w:tc>
          <w:tcPr>
            <w:tcW w:w="7100" w:type="dxa"/>
            <w:vAlign w:val="bottom"/>
            <w:tcBorders>
              <w:bottom w:val="single" w:sz="8" w:color="030303"/>
            </w:tcBorders>
          </w:tcPr>
          <w:p>
            <w:pPr>
              <w:ind w:left="20"/>
              <w:spacing w:after="0"/>
              <w:rPr>
                <w:sz w:val="20"/>
                <w:szCs w:val="20"/>
                <w:color w:val="auto"/>
              </w:rPr>
            </w:pPr>
            <w:r>
              <w:rPr>
                <w:rFonts w:ascii="Arial" w:cs="Arial" w:eastAsia="Arial" w:hAnsi="Arial"/>
                <w:sz w:val="16"/>
                <w:szCs w:val="16"/>
                <w:color w:val="auto"/>
              </w:rPr>
              <w:t>Fully taxable-equivalent adjustments</w:t>
            </w:r>
          </w:p>
        </w:tc>
        <w:tc>
          <w:tcPr>
            <w:tcW w:w="560" w:type="dxa"/>
            <w:vAlign w:val="bottom"/>
            <w:tcBorders>
              <w:bottom w:val="single" w:sz="8" w:color="030303"/>
            </w:tcBorders>
          </w:tcPr>
          <w:p>
            <w:pPr>
              <w:spacing w:after="0"/>
              <w:rPr>
                <w:sz w:val="22"/>
                <w:szCs w:val="22"/>
                <w:color w:val="auto"/>
              </w:rPr>
            </w:pPr>
          </w:p>
        </w:tc>
        <w:tc>
          <w:tcPr>
            <w:tcW w:w="560" w:type="dxa"/>
            <w:vAlign w:val="bottom"/>
            <w:tcBorders>
              <w:bottom w:val="single" w:sz="8" w:color="030303"/>
            </w:tcBorders>
          </w:tcPr>
          <w:p>
            <w:pPr>
              <w:jc w:val="right"/>
              <w:ind w:right="79"/>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030303"/>
            </w:tcBorders>
          </w:tcPr>
          <w:p>
            <w:pPr>
              <w:spacing w:after="0"/>
              <w:rPr>
                <w:sz w:val="22"/>
                <w:szCs w:val="22"/>
                <w:color w:val="auto"/>
              </w:rPr>
            </w:pPr>
          </w:p>
        </w:tc>
        <w:tc>
          <w:tcPr>
            <w:tcW w:w="700" w:type="dxa"/>
            <w:vAlign w:val="bottom"/>
            <w:tcBorders>
              <w:bottom w:val="single" w:sz="8" w:color="030303"/>
            </w:tcBorders>
          </w:tcPr>
          <w:p>
            <w:pPr>
              <w:spacing w:after="0"/>
              <w:rPr>
                <w:sz w:val="22"/>
                <w:szCs w:val="22"/>
                <w:color w:val="auto"/>
              </w:rPr>
            </w:pPr>
          </w:p>
        </w:tc>
        <w:tc>
          <w:tcPr>
            <w:tcW w:w="600" w:type="dxa"/>
            <w:vAlign w:val="bottom"/>
            <w:tcBorders>
              <w:bottom w:val="single" w:sz="8" w:color="030303"/>
            </w:tcBorders>
          </w:tcPr>
          <w:p>
            <w:pPr>
              <w:spacing w:after="0"/>
              <w:rPr>
                <w:sz w:val="22"/>
                <w:szCs w:val="22"/>
                <w:color w:val="auto"/>
              </w:rPr>
            </w:pPr>
          </w:p>
        </w:tc>
        <w:tc>
          <w:tcPr>
            <w:tcW w:w="580" w:type="dxa"/>
            <w:vAlign w:val="bottom"/>
            <w:tcBorders>
              <w:bottom w:val="single" w:sz="8" w:color="030303"/>
            </w:tcBorders>
          </w:tcPr>
          <w:p>
            <w:pPr>
              <w:jc w:val="right"/>
              <w:ind w:right="79"/>
              <w:spacing w:after="0"/>
              <w:rPr>
                <w:sz w:val="20"/>
                <w:szCs w:val="20"/>
                <w:color w:val="auto"/>
              </w:rPr>
            </w:pPr>
            <w:r>
              <w:rPr>
                <w:rFonts w:ascii="Arial" w:cs="Arial" w:eastAsia="Arial" w:hAnsi="Arial"/>
                <w:sz w:val="16"/>
                <w:szCs w:val="16"/>
                <w:b w:val="1"/>
                <w:bCs w:val="1"/>
                <w:color w:val="auto"/>
              </w:rPr>
              <w:t>3.1</w:t>
            </w:r>
          </w:p>
        </w:tc>
        <w:tc>
          <w:tcPr>
            <w:tcW w:w="300" w:type="dxa"/>
            <w:vAlign w:val="bottom"/>
            <w:tcBorders>
              <w:bottom w:val="single" w:sz="8" w:color="030303"/>
            </w:tcBorders>
          </w:tcPr>
          <w:p>
            <w:pPr>
              <w:spacing w:after="0"/>
              <w:rPr>
                <w:sz w:val="22"/>
                <w:szCs w:val="22"/>
                <w:color w:val="auto"/>
              </w:rPr>
            </w:pPr>
          </w:p>
        </w:tc>
        <w:tc>
          <w:tcPr>
            <w:tcW w:w="540" w:type="dxa"/>
            <w:vAlign w:val="bottom"/>
            <w:tcBorders>
              <w:bottom w:val="single" w:sz="8" w:color="030303"/>
            </w:tcBorders>
          </w:tcPr>
          <w:p>
            <w:pPr>
              <w:spacing w:after="0"/>
              <w:rPr>
                <w:sz w:val="22"/>
                <w:szCs w:val="22"/>
                <w:color w:val="auto"/>
              </w:rPr>
            </w:pPr>
          </w:p>
        </w:tc>
      </w:tr>
      <w:tr>
        <w:trPr>
          <w:trHeight w:val="263"/>
        </w:trPr>
        <w:tc>
          <w:tcPr>
            <w:tcW w:w="7100" w:type="dxa"/>
            <w:vAlign w:val="bottom"/>
            <w:tcBorders>
              <w:bottom w:val="single" w:sz="8" w:color="A9A9A9"/>
            </w:tcBorders>
          </w:tcPr>
          <w:p>
            <w:pPr>
              <w:ind w:left="20"/>
              <w:spacing w:after="0"/>
              <w:rPr>
                <w:sz w:val="20"/>
                <w:szCs w:val="20"/>
                <w:color w:val="auto"/>
              </w:rPr>
            </w:pPr>
            <w:r>
              <w:rPr>
                <w:rFonts w:ascii="Arial" w:cs="Arial" w:eastAsia="Arial" w:hAnsi="Arial"/>
                <w:sz w:val="16"/>
                <w:szCs w:val="16"/>
                <w:color w:val="auto"/>
              </w:rPr>
              <w:t>Managed basis pre-tax income</w:t>
            </w:r>
          </w:p>
        </w:tc>
        <w:tc>
          <w:tcPr>
            <w:tcW w:w="560" w:type="dxa"/>
            <w:vAlign w:val="bottom"/>
            <w:tcBorders>
              <w:bottom w:val="single" w:sz="8" w:color="A9A9A9"/>
            </w:tcBorders>
          </w:tcPr>
          <w:p>
            <w:pPr>
              <w:jc w:val="right"/>
              <w:ind w:right="2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9A9A9"/>
            </w:tcBorders>
          </w:tcPr>
          <w:p>
            <w:pPr>
              <w:jc w:val="right"/>
              <w:ind w:right="79"/>
              <w:spacing w:after="0"/>
              <w:rPr>
                <w:sz w:val="20"/>
                <w:szCs w:val="20"/>
                <w:color w:val="auto"/>
              </w:rPr>
            </w:pPr>
            <w:r>
              <w:rPr>
                <w:rFonts w:ascii="Arial" w:cs="Arial" w:eastAsia="Arial" w:hAnsi="Arial"/>
                <w:sz w:val="16"/>
                <w:szCs w:val="16"/>
                <w:color w:val="auto"/>
              </w:rPr>
              <w:t>78.1</w:t>
            </w:r>
          </w:p>
        </w:tc>
        <w:tc>
          <w:tcPr>
            <w:tcW w:w="300" w:type="dxa"/>
            <w:vAlign w:val="bottom"/>
            <w:tcBorders>
              <w:bottom w:val="single" w:sz="8" w:color="A9A9A9"/>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9A9A9"/>
            </w:tcBorders>
          </w:tcPr>
          <w:p>
            <w:pPr>
              <w:jc w:val="right"/>
              <w:ind w:right="141"/>
              <w:spacing w:after="0"/>
              <w:rPr>
                <w:sz w:val="20"/>
                <w:szCs w:val="20"/>
                <w:color w:val="auto"/>
              </w:rPr>
            </w:pPr>
            <w:r>
              <w:rPr>
                <w:rFonts w:ascii="Arial" w:cs="Arial" w:eastAsia="Arial" w:hAnsi="Arial"/>
                <w:sz w:val="16"/>
                <w:szCs w:val="16"/>
                <w:color w:val="auto"/>
              </w:rPr>
              <w:t>23.5</w:t>
            </w:r>
          </w:p>
        </w:tc>
        <w:tc>
          <w:tcPr>
            <w:tcW w:w="600" w:type="dxa"/>
            <w:vAlign w:val="bottom"/>
            <w:tcBorders>
              <w:bottom w:val="single" w:sz="8" w:color="A9A9A9"/>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9A9A9"/>
            </w:tcBorders>
          </w:tcPr>
          <w:p>
            <w:pPr>
              <w:jc w:val="right"/>
              <w:ind w:right="79"/>
              <w:spacing w:after="0"/>
              <w:rPr>
                <w:sz w:val="20"/>
                <w:szCs w:val="20"/>
                <w:color w:val="auto"/>
              </w:rPr>
            </w:pPr>
            <w:r>
              <w:rPr>
                <w:rFonts w:ascii="Arial" w:cs="Arial" w:eastAsia="Arial" w:hAnsi="Arial"/>
                <w:sz w:val="16"/>
                <w:szCs w:val="16"/>
                <w:b w:val="1"/>
                <w:bCs w:val="1"/>
                <w:color w:val="auto"/>
              </w:rPr>
              <w:t>75.7</w:t>
            </w:r>
          </w:p>
        </w:tc>
        <w:tc>
          <w:tcPr>
            <w:tcW w:w="300" w:type="dxa"/>
            <w:vAlign w:val="bottom"/>
            <w:tcBorders>
              <w:bottom w:val="single" w:sz="8" w:color="A9A9A9"/>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9A9A9"/>
            </w:tcBorders>
          </w:tcPr>
          <w:p>
            <w:pPr>
              <w:jc w:val="right"/>
              <w:ind w:right="1"/>
              <w:spacing w:after="0"/>
              <w:rPr>
                <w:sz w:val="20"/>
                <w:szCs w:val="20"/>
                <w:color w:val="auto"/>
              </w:rPr>
            </w:pPr>
            <w:r>
              <w:rPr>
                <w:rFonts w:ascii="Arial" w:cs="Arial" w:eastAsia="Arial" w:hAnsi="Arial"/>
                <w:sz w:val="16"/>
                <w:szCs w:val="16"/>
                <w:b w:val="1"/>
                <w:bCs w:val="1"/>
                <w:color w:val="auto"/>
              </w:rPr>
              <w:t>24.3</w:t>
            </w:r>
          </w:p>
        </w:tc>
      </w:tr>
      <w:tr>
        <w:trPr>
          <w:trHeight w:val="264"/>
        </w:trPr>
        <w:tc>
          <w:tcPr>
            <w:tcW w:w="7100" w:type="dxa"/>
            <w:vAlign w:val="bottom"/>
            <w:tcBorders>
              <w:bottom w:val="single" w:sz="8" w:color="030303"/>
            </w:tcBorders>
          </w:tcPr>
          <w:p>
            <w:pPr>
              <w:ind w:left="140"/>
              <w:spacing w:after="0"/>
              <w:rPr>
                <w:sz w:val="20"/>
                <w:szCs w:val="20"/>
                <w:color w:val="auto"/>
              </w:rPr>
            </w:pPr>
            <w:r>
              <w:rPr>
                <w:rFonts w:ascii="Arial" w:cs="Arial" w:eastAsia="Arial" w:hAnsi="Arial"/>
                <w:sz w:val="16"/>
                <w:szCs w:val="16"/>
                <w:color w:val="auto"/>
              </w:rPr>
              <w:t>Change in loan loss reserves</w:t>
            </w:r>
          </w:p>
        </w:tc>
        <w:tc>
          <w:tcPr>
            <w:tcW w:w="560" w:type="dxa"/>
            <w:vAlign w:val="bottom"/>
            <w:tcBorders>
              <w:bottom w:val="single" w:sz="8" w:color="030303"/>
            </w:tcBorders>
          </w:tcPr>
          <w:p>
            <w:pPr>
              <w:spacing w:after="0"/>
              <w:rPr>
                <w:sz w:val="22"/>
                <w:szCs w:val="22"/>
                <w:color w:val="auto"/>
              </w:rPr>
            </w:pPr>
          </w:p>
        </w:tc>
        <w:tc>
          <w:tcPr>
            <w:tcW w:w="560" w:type="dxa"/>
            <w:vAlign w:val="bottom"/>
            <w:tcBorders>
              <w:bottom w:val="single" w:sz="8" w:color="030303"/>
            </w:tcBorders>
          </w:tcPr>
          <w:p>
            <w:pPr>
              <w:jc w:val="right"/>
              <w:ind w:right="79"/>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030303"/>
            </w:tcBorders>
          </w:tcPr>
          <w:p>
            <w:pPr>
              <w:spacing w:after="0"/>
              <w:rPr>
                <w:sz w:val="22"/>
                <w:szCs w:val="22"/>
                <w:color w:val="auto"/>
              </w:rPr>
            </w:pPr>
          </w:p>
        </w:tc>
        <w:tc>
          <w:tcPr>
            <w:tcW w:w="700" w:type="dxa"/>
            <w:vAlign w:val="bottom"/>
            <w:tcBorders>
              <w:bottom w:val="single" w:sz="8" w:color="030303"/>
            </w:tcBorders>
          </w:tcPr>
          <w:p>
            <w:pPr>
              <w:jc w:val="right"/>
              <w:ind w:right="141"/>
              <w:spacing w:after="0"/>
              <w:rPr>
                <w:sz w:val="20"/>
                <w:szCs w:val="20"/>
                <w:color w:val="auto"/>
              </w:rPr>
            </w:pPr>
            <w:r>
              <w:rPr>
                <w:rFonts w:ascii="Arial" w:cs="Arial" w:eastAsia="Arial" w:hAnsi="Arial"/>
                <w:sz w:val="16"/>
                <w:szCs w:val="16"/>
                <w:color w:val="auto"/>
              </w:rPr>
              <w:t>2.0</w:t>
            </w:r>
          </w:p>
        </w:tc>
        <w:tc>
          <w:tcPr>
            <w:tcW w:w="600" w:type="dxa"/>
            <w:vAlign w:val="bottom"/>
            <w:tcBorders>
              <w:bottom w:val="single" w:sz="8" w:color="030303"/>
            </w:tcBorders>
          </w:tcPr>
          <w:p>
            <w:pPr>
              <w:spacing w:after="0"/>
              <w:rPr>
                <w:sz w:val="22"/>
                <w:szCs w:val="22"/>
                <w:color w:val="auto"/>
              </w:rPr>
            </w:pPr>
          </w:p>
        </w:tc>
        <w:tc>
          <w:tcPr>
            <w:tcW w:w="580" w:type="dxa"/>
            <w:vAlign w:val="bottom"/>
            <w:tcBorders>
              <w:bottom w:val="single" w:sz="8" w:color="030303"/>
            </w:tcBorders>
          </w:tcPr>
          <w:p>
            <w:pPr>
              <w:jc w:val="right"/>
              <w:ind w:right="79"/>
              <w:spacing w:after="0"/>
              <w:rPr>
                <w:sz w:val="20"/>
                <w:szCs w:val="20"/>
                <w:color w:val="auto"/>
              </w:rPr>
            </w:pPr>
            <w:r>
              <w:rPr>
                <w:rFonts w:ascii="Arial" w:cs="Arial" w:eastAsia="Arial" w:hAnsi="Arial"/>
                <w:sz w:val="16"/>
                <w:szCs w:val="16"/>
                <w:b w:val="1"/>
                <w:bCs w:val="1"/>
                <w:color w:val="auto"/>
              </w:rPr>
              <w:t>4.4</w:t>
            </w:r>
          </w:p>
        </w:tc>
        <w:tc>
          <w:tcPr>
            <w:tcW w:w="300" w:type="dxa"/>
            <w:vAlign w:val="bottom"/>
            <w:tcBorders>
              <w:bottom w:val="single" w:sz="8" w:color="030303"/>
            </w:tcBorders>
          </w:tcPr>
          <w:p>
            <w:pPr>
              <w:spacing w:after="0"/>
              <w:rPr>
                <w:sz w:val="22"/>
                <w:szCs w:val="22"/>
                <w:color w:val="auto"/>
              </w:rPr>
            </w:pPr>
          </w:p>
        </w:tc>
        <w:tc>
          <w:tcPr>
            <w:tcW w:w="540" w:type="dxa"/>
            <w:vAlign w:val="bottom"/>
            <w:tcBorders>
              <w:bottom w:val="single" w:sz="8" w:color="030303"/>
            </w:tcBorders>
          </w:tcPr>
          <w:p>
            <w:pPr>
              <w:jc w:val="right"/>
              <w:ind w:right="1"/>
              <w:spacing w:after="0"/>
              <w:rPr>
                <w:sz w:val="20"/>
                <w:szCs w:val="20"/>
                <w:color w:val="auto"/>
              </w:rPr>
            </w:pPr>
            <w:r>
              <w:rPr>
                <w:rFonts w:ascii="Arial" w:cs="Arial" w:eastAsia="Arial" w:hAnsi="Arial"/>
                <w:sz w:val="16"/>
                <w:szCs w:val="16"/>
                <w:b w:val="1"/>
                <w:bCs w:val="1"/>
                <w:color w:val="auto"/>
              </w:rPr>
              <w:t>3.2</w:t>
            </w:r>
          </w:p>
        </w:tc>
      </w:tr>
      <w:tr>
        <w:trPr>
          <w:trHeight w:val="236"/>
        </w:trPr>
        <w:tc>
          <w:tcPr>
            <w:tcW w:w="7100" w:type="dxa"/>
            <w:vAlign w:val="bottom"/>
            <w:tcBorders>
              <w:bottom w:val="single" w:sz="8" w:color="030303"/>
            </w:tcBorders>
          </w:tcPr>
          <w:p>
            <w:pPr>
              <w:ind w:left="20"/>
              <w:spacing w:after="0"/>
              <w:rPr>
                <w:sz w:val="20"/>
                <w:szCs w:val="20"/>
                <w:color w:val="auto"/>
              </w:rPr>
            </w:pPr>
            <w:r>
              <w:rPr>
                <w:rFonts w:ascii="Arial" w:cs="Arial" w:eastAsia="Arial" w:hAnsi="Arial"/>
                <w:sz w:val="16"/>
                <w:szCs w:val="16"/>
                <w:color w:val="auto"/>
              </w:rPr>
              <w:t>Pre-tax income ex. LLR</w:t>
            </w:r>
          </w:p>
        </w:tc>
        <w:tc>
          <w:tcPr>
            <w:tcW w:w="560" w:type="dxa"/>
            <w:vAlign w:val="bottom"/>
            <w:tcBorders>
              <w:bottom w:val="single" w:sz="8" w:color="030303"/>
            </w:tcBorders>
          </w:tcPr>
          <w:p>
            <w:pPr>
              <w:jc w:val="right"/>
              <w:ind w:right="2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030303"/>
            </w:tcBorders>
          </w:tcPr>
          <w:p>
            <w:pPr>
              <w:jc w:val="right"/>
              <w:ind w:right="79"/>
              <w:spacing w:after="0"/>
              <w:rPr>
                <w:sz w:val="20"/>
                <w:szCs w:val="20"/>
                <w:color w:val="auto"/>
              </w:rPr>
            </w:pPr>
            <w:r>
              <w:rPr>
                <w:rFonts w:ascii="Arial" w:cs="Arial" w:eastAsia="Arial" w:hAnsi="Arial"/>
                <w:sz w:val="16"/>
                <w:szCs w:val="16"/>
                <w:color w:val="auto"/>
              </w:rPr>
              <w:t>80.2</w:t>
            </w:r>
          </w:p>
        </w:tc>
        <w:tc>
          <w:tcPr>
            <w:tcW w:w="300" w:type="dxa"/>
            <w:vAlign w:val="bottom"/>
            <w:tcBorders>
              <w:bottom w:val="single" w:sz="8" w:color="030303"/>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030303"/>
            </w:tcBorders>
          </w:tcPr>
          <w:p>
            <w:pPr>
              <w:jc w:val="right"/>
              <w:ind w:right="141"/>
              <w:spacing w:after="0"/>
              <w:rPr>
                <w:sz w:val="20"/>
                <w:szCs w:val="20"/>
                <w:color w:val="auto"/>
              </w:rPr>
            </w:pPr>
            <w:r>
              <w:rPr>
                <w:rFonts w:ascii="Arial" w:cs="Arial" w:eastAsia="Arial" w:hAnsi="Arial"/>
                <w:sz w:val="16"/>
                <w:szCs w:val="16"/>
                <w:color w:val="auto"/>
              </w:rPr>
              <w:t>25.5</w:t>
            </w:r>
          </w:p>
        </w:tc>
        <w:tc>
          <w:tcPr>
            <w:tcW w:w="600" w:type="dxa"/>
            <w:vAlign w:val="bottom"/>
            <w:tcBorders>
              <w:bottom w:val="single" w:sz="8" w:color="030303"/>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030303"/>
            </w:tcBorders>
          </w:tcPr>
          <w:p>
            <w:pPr>
              <w:jc w:val="right"/>
              <w:ind w:right="79"/>
              <w:spacing w:after="0"/>
              <w:rPr>
                <w:sz w:val="20"/>
                <w:szCs w:val="20"/>
                <w:color w:val="auto"/>
              </w:rPr>
            </w:pPr>
            <w:r>
              <w:rPr>
                <w:rFonts w:ascii="Arial" w:cs="Arial" w:eastAsia="Arial" w:hAnsi="Arial"/>
                <w:sz w:val="16"/>
                <w:szCs w:val="16"/>
                <w:b w:val="1"/>
                <w:bCs w:val="1"/>
                <w:color w:val="auto"/>
              </w:rPr>
              <w:t>80.1</w:t>
            </w:r>
          </w:p>
        </w:tc>
        <w:tc>
          <w:tcPr>
            <w:tcW w:w="300" w:type="dxa"/>
            <w:vAlign w:val="bottom"/>
            <w:tcBorders>
              <w:bottom w:val="single" w:sz="8" w:color="030303"/>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030303"/>
            </w:tcBorders>
          </w:tcPr>
          <w:p>
            <w:pPr>
              <w:jc w:val="right"/>
              <w:ind w:right="1"/>
              <w:spacing w:after="0"/>
              <w:rPr>
                <w:sz w:val="20"/>
                <w:szCs w:val="20"/>
                <w:color w:val="auto"/>
              </w:rPr>
            </w:pPr>
            <w:r>
              <w:rPr>
                <w:rFonts w:ascii="Arial" w:cs="Arial" w:eastAsia="Arial" w:hAnsi="Arial"/>
                <w:sz w:val="16"/>
                <w:szCs w:val="16"/>
                <w:b w:val="1"/>
                <w:bCs w:val="1"/>
                <w:color w:val="auto"/>
              </w:rPr>
              <w:t>27.5</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Note: Totals may not sum due to rounding.</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auto"/>
        </w:rPr>
        <w:t>Additional notes</w:t>
      </w:r>
    </w:p>
    <w:p>
      <w:pPr>
        <w:spacing w:after="0" w:line="49" w:lineRule="exact"/>
        <w:rPr>
          <w:sz w:val="20"/>
          <w:szCs w:val="20"/>
          <w:color w:val="auto"/>
        </w:rPr>
      </w:pPr>
    </w:p>
    <w:p>
      <w:pPr>
        <w:ind w:left="260" w:right="360" w:hanging="252"/>
        <w:spacing w:after="0" w:line="321" w:lineRule="auto"/>
        <w:tabs>
          <w:tab w:leader="none" w:pos="284" w:val="left"/>
        </w:tabs>
        <w:numPr>
          <w:ilvl w:val="0"/>
          <w:numId w:val="305"/>
        </w:numPr>
        <w:rPr>
          <w:rFonts w:ascii="Arial" w:cs="Arial" w:eastAsia="Arial" w:hAnsi="Arial"/>
          <w:sz w:val="16"/>
          <w:szCs w:val="16"/>
          <w:b w:val="1"/>
          <w:bCs w:val="1"/>
          <w:color w:val="8F5A39"/>
        </w:rPr>
      </w:pPr>
      <w:r>
        <w:rPr>
          <w:rFonts w:ascii="Arial" w:cs="Arial" w:eastAsia="Arial" w:hAnsi="Arial"/>
          <w:sz w:val="16"/>
          <w:szCs w:val="16"/>
          <w:color w:val="auto"/>
        </w:rPr>
        <w:t>The Basel III common equity Tier 1 (“CET1”) ratio is used by management, bank regulators, investors and analysts to assess and monitor the Firm’s capital position. Refer to Capital Risk Management on pages 89-99 of the 2025 Form 10-K for additional information on this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313690</wp:posOffset>
            </wp:positionV>
            <wp:extent cx="651510" cy="8572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60" w:type="dxa"/>
            <w:vAlign w:val="bottom"/>
          </w:tcPr>
          <w:p>
            <w:pPr>
              <w:jc w:val="right"/>
              <w:ind w:right="148"/>
              <w:spacing w:after="0"/>
              <w:rPr>
                <w:sz w:val="20"/>
                <w:szCs w:val="20"/>
                <w:color w:val="auto"/>
              </w:rPr>
            </w:pPr>
            <w:r>
              <w:rPr>
                <w:rFonts w:ascii="Arial" w:cs="Arial" w:eastAsia="Arial" w:hAnsi="Arial"/>
                <w:sz w:val="14"/>
                <w:szCs w:val="14"/>
                <w:color w:val="auto"/>
                <w:w w:val="94"/>
              </w:rPr>
              <w:t>104</w:t>
            </w:r>
          </w:p>
        </w:tc>
        <w:tc>
          <w:tcPr>
            <w:tcW w:w="1640" w:type="dxa"/>
            <w:vAlign w:val="bottom"/>
            <w:vMerge w:val="restart"/>
          </w:tcPr>
          <w:p>
            <w:pPr>
              <w:ind w:left="20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52"/>
          <w:szCs w:val="52"/>
          <w:color w:val="auto"/>
        </w:rPr>
        <w:t>Glossary of selected terms and acronyms</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color w:val="auto"/>
        </w:rPr>
        <w:t xml:space="preserve">2025 Form 10-K: </w:t>
      </w:r>
      <w:r>
        <w:rPr>
          <w:rFonts w:ascii="Arial" w:cs="Arial" w:eastAsia="Arial" w:hAnsi="Arial"/>
          <w:sz w:val="16"/>
          <w:szCs w:val="16"/>
          <w:color w:val="auto"/>
        </w:rPr>
        <w:t>JPMorgan Chase &amp; Co.’s Annual Report on Form 10-K</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year ended December 31, 2025</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AI: </w:t>
      </w:r>
      <w:r>
        <w:rPr>
          <w:rFonts w:ascii="Arial" w:cs="Arial" w:eastAsia="Arial" w:hAnsi="Arial"/>
          <w:sz w:val="16"/>
          <w:szCs w:val="16"/>
          <w:color w:val="auto"/>
        </w:rPr>
        <w:t>Artificial Intelligence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Annual Meeting: </w:t>
      </w:r>
      <w:r>
        <w:rPr>
          <w:rFonts w:ascii="Arial" w:cs="Arial" w:eastAsia="Arial" w:hAnsi="Arial"/>
          <w:sz w:val="16"/>
          <w:szCs w:val="16"/>
          <w:color w:val="auto"/>
        </w:rPr>
        <w:t>Annual Meeting of Shareholders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AUM: </w:t>
      </w:r>
      <w:r>
        <w:rPr>
          <w:rFonts w:ascii="Arial" w:cs="Arial" w:eastAsia="Arial" w:hAnsi="Arial"/>
          <w:sz w:val="16"/>
          <w:szCs w:val="16"/>
          <w:color w:val="auto"/>
        </w:rPr>
        <w:t>Assets under management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AWM: </w:t>
      </w:r>
      <w:r>
        <w:rPr>
          <w:rFonts w:ascii="Arial" w:cs="Arial" w:eastAsia="Arial" w:hAnsi="Arial"/>
          <w:sz w:val="16"/>
          <w:szCs w:val="16"/>
          <w:color w:val="auto"/>
        </w:rPr>
        <w:t>Asset &amp; Wealth Management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Bank: </w:t>
      </w:r>
      <w:r>
        <w:rPr>
          <w:rFonts w:ascii="Arial" w:cs="Arial" w:eastAsia="Arial" w:hAnsi="Arial"/>
          <w:sz w:val="16"/>
          <w:szCs w:val="16"/>
          <w:color w:val="auto"/>
        </w:rPr>
        <w:t>JPMorgan Chase Bank, National Association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BlackRock: </w:t>
      </w:r>
      <w:r>
        <w:rPr>
          <w:rFonts w:ascii="Arial" w:cs="Arial" w:eastAsia="Arial" w:hAnsi="Arial"/>
          <w:sz w:val="16"/>
          <w:szCs w:val="16"/>
          <w:color w:val="auto"/>
        </w:rPr>
        <w:t>BlackRock, Inc. and affiliated entities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BRG: </w:t>
      </w:r>
      <w:r>
        <w:rPr>
          <w:rFonts w:ascii="Arial" w:cs="Arial" w:eastAsia="Arial" w:hAnsi="Arial"/>
          <w:sz w:val="16"/>
          <w:szCs w:val="16"/>
          <w:color w:val="auto"/>
        </w:rPr>
        <w:t>Business Resource Group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BVPS: </w:t>
      </w:r>
      <w:r>
        <w:rPr>
          <w:rFonts w:ascii="Arial" w:cs="Arial" w:eastAsia="Arial" w:hAnsi="Arial"/>
          <w:sz w:val="16"/>
          <w:szCs w:val="16"/>
          <w:color w:val="auto"/>
        </w:rPr>
        <w:t>Book value per share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CAP: </w:t>
      </w:r>
      <w:r>
        <w:rPr>
          <w:rFonts w:ascii="Arial" w:cs="Arial" w:eastAsia="Arial" w:hAnsi="Arial"/>
          <w:sz w:val="16"/>
          <w:szCs w:val="16"/>
          <w:color w:val="auto"/>
        </w:rPr>
        <w:t>Compensation Actually Paid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CCAR: </w:t>
      </w:r>
      <w:r>
        <w:rPr>
          <w:rFonts w:ascii="Arial" w:cs="Arial" w:eastAsia="Arial" w:hAnsi="Arial"/>
          <w:sz w:val="16"/>
          <w:szCs w:val="16"/>
          <w:color w:val="auto"/>
        </w:rPr>
        <w:t>Comprehensive Capital Analysis and Review</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CCB: </w:t>
      </w:r>
      <w:r>
        <w:rPr>
          <w:rFonts w:ascii="Arial" w:cs="Arial" w:eastAsia="Arial" w:hAnsi="Arial"/>
          <w:sz w:val="16"/>
          <w:szCs w:val="16"/>
          <w:color w:val="auto"/>
        </w:rPr>
        <w:t>Consumer &amp; Community Banking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CD&amp;A: </w:t>
      </w:r>
      <w:r>
        <w:rPr>
          <w:rFonts w:ascii="Arial" w:cs="Arial" w:eastAsia="Arial" w:hAnsi="Arial"/>
          <w:sz w:val="16"/>
          <w:szCs w:val="16"/>
          <w:color w:val="auto"/>
        </w:rPr>
        <w:t>Compensation discussion and analysis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CEO: </w:t>
      </w:r>
      <w:r>
        <w:rPr>
          <w:rFonts w:ascii="Arial" w:cs="Arial" w:eastAsia="Arial" w:hAnsi="Arial"/>
          <w:sz w:val="16"/>
          <w:szCs w:val="16"/>
          <w:color w:val="auto"/>
        </w:rPr>
        <w:t>Chief Executive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CET1: </w:t>
      </w:r>
      <w:r>
        <w:rPr>
          <w:rFonts w:ascii="Arial" w:cs="Arial" w:eastAsia="Arial" w:hAnsi="Arial"/>
          <w:sz w:val="16"/>
          <w:szCs w:val="16"/>
          <w:color w:val="auto"/>
        </w:rPr>
        <w:t>Common equity Tier 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CFO: </w:t>
      </w:r>
      <w:r>
        <w:rPr>
          <w:rFonts w:ascii="Arial" w:cs="Arial" w:eastAsia="Arial" w:hAnsi="Arial"/>
          <w:sz w:val="16"/>
          <w:szCs w:val="16"/>
          <w:color w:val="auto"/>
        </w:rPr>
        <w:t>Chief Financial Officer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CIB: </w:t>
      </w:r>
      <w:r>
        <w:rPr>
          <w:rFonts w:ascii="Arial" w:cs="Arial" w:eastAsia="Arial" w:hAnsi="Arial"/>
          <w:sz w:val="16"/>
          <w:szCs w:val="16"/>
          <w:color w:val="auto"/>
        </w:rPr>
        <w:t>Commercial &amp; Investment Bank</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CMDC: </w:t>
      </w:r>
      <w:r>
        <w:rPr>
          <w:rFonts w:ascii="Arial" w:cs="Arial" w:eastAsia="Arial" w:hAnsi="Arial"/>
          <w:sz w:val="16"/>
          <w:szCs w:val="16"/>
          <w:color w:val="auto"/>
        </w:rPr>
        <w:t>Compensation &amp; Management Development Committee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COO: </w:t>
      </w:r>
      <w:r>
        <w:rPr>
          <w:rFonts w:ascii="Arial" w:cs="Arial" w:eastAsia="Arial" w:hAnsi="Arial"/>
          <w:sz w:val="16"/>
          <w:szCs w:val="16"/>
          <w:color w:val="auto"/>
        </w:rPr>
        <w:t>Chief Operating Officer</w:t>
      </w:r>
    </w:p>
    <w:p>
      <w:pPr>
        <w:spacing w:after="0" w:line="100" w:lineRule="exact"/>
        <w:rPr>
          <w:sz w:val="20"/>
          <w:szCs w:val="20"/>
          <w:color w:val="auto"/>
        </w:rPr>
      </w:pPr>
    </w:p>
    <w:p>
      <w:pPr>
        <w:jc w:val="both"/>
        <w:ind w:right="340"/>
        <w:spacing w:after="0" w:line="301" w:lineRule="auto"/>
        <w:rPr>
          <w:sz w:val="20"/>
          <w:szCs w:val="20"/>
          <w:color w:val="auto"/>
        </w:rPr>
      </w:pPr>
      <w:r>
        <w:rPr>
          <w:rFonts w:ascii="Arial" w:cs="Arial" w:eastAsia="Arial" w:hAnsi="Arial"/>
          <w:sz w:val="16"/>
          <w:szCs w:val="16"/>
          <w:b w:val="1"/>
          <w:bCs w:val="1"/>
          <w:color w:val="auto"/>
        </w:rPr>
        <w:t xml:space="preserve">Designated Employees: </w:t>
      </w:r>
      <w:r>
        <w:rPr>
          <w:rFonts w:ascii="Arial" w:cs="Arial" w:eastAsia="Arial" w:hAnsi="Arial"/>
          <w:sz w:val="16"/>
          <w:szCs w:val="16"/>
          <w:color w:val="auto"/>
        </w:rPr>
        <w:t>Tier 1 Employees, Identified Staff,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who are material risk-takers identified under other similar standards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EPS: </w:t>
      </w:r>
      <w:r>
        <w:rPr>
          <w:rFonts w:ascii="Arial" w:cs="Arial" w:eastAsia="Arial" w:hAnsi="Arial"/>
          <w:sz w:val="16"/>
          <w:szCs w:val="16"/>
          <w:color w:val="auto"/>
        </w:rPr>
        <w:t>Earnings per share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E.U.: </w:t>
      </w:r>
      <w:r>
        <w:rPr>
          <w:rFonts w:ascii="Arial" w:cs="Arial" w:eastAsia="Arial" w:hAnsi="Arial"/>
          <w:sz w:val="16"/>
          <w:szCs w:val="16"/>
          <w:color w:val="auto"/>
        </w:rPr>
        <w:t>European Union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 LLR: </w:t>
      </w:r>
      <w:r>
        <w:rPr>
          <w:rFonts w:ascii="Arial" w:cs="Arial" w:eastAsia="Arial" w:hAnsi="Arial"/>
          <w:sz w:val="16"/>
          <w:szCs w:val="16"/>
          <w:color w:val="auto"/>
        </w:rPr>
        <w:t>Excluding loan loss reserves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Federal Reserve: </w:t>
      </w:r>
      <w:r>
        <w:rPr>
          <w:rFonts w:ascii="Arial" w:cs="Arial" w:eastAsia="Arial" w:hAnsi="Arial"/>
          <w:sz w:val="16"/>
          <w:szCs w:val="16"/>
          <w:color w:val="auto"/>
        </w:rPr>
        <w:t>Board of Governors of the Federal Reserve System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Firm: </w:t>
      </w:r>
      <w:r>
        <w:rPr>
          <w:rFonts w:ascii="Arial" w:cs="Arial" w:eastAsia="Arial" w:hAnsi="Arial"/>
          <w:sz w:val="16"/>
          <w:szCs w:val="16"/>
          <w:color w:val="auto"/>
        </w:rPr>
        <w:t>JPMorgan Chase &amp; Co.</w:t>
      </w:r>
    </w:p>
    <w:p>
      <w:pPr>
        <w:spacing w:after="0" w:line="100" w:lineRule="exact"/>
        <w:rPr>
          <w:sz w:val="20"/>
          <w:szCs w:val="20"/>
          <w:color w:val="auto"/>
        </w:rPr>
      </w:pPr>
    </w:p>
    <w:p>
      <w:pPr>
        <w:ind w:right="1520"/>
        <w:spacing w:after="0" w:line="321" w:lineRule="auto"/>
        <w:rPr>
          <w:sz w:val="20"/>
          <w:szCs w:val="20"/>
          <w:color w:val="auto"/>
        </w:rPr>
      </w:pPr>
      <w:r>
        <w:rPr>
          <w:rFonts w:ascii="Arial" w:cs="Arial" w:eastAsia="Arial" w:hAnsi="Arial"/>
          <w:sz w:val="16"/>
          <w:szCs w:val="16"/>
          <w:b w:val="1"/>
          <w:bCs w:val="1"/>
          <w:color w:val="auto"/>
        </w:rPr>
        <w:t xml:space="preserve">Governance Committee: </w:t>
      </w:r>
      <w:r>
        <w:rPr>
          <w:rFonts w:ascii="Arial" w:cs="Arial" w:eastAsia="Arial" w:hAnsi="Arial"/>
          <w:sz w:val="16"/>
          <w:szCs w:val="16"/>
          <w:color w:val="auto"/>
        </w:rPr>
        <w:t>Corporate Governance &amp;</w:t>
      </w:r>
      <w:r>
        <w:rPr>
          <w:rFonts w:ascii="Arial" w:cs="Arial" w:eastAsia="Arial" w:hAnsi="Arial"/>
          <w:sz w:val="16"/>
          <w:szCs w:val="16"/>
          <w:b w:val="1"/>
          <w:bCs w:val="1"/>
          <w:color w:val="auto"/>
        </w:rPr>
        <w:t xml:space="preserve"> </w:t>
      </w:r>
      <w:r>
        <w:rPr>
          <w:rFonts w:ascii="Arial" w:cs="Arial" w:eastAsia="Arial" w:hAnsi="Arial"/>
          <w:sz w:val="16"/>
          <w:szCs w:val="16"/>
          <w:color w:val="auto"/>
        </w:rPr>
        <w:t>Nominating Committee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Governance Principles: </w:t>
      </w:r>
      <w:r>
        <w:rPr>
          <w:rFonts w:ascii="Arial" w:cs="Arial" w:eastAsia="Arial" w:hAnsi="Arial"/>
          <w:sz w:val="16"/>
          <w:szCs w:val="16"/>
          <w:color w:val="auto"/>
        </w:rPr>
        <w:t>Corporate Governance Principles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HR: </w:t>
      </w:r>
      <w:r>
        <w:rPr>
          <w:rFonts w:ascii="Arial" w:cs="Arial" w:eastAsia="Arial" w:hAnsi="Arial"/>
          <w:sz w:val="16"/>
          <w:szCs w:val="16"/>
          <w:color w:val="auto"/>
        </w:rPr>
        <w:t>Human Resources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IB: </w:t>
      </w:r>
      <w:r>
        <w:rPr>
          <w:rFonts w:ascii="Arial" w:cs="Arial" w:eastAsia="Arial" w:hAnsi="Arial"/>
          <w:sz w:val="16"/>
          <w:szCs w:val="16"/>
          <w:color w:val="auto"/>
        </w:rPr>
        <w:t>Investment Banking</w:t>
      </w:r>
    </w:p>
    <w:p>
      <w:pPr>
        <w:spacing w:after="0" w:line="100"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b w:val="1"/>
          <w:bCs w:val="1"/>
          <w:color w:val="auto"/>
        </w:rPr>
        <w:t xml:space="preserve">Identified Staff: </w:t>
      </w:r>
      <w:r>
        <w:rPr>
          <w:rFonts w:ascii="Arial" w:cs="Arial" w:eastAsia="Arial" w:hAnsi="Arial"/>
          <w:sz w:val="16"/>
          <w:szCs w:val="16"/>
          <w:color w:val="auto"/>
        </w:rPr>
        <w:t>Employees who are material risk-takers identified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U.K. and/or European Union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313690</wp:posOffset>
            </wp:positionV>
            <wp:extent cx="651510" cy="8572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65151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IHC: </w:t>
      </w:r>
      <w:r>
        <w:rPr>
          <w:rFonts w:ascii="Arial" w:cs="Arial" w:eastAsia="Arial" w:hAnsi="Arial"/>
          <w:sz w:val="16"/>
          <w:szCs w:val="16"/>
          <w:color w:val="auto"/>
        </w:rPr>
        <w:t>JPMorgan Chase Holdings LLC, an intermediate holding company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JPMorganChase: </w:t>
      </w:r>
      <w:r>
        <w:rPr>
          <w:rFonts w:ascii="Arial" w:cs="Arial" w:eastAsia="Arial" w:hAnsi="Arial"/>
          <w:sz w:val="16"/>
          <w:szCs w:val="16"/>
          <w:color w:val="auto"/>
        </w:rPr>
        <w:t>JPMorgan Chase &amp; Co.</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LOB: </w:t>
      </w:r>
      <w:r>
        <w:rPr>
          <w:rFonts w:ascii="Arial" w:cs="Arial" w:eastAsia="Arial" w:hAnsi="Arial"/>
          <w:sz w:val="16"/>
          <w:szCs w:val="16"/>
          <w:color w:val="auto"/>
        </w:rPr>
        <w:t>Line of business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ML: </w:t>
      </w:r>
      <w:r>
        <w:rPr>
          <w:rFonts w:ascii="Arial" w:cs="Arial" w:eastAsia="Arial" w:hAnsi="Arial"/>
          <w:sz w:val="16"/>
          <w:szCs w:val="16"/>
          <w:color w:val="auto"/>
        </w:rPr>
        <w:t>Machine Learning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NEO: </w:t>
      </w:r>
      <w:r>
        <w:rPr>
          <w:rFonts w:ascii="Arial" w:cs="Arial" w:eastAsia="Arial" w:hAnsi="Arial"/>
          <w:sz w:val="16"/>
          <w:szCs w:val="16"/>
          <w:color w:val="auto"/>
        </w:rPr>
        <w:t>Named Executive Officer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Notice of Internet Availability of Proxy Material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NYSE: </w:t>
      </w:r>
      <w:r>
        <w:rPr>
          <w:rFonts w:ascii="Arial" w:cs="Arial" w:eastAsia="Arial" w:hAnsi="Arial"/>
          <w:sz w:val="16"/>
          <w:szCs w:val="16"/>
          <w:color w:val="auto"/>
        </w:rPr>
        <w:t>New York Stock Exchange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OC: </w:t>
      </w:r>
      <w:r>
        <w:rPr>
          <w:rFonts w:ascii="Arial" w:cs="Arial" w:eastAsia="Arial" w:hAnsi="Arial"/>
          <w:sz w:val="16"/>
          <w:szCs w:val="16"/>
          <w:color w:val="auto"/>
        </w:rPr>
        <w:t>Operating Committee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PCAOB: </w:t>
      </w:r>
      <w:r>
        <w:rPr>
          <w:rFonts w:ascii="Arial" w:cs="Arial" w:eastAsia="Arial" w:hAnsi="Arial"/>
          <w:sz w:val="16"/>
          <w:szCs w:val="16"/>
          <w:color w:val="auto"/>
        </w:rPr>
        <w:t>Public Company Accounting Oversight Board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PRC: </w:t>
      </w:r>
      <w:r>
        <w:rPr>
          <w:rFonts w:ascii="Arial" w:cs="Arial" w:eastAsia="Arial" w:hAnsi="Arial"/>
          <w:sz w:val="16"/>
          <w:szCs w:val="16"/>
          <w:color w:val="auto"/>
        </w:rPr>
        <w:t>Public Responsibility Committee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PSU: </w:t>
      </w:r>
      <w:r>
        <w:rPr>
          <w:rFonts w:ascii="Arial" w:cs="Arial" w:eastAsia="Arial" w:hAnsi="Arial"/>
          <w:sz w:val="16"/>
          <w:szCs w:val="16"/>
          <w:color w:val="auto"/>
        </w:rPr>
        <w:t>Performance share unit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PwC: </w:t>
      </w:r>
      <w:r>
        <w:rPr>
          <w:rFonts w:ascii="Arial" w:cs="Arial" w:eastAsia="Arial" w:hAnsi="Arial"/>
          <w:sz w:val="16"/>
          <w:szCs w:val="16"/>
          <w:color w:val="auto"/>
        </w:rPr>
        <w:t>PricewaterhouseCoopers LLP</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ROE: </w:t>
      </w:r>
      <w:r>
        <w:rPr>
          <w:rFonts w:ascii="Arial" w:cs="Arial" w:eastAsia="Arial" w:hAnsi="Arial"/>
          <w:sz w:val="16"/>
          <w:szCs w:val="16"/>
          <w:color w:val="auto"/>
        </w:rPr>
        <w:t>Return on common equity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ROTCE: </w:t>
      </w:r>
      <w:r>
        <w:rPr>
          <w:rFonts w:ascii="Arial" w:cs="Arial" w:eastAsia="Arial" w:hAnsi="Arial"/>
          <w:sz w:val="16"/>
          <w:szCs w:val="16"/>
          <w:color w:val="auto"/>
        </w:rPr>
        <w:t>Return on tangible common equity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RSU: </w:t>
      </w:r>
      <w:r>
        <w:rPr>
          <w:rFonts w:ascii="Arial" w:cs="Arial" w:eastAsia="Arial" w:hAnsi="Arial"/>
          <w:sz w:val="16"/>
          <w:szCs w:val="16"/>
          <w:color w:val="auto"/>
        </w:rPr>
        <w:t>Restricted stock unit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SAR: </w:t>
      </w:r>
      <w:r>
        <w:rPr>
          <w:rFonts w:ascii="Arial" w:cs="Arial" w:eastAsia="Arial" w:hAnsi="Arial"/>
          <w:sz w:val="16"/>
          <w:szCs w:val="16"/>
          <w:color w:val="auto"/>
        </w:rPr>
        <w:t>Stock appreciation right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SCT: </w:t>
      </w:r>
      <w:r>
        <w:rPr>
          <w:rFonts w:ascii="Arial" w:cs="Arial" w:eastAsia="Arial" w:hAnsi="Arial"/>
          <w:sz w:val="16"/>
          <w:szCs w:val="16"/>
          <w:color w:val="auto"/>
        </w:rPr>
        <w:t>Summary compensation table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 </w:t>
      </w:r>
      <w:r>
        <w:rPr>
          <w:rFonts w:ascii="Arial" w:cs="Arial" w:eastAsia="Arial" w:hAnsi="Arial"/>
          <w:sz w:val="16"/>
          <w:szCs w:val="16"/>
          <w:color w:val="auto"/>
        </w:rPr>
        <w:t>United States Securities and Exchange Commission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SRI: </w:t>
      </w:r>
      <w:r>
        <w:rPr>
          <w:rFonts w:ascii="Arial" w:cs="Arial" w:eastAsia="Arial" w:hAnsi="Arial"/>
          <w:sz w:val="16"/>
          <w:szCs w:val="16"/>
          <w:color w:val="auto"/>
        </w:rPr>
        <w:t>Security and Resiliency Initiative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TBVPS: </w:t>
      </w:r>
      <w:r>
        <w:rPr>
          <w:rFonts w:ascii="Arial" w:cs="Arial" w:eastAsia="Arial" w:hAnsi="Arial"/>
          <w:sz w:val="16"/>
          <w:szCs w:val="16"/>
          <w:color w:val="auto"/>
        </w:rPr>
        <w:t>Tangible book value per share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TCE: </w:t>
      </w:r>
      <w:r>
        <w:rPr>
          <w:rFonts w:ascii="Arial" w:cs="Arial" w:eastAsia="Arial" w:hAnsi="Arial"/>
          <w:sz w:val="16"/>
          <w:szCs w:val="16"/>
          <w:color w:val="auto"/>
        </w:rPr>
        <w:t>Tangible common equity</w:t>
      </w:r>
    </w:p>
    <w:p>
      <w:pPr>
        <w:spacing w:after="0" w:line="100"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b w:val="1"/>
          <w:bCs w:val="1"/>
          <w:color w:val="auto"/>
        </w:rPr>
        <w:t xml:space="preserve">Tier 1 Employees: </w:t>
      </w:r>
      <w:r>
        <w:rPr>
          <w:rFonts w:ascii="Arial" w:cs="Arial" w:eastAsia="Arial" w:hAnsi="Arial"/>
          <w:sz w:val="16"/>
          <w:szCs w:val="16"/>
          <w:color w:val="auto"/>
        </w:rPr>
        <w:t>Employees who are material risk-takers identified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Federal Reserve standards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TSR: </w:t>
      </w:r>
      <w:r>
        <w:rPr>
          <w:rFonts w:ascii="Arial" w:cs="Arial" w:eastAsia="Arial" w:hAnsi="Arial"/>
          <w:sz w:val="16"/>
          <w:szCs w:val="16"/>
          <w:color w:val="auto"/>
        </w:rPr>
        <w:t>Total shareholder return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U.K.</w:t>
      </w:r>
      <w:r>
        <w:rPr>
          <w:rFonts w:ascii="Arial" w:cs="Arial" w:eastAsia="Arial" w:hAnsi="Arial"/>
          <w:sz w:val="16"/>
          <w:szCs w:val="16"/>
          <w:color w:val="auto"/>
        </w:rPr>
        <w:t>: United Kingdom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U.S.: </w:t>
      </w:r>
      <w:r>
        <w:rPr>
          <w:rFonts w:ascii="Arial" w:cs="Arial" w:eastAsia="Arial" w:hAnsi="Arial"/>
          <w:sz w:val="16"/>
          <w:szCs w:val="16"/>
          <w:color w:val="auto"/>
        </w:rPr>
        <w:t>United States of America</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U.S. GAAP: </w:t>
      </w:r>
      <w:r>
        <w:rPr>
          <w:rFonts w:ascii="Arial" w:cs="Arial" w:eastAsia="Arial" w:hAnsi="Arial"/>
          <w:sz w:val="16"/>
          <w:szCs w:val="16"/>
          <w:color w:val="auto"/>
        </w:rPr>
        <w:t>Accounting principles generally accepted in the U.S.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Vanguard: </w:t>
      </w:r>
      <w:r>
        <w:rPr>
          <w:rFonts w:ascii="Arial" w:cs="Arial" w:eastAsia="Arial" w:hAnsi="Arial"/>
          <w:sz w:val="16"/>
          <w:szCs w:val="16"/>
          <w:color w:val="auto"/>
        </w:rPr>
        <w:t>The Vanguard Group and affiliated entities</w:t>
      </w:r>
    </w:p>
    <w:p>
      <w:pPr>
        <w:spacing w:after="0" w:line="1925" w:lineRule="exact"/>
        <w:rPr>
          <w:sz w:val="20"/>
          <w:szCs w:val="20"/>
          <w:color w:val="auto"/>
        </w:rPr>
      </w:pPr>
    </w:p>
    <w:p>
      <w:pPr>
        <w:sectPr>
          <w:pgSz w:w="11900" w:h="16838" w:orient="portrait"/>
          <w:cols w:equalWidth="0" w:num="2">
            <w:col w:w="5240" w:space="520"/>
            <w:col w:w="5480"/>
          </w:cols>
          <w:pgMar w:left="320" w:top="157" w:right="339" w:bottom="1440" w:gutter="0" w:footer="0" w:header="0"/>
          <w:type w:val="continuous"/>
        </w:sect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760" w:type="dxa"/>
            <w:vAlign w:val="bottom"/>
            <w:vMerge w:val="restart"/>
          </w:tcPr>
          <w:p>
            <w:pPr>
              <w:ind w:left="9120"/>
              <w:spacing w:after="0"/>
              <w:rPr>
                <w:sz w:val="20"/>
                <w:szCs w:val="20"/>
                <w:color w:val="auto"/>
              </w:rPr>
            </w:pPr>
            <w:r>
              <w:rPr>
                <w:rFonts w:ascii="Arial" w:cs="Arial" w:eastAsia="Arial" w:hAnsi="Arial"/>
                <w:sz w:val="14"/>
                <w:szCs w:val="14"/>
                <w:color w:val="auto"/>
              </w:rPr>
              <w:t>2026 Proxy Statement</w:t>
            </w:r>
          </w:p>
        </w:tc>
        <w:tc>
          <w:tcPr>
            <w:tcW w:w="48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68"/>
        </w:trPr>
        <w:tc>
          <w:tcPr>
            <w:tcW w:w="107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57720" cy="900557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0" w:num="1">
            <w:col w:w="10139"/>
          </w:cols>
          <w:pgMar w:left="320" w:top="157" w:right="1440"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422910</wp:posOffset>
            </wp:positionV>
            <wp:extent cx="2057400" cy="29146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91465"/>
                    </a:xfrm>
                    <a:prstGeom prst="rect">
                      <a:avLst/>
                    </a:prstGeom>
                    <a:noFill/>
                  </pic:spPr>
                </pic:pic>
              </a:graphicData>
            </a:graphic>
          </wp:anchor>
        </w:drawing>
        <w:t>COMPUTERSHARE</w:t>
      </w:r>
    </w:p>
    <w:p>
      <w:pPr>
        <w:spacing w:after="0" w:line="203" w:lineRule="auto"/>
        <w:rPr>
          <w:sz w:val="20"/>
          <w:szCs w:val="20"/>
          <w:color w:val="auto"/>
        </w:rPr>
      </w:pPr>
      <w:r>
        <w:rPr>
          <w:rFonts w:ascii="Arial" w:cs="Arial" w:eastAsia="Arial" w:hAnsi="Arial"/>
          <w:sz w:val="18"/>
          <w:szCs w:val="18"/>
          <w:color w:val="auto"/>
        </w:rPr>
        <w:t>P.O. Box 43101</w:t>
      </w:r>
    </w:p>
    <w:p>
      <w:pPr>
        <w:spacing w:after="0"/>
        <w:rPr>
          <w:sz w:val="20"/>
          <w:szCs w:val="20"/>
          <w:color w:val="auto"/>
        </w:rPr>
      </w:pPr>
      <w:r>
        <w:rPr>
          <w:rFonts w:ascii="Arial" w:cs="Arial" w:eastAsia="Arial" w:hAnsi="Arial"/>
          <w:sz w:val="18"/>
          <w:szCs w:val="18"/>
          <w:color w:val="auto"/>
        </w:rPr>
        <w:t>Providence, RI 02940-5067</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-514985</wp:posOffset>
            </wp:positionV>
            <wp:extent cx="1619885" cy="3257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619885" cy="3257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 xml:space="preserve">Before The Meeting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Go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www.proxyvote.com or scan the QR code above</w:t>
      </w:r>
    </w:p>
    <w:p>
      <w:pPr>
        <w:spacing w:after="0" w:line="44" w:lineRule="exact"/>
        <w:rPr>
          <w:sz w:val="20"/>
          <w:szCs w:val="20"/>
          <w:color w:val="auto"/>
        </w:rPr>
      </w:pPr>
    </w:p>
    <w:p>
      <w:pPr>
        <w:ind w:right="40"/>
        <w:spacing w:after="0" w:line="238"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May 18, 2026. Have your proxy card in hand when you access the website and follow the instructions to obtain your records and to create an electronic voting instruction form.</w:t>
      </w:r>
    </w:p>
    <w:p>
      <w:pPr>
        <w:spacing w:after="0" w:line="190" w:lineRule="exact"/>
        <w:rPr>
          <w:sz w:val="20"/>
          <w:szCs w:val="20"/>
          <w:color w:val="auto"/>
        </w:rPr>
      </w:pPr>
    </w:p>
    <w:p>
      <w:pPr>
        <w:sectPr>
          <w:pgSz w:w="11900" w:h="16838" w:orient="portrait"/>
          <w:cols w:equalWidth="0" w:num="2">
            <w:col w:w="3820" w:space="720"/>
            <w:col w:w="6660"/>
          </w:cols>
          <w:pgMar w:left="340" w:top="1174" w:right="359" w:bottom="1440" w:gutter="0" w:footer="0" w:header="0"/>
        </w:sectPr>
      </w:pPr>
    </w:p>
    <w:p>
      <w:pPr>
        <w:ind w:left="4540"/>
        <w:spacing w:after="0"/>
        <w:rPr>
          <w:sz w:val="20"/>
          <w:szCs w:val="20"/>
          <w:color w:val="auto"/>
        </w:rPr>
      </w:pPr>
      <w:r>
        <w:rPr>
          <w:rFonts w:ascii="Arial" w:cs="Arial" w:eastAsia="Arial" w:hAnsi="Arial"/>
          <w:sz w:val="16"/>
          <w:szCs w:val="16"/>
          <w:i w:val="1"/>
          <w:iCs w:val="1"/>
          <w:color w:val="auto"/>
        </w:rPr>
        <w:t>During the Meeting - Go to www.virtualshareholdermeeting.com/JPM2026</w:t>
      </w:r>
    </w:p>
    <w:p>
      <w:pPr>
        <w:spacing w:after="0" w:line="58" w:lineRule="exact"/>
        <w:rPr>
          <w:sz w:val="20"/>
          <w:szCs w:val="20"/>
          <w:color w:val="auto"/>
        </w:rPr>
      </w:pPr>
    </w:p>
    <w:p>
      <w:pPr>
        <w:ind w:left="4540" w:right="20"/>
        <w:spacing w:after="0" w:line="259" w:lineRule="auto"/>
        <w:rPr>
          <w:sz w:val="20"/>
          <w:szCs w:val="20"/>
          <w:color w:val="auto"/>
        </w:rPr>
      </w:pPr>
      <w:r>
        <w:rPr>
          <w:rFonts w:ascii="Arial" w:cs="Arial" w:eastAsia="Arial" w:hAnsi="Arial"/>
          <w:sz w:val="13"/>
          <w:szCs w:val="13"/>
          <w:color w:val="auto"/>
        </w:rPr>
        <w:t>You may attend the meeting via the Internet and vote during the meeting. Have the information that is printed in the box marked by the arrow available and follow the instructions.</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VOTE BY PHONE — 1-800-690-6903</w:t>
      </w:r>
    </w:p>
    <w:p>
      <w:pPr>
        <w:spacing w:after="0" w:line="39" w:lineRule="exact"/>
        <w:rPr>
          <w:sz w:val="20"/>
          <w:szCs w:val="20"/>
          <w:color w:val="auto"/>
        </w:rPr>
      </w:pPr>
    </w:p>
    <w:p>
      <w:pPr>
        <w:ind w:left="4540" w:right="100"/>
        <w:spacing w:after="0" w:line="251" w:lineRule="auto"/>
        <w:rPr>
          <w:sz w:val="20"/>
          <w:szCs w:val="20"/>
          <w:color w:val="auto"/>
        </w:rPr>
      </w:pPr>
      <w:r>
        <w:rPr>
          <w:rFonts w:ascii="Arial" w:cs="Arial" w:eastAsia="Arial" w:hAnsi="Arial"/>
          <w:sz w:val="13"/>
          <w:szCs w:val="13"/>
          <w:color w:val="auto"/>
        </w:rPr>
        <w:t>Use any touch-tone telephone to transmit your voting instructions up until 11:59 P.M. Eastern Time on May 18, 2026. Have your proxy card in hand when you call and then follow the instructions.</w:t>
      </w:r>
    </w:p>
    <w:p>
      <w:pPr>
        <w:spacing w:after="0" w:line="167"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VOTE BY MAIL</w:t>
      </w:r>
    </w:p>
    <w:p>
      <w:pPr>
        <w:sectPr>
          <w:pgSz w:w="11900" w:h="16838" w:orient="portrait"/>
          <w:cols w:equalWidth="0" w:num="1">
            <w:col w:w="11200"/>
          </w:cols>
          <w:pgMar w:left="340" w:top="117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325" w:lineRule="auto"/>
        <w:rPr>
          <w:sz w:val="20"/>
          <w:szCs w:val="20"/>
          <w:color w:val="auto"/>
        </w:rPr>
      </w:pPr>
      <w:r>
        <w:rPr>
          <w:rFonts w:ascii="Arial" w:cs="Arial" w:eastAsia="Arial" w:hAnsi="Arial"/>
          <w:sz w:val="14"/>
          <w:szCs w:val="14"/>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340"/>
        <w:spacing w:after="0" w:line="244"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JPMorgan Chase &amp; Co., c/o Broadridge, 51 Mercedes Way, Edgewood, NY 11717.</w:t>
      </w:r>
    </w:p>
    <w:p>
      <w:pPr>
        <w:spacing w:after="0" w:line="200" w:lineRule="exact"/>
        <w:rPr>
          <w:sz w:val="20"/>
          <w:szCs w:val="20"/>
          <w:color w:val="auto"/>
        </w:rPr>
      </w:pPr>
    </w:p>
    <w:p>
      <w:pPr>
        <w:spacing w:after="0" w:line="318"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Your voting instructions are confidential.</w:t>
      </w:r>
    </w:p>
    <w:p>
      <w:pPr>
        <w:spacing w:after="0" w:line="39" w:lineRule="exact"/>
        <w:rPr>
          <w:sz w:val="20"/>
          <w:szCs w:val="20"/>
          <w:color w:val="auto"/>
        </w:rPr>
      </w:pPr>
    </w:p>
    <w:p>
      <w:pPr>
        <w:sectPr>
          <w:pgSz w:w="11900" w:h="16838" w:orient="portrait"/>
          <w:cols w:equalWidth="0" w:num="2">
            <w:col w:w="4200" w:space="340"/>
            <w:col w:w="6660"/>
          </w:cols>
          <w:pgMar w:left="340" w:top="1174" w:right="359" w:bottom="1440" w:gutter="0" w:footer="0" w:header="0"/>
          <w:type w:val="continuous"/>
        </w:sectPr>
      </w:pPr>
    </w:p>
    <w:p>
      <w:pPr>
        <w:ind w:left="7120"/>
        <w:spacing w:after="0"/>
        <w:rPr>
          <w:sz w:val="20"/>
          <w:szCs w:val="20"/>
          <w:color w:val="auto"/>
        </w:rPr>
      </w:pPr>
      <w:r>
        <w:rPr>
          <w:rFonts w:ascii="Arial" w:cs="Arial" w:eastAsia="Arial" w:hAnsi="Arial"/>
          <w:sz w:val="14"/>
          <w:szCs w:val="14"/>
          <w:color w:val="auto"/>
        </w:rPr>
        <w:t>E19087-P87837 KEEP THIS PORTION FOR YOUR RECORDS</w:t>
      </w:r>
    </w:p>
    <w:p>
      <w:pPr>
        <w:spacing w:after="0" w:line="57" w:lineRule="exact"/>
        <w:rPr>
          <w:sz w:val="20"/>
          <w:szCs w:val="20"/>
          <w:color w:val="auto"/>
        </w:rPr>
      </w:pPr>
    </w:p>
    <w:p>
      <w:pPr>
        <w:jc w:val="center"/>
        <w:ind w:left="120" w:right="100"/>
        <w:spacing w:after="0" w:line="303" w:lineRule="auto"/>
        <w:rPr>
          <w:sz w:val="20"/>
          <w:szCs w:val="20"/>
          <w:color w:val="auto"/>
        </w:rPr>
      </w:pPr>
      <w:r>
        <w:rPr>
          <w:rFonts w:ascii="Arial" w:cs="Arial" w:eastAsia="Arial" w:hAnsi="Arial"/>
          <w:sz w:val="18"/>
          <w:szCs w:val="18"/>
          <w:color w:val="auto"/>
        </w:rPr>
        <w:t>— — — — — — — — — — — — — — — — — — — — — — — — — — — — — — — — — — — — — — — — — — — — — — — — — — — — — — — — — — — — — — — — — — — — — — — —</w:t>
      </w:r>
    </w:p>
    <w:p>
      <w:pPr>
        <w:spacing w:after="0" w:line="135" w:lineRule="exact"/>
        <w:rPr>
          <w:sz w:val="20"/>
          <w:szCs w:val="20"/>
          <w:color w:val="auto"/>
        </w:rPr>
      </w:pPr>
    </w:p>
    <w:p>
      <w:pPr>
        <w:jc w:val="right"/>
        <w:ind w:left="4900"/>
        <w:spacing w:after="0" w:line="244" w:lineRule="auto"/>
        <w:rPr>
          <w:sz w:val="20"/>
          <w:szCs w:val="20"/>
          <w:color w:val="auto"/>
        </w:rPr>
      </w:pPr>
      <w:r>
        <w:rPr>
          <w:rFonts w:ascii="Arial" w:cs="Arial" w:eastAsia="Arial" w:hAnsi="Arial"/>
          <w:sz w:val="14"/>
          <w:szCs w:val="14"/>
          <w:color w:val="auto"/>
        </w:rPr>
        <w:t>THIS PROXY CARD IS VALID ONLY WHEN SIGNED AND DATED.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410845</wp:posOffset>
            </wp:positionV>
            <wp:extent cx="7157720" cy="4254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4" w:right="359" w:bottom="1440" w:gutter="0" w:footer="0" w:header="0"/>
          <w:type w:val="continuous"/>
        </w:sectPr>
      </w:pPr>
    </w:p>
    <w:bookmarkStart w:id="115" w:name="page116"/>
    <w:bookmarkEnd w:id="115"/>
    <w:p>
      <w:pPr>
        <w:ind w:left="6"/>
        <w:spacing w:after="0"/>
        <w:rPr>
          <w:sz w:val="20"/>
          <w:szCs w:val="20"/>
          <w:color w:val="auto"/>
        </w:rPr>
      </w:pPr>
      <w:r>
        <w:rPr>
          <w:rFonts w:ascii="Arial" w:cs="Arial" w:eastAsia="Arial" w:hAnsi="Arial"/>
          <w:sz w:val="14"/>
          <w:szCs w:val="14"/>
          <w:b w:val="1"/>
          <w:bCs w:val="1"/>
          <w:color w:val="auto"/>
        </w:rPr>
        <w:t>JPMorgan Chase &amp; Co.</w:t>
      </w:r>
    </w:p>
    <w:p>
      <w:pPr>
        <w:spacing w:after="0" w:line="231" w:lineRule="exact"/>
        <w:rPr>
          <w:sz w:val="20"/>
          <w:szCs w:val="20"/>
          <w:color w:val="auto"/>
        </w:rPr>
      </w:pPr>
    </w:p>
    <w:p>
      <w:pPr>
        <w:ind w:left="6" w:right="1220"/>
        <w:spacing w:after="0" w:line="334" w:lineRule="auto"/>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-378460</wp:posOffset>
            </wp:positionV>
            <wp:extent cx="7123430" cy="775779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23430" cy="77577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AGAINST the following shareholder proposals:</w:t>
      </w:r>
    </w:p>
    <w:p>
      <w:pPr>
        <w:spacing w:after="0" w:line="222" w:lineRule="exact"/>
        <w:rPr>
          <w:sz w:val="20"/>
          <w:szCs w:val="20"/>
          <w:color w:val="auto"/>
        </w:rPr>
      </w:pPr>
    </w:p>
    <w:p>
      <w:pPr>
        <w:sectPr>
          <w:pgSz w:w="11900" w:h="16838" w:orient="portrait"/>
          <w:cols w:equalWidth="0" w:num="2">
            <w:col w:w="4686" w:space="720"/>
            <w:col w:w="5560"/>
          </w:cols>
          <w:pgMar w:left="454" w:top="927" w:right="479" w:bottom="1440" w:gutter="0" w:footer="0" w:header="0"/>
        </w:sectPr>
      </w:pPr>
    </w:p>
    <w:p>
      <w:pPr>
        <w:spacing w:after="0" w:line="392" w:lineRule="exact"/>
        <w:rPr>
          <w:sz w:val="20"/>
          <w:szCs w:val="20"/>
          <w:color w:val="auto"/>
        </w:rPr>
      </w:pPr>
    </w:p>
    <w:p>
      <w:pPr>
        <w:ind w:left="206" w:hanging="206"/>
        <w:spacing w:after="0"/>
        <w:tabs>
          <w:tab w:leader="none" w:pos="206" w:val="left"/>
        </w:tabs>
        <w:numPr>
          <w:ilvl w:val="0"/>
          <w:numId w:val="30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30" w:lineRule="exact"/>
        <w:rPr>
          <w:rFonts w:ascii="Arial" w:cs="Arial" w:eastAsia="Arial" w:hAnsi="Arial"/>
          <w:sz w:val="14"/>
          <w:szCs w:val="14"/>
          <w:color w:val="auto"/>
        </w:rPr>
      </w:pPr>
    </w:p>
    <w:p>
      <w:pPr>
        <w:ind w:left="206"/>
        <w:spacing w:after="0"/>
        <w:rPr>
          <w:rFonts w:ascii="Arial" w:cs="Arial" w:eastAsia="Arial" w:hAnsi="Arial"/>
          <w:sz w:val="14"/>
          <w:szCs w:val="14"/>
          <w:color w:val="auto"/>
        </w:rPr>
      </w:pPr>
      <w:r>
        <w:rPr>
          <w:rFonts w:ascii="Arial" w:cs="Arial" w:eastAsia="Arial" w:hAnsi="Arial"/>
          <w:sz w:val="14"/>
          <w:szCs w:val="14"/>
          <w:color w:val="auto"/>
        </w:rPr>
        <w:t>1a. Linda B. Bammann</w:t>
      </w:r>
    </w:p>
    <w:p>
      <w:pPr>
        <w:spacing w:after="0" w:line="392" w:lineRule="exact"/>
        <w:rPr>
          <w:rFonts w:ascii="Arial" w:cs="Arial" w:eastAsia="Arial" w:hAnsi="Arial"/>
          <w:sz w:val="14"/>
          <w:szCs w:val="14"/>
          <w:color w:val="auto"/>
        </w:rPr>
      </w:pPr>
    </w:p>
    <w:p>
      <w:pPr>
        <w:ind w:left="206"/>
        <w:spacing w:after="0"/>
        <w:rPr>
          <w:rFonts w:ascii="Arial" w:cs="Arial" w:eastAsia="Arial" w:hAnsi="Arial"/>
          <w:sz w:val="14"/>
          <w:szCs w:val="14"/>
          <w:color w:val="auto"/>
        </w:rPr>
      </w:pPr>
      <w:r>
        <w:rPr>
          <w:rFonts w:ascii="Arial" w:cs="Arial" w:eastAsia="Arial" w:hAnsi="Arial"/>
          <w:sz w:val="14"/>
          <w:szCs w:val="14"/>
          <w:color w:val="auto"/>
        </w:rPr>
        <w:t>1b. Michele G. Buck</w:t>
      </w:r>
    </w:p>
    <w:p>
      <w:pPr>
        <w:spacing w:after="0" w:line="392" w:lineRule="exact"/>
        <w:rPr>
          <w:rFonts w:ascii="Arial" w:cs="Arial" w:eastAsia="Arial" w:hAnsi="Arial"/>
          <w:sz w:val="14"/>
          <w:szCs w:val="14"/>
          <w:color w:val="auto"/>
        </w:rPr>
      </w:pPr>
    </w:p>
    <w:p>
      <w:pPr>
        <w:ind w:left="206"/>
        <w:spacing w:after="0"/>
        <w:rPr>
          <w:rFonts w:ascii="Arial" w:cs="Arial" w:eastAsia="Arial" w:hAnsi="Arial"/>
          <w:sz w:val="14"/>
          <w:szCs w:val="14"/>
          <w:color w:val="auto"/>
        </w:rPr>
      </w:pPr>
      <w:r>
        <w:rPr>
          <w:rFonts w:ascii="Arial" w:cs="Arial" w:eastAsia="Arial" w:hAnsi="Arial"/>
          <w:sz w:val="14"/>
          <w:szCs w:val="14"/>
          <w:color w:val="auto"/>
        </w:rPr>
        <w:t>1c. Stephen B. Burke</w:t>
      </w:r>
    </w:p>
    <w:p>
      <w:pPr>
        <w:spacing w:after="0" w:line="392" w:lineRule="exact"/>
        <w:rPr>
          <w:rFonts w:ascii="Arial" w:cs="Arial" w:eastAsia="Arial" w:hAnsi="Arial"/>
          <w:sz w:val="14"/>
          <w:szCs w:val="14"/>
          <w:color w:val="auto"/>
        </w:rPr>
      </w:pPr>
    </w:p>
    <w:p>
      <w:pPr>
        <w:ind w:left="206"/>
        <w:spacing w:after="0"/>
        <w:rPr>
          <w:rFonts w:ascii="Arial" w:cs="Arial" w:eastAsia="Arial" w:hAnsi="Arial"/>
          <w:sz w:val="14"/>
          <w:szCs w:val="14"/>
          <w:color w:val="auto"/>
        </w:rPr>
      </w:pPr>
      <w:r>
        <w:rPr>
          <w:rFonts w:ascii="Arial" w:cs="Arial" w:eastAsia="Arial" w:hAnsi="Arial"/>
          <w:sz w:val="14"/>
          <w:szCs w:val="14"/>
          <w:color w:val="auto"/>
        </w:rPr>
        <w:t>1d. Alicia Boler Davis</w:t>
      </w:r>
    </w:p>
    <w:p>
      <w:pPr>
        <w:spacing w:after="0" w:line="392" w:lineRule="exact"/>
        <w:rPr>
          <w:rFonts w:ascii="Arial" w:cs="Arial" w:eastAsia="Arial" w:hAnsi="Arial"/>
          <w:sz w:val="14"/>
          <w:szCs w:val="14"/>
          <w:color w:val="auto"/>
        </w:rPr>
      </w:pPr>
    </w:p>
    <w:p>
      <w:pPr>
        <w:ind w:left="206"/>
        <w:spacing w:after="0"/>
        <w:rPr>
          <w:rFonts w:ascii="Arial" w:cs="Arial" w:eastAsia="Arial" w:hAnsi="Arial"/>
          <w:sz w:val="14"/>
          <w:szCs w:val="14"/>
          <w:color w:val="auto"/>
        </w:rPr>
      </w:pPr>
      <w:r>
        <w:rPr>
          <w:rFonts w:ascii="Arial" w:cs="Arial" w:eastAsia="Arial" w:hAnsi="Arial"/>
          <w:sz w:val="14"/>
          <w:szCs w:val="14"/>
          <w:color w:val="auto"/>
        </w:rPr>
        <w:t>1e. James Dimon</w:t>
      </w:r>
    </w:p>
    <w:p>
      <w:pPr>
        <w:spacing w:after="0" w:line="392" w:lineRule="exact"/>
        <w:rPr>
          <w:rFonts w:ascii="Arial" w:cs="Arial" w:eastAsia="Arial" w:hAnsi="Arial"/>
          <w:sz w:val="14"/>
          <w:szCs w:val="14"/>
          <w:color w:val="auto"/>
        </w:rPr>
      </w:pPr>
    </w:p>
    <w:p>
      <w:pPr>
        <w:ind w:left="206"/>
        <w:spacing w:after="0"/>
        <w:rPr>
          <w:rFonts w:ascii="Arial" w:cs="Arial" w:eastAsia="Arial" w:hAnsi="Arial"/>
          <w:sz w:val="14"/>
          <w:szCs w:val="14"/>
          <w:color w:val="auto"/>
        </w:rPr>
      </w:pPr>
      <w:r>
        <w:rPr>
          <w:rFonts w:ascii="Arial" w:cs="Arial" w:eastAsia="Arial" w:hAnsi="Arial"/>
          <w:sz w:val="14"/>
          <w:szCs w:val="14"/>
          <w:color w:val="auto"/>
        </w:rPr>
        <w:t>1f. Alex Gorsky</w:t>
      </w:r>
    </w:p>
    <w:p>
      <w:pPr>
        <w:spacing w:after="0" w:line="392" w:lineRule="exact"/>
        <w:rPr>
          <w:rFonts w:ascii="Arial" w:cs="Arial" w:eastAsia="Arial" w:hAnsi="Arial"/>
          <w:sz w:val="14"/>
          <w:szCs w:val="14"/>
          <w:color w:val="auto"/>
        </w:rPr>
      </w:pPr>
    </w:p>
    <w:p>
      <w:pPr>
        <w:ind w:left="206"/>
        <w:spacing w:after="0"/>
        <w:rPr>
          <w:rFonts w:ascii="Arial" w:cs="Arial" w:eastAsia="Arial" w:hAnsi="Arial"/>
          <w:sz w:val="14"/>
          <w:szCs w:val="14"/>
          <w:color w:val="auto"/>
        </w:rPr>
      </w:pPr>
      <w:r>
        <w:rPr>
          <w:rFonts w:ascii="Arial" w:cs="Arial" w:eastAsia="Arial" w:hAnsi="Arial"/>
          <w:sz w:val="14"/>
          <w:szCs w:val="14"/>
          <w:color w:val="auto"/>
        </w:rPr>
        <w:t>1g. Mellody Hobson</w:t>
      </w:r>
    </w:p>
    <w:p>
      <w:pPr>
        <w:spacing w:after="0" w:line="392" w:lineRule="exact"/>
        <w:rPr>
          <w:rFonts w:ascii="Arial" w:cs="Arial" w:eastAsia="Arial" w:hAnsi="Arial"/>
          <w:sz w:val="14"/>
          <w:szCs w:val="14"/>
          <w:color w:val="auto"/>
        </w:rPr>
      </w:pPr>
    </w:p>
    <w:p>
      <w:pPr>
        <w:ind w:left="206"/>
        <w:spacing w:after="0"/>
        <w:rPr>
          <w:rFonts w:ascii="Arial" w:cs="Arial" w:eastAsia="Arial" w:hAnsi="Arial"/>
          <w:sz w:val="14"/>
          <w:szCs w:val="14"/>
          <w:color w:val="auto"/>
        </w:rPr>
      </w:pPr>
      <w:r>
        <w:rPr>
          <w:rFonts w:ascii="Arial" w:cs="Arial" w:eastAsia="Arial" w:hAnsi="Arial"/>
          <w:sz w:val="14"/>
          <w:szCs w:val="14"/>
          <w:color w:val="auto"/>
        </w:rPr>
        <w:t>1h. Phebe N. Novakovic</w:t>
      </w:r>
    </w:p>
    <w:p>
      <w:pPr>
        <w:spacing w:after="0" w:line="392" w:lineRule="exact"/>
        <w:rPr>
          <w:rFonts w:ascii="Arial" w:cs="Arial" w:eastAsia="Arial" w:hAnsi="Arial"/>
          <w:sz w:val="14"/>
          <w:szCs w:val="14"/>
          <w:color w:val="auto"/>
        </w:rPr>
      </w:pPr>
    </w:p>
    <w:p>
      <w:pPr>
        <w:ind w:left="206"/>
        <w:spacing w:after="0"/>
        <w:rPr>
          <w:rFonts w:ascii="Arial" w:cs="Arial" w:eastAsia="Arial" w:hAnsi="Arial"/>
          <w:sz w:val="14"/>
          <w:szCs w:val="14"/>
          <w:color w:val="auto"/>
        </w:rPr>
      </w:pPr>
      <w:r>
        <w:rPr>
          <w:rFonts w:ascii="Arial" w:cs="Arial" w:eastAsia="Arial" w:hAnsi="Arial"/>
          <w:sz w:val="14"/>
          <w:szCs w:val="14"/>
          <w:color w:val="auto"/>
        </w:rPr>
        <w:t>1i. Virginia M. Rometty</w:t>
      </w:r>
    </w:p>
    <w:p>
      <w:pPr>
        <w:spacing w:after="0" w:line="392" w:lineRule="exact"/>
        <w:rPr>
          <w:rFonts w:ascii="Arial" w:cs="Arial" w:eastAsia="Arial" w:hAnsi="Arial"/>
          <w:sz w:val="14"/>
          <w:szCs w:val="14"/>
          <w:color w:val="auto"/>
        </w:rPr>
      </w:pPr>
    </w:p>
    <w:p>
      <w:pPr>
        <w:ind w:left="206"/>
        <w:spacing w:after="0"/>
        <w:rPr>
          <w:rFonts w:ascii="Arial" w:cs="Arial" w:eastAsia="Arial" w:hAnsi="Arial"/>
          <w:sz w:val="14"/>
          <w:szCs w:val="14"/>
          <w:color w:val="auto"/>
        </w:rPr>
      </w:pPr>
      <w:r>
        <w:rPr>
          <w:rFonts w:ascii="Arial" w:cs="Arial" w:eastAsia="Arial" w:hAnsi="Arial"/>
          <w:sz w:val="14"/>
          <w:szCs w:val="14"/>
          <w:color w:val="auto"/>
        </w:rPr>
        <w:t>1j. Brad D. Smith</w:t>
      </w:r>
    </w:p>
    <w:p>
      <w:pPr>
        <w:spacing w:after="0" w:line="392" w:lineRule="exact"/>
        <w:rPr>
          <w:rFonts w:ascii="Arial" w:cs="Arial" w:eastAsia="Arial" w:hAnsi="Arial"/>
          <w:sz w:val="14"/>
          <w:szCs w:val="14"/>
          <w:color w:val="auto"/>
        </w:rPr>
      </w:pPr>
    </w:p>
    <w:p>
      <w:pPr>
        <w:ind w:left="206"/>
        <w:spacing w:after="0"/>
        <w:rPr>
          <w:rFonts w:ascii="Arial" w:cs="Arial" w:eastAsia="Arial" w:hAnsi="Arial"/>
          <w:sz w:val="14"/>
          <w:szCs w:val="14"/>
          <w:color w:val="auto"/>
        </w:rPr>
      </w:pPr>
      <w:r>
        <w:rPr>
          <w:rFonts w:ascii="Arial" w:cs="Arial" w:eastAsia="Arial" w:hAnsi="Arial"/>
          <w:sz w:val="14"/>
          <w:szCs w:val="14"/>
          <w:color w:val="auto"/>
        </w:rPr>
        <w:t>1k. Mark A. Weinberger</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38" w:lineRule="exact"/>
        <w:rPr>
          <w:rFonts w:ascii="Arial" w:cs="Arial" w:eastAsia="Arial" w:hAnsi="Arial"/>
          <w:sz w:val="14"/>
          <w:szCs w:val="14"/>
          <w:color w:val="auto"/>
        </w:rPr>
      </w:pPr>
    </w:p>
    <w:p>
      <w:pPr>
        <w:ind w:left="206" w:right="80" w:hanging="206"/>
        <w:spacing w:after="0" w:line="184" w:lineRule="auto"/>
        <w:tabs>
          <w:tab w:leader="none" w:pos="206" w:val="left"/>
        </w:tabs>
        <w:numPr>
          <w:ilvl w:val="0"/>
          <w:numId w:val="306"/>
        </w:numPr>
        <w:rPr>
          <w:rFonts w:ascii="Arial" w:cs="Arial" w:eastAsia="Arial" w:hAnsi="Arial"/>
          <w:sz w:val="29"/>
          <w:szCs w:val="29"/>
          <w:color w:val="auto"/>
          <w:vertAlign w:val="subscript"/>
        </w:rPr>
      </w:pPr>
      <w:r>
        <w:rPr>
          <w:rFonts w:ascii="Arial" w:cs="Arial" w:eastAsia="Arial" w:hAnsi="Arial"/>
          <w:sz w:val="14"/>
          <w:szCs w:val="14"/>
          <w:color w:val="auto"/>
        </w:rPr>
        <w:t>Advisory resolution to approve executive compensation</w:t>
      </w:r>
    </w:p>
    <w:p>
      <w:pPr>
        <w:spacing w:after="0" w:line="255" w:lineRule="exact"/>
        <w:rPr>
          <w:rFonts w:ascii="Arial" w:cs="Arial" w:eastAsia="Arial" w:hAnsi="Arial"/>
          <w:sz w:val="29"/>
          <w:szCs w:val="29"/>
          <w:color w:val="auto"/>
          <w:vertAlign w:val="subscript"/>
        </w:rPr>
      </w:pPr>
    </w:p>
    <w:p>
      <w:pPr>
        <w:ind w:left="206" w:right="280" w:hanging="206"/>
        <w:spacing w:after="0" w:line="184" w:lineRule="auto"/>
        <w:tabs>
          <w:tab w:leader="none" w:pos="206" w:val="left"/>
        </w:tabs>
        <w:numPr>
          <w:ilvl w:val="0"/>
          <w:numId w:val="306"/>
        </w:numPr>
        <w:rPr>
          <w:rFonts w:ascii="Arial" w:cs="Arial" w:eastAsia="Arial" w:hAnsi="Arial"/>
          <w:sz w:val="29"/>
          <w:szCs w:val="29"/>
          <w:color w:val="auto"/>
          <w:vertAlign w:val="subscript"/>
        </w:rPr>
      </w:pPr>
      <w:r>
        <w:rPr>
          <w:rFonts w:ascii="Arial" w:cs="Arial" w:eastAsia="Arial" w:hAnsi="Arial"/>
          <w:sz w:val="14"/>
          <w:szCs w:val="14"/>
          <w:color w:val="auto"/>
        </w:rPr>
        <w:t>Ratification of independent registered public accounting firm</w:t>
      </w:r>
    </w:p>
    <w:p>
      <w:pPr>
        <w:spacing w:after="0" w:line="20" w:lineRule="exact"/>
        <w:rPr>
          <w:sz w:val="20"/>
          <w:szCs w:val="20"/>
          <w:color w:val="auto"/>
        </w:rPr>
      </w:pPr>
      <w:r>
        <w:rPr>
          <w:sz w:val="20"/>
          <w:szCs w:val="20"/>
          <w:color w:val="auto"/>
        </w:rPr>
        <w:br w:type="column"/>
      </w:r>
    </w:p>
    <w:p>
      <w:pPr>
        <w:spacing w:after="0"/>
        <w:tabs>
          <w:tab w:leader="none" w:pos="560" w:val="left"/>
          <w:tab w:leader="none" w:pos="118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tab/>
        <w:t>Abstain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2900" w:type="dxa"/>
            <w:vAlign w:val="bottom"/>
          </w:tcPr>
          <w:p>
            <w:pPr>
              <w:ind w:left="100"/>
              <w:spacing w:after="0"/>
              <w:rPr>
                <w:sz w:val="20"/>
                <w:szCs w:val="20"/>
                <w:color w:val="auto"/>
              </w:rPr>
            </w:pPr>
            <w:r>
              <w:rPr>
                <w:rFonts w:ascii="Arial" w:cs="Arial" w:eastAsia="Arial" w:hAnsi="Arial"/>
                <w:sz w:val="14"/>
                <w:szCs w:val="14"/>
                <w:color w:val="auto"/>
              </w:rPr>
              <w:t>Report on congruence of security, resiliency,</w:t>
            </w:r>
          </w:p>
        </w:tc>
        <w:tc>
          <w:tcPr>
            <w:tcW w:w="0" w:type="dxa"/>
            <w:vAlign w:val="bottom"/>
          </w:tcPr>
          <w:p>
            <w:pPr>
              <w:spacing w:after="0"/>
              <w:rPr>
                <w:sz w:val="1"/>
                <w:szCs w:val="1"/>
                <w:color w:val="auto"/>
              </w:rPr>
            </w:pPr>
          </w:p>
        </w:tc>
      </w:tr>
      <w:tr>
        <w:trPr>
          <w:trHeight w:val="96"/>
        </w:trPr>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900" w:type="dxa"/>
            <w:vAlign w:val="bottom"/>
            <w:vMerge w:val="restart"/>
          </w:tcPr>
          <w:p>
            <w:pPr>
              <w:ind w:left="100"/>
              <w:spacing w:after="0"/>
              <w:rPr>
                <w:sz w:val="20"/>
                <w:szCs w:val="20"/>
                <w:color w:val="auto"/>
              </w:rPr>
            </w:pPr>
            <w:r>
              <w:rPr>
                <w:rFonts w:ascii="Arial" w:cs="Arial" w:eastAsia="Arial" w:hAnsi="Arial"/>
                <w:sz w:val="14"/>
                <w:szCs w:val="14"/>
                <w:color w:val="auto"/>
              </w:rPr>
              <w:t>and climate initiatives</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58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62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4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8"/>
        </w:trPr>
        <w:tc>
          <w:tcPr>
            <w:tcW w:w="360" w:type="dxa"/>
            <w:vAlign w:val="bottom"/>
            <w:vMerge w:val="restart"/>
          </w:tcPr>
          <w:p>
            <w:pPr>
              <w:spacing w:after="0"/>
              <w:rPr>
                <w:sz w:val="20"/>
                <w:szCs w:val="20"/>
                <w:color w:val="auto"/>
              </w:rPr>
            </w:pPr>
            <w:r>
              <w:rPr>
                <w:rFonts w:ascii="Wingdings" w:cs="Wingdings" w:eastAsia="Wingdings" w:hAnsi="Wingdings"/>
                <w:sz w:val="14"/>
                <w:szCs w:val="14"/>
                <w:b w:val="1"/>
                <w:bCs w:val="1"/>
                <w:color w:val="auto"/>
              </w:rPr>
              <w:t>o</w:t>
            </w:r>
          </w:p>
        </w:tc>
        <w:tc>
          <w:tcPr>
            <w:tcW w:w="58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auto"/>
              </w:rPr>
              <w:t>o</w:t>
            </w:r>
          </w:p>
        </w:tc>
        <w:tc>
          <w:tcPr>
            <w:tcW w:w="620" w:type="dxa"/>
            <w:vAlign w:val="bottom"/>
            <w:vMerge w:val="restart"/>
          </w:tcPr>
          <w:p>
            <w:pPr>
              <w:ind w:left="260"/>
              <w:spacing w:after="0"/>
              <w:rPr>
                <w:sz w:val="20"/>
                <w:szCs w:val="20"/>
                <w:color w:val="auto"/>
              </w:rPr>
            </w:pPr>
            <w:r>
              <w:rPr>
                <w:rFonts w:ascii="Wingdings" w:cs="Wingdings" w:eastAsia="Wingdings" w:hAnsi="Wingdings"/>
                <w:sz w:val="14"/>
                <w:szCs w:val="14"/>
                <w:b w:val="1"/>
                <w:bCs w:val="1"/>
                <w:color w:val="auto"/>
              </w:rPr>
              <w:t>o</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900" w:type="dxa"/>
            <w:vAlign w:val="bottom"/>
          </w:tcPr>
          <w:p>
            <w:pPr>
              <w:ind w:left="100"/>
              <w:spacing w:after="0"/>
              <w:rPr>
                <w:sz w:val="20"/>
                <w:szCs w:val="20"/>
                <w:color w:val="auto"/>
              </w:rPr>
            </w:pPr>
            <w:r>
              <w:rPr>
                <w:rFonts w:ascii="Arial" w:cs="Arial" w:eastAsia="Arial" w:hAnsi="Arial"/>
                <w:sz w:val="14"/>
                <w:szCs w:val="14"/>
                <w:color w:val="auto"/>
              </w:rPr>
              <w:t>Independent board chairman</w:t>
            </w:r>
          </w:p>
        </w:tc>
        <w:tc>
          <w:tcPr>
            <w:tcW w:w="0" w:type="dxa"/>
            <w:vAlign w:val="bottom"/>
          </w:tcPr>
          <w:p>
            <w:pPr>
              <w:spacing w:after="0"/>
              <w:rPr>
                <w:sz w:val="1"/>
                <w:szCs w:val="1"/>
                <w:color w:val="auto"/>
              </w:rPr>
            </w:pPr>
          </w:p>
        </w:tc>
      </w:tr>
      <w:tr>
        <w:trPr>
          <w:trHeight w:val="65"/>
        </w:trPr>
        <w:tc>
          <w:tcPr>
            <w:tcW w:w="3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8"/>
        </w:trPr>
        <w:tc>
          <w:tcPr>
            <w:tcW w:w="360" w:type="dxa"/>
            <w:vAlign w:val="bottom"/>
            <w:vMerge w:val="restart"/>
          </w:tcPr>
          <w:p>
            <w:pPr>
              <w:spacing w:after="0"/>
              <w:rPr>
                <w:sz w:val="20"/>
                <w:szCs w:val="20"/>
                <w:color w:val="auto"/>
              </w:rPr>
            </w:pPr>
            <w:r>
              <w:rPr>
                <w:rFonts w:ascii="Wingdings" w:cs="Wingdings" w:eastAsia="Wingdings" w:hAnsi="Wingdings"/>
                <w:sz w:val="14"/>
                <w:szCs w:val="14"/>
                <w:b w:val="1"/>
                <w:bCs w:val="1"/>
                <w:color w:val="auto"/>
              </w:rPr>
              <w:t>o</w:t>
            </w:r>
          </w:p>
        </w:tc>
        <w:tc>
          <w:tcPr>
            <w:tcW w:w="58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auto"/>
              </w:rPr>
              <w:t>o</w:t>
            </w:r>
          </w:p>
        </w:tc>
        <w:tc>
          <w:tcPr>
            <w:tcW w:w="620" w:type="dxa"/>
            <w:vAlign w:val="bottom"/>
            <w:vMerge w:val="restart"/>
          </w:tcPr>
          <w:p>
            <w:pPr>
              <w:ind w:left="260"/>
              <w:spacing w:after="0"/>
              <w:rPr>
                <w:sz w:val="20"/>
                <w:szCs w:val="20"/>
                <w:color w:val="auto"/>
              </w:rPr>
            </w:pPr>
            <w:r>
              <w:rPr>
                <w:rFonts w:ascii="Wingdings" w:cs="Wingdings" w:eastAsia="Wingdings" w:hAnsi="Wingdings"/>
                <w:sz w:val="14"/>
                <w:szCs w:val="14"/>
                <w:b w:val="1"/>
                <w:bCs w:val="1"/>
                <w:color w:val="auto"/>
              </w:rPr>
              <w:t>o</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2900" w:type="dxa"/>
            <w:vAlign w:val="bottom"/>
          </w:tcPr>
          <w:p>
            <w:pPr>
              <w:ind w:left="100"/>
              <w:spacing w:after="0"/>
              <w:rPr>
                <w:sz w:val="20"/>
                <w:szCs w:val="20"/>
                <w:color w:val="auto"/>
              </w:rPr>
            </w:pPr>
            <w:r>
              <w:rPr>
                <w:rFonts w:ascii="Arial" w:cs="Arial" w:eastAsia="Arial" w:hAnsi="Arial"/>
                <w:sz w:val="14"/>
                <w:szCs w:val="14"/>
                <w:color w:val="auto"/>
              </w:rPr>
              <w:t>Lobbying alignment</w:t>
            </w:r>
          </w:p>
        </w:tc>
        <w:tc>
          <w:tcPr>
            <w:tcW w:w="0" w:type="dxa"/>
            <w:vAlign w:val="bottom"/>
          </w:tcPr>
          <w:p>
            <w:pPr>
              <w:spacing w:after="0"/>
              <w:rPr>
                <w:sz w:val="1"/>
                <w:szCs w:val="1"/>
                <w:color w:val="auto"/>
              </w:rPr>
            </w:pPr>
          </w:p>
        </w:tc>
      </w:tr>
      <w:tr>
        <w:trPr>
          <w:trHeight w:val="81"/>
        </w:trPr>
        <w:tc>
          <w:tcPr>
            <w:tcW w:w="3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3"/>
        </w:trPr>
        <w:tc>
          <w:tcPr>
            <w:tcW w:w="360" w:type="dxa"/>
            <w:vAlign w:val="bottom"/>
            <w:vMerge w:val="restart"/>
          </w:tcPr>
          <w:p>
            <w:pPr>
              <w:spacing w:after="0"/>
              <w:rPr>
                <w:sz w:val="20"/>
                <w:szCs w:val="20"/>
                <w:color w:val="auto"/>
              </w:rPr>
            </w:pPr>
            <w:r>
              <w:rPr>
                <w:rFonts w:ascii="Wingdings" w:cs="Wingdings" w:eastAsia="Wingdings" w:hAnsi="Wingdings"/>
                <w:sz w:val="14"/>
                <w:szCs w:val="14"/>
                <w:b w:val="1"/>
                <w:bCs w:val="1"/>
                <w:color w:val="auto"/>
              </w:rPr>
              <w:t>o</w:t>
            </w:r>
          </w:p>
        </w:tc>
        <w:tc>
          <w:tcPr>
            <w:tcW w:w="580" w:type="dxa"/>
            <w:vAlign w:val="bottom"/>
            <w:vMerge w:val="restart"/>
          </w:tcPr>
          <w:p>
            <w:pPr>
              <w:ind w:left="220"/>
              <w:spacing w:after="0"/>
              <w:rPr>
                <w:sz w:val="20"/>
                <w:szCs w:val="20"/>
                <w:color w:val="auto"/>
              </w:rPr>
            </w:pPr>
            <w:r>
              <w:rPr>
                <w:rFonts w:ascii="Wingdings" w:cs="Wingdings" w:eastAsia="Wingdings" w:hAnsi="Wingdings"/>
                <w:sz w:val="14"/>
                <w:szCs w:val="14"/>
                <w:b w:val="1"/>
                <w:bCs w:val="1"/>
                <w:color w:val="auto"/>
              </w:rPr>
              <w:t>o</w:t>
            </w:r>
          </w:p>
        </w:tc>
        <w:tc>
          <w:tcPr>
            <w:tcW w:w="620" w:type="dxa"/>
            <w:vAlign w:val="bottom"/>
            <w:vMerge w:val="restart"/>
          </w:tcPr>
          <w:p>
            <w:pPr>
              <w:ind w:left="260"/>
              <w:spacing w:after="0"/>
              <w:rPr>
                <w:sz w:val="20"/>
                <w:szCs w:val="20"/>
                <w:color w:val="auto"/>
              </w:rPr>
            </w:pPr>
            <w:r>
              <w:rPr>
                <w:rFonts w:ascii="Wingdings" w:cs="Wingdings" w:eastAsia="Wingdings" w:hAnsi="Wingdings"/>
                <w:sz w:val="14"/>
                <w:szCs w:val="14"/>
                <w:b w:val="1"/>
                <w:bCs w:val="1"/>
                <w:color w:val="auto"/>
              </w:rPr>
              <w:t>o</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2900" w:type="dxa"/>
            <w:vAlign w:val="bottom"/>
          </w:tcPr>
          <w:p>
            <w:pPr>
              <w:ind w:left="100"/>
              <w:spacing w:after="0"/>
              <w:rPr>
                <w:sz w:val="20"/>
                <w:szCs w:val="20"/>
                <w:color w:val="auto"/>
              </w:rPr>
            </w:pPr>
            <w:r>
              <w:rPr>
                <w:rFonts w:ascii="Arial" w:cs="Arial" w:eastAsia="Arial" w:hAnsi="Arial"/>
                <w:sz w:val="14"/>
                <w:szCs w:val="14"/>
                <w:color w:val="auto"/>
              </w:rPr>
              <w:t>Sustainability ROI report</w:t>
            </w:r>
          </w:p>
        </w:tc>
        <w:tc>
          <w:tcPr>
            <w:tcW w:w="0" w:type="dxa"/>
            <w:vAlign w:val="bottom"/>
          </w:tcPr>
          <w:p>
            <w:pPr>
              <w:spacing w:after="0"/>
              <w:rPr>
                <w:sz w:val="1"/>
                <w:szCs w:val="1"/>
                <w:color w:val="auto"/>
              </w:rPr>
            </w:pPr>
          </w:p>
        </w:tc>
      </w:tr>
      <w:tr>
        <w:trPr>
          <w:trHeight w:val="81"/>
        </w:trPr>
        <w:tc>
          <w:tcPr>
            <w:tcW w:w="3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8"/>
        </w:trPr>
        <w:tc>
          <w:tcPr>
            <w:tcW w:w="36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58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62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36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58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62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58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62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36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58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62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58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62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36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58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62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36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580" w:type="dxa"/>
            <w:vAlign w:val="bottom"/>
          </w:tcPr>
          <w:p>
            <w:pPr>
              <w:ind w:left="220"/>
              <w:spacing w:after="0"/>
              <w:rPr>
                <w:sz w:val="20"/>
                <w:szCs w:val="20"/>
                <w:color w:val="auto"/>
              </w:rPr>
            </w:pPr>
            <w:r>
              <w:rPr>
                <w:rFonts w:ascii="Wingdings" w:cs="Wingdings" w:eastAsia="Wingdings" w:hAnsi="Wingdings"/>
                <w:sz w:val="14"/>
                <w:szCs w:val="14"/>
                <w:b w:val="1"/>
                <w:bCs w:val="1"/>
                <w:color w:val="auto"/>
              </w:rPr>
              <w:t>o</w:t>
            </w:r>
          </w:p>
        </w:tc>
        <w:tc>
          <w:tcPr>
            <w:tcW w:w="62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60" w:val="left"/>
          <w:tab w:leader="none" w:pos="1180" w:val="left"/>
        </w:tabs>
        <w:rPr>
          <w:sz w:val="20"/>
          <w:szCs w:val="20"/>
          <w:color w:val="auto"/>
        </w:rPr>
      </w:pP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3"/>
          <w:szCs w:val="13"/>
          <w:b w:val="1"/>
          <w:bCs w:val="1"/>
          <w:color w:val="auto"/>
        </w:rPr>
        <w:t>o</w:t>
      </w:r>
    </w:p>
    <w:p>
      <w:pPr>
        <w:spacing w:after="0" w:line="200" w:lineRule="exact"/>
        <w:rPr>
          <w:sz w:val="20"/>
          <w:szCs w:val="20"/>
          <w:color w:val="auto"/>
        </w:rPr>
      </w:pPr>
    </w:p>
    <w:p>
      <w:pPr>
        <w:spacing w:after="0" w:line="279" w:lineRule="exact"/>
        <w:rPr>
          <w:sz w:val="20"/>
          <w:szCs w:val="20"/>
          <w:color w:val="auto"/>
        </w:rPr>
      </w:pPr>
    </w:p>
    <w:p>
      <w:pPr>
        <w:spacing w:after="0"/>
        <w:tabs>
          <w:tab w:leader="none" w:pos="560" w:val="left"/>
          <w:tab w:leader="none" w:pos="1180" w:val="left"/>
        </w:tabs>
        <w:rPr>
          <w:sz w:val="20"/>
          <w:szCs w:val="20"/>
          <w:color w:val="auto"/>
        </w:rPr>
      </w:pP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3"/>
          <w:szCs w:val="13"/>
          <w:b w:val="1"/>
          <w:bCs w:val="1"/>
          <w:color w:val="auto"/>
        </w:rPr>
        <w:t>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20"/>
                <w:szCs w:val="20"/>
                <w:color w:val="auto"/>
              </w:rPr>
            </w:pPr>
            <w:r>
              <w:rPr>
                <w:rFonts w:ascii="Arial" w:cs="Arial" w:eastAsia="Arial" w:hAnsi="Arial"/>
                <w:sz w:val="14"/>
                <w:szCs w:val="14"/>
                <w:color w:val="auto"/>
              </w:rPr>
              <w:t>For</w:t>
            </w:r>
          </w:p>
        </w:tc>
        <w:tc>
          <w:tcPr>
            <w:tcW w:w="740" w:type="dxa"/>
            <w:vAlign w:val="bottom"/>
          </w:tcPr>
          <w:p>
            <w:pPr>
              <w:ind w:left="180"/>
              <w:spacing w:after="0"/>
              <w:rPr>
                <w:sz w:val="20"/>
                <w:szCs w:val="20"/>
                <w:color w:val="auto"/>
              </w:rPr>
            </w:pPr>
            <w:r>
              <w:rPr>
                <w:rFonts w:ascii="Arial" w:cs="Arial" w:eastAsia="Arial" w:hAnsi="Arial"/>
                <w:sz w:val="14"/>
                <w:szCs w:val="14"/>
                <w:color w:val="auto"/>
              </w:rPr>
              <w:t>Against</w:t>
            </w:r>
          </w:p>
        </w:tc>
        <w:tc>
          <w:tcPr>
            <w:tcW w:w="540" w:type="dxa"/>
            <w:vAlign w:val="bottom"/>
          </w:tcPr>
          <w:p>
            <w:pPr>
              <w:ind w:left="60"/>
              <w:spacing w:after="0"/>
              <w:rPr>
                <w:sz w:val="20"/>
                <w:szCs w:val="20"/>
                <w:color w:val="auto"/>
              </w:rPr>
            </w:pPr>
            <w:r>
              <w:rPr>
                <w:rFonts w:ascii="Arial" w:cs="Arial" w:eastAsia="Arial" w:hAnsi="Arial"/>
                <w:sz w:val="14"/>
                <w:szCs w:val="14"/>
                <w:color w:val="auto"/>
                <w:w w:val="98"/>
              </w:rPr>
              <w:t>Abstain</w:t>
            </w:r>
          </w:p>
        </w:tc>
      </w:tr>
      <w:tr>
        <w:trPr>
          <w:trHeight w:val="727"/>
        </w:trPr>
        <w:tc>
          <w:tcPr>
            <w:tcW w:w="40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4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756"/>
        </w:trPr>
        <w:tc>
          <w:tcPr>
            <w:tcW w:w="40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4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553"/>
        </w:trPr>
        <w:tc>
          <w:tcPr>
            <w:tcW w:w="40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4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r>
        <w:trPr>
          <w:trHeight w:val="553"/>
        </w:trPr>
        <w:tc>
          <w:tcPr>
            <w:tcW w:w="40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74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540" w:type="dxa"/>
            <w:vAlign w:val="bottom"/>
          </w:tcPr>
          <w:p>
            <w:pPr>
              <w:ind w:left="60"/>
              <w:spacing w:after="0"/>
              <w:rPr>
                <w:sz w:val="20"/>
                <w:szCs w:val="20"/>
                <w:color w:val="auto"/>
              </w:rPr>
            </w:pPr>
            <w:r>
              <w:rPr>
                <w:rFonts w:ascii="Wingdings" w:cs="Wingdings" w:eastAsia="Wingdings" w:hAnsi="Wingdings"/>
                <w:sz w:val="14"/>
                <w:szCs w:val="14"/>
                <w:b w:val="1"/>
                <w:bCs w:val="1"/>
                <w:color w:val="auto"/>
              </w:rPr>
              <w:t>o</w:t>
            </w:r>
          </w:p>
        </w:tc>
      </w:tr>
    </w:tbl>
    <w:p>
      <w:pPr>
        <w:spacing w:after="0" w:line="5750" w:lineRule="exact"/>
        <w:rPr>
          <w:sz w:val="20"/>
          <w:szCs w:val="20"/>
          <w:color w:val="auto"/>
        </w:rPr>
      </w:pPr>
    </w:p>
    <w:p>
      <w:pPr>
        <w:sectPr>
          <w:pgSz w:w="11900" w:h="16838" w:orient="portrait"/>
          <w:cols w:equalWidth="0" w:num="3">
            <w:col w:w="2866" w:space="720"/>
            <w:col w:w="4980" w:space="720"/>
            <w:col w:w="1680"/>
          </w:cols>
          <w:pgMar w:left="454" w:top="927" w:right="479" w:bottom="1440" w:gutter="0" w:footer="0" w:header="0"/>
          <w:type w:val="continuous"/>
        </w:sectPr>
      </w:pPr>
    </w:p>
    <w:p>
      <w:pPr>
        <w:spacing w:after="0" w:line="55" w:lineRule="exact"/>
        <w:rPr>
          <w:sz w:val="20"/>
          <w:szCs w:val="20"/>
          <w:color w:val="auto"/>
        </w:rPr>
      </w:pPr>
    </w:p>
    <w:p>
      <w:pPr>
        <w:ind w:left="9286"/>
        <w:spacing w:after="0"/>
        <w:tabs>
          <w:tab w:leader="none" w:pos="9846"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pacing w:after="0" w:line="231" w:lineRule="exact"/>
        <w:rPr>
          <w:sz w:val="20"/>
          <w:szCs w:val="20"/>
          <w:color w:val="auto"/>
        </w:rPr>
      </w:pPr>
    </w:p>
    <w:p>
      <w:pPr>
        <w:ind w:left="5406"/>
        <w:spacing w:after="0"/>
        <w:rPr>
          <w:sz w:val="20"/>
          <w:szCs w:val="20"/>
          <w:color w:val="auto"/>
        </w:rPr>
      </w:pPr>
      <w:r>
        <w:rPr>
          <w:rFonts w:ascii="Arial" w:cs="Arial" w:eastAsia="Arial" w:hAnsi="Arial"/>
          <w:sz w:val="14"/>
          <w:szCs w:val="14"/>
          <w:color w:val="auto"/>
        </w:rPr>
        <w:t>Please indicate if you plan to attend this meeting.</w:t>
      </w:r>
    </w:p>
    <w:p>
      <w:pPr>
        <w:spacing w:after="0" w:line="16" w:lineRule="exact"/>
        <w:rPr>
          <w:sz w:val="20"/>
          <w:szCs w:val="20"/>
          <w:color w:val="auto"/>
        </w:rPr>
      </w:pPr>
    </w:p>
    <w:p>
      <w:pPr>
        <w:ind w:left="9286"/>
        <w:spacing w:after="0"/>
        <w:tabs>
          <w:tab w:leader="none" w:pos="9846" w:val="left"/>
        </w:tabs>
        <w:rPr>
          <w:sz w:val="20"/>
          <w:szCs w:val="20"/>
          <w:color w:val="auto"/>
        </w:rPr>
      </w:pPr>
      <w:r>
        <w:rPr>
          <w:rFonts w:ascii="Wingdings" w:cs="Wingdings" w:eastAsia="Wingdings" w:hAnsi="Wingdings"/>
          <w:sz w:val="14"/>
          <w:szCs w:val="14"/>
          <w:b w:val="1"/>
          <w:bCs w:val="1"/>
          <w:color w:val="auto"/>
        </w:rPr>
        <w:t>o</w:t>
      </w:r>
      <w:r>
        <w:rPr>
          <w:sz w:val="20"/>
          <w:szCs w:val="20"/>
          <w:color w:val="auto"/>
        </w:rPr>
        <w:tab/>
      </w:r>
      <w:r>
        <w:rPr>
          <w:rFonts w:ascii="Wingdings" w:cs="Wingdings" w:eastAsia="Wingdings" w:hAnsi="Wingdings"/>
          <w:sz w:val="14"/>
          <w:szCs w:val="14"/>
          <w:b w:val="1"/>
          <w:bCs w:val="1"/>
          <w:color w:val="auto"/>
        </w:rPr>
        <w:t>o</w:t>
      </w:r>
    </w:p>
    <w:p>
      <w:pPr>
        <w:spacing w:after="0" w:line="221" w:lineRule="exact"/>
        <w:rPr>
          <w:sz w:val="20"/>
          <w:szCs w:val="20"/>
          <w:color w:val="auto"/>
        </w:rPr>
      </w:pPr>
    </w:p>
    <w:p>
      <w:pPr>
        <w:ind w:left="5406"/>
        <w:spacing w:after="0"/>
        <w:rPr>
          <w:sz w:val="20"/>
          <w:szCs w:val="20"/>
          <w:color w:val="auto"/>
        </w:rPr>
      </w:pPr>
      <w:r>
        <w:rPr>
          <w:rFonts w:ascii="Arial" w:cs="Arial" w:eastAsia="Arial" w:hAnsi="Arial"/>
          <w:sz w:val="14"/>
          <w:szCs w:val="14"/>
          <w:color w:val="auto"/>
        </w:rPr>
        <w:t>Please sign exactly as your name(s) appear(s) hereon. When signing as attorney,</w:t>
      </w:r>
    </w:p>
    <w:p>
      <w:pPr>
        <w:spacing w:after="0" w:line="29" w:lineRule="exact"/>
        <w:rPr>
          <w:sz w:val="20"/>
          <w:szCs w:val="20"/>
          <w:color w:val="auto"/>
        </w:rPr>
      </w:pPr>
    </w:p>
    <w:p>
      <w:pPr>
        <w:ind w:left="5406"/>
        <w:spacing w:after="0"/>
        <w:rPr>
          <w:sz w:val="20"/>
          <w:szCs w:val="20"/>
          <w:color w:val="auto"/>
        </w:rPr>
      </w:pPr>
      <w:r>
        <w:rPr>
          <w:rFonts w:ascii="Arial" w:cs="Arial" w:eastAsia="Arial" w:hAnsi="Arial"/>
          <w:sz w:val="14"/>
          <w:szCs w:val="14"/>
          <w:color w:val="auto"/>
        </w:rPr>
        <w:t>executor, administrator, or other fiduciary, please give full title as such. Joint owners</w:t>
      </w:r>
    </w:p>
    <w:p>
      <w:pPr>
        <w:spacing w:after="0" w:line="28" w:lineRule="exact"/>
        <w:rPr>
          <w:sz w:val="20"/>
          <w:szCs w:val="20"/>
          <w:color w:val="auto"/>
        </w:rPr>
      </w:pPr>
    </w:p>
    <w:p>
      <w:pPr>
        <w:ind w:left="5406"/>
        <w:spacing w:after="0"/>
        <w:rPr>
          <w:sz w:val="20"/>
          <w:szCs w:val="20"/>
          <w:color w:val="auto"/>
        </w:rPr>
      </w:pPr>
      <w:r>
        <w:rPr>
          <w:rFonts w:ascii="Arial" w:cs="Arial" w:eastAsia="Arial" w:hAnsi="Arial"/>
          <w:sz w:val="14"/>
          <w:szCs w:val="14"/>
          <w:color w:val="auto"/>
        </w:rPr>
        <w:t>should each sign personally. All holders must sign. If a corporation or partnership,</w:t>
      </w:r>
    </w:p>
    <w:p>
      <w:pPr>
        <w:spacing w:after="0" w:line="28" w:lineRule="exact"/>
        <w:rPr>
          <w:sz w:val="20"/>
          <w:szCs w:val="20"/>
          <w:color w:val="auto"/>
        </w:rPr>
      </w:pPr>
    </w:p>
    <w:p>
      <w:pPr>
        <w:ind w:left="5406"/>
        <w:spacing w:after="0"/>
        <w:rPr>
          <w:sz w:val="20"/>
          <w:szCs w:val="20"/>
          <w:color w:val="auto"/>
        </w:rPr>
      </w:pPr>
      <w:r>
        <w:rPr>
          <w:rFonts w:ascii="Arial" w:cs="Arial" w:eastAsia="Arial" w:hAnsi="Arial"/>
          <w:sz w:val="14"/>
          <w:szCs w:val="14"/>
          <w:color w:val="auto"/>
        </w:rPr>
        <w:t>please sign in full corporate or partnership name by authorized officer.</w:t>
      </w:r>
    </w:p>
    <w:p>
      <w:pPr>
        <w:spacing w:after="0" w:line="200" w:lineRule="exact"/>
        <w:rPr>
          <w:sz w:val="20"/>
          <w:szCs w:val="20"/>
          <w:color w:val="auto"/>
        </w:rPr>
      </w:pPr>
    </w:p>
    <w:p>
      <w:pPr>
        <w:spacing w:after="0" w:line="367" w:lineRule="exact"/>
        <w:rPr>
          <w:sz w:val="20"/>
          <w:szCs w:val="20"/>
          <w:color w:val="auto"/>
        </w:rPr>
      </w:pPr>
    </w:p>
    <w:p>
      <w:pPr>
        <w:ind w:left="6"/>
        <w:spacing w:after="0"/>
        <w:tabs>
          <w:tab w:leader="none" w:pos="3026" w:val="left"/>
          <w:tab w:leader="none" w:pos="5386" w:val="left"/>
          <w:tab w:leader="none" w:pos="8686"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610870</wp:posOffset>
            </wp:positionV>
            <wp:extent cx="7157720" cy="425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6"/>
          </w:cols>
          <w:pgMar w:left="454" w:top="927" w:right="479" w:bottom="1440" w:gutter="0" w:footer="0" w:header="0"/>
          <w:type w:val="continuous"/>
        </w:sectPr>
      </w:pPr>
    </w:p>
    <w:bookmarkStart w:id="116" w:name="page117"/>
    <w:bookmarkEnd w:id="116"/>
    <w:p>
      <w:pPr>
        <w:jc w:val="center"/>
        <w:ind w:right="-19"/>
        <w:spacing w:after="0"/>
        <w:rPr>
          <w:sz w:val="20"/>
          <w:szCs w:val="20"/>
          <w:color w:val="auto"/>
        </w:rPr>
      </w:pPr>
      <w:r>
        <w:rPr>
          <w:rFonts w:ascii="Arial" w:cs="Arial" w:eastAsia="Arial" w:hAnsi="Arial"/>
          <w:sz w:val="29"/>
          <w:szCs w:val="29"/>
          <w:b w:val="1"/>
          <w:bCs w:val="1"/>
          <w:color w:val="auto"/>
        </w:rPr>
        <w:t>JPMorgan Chase &amp; Co.</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2026 Annual Meeting of Shareholders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Tuesday, May 19, 2026 10:00 a.m. Eastern Time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www.virtualshareholdermeeting.com/JPM2026</w:t>
      </w:r>
    </w:p>
    <w:p>
      <w:pPr>
        <w:spacing w:after="0" w:line="200" w:lineRule="exact"/>
        <w:rPr>
          <w:sz w:val="20"/>
          <w:szCs w:val="20"/>
          <w:color w:val="auto"/>
        </w:rPr>
      </w:pPr>
    </w:p>
    <w:p>
      <w:pPr>
        <w:spacing w:after="0" w:line="261"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b w:val="1"/>
          <w:bCs w:val="1"/>
          <w:color w:val="auto"/>
        </w:rPr>
        <w:t xml:space="preserve">If you plan to attend the meeting at </w:t>
      </w:r>
      <w:r>
        <w:rPr>
          <w:rFonts w:ascii="Arial" w:cs="Arial" w:eastAsia="Arial" w:hAnsi="Arial"/>
          <w:sz w:val="16"/>
          <w:szCs w:val="16"/>
          <w:color w:val="auto"/>
        </w:rPr>
        <w:t>www.virtualshareholdermeeting.com/JPM2026, you will be required to enter the control number found on your proxy</w:t>
      </w:r>
      <w:r>
        <w:rPr>
          <w:rFonts w:ascii="Arial" w:cs="Arial" w:eastAsia="Arial" w:hAnsi="Arial"/>
          <w:sz w:val="16"/>
          <w:szCs w:val="16"/>
          <w:b w:val="1"/>
          <w:bCs w:val="1"/>
          <w:color w:val="auto"/>
        </w:rPr>
        <w:t xml:space="preserve"> </w:t>
      </w:r>
      <w:r>
        <w:rPr>
          <w:rFonts w:ascii="Arial" w:cs="Arial" w:eastAsia="Arial" w:hAnsi="Arial"/>
          <w:sz w:val="16"/>
          <w:szCs w:val="16"/>
          <w:color w:val="auto"/>
        </w:rPr>
        <w:t>card, voting instruction form or Notice you previously received. The Annual Meeting will be held in a virtual meeting format only. For more information see “Information about the annual meeting of shareholders” in the proxy statement.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Important Notice Regarding the Availability of Proxy Materials for the 2026 Annual Meeting:</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Notice and Proxy Statement and Annual Report are available at https://www.jpmorganchase.com/ir/annual-report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or at www.proxyvote.com</w:t>
      </w:r>
    </w:p>
    <w:p>
      <w:pPr>
        <w:spacing w:after="0" w:line="356" w:lineRule="exact"/>
        <w:rPr>
          <w:sz w:val="20"/>
          <w:szCs w:val="20"/>
          <w:color w:val="auto"/>
        </w:rPr>
      </w:pPr>
    </w:p>
    <w:p>
      <w:pPr>
        <w:jc w:val="center"/>
        <w:ind w:left="340" w:right="60"/>
        <w:spacing w:after="0" w:line="321" w:lineRule="auto"/>
        <w:rPr>
          <w:sz w:val="20"/>
          <w:szCs w:val="20"/>
          <w:color w:val="auto"/>
        </w:rPr>
      </w:pPr>
      <w:r>
        <w:rPr>
          <w:rFonts w:ascii="Arial" w:cs="Arial" w:eastAsia="Arial" w:hAnsi="Arial"/>
          <w:sz w:val="16"/>
          <w:szCs w:val="16"/>
          <w:color w:val="auto"/>
        </w:rPr>
        <w:t>— — — — — — — — — — — — — — — — — — — — — — — — — — — — — — — — — — —— — — — — — — — — — — — — — — — — — — — — — — — — — — — — — — — —</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E19088-P87837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149465" cy="258000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49465" cy="258000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&amp; Co.</w:t>
      </w:r>
    </w:p>
    <w:p>
      <w:pPr>
        <w:spacing w:after="0" w:line="106" w:lineRule="exact"/>
        <w:rPr>
          <w:sz w:val="20"/>
          <w:szCs w:val="20"/>
          <w:color w:val="auto"/>
        </w:rPr>
      </w:pPr>
    </w:p>
    <w:p>
      <w:pPr>
        <w:jc w:val="both"/>
        <w:ind w:left="420" w:right="480"/>
        <w:spacing w:after="0" w:line="265" w:lineRule="auto"/>
        <w:rPr>
          <w:sz w:val="20"/>
          <w:szCs w:val="20"/>
          <w:color w:val="auto"/>
        </w:rPr>
      </w:pPr>
      <w:r>
        <w:rPr>
          <w:rFonts w:ascii="Arial" w:cs="Arial" w:eastAsia="Arial" w:hAnsi="Arial"/>
          <w:sz w:val="18"/>
          <w:szCs w:val="18"/>
          <w:b w:val="1"/>
          <w:bCs w:val="1"/>
          <w:color w:val="auto"/>
        </w:rPr>
        <w:t>This proxy is solicited from you by the Board of Directors for use at the Annual Meeting of Shareholders of JPMorgan Chase &amp; Co. on May 19, 2026.</w:t>
      </w:r>
    </w:p>
    <w:p>
      <w:pPr>
        <w:spacing w:after="0" w:line="56" w:lineRule="exact"/>
        <w:rPr>
          <w:sz w:val="20"/>
          <w:szCs w:val="20"/>
          <w:color w:val="auto"/>
        </w:rPr>
      </w:pPr>
    </w:p>
    <w:p>
      <w:pPr>
        <w:jc w:val="both"/>
        <w:ind w:left="420" w:right="480" w:firstLine="259"/>
        <w:spacing w:after="0" w:line="215" w:lineRule="auto"/>
        <w:rPr>
          <w:sz w:val="20"/>
          <w:szCs w:val="20"/>
          <w:color w:val="auto"/>
        </w:rPr>
      </w:pPr>
      <w:r>
        <w:rPr>
          <w:rFonts w:ascii="Arial" w:cs="Arial" w:eastAsia="Arial" w:hAnsi="Arial"/>
          <w:sz w:val="18"/>
          <w:szCs w:val="18"/>
          <w:color w:val="auto"/>
        </w:rPr>
        <w:t>You, the undersigned shareholder, appoint each of Reid R. Broda and Jeremy Barnum, your attorney-in-fact and proxy, with full power of substitution, to vote on your behalf shares of JPMorgan Chase &amp; Co. common stock that you would be entitled to vote at the 2026 Annual Meeting, and any adjournment of the meeting, with all powers that you would have if you were personally</w:t>
      </w:r>
    </w:p>
    <w:p>
      <w:pPr>
        <w:spacing w:after="0" w:line="2" w:lineRule="exact"/>
        <w:rPr>
          <w:sz w:val="20"/>
          <w:szCs w:val="20"/>
          <w:color w:val="auto"/>
        </w:rPr>
      </w:pPr>
    </w:p>
    <w:p>
      <w:pPr>
        <w:jc w:val="both"/>
        <w:ind w:left="420" w:right="480"/>
        <w:spacing w:after="0" w:line="221" w:lineRule="auto"/>
        <w:rPr>
          <w:sz w:val="20"/>
          <w:szCs w:val="20"/>
          <w:color w:val="auto"/>
        </w:rPr>
      </w:pPr>
      <w:r>
        <w:rPr>
          <w:rFonts w:ascii="Arial" w:cs="Arial" w:eastAsia="Arial" w:hAnsi="Arial"/>
          <w:sz w:val="17"/>
          <w:szCs w:val="17"/>
          <w:color w:val="auto"/>
        </w:rPr>
        <w:t xml:space="preserve">present at the meeting. </w:t>
      </w:r>
      <w:r>
        <w:rPr>
          <w:rFonts w:ascii="Arial" w:cs="Arial" w:eastAsia="Arial" w:hAnsi="Arial"/>
          <w:sz w:val="17"/>
          <w:szCs w:val="17"/>
          <w:b w:val="1"/>
          <w:bCs w:val="1"/>
          <w:color w:val="auto"/>
        </w:rPr>
        <w:t>The shares represented by this proxy will be voted as instructed by you on the reverse side of this</w:t>
      </w:r>
      <w:r>
        <w:rPr>
          <w:rFonts w:ascii="Arial" w:cs="Arial" w:eastAsia="Arial" w:hAnsi="Arial"/>
          <w:sz w:val="17"/>
          <w:szCs w:val="17"/>
          <w:color w:val="auto"/>
        </w:rPr>
        <w:t xml:space="preserve"> </w:t>
      </w:r>
      <w:r>
        <w:rPr>
          <w:rFonts w:ascii="Arial" w:cs="Arial" w:eastAsia="Arial" w:hAnsi="Arial"/>
          <w:sz w:val="17"/>
          <w:szCs w:val="17"/>
          <w:b w:val="1"/>
          <w:bCs w:val="1"/>
          <w:color w:val="auto"/>
        </w:rPr>
        <w:t>card with respect to the proposals set forth in the proxy statement, and in the discretion of the proxies on all other matters which may properly come before the 2026 Annual Meeting and any adjournment thereof. If the card is signed but</w:t>
      </w:r>
    </w:p>
    <w:p>
      <w:pPr>
        <w:ind w:left="420"/>
        <w:spacing w:after="0"/>
        <w:rPr>
          <w:sz w:val="20"/>
          <w:szCs w:val="20"/>
          <w:color w:val="auto"/>
        </w:rPr>
      </w:pPr>
      <w:r>
        <w:rPr>
          <w:rFonts w:ascii="Arial" w:cs="Arial" w:eastAsia="Arial" w:hAnsi="Arial"/>
          <w:sz w:val="18"/>
          <w:szCs w:val="18"/>
          <w:b w:val="1"/>
          <w:bCs w:val="1"/>
          <w:color w:val="auto"/>
        </w:rPr>
        <w:t>no instructions are given, shares will be voted in accordance with the recommendations of the Board of Directors.</w:t>
      </w:r>
    </w:p>
    <w:p>
      <w:pPr>
        <w:spacing w:after="0" w:line="99" w:lineRule="exact"/>
        <w:rPr>
          <w:sz w:val="20"/>
          <w:szCs w:val="20"/>
          <w:color w:val="auto"/>
        </w:rPr>
      </w:pPr>
    </w:p>
    <w:p>
      <w:pPr>
        <w:jc w:val="both"/>
        <w:ind w:left="420" w:right="480" w:firstLine="259"/>
        <w:spacing w:after="0" w:line="215" w:lineRule="auto"/>
        <w:rPr>
          <w:sz w:val="20"/>
          <w:szCs w:val="20"/>
          <w:color w:val="auto"/>
        </w:rPr>
      </w:pPr>
      <w:r>
        <w:rPr>
          <w:rFonts w:ascii="Arial" w:cs="Arial" w:eastAsia="Arial" w:hAnsi="Arial"/>
          <w:sz w:val="18"/>
          <w:szCs w:val="18"/>
          <w:b w:val="1"/>
          <w:bCs w:val="1"/>
          <w:color w:val="auto"/>
        </w:rPr>
        <w:t xml:space="preserve">Participants in the 401(k) Savings Plan: </w:t>
      </w:r>
      <w:r>
        <w:rPr>
          <w:rFonts w:ascii="Arial" w:cs="Arial" w:eastAsia="Arial" w:hAnsi="Arial"/>
          <w:sz w:val="18"/>
          <w:szCs w:val="18"/>
          <w:color w:val="auto"/>
        </w:rPr>
        <w:t>If you have an interest in JPMorgan Chase &amp; Co. common stock through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 the JPMorgan Chase Common Stock Fund within the 401(k) Savings Plan, your vote will provide voting instructions to the trustee of the plan to vote the proportionate interest as of the record date. If no instructions are given, the trustee will vote</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unvoted shares in the same proportion as voted shares.</w:t>
      </w:r>
    </w:p>
    <w:p>
      <w:pPr>
        <w:spacing w:after="0" w:line="99" w:lineRule="exact"/>
        <w:rPr>
          <w:sz w:val="20"/>
          <w:szCs w:val="20"/>
          <w:color w:val="auto"/>
        </w:rPr>
      </w:pPr>
    </w:p>
    <w:p>
      <w:pPr>
        <w:jc w:val="both"/>
        <w:ind w:left="420" w:right="480" w:firstLine="259"/>
        <w:spacing w:after="0"/>
        <w:rPr>
          <w:sz w:val="20"/>
          <w:szCs w:val="20"/>
          <w:color w:val="auto"/>
        </w:rPr>
      </w:pPr>
      <w:r>
        <w:rPr>
          <w:rFonts w:ascii="Arial" w:cs="Arial" w:eastAsia="Arial" w:hAnsi="Arial"/>
          <w:sz w:val="18"/>
          <w:szCs w:val="18"/>
          <w:b w:val="1"/>
          <w:bCs w:val="1"/>
          <w:color w:val="auto"/>
        </w:rPr>
        <w:t xml:space="preserve">Voting Methods: </w:t>
      </w:r>
      <w:r>
        <w:rPr>
          <w:rFonts w:ascii="Arial" w:cs="Arial" w:eastAsia="Arial" w:hAnsi="Arial"/>
          <w:sz w:val="18"/>
          <w:szCs w:val="18"/>
          <w:color w:val="auto"/>
        </w:rPr>
        <w:t>If you wish to vote by mail, please sign your name exactly as it appears on this proxy and mark,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it in the enclosed envelope. If you wish to vote by Internet or telephone, please follow the instructions on the reverse side.</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20"/>
      </w:cols>
      <w:pgMar w:left="320" w:top="60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D53685"/>
    <w:multiLevelType w:val="hybridMultilevel"/>
    <w:lvl w:ilvl="0">
      <w:lvlJc w:val="left"/>
      <w:lvlText w:val="☐"/>
      <w:numFmt w:val="bullet"/>
      <w:start w:val="1"/>
    </w:lvl>
  </w:abstractNum>
  <w:abstractNum w:abstractNumId="1">
    <w:nsid w:val="230F856C"/>
    <w:multiLevelType w:val="hybridMultilevel"/>
    <w:lvl w:ilvl="0">
      <w:lvlJc w:val="left"/>
      <w:lvlText w:val="☑"/>
      <w:numFmt w:val="bullet"/>
      <w:start w:val="1"/>
    </w:lvl>
  </w:abstractNum>
  <w:abstractNum w:abstractNumId="2">
    <w:nsid w:val="6EAA85FB"/>
    <w:multiLevelType w:val="hybridMultilevel"/>
    <w:lvl w:ilvl="0">
      <w:lvlJc w:val="left"/>
      <w:lvlText w:val="☐"/>
      <w:numFmt w:val="bullet"/>
      <w:start w:val="1"/>
    </w:lvl>
  </w:abstractNum>
  <w:abstractNum w:abstractNumId="3">
    <w:nsid w:val="3F06ECB2"/>
    <w:multiLevelType w:val="hybridMultilevel"/>
    <w:lvl w:ilvl="0">
      <w:lvlJc w:val="left"/>
      <w:lvlText w:val="☑"/>
      <w:numFmt w:val="bullet"/>
      <w:start w:val="1"/>
    </w:lvl>
  </w:abstractNum>
  <w:abstractNum w:abstractNumId="4">
    <w:nsid w:val="3B594807"/>
    <w:multiLevelType w:val="hybridMultilevel"/>
    <w:lvl w:ilvl="0">
      <w:lvlJc w:val="left"/>
      <w:lvlText w:val="☐"/>
      <w:numFmt w:val="bullet"/>
      <w:start w:val="1"/>
    </w:lvl>
  </w:abstractNum>
  <w:abstractNum w:abstractNumId="5">
    <w:nsid w:val="6CAA2304"/>
    <w:multiLevelType w:val="hybridMultilevel"/>
    <w:lvl w:ilvl="0">
      <w:lvlJc w:val="left"/>
      <w:lvlText w:val="&amp;"/>
      <w:numFmt w:val="bullet"/>
      <w:start w:val="1"/>
    </w:lvl>
  </w:abstractNum>
  <w:abstractNum w:abstractNumId="6">
    <w:nsid w:val="3F7C2FF4"/>
    <w:multiLevelType w:val="hybridMultilevel"/>
    <w:lvl w:ilvl="0">
      <w:lvlJc w:val="left"/>
      <w:lvlText w:val="•"/>
      <w:numFmt w:val="bullet"/>
      <w:start w:val="1"/>
    </w:lvl>
  </w:abstractNum>
  <w:abstractNum w:abstractNumId="7">
    <w:nsid w:val="25413BEC"/>
    <w:multiLevelType w:val="hybridMultilevel"/>
    <w:lvl w:ilvl="0">
      <w:lvlJc w:val="left"/>
      <w:lvlText w:val="%1."/>
      <w:numFmt w:val="decimal"/>
      <w:start w:val="1"/>
    </w:lvl>
  </w:abstractNum>
  <w:abstractNum w:abstractNumId="8">
    <w:nsid w:val="17180B0B"/>
    <w:multiLevelType w:val="hybridMultilevel"/>
    <w:lvl w:ilvl="0">
      <w:lvlJc w:val="left"/>
      <w:lvlText w:val="%1"/>
      <w:numFmt w:val="decimal"/>
      <w:start w:val="32"/>
    </w:lvl>
  </w:abstractNum>
  <w:abstractNum w:abstractNumId="9">
    <w:nsid w:val="579328B9"/>
    <w:multiLevelType w:val="hybridMultilevel"/>
    <w:lvl w:ilvl="0">
      <w:lvlJc w:val="left"/>
      <w:lvlText w:val="%1"/>
      <w:numFmt w:val="decimal"/>
      <w:start w:val="39"/>
    </w:lvl>
  </w:abstractNum>
  <w:abstractNum w:abstractNumId="10">
    <w:nsid w:val="5D205E20"/>
    <w:multiLevelType w:val="hybridMultilevel"/>
    <w:lvl w:ilvl="0">
      <w:lvlJc w:val="left"/>
      <w:lvlText w:val="•"/>
      <w:numFmt w:val="bullet"/>
      <w:start w:val="1"/>
    </w:lvl>
  </w:abstractNum>
  <w:abstractNum w:abstractNumId="11">
    <w:nsid w:val="11CCA8BA"/>
    <w:multiLevelType w:val="hybridMultilevel"/>
    <w:lvl w:ilvl="0">
      <w:lvlJc w:val="left"/>
      <w:lvlText w:val="•"/>
      <w:numFmt w:val="bullet"/>
      <w:start w:val="1"/>
    </w:lvl>
  </w:abstractNum>
  <w:abstractNum w:abstractNumId="12">
    <w:nsid w:val="4D32AB86"/>
    <w:multiLevelType w:val="hybridMultilevel"/>
    <w:lvl w:ilvl="0">
      <w:lvlJc w:val="left"/>
      <w:lvlText w:val="1"/>
      <w:numFmt w:val="bullet"/>
      <w:start w:val="1"/>
    </w:lvl>
  </w:abstractNum>
  <w:abstractNum w:abstractNumId="13">
    <w:nsid w:val="3F07ACC3"/>
    <w:multiLevelType w:val="hybridMultilevel"/>
    <w:lvl w:ilvl="0">
      <w:lvlJc w:val="left"/>
      <w:lvlText w:val="2"/>
      <w:numFmt w:val="bullet"/>
      <w:start w:val="1"/>
    </w:lvl>
  </w:abstractNum>
  <w:abstractNum w:abstractNumId="14">
    <w:nsid w:val="6B47F63E"/>
    <w:multiLevelType w:val="hybridMultilevel"/>
    <w:lvl w:ilvl="0">
      <w:lvlJc w:val="left"/>
      <w:lvlText w:val="3"/>
      <w:numFmt w:val="bullet"/>
      <w:start w:val="1"/>
    </w:lvl>
  </w:abstractNum>
  <w:abstractNum w:abstractNumId="15">
    <w:nsid w:val="5CB44A05"/>
    <w:multiLevelType w:val="hybridMultilevel"/>
    <w:lvl w:ilvl="0">
      <w:lvlJc w:val="left"/>
      <w:lvlText w:val="4"/>
      <w:numFmt w:val="bullet"/>
      <w:start w:val="1"/>
    </w:lvl>
  </w:abstractNum>
  <w:abstractNum w:abstractNumId="16">
    <w:nsid w:val="16CF80F1"/>
    <w:multiLevelType w:val="hybridMultilevel"/>
    <w:lvl w:ilvl="0">
      <w:lvlJc w:val="left"/>
      <w:lvlText w:val="5"/>
      <w:numFmt w:val="bullet"/>
      <w:start w:val="1"/>
    </w:lvl>
  </w:abstractNum>
  <w:abstractNum w:abstractNumId="17">
    <w:nsid w:val="1C695DEC"/>
    <w:multiLevelType w:val="hybridMultilevel"/>
    <w:lvl w:ilvl="0">
      <w:lvlJc w:val="left"/>
      <w:lvlText w:val="6"/>
      <w:numFmt w:val="bullet"/>
      <w:start w:val="1"/>
    </w:lvl>
  </w:abstractNum>
  <w:abstractNum w:abstractNumId="18">
    <w:nsid w:val="3FCFAED9"/>
    <w:multiLevelType w:val="hybridMultilevel"/>
    <w:lvl w:ilvl="0">
      <w:lvlJc w:val="left"/>
      <w:lvlText w:val="7"/>
      <w:numFmt w:val="bullet"/>
      <w:start w:val="1"/>
    </w:lvl>
  </w:abstractNum>
  <w:abstractNum w:abstractNumId="19">
    <w:nsid w:val="F856867"/>
    <w:multiLevelType w:val="hybridMultilevel"/>
    <w:lvl w:ilvl="0">
      <w:lvlJc w:val="left"/>
      <w:lvlText w:val="8"/>
      <w:numFmt w:val="bullet"/>
      <w:start w:val="1"/>
    </w:lvl>
  </w:abstractNum>
  <w:abstractNum w:abstractNumId="20">
    <w:nsid w:val="11B1CC33"/>
    <w:multiLevelType w:val="hybridMultilevel"/>
    <w:lvl w:ilvl="0">
      <w:lvlJc w:val="left"/>
      <w:lvlText w:val="9"/>
      <w:numFmt w:val="bullet"/>
      <w:start w:val="1"/>
    </w:lvl>
  </w:abstractNum>
  <w:abstractNum w:abstractNumId="21">
    <w:nsid w:val="2E22FBB7"/>
    <w:multiLevelType w:val="hybridMultilevel"/>
    <w:lvl w:ilvl="0">
      <w:lvlJc w:val="left"/>
      <w:lvlText w:val="%1"/>
      <w:numFmt w:val="decimal"/>
      <w:start w:val="10"/>
    </w:lvl>
  </w:abstractNum>
  <w:abstractNum w:abstractNumId="22">
    <w:nsid w:val="29934699"/>
    <w:multiLevelType w:val="hybridMultilevel"/>
    <w:lvl w:ilvl="0">
      <w:lvlJc w:val="left"/>
      <w:lvlText w:val="2"/>
      <w:numFmt w:val="bullet"/>
      <w:start w:val="1"/>
    </w:lvl>
  </w:abstractNum>
  <w:abstractNum w:abstractNumId="23">
    <w:nsid w:val="77485850"/>
    <w:multiLevelType w:val="hybridMultilevel"/>
    <w:lvl w:ilvl="0">
      <w:lvlJc w:val="left"/>
      <w:lvlText w:val="1"/>
      <w:numFmt w:val="bullet"/>
      <w:start w:val="1"/>
    </w:lvl>
  </w:abstractNum>
  <w:abstractNum w:abstractNumId="24">
    <w:nsid w:val="744939A3"/>
    <w:multiLevelType w:val="hybridMultilevel"/>
    <w:lvl w:ilvl="0">
      <w:lvlJc w:val="left"/>
      <w:lvlText w:val="2"/>
      <w:numFmt w:val="bullet"/>
      <w:start w:val="1"/>
    </w:lvl>
  </w:abstractNum>
  <w:abstractNum w:abstractNumId="25">
    <w:nsid w:val="4FA0D2E3"/>
    <w:multiLevelType w:val="hybridMultilevel"/>
    <w:lvl w:ilvl="0">
      <w:lvlJc w:val="left"/>
      <w:lvlText w:val="3"/>
      <w:numFmt w:val="bullet"/>
      <w:start w:val="1"/>
    </w:lvl>
  </w:abstractNum>
  <w:abstractNum w:abstractNumId="26">
    <w:nsid w:val="6B1D2C14"/>
    <w:multiLevelType w:val="hybridMultilevel"/>
    <w:lvl w:ilvl="0">
      <w:lvlJc w:val="left"/>
      <w:lvlText w:val="4"/>
      <w:numFmt w:val="bullet"/>
      <w:start w:val="1"/>
    </w:lvl>
  </w:abstractNum>
  <w:abstractNum w:abstractNumId="27">
    <w:nsid w:val="68B867D3"/>
    <w:multiLevelType w:val="hybridMultilevel"/>
    <w:lvl w:ilvl="0">
      <w:lvlJc w:val="left"/>
      <w:lvlText w:val="1"/>
      <w:numFmt w:val="bullet"/>
      <w:start w:val="1"/>
    </w:lvl>
  </w:abstractNum>
  <w:abstractNum w:abstractNumId="28">
    <w:nsid w:val="3F7F5DD9"/>
    <w:multiLevelType w:val="hybridMultilevel"/>
    <w:lvl w:ilvl="0">
      <w:lvlJc w:val="left"/>
      <w:lvlText w:val="6"/>
      <w:numFmt w:val="bullet"/>
      <w:start w:val="1"/>
    </w:lvl>
  </w:abstractNum>
  <w:abstractNum w:abstractNumId="29">
    <w:nsid w:val="2AE05A34"/>
    <w:multiLevelType w:val="hybridMultilevel"/>
    <w:lvl w:ilvl="0">
      <w:lvlJc w:val="left"/>
      <w:lvlText w:val="%1"/>
      <w:numFmt w:val="decimal"/>
      <w:start w:val="1"/>
    </w:lvl>
    <w:lvl w:ilvl="1">
      <w:lvlJc w:val="left"/>
      <w:lvlText w:val="•"/>
      <w:numFmt w:val="bullet"/>
      <w:start w:val="1"/>
    </w:lvl>
  </w:abstractNum>
  <w:abstractNum w:abstractNumId="30">
    <w:nsid w:val="32794FF7"/>
    <w:multiLevelType w:val="hybridMultilevel"/>
    <w:lvl w:ilvl="0">
      <w:lvlJc w:val="left"/>
      <w:lvlText w:val="•"/>
      <w:numFmt w:val="bullet"/>
      <w:start w:val="1"/>
    </w:lvl>
  </w:abstractNum>
  <w:abstractNum w:abstractNumId="31">
    <w:nsid w:val="5454945E"/>
    <w:multiLevelType w:val="hybridMultilevel"/>
    <w:lvl w:ilvl="0">
      <w:lvlJc w:val="left"/>
      <w:lvlText w:val="•"/>
      <w:numFmt w:val="bullet"/>
      <w:start w:val="1"/>
    </w:lvl>
  </w:abstractNum>
  <w:abstractNum w:abstractNumId="32">
    <w:nsid w:val="4DEFDFA0"/>
    <w:multiLevelType w:val="hybridMultilevel"/>
    <w:lvl w:ilvl="0">
      <w:lvlJc w:val="left"/>
      <w:lvlText w:val="•"/>
      <w:numFmt w:val="bullet"/>
      <w:start w:val="1"/>
    </w:lvl>
  </w:abstractNum>
  <w:abstractNum w:abstractNumId="33">
    <w:nsid w:val="2123D5F2"/>
    <w:multiLevelType w:val="hybridMultilevel"/>
    <w:lvl w:ilvl="0">
      <w:lvlJc w:val="left"/>
      <w:lvlText w:val="8"/>
      <w:numFmt w:val="bullet"/>
      <w:start w:val="1"/>
    </w:lvl>
  </w:abstractNum>
  <w:abstractNum w:abstractNumId="34">
    <w:nsid w:val="135B8110"/>
    <w:multiLevelType w:val="hybridMultilevel"/>
    <w:lvl w:ilvl="0">
      <w:lvlJc w:val="left"/>
      <w:lvlText w:val="%1"/>
      <w:numFmt w:val="decimal"/>
      <w:start w:val="1"/>
    </w:lvl>
  </w:abstractNum>
  <w:abstractNum w:abstractNumId="35">
    <w:nsid w:val="94927A8"/>
    <w:multiLevelType w:val="hybridMultilevel"/>
    <w:lvl w:ilvl="0">
      <w:lvlJc w:val="left"/>
      <w:lvlText w:val="1"/>
      <w:numFmt w:val="bullet"/>
      <w:start w:val="1"/>
    </w:lvl>
  </w:abstractNum>
  <w:abstractNum w:abstractNumId="36">
    <w:nsid w:val="DCDF8F6"/>
    <w:multiLevelType w:val="hybridMultilevel"/>
    <w:lvl w:ilvl="0">
      <w:lvlJc w:val="left"/>
      <w:lvlText w:val="•"/>
      <w:numFmt w:val="bullet"/>
      <w:start w:val="1"/>
    </w:lvl>
  </w:abstractNum>
  <w:abstractNum w:abstractNumId="37">
    <w:nsid w:val="52D7B105"/>
    <w:multiLevelType w:val="hybridMultilevel"/>
    <w:lvl w:ilvl="0">
      <w:lvlJc w:val="left"/>
      <w:lvlText w:val="•"/>
      <w:numFmt w:val="bullet"/>
      <w:start w:val="1"/>
    </w:lvl>
  </w:abstractNum>
  <w:abstractNum w:abstractNumId="38">
    <w:nsid w:val="2E8A6394"/>
    <w:multiLevelType w:val="hybridMultilevel"/>
    <w:lvl w:ilvl="0">
      <w:lvlJc w:val="left"/>
      <w:lvlText w:val="•"/>
      <w:numFmt w:val="bullet"/>
      <w:start w:val="1"/>
    </w:lvl>
  </w:abstractNum>
  <w:abstractNum w:abstractNumId="39">
    <w:nsid w:val="24E60401"/>
    <w:multiLevelType w:val="hybridMultilevel"/>
    <w:lvl w:ilvl="0">
      <w:lvlJc w:val="left"/>
      <w:lvlText w:val="•"/>
      <w:numFmt w:val="bullet"/>
      <w:start w:val="1"/>
    </w:lvl>
  </w:abstractNum>
  <w:abstractNum w:abstractNumId="40">
    <w:nsid w:val="2A6AD9BE"/>
    <w:multiLevelType w:val="hybridMultilevel"/>
    <w:lvl w:ilvl="0">
      <w:lvlJc w:val="left"/>
      <w:lvlText w:val="•"/>
      <w:numFmt w:val="bullet"/>
      <w:start w:val="1"/>
    </w:lvl>
  </w:abstractNum>
  <w:abstractNum w:abstractNumId="41">
    <w:nsid w:val="BAAC1B4"/>
    <w:multiLevelType w:val="hybridMultilevel"/>
    <w:lvl w:ilvl="0">
      <w:lvlJc w:val="left"/>
      <w:lvlText w:val="•"/>
      <w:numFmt w:val="bullet"/>
      <w:start w:val="1"/>
    </w:lvl>
  </w:abstractNum>
  <w:abstractNum w:abstractNumId="42">
    <w:nsid w:val="36B2ACBC"/>
    <w:multiLevelType w:val="hybridMultilevel"/>
    <w:lvl w:ilvl="0">
      <w:lvlJc w:val="left"/>
      <w:lvlText w:val="•"/>
      <w:numFmt w:val="bullet"/>
      <w:start w:val="1"/>
    </w:lvl>
  </w:abstractNum>
  <w:abstractNum w:abstractNumId="43">
    <w:nsid w:val="779D8544"/>
    <w:multiLevelType w:val="hybridMultilevel"/>
    <w:lvl w:ilvl="0">
      <w:lvlJc w:val="left"/>
      <w:lvlText w:val="•"/>
      <w:numFmt w:val="bullet"/>
      <w:start w:val="1"/>
    </w:lvl>
  </w:abstractNum>
  <w:abstractNum w:abstractNumId="44">
    <w:nsid w:val="4AB26E78"/>
    <w:multiLevelType w:val="hybridMultilevel"/>
    <w:lvl w:ilvl="0">
      <w:lvlJc w:val="left"/>
      <w:lvlText w:val="•"/>
      <w:numFmt w:val="bullet"/>
      <w:start w:val="1"/>
    </w:lvl>
  </w:abstractNum>
  <w:abstractNum w:abstractNumId="45">
    <w:nsid w:val="21FAA2FA"/>
    <w:multiLevelType w:val="hybridMultilevel"/>
    <w:lvl w:ilvl="0">
      <w:lvlJc w:val="left"/>
      <w:lvlText w:val="•"/>
      <w:numFmt w:val="bullet"/>
      <w:start w:val="1"/>
    </w:lvl>
  </w:abstractNum>
  <w:abstractNum w:abstractNumId="46">
    <w:nsid w:val="5451CF49"/>
    <w:multiLevelType w:val="hybridMultilevel"/>
    <w:lvl w:ilvl="0">
      <w:lvlJc w:val="left"/>
      <w:lvlText w:val="•"/>
      <w:numFmt w:val="bullet"/>
      <w:start w:val="1"/>
    </w:lvl>
  </w:abstractNum>
  <w:abstractNum w:abstractNumId="47">
    <w:nsid w:val="6181EF69"/>
    <w:multiLevelType w:val="hybridMultilevel"/>
    <w:lvl w:ilvl="0">
      <w:lvlJc w:val="left"/>
      <w:lvlText w:val="•"/>
      <w:numFmt w:val="bullet"/>
      <w:start w:val="1"/>
    </w:lvl>
  </w:abstractNum>
  <w:abstractNum w:abstractNumId="48">
    <w:nsid w:val="3E6400E6"/>
    <w:multiLevelType w:val="hybridMultilevel"/>
    <w:lvl w:ilvl="0">
      <w:lvlJc w:val="left"/>
      <w:lvlText w:val="•"/>
      <w:numFmt w:val="bullet"/>
      <w:start w:val="1"/>
    </w:lvl>
  </w:abstractNum>
  <w:abstractNum w:abstractNumId="49">
    <w:nsid w:val="14217E23"/>
    <w:multiLevelType w:val="hybridMultilevel"/>
    <w:lvl w:ilvl="0">
      <w:lvlJc w:val="left"/>
      <w:lvlText w:val="•"/>
      <w:numFmt w:val="bullet"/>
      <w:start w:val="1"/>
    </w:lvl>
  </w:abstractNum>
  <w:abstractNum w:abstractNumId="50">
    <w:nsid w:val="710757D0"/>
    <w:multiLevelType w:val="hybridMultilevel"/>
    <w:lvl w:ilvl="0">
      <w:lvlJc w:val="left"/>
      <w:lvlText w:val="•"/>
      <w:numFmt w:val="bullet"/>
      <w:start w:val="1"/>
    </w:lvl>
  </w:abstractNum>
  <w:abstractNum w:abstractNumId="51">
    <w:nsid w:val="5015CD1A"/>
    <w:multiLevelType w:val="hybridMultilevel"/>
    <w:lvl w:ilvl="0">
      <w:lvlJc w:val="left"/>
      <w:lvlText w:val="•"/>
      <w:numFmt w:val="bullet"/>
      <w:start w:val="1"/>
    </w:lvl>
  </w:abstractNum>
  <w:abstractNum w:abstractNumId="52">
    <w:nsid w:val="424479DA"/>
    <w:multiLevelType w:val="hybridMultilevel"/>
    <w:lvl w:ilvl="0">
      <w:lvlJc w:val="left"/>
      <w:lvlText w:val="•"/>
      <w:numFmt w:val="bullet"/>
      <w:start w:val="1"/>
    </w:lvl>
  </w:abstractNum>
  <w:abstractNum w:abstractNumId="53">
    <w:nsid w:val="1A9A9E69"/>
    <w:multiLevelType w:val="hybridMultilevel"/>
    <w:lvl w:ilvl="0">
      <w:lvlJc w:val="left"/>
      <w:lvlText w:val="•"/>
      <w:numFmt w:val="bullet"/>
      <w:start w:val="1"/>
    </w:lvl>
  </w:abstractNum>
  <w:abstractNum w:abstractNumId="54">
    <w:nsid w:val="475E256A"/>
    <w:multiLevelType w:val="hybridMultilevel"/>
    <w:lvl w:ilvl="0">
      <w:lvlJc w:val="left"/>
      <w:lvlText w:val="•"/>
      <w:numFmt w:val="bullet"/>
      <w:start w:val="1"/>
    </w:lvl>
  </w:abstractNum>
  <w:abstractNum w:abstractNumId="55">
    <w:nsid w:val="368DB37E"/>
    <w:multiLevelType w:val="hybridMultilevel"/>
    <w:lvl w:ilvl="0">
      <w:lvlJc w:val="left"/>
      <w:lvlText w:val="•"/>
      <w:numFmt w:val="bullet"/>
      <w:start w:val="1"/>
    </w:lvl>
  </w:abstractNum>
  <w:abstractNum w:abstractNumId="56">
    <w:nsid w:val="6A3B714C"/>
    <w:multiLevelType w:val="hybridMultilevel"/>
    <w:lvl w:ilvl="0">
      <w:lvlJc w:val="left"/>
      <w:lvlText w:val="•"/>
      <w:numFmt w:val="bullet"/>
      <w:start w:val="1"/>
    </w:lvl>
  </w:abstractNum>
  <w:abstractNum w:abstractNumId="57">
    <w:nsid w:val="327B517E"/>
    <w:multiLevelType w:val="hybridMultilevel"/>
    <w:lvl w:ilvl="0">
      <w:lvlJc w:val="left"/>
      <w:lvlText w:val="•"/>
      <w:numFmt w:val="bullet"/>
      <w:start w:val="1"/>
    </w:lvl>
  </w:abstractNum>
  <w:abstractNum w:abstractNumId="58">
    <w:nsid w:val="1F461B51"/>
    <w:multiLevelType w:val="hybridMultilevel"/>
    <w:lvl w:ilvl="0">
      <w:lvlJc w:val="left"/>
      <w:lvlText w:val="•"/>
      <w:numFmt w:val="bullet"/>
      <w:start w:val="1"/>
    </w:lvl>
  </w:abstractNum>
  <w:abstractNum w:abstractNumId="59">
    <w:nsid w:val="29BACF25"/>
    <w:multiLevelType w:val="hybridMultilevel"/>
    <w:lvl w:ilvl="0">
      <w:lvlJc w:val="left"/>
      <w:lvlText w:val="•"/>
      <w:numFmt w:val="bullet"/>
      <w:start w:val="1"/>
    </w:lvl>
  </w:abstractNum>
  <w:abstractNum w:abstractNumId="60">
    <w:nsid w:val="5D5BABB3"/>
    <w:multiLevelType w:val="hybridMultilevel"/>
    <w:lvl w:ilvl="0">
      <w:lvlJc w:val="left"/>
      <w:lvlText w:val="•"/>
      <w:numFmt w:val="bullet"/>
      <w:start w:val="1"/>
    </w:lvl>
  </w:abstractNum>
  <w:abstractNum w:abstractNumId="61">
    <w:nsid w:val="51BF6B48"/>
    <w:multiLevelType w:val="hybridMultilevel"/>
    <w:lvl w:ilvl="0">
      <w:lvlJc w:val="left"/>
      <w:lvlText w:val="•"/>
      <w:numFmt w:val="bullet"/>
      <w:start w:val="1"/>
    </w:lvl>
  </w:abstractNum>
  <w:abstractNum w:abstractNumId="62">
    <w:nsid w:val="7E0F6384"/>
    <w:multiLevelType w:val="hybridMultilevel"/>
    <w:lvl w:ilvl="0">
      <w:lvlJc w:val="left"/>
      <w:lvlText w:val="•"/>
      <w:numFmt w:val="bullet"/>
      <w:start w:val="1"/>
    </w:lvl>
  </w:abstractNum>
  <w:abstractNum w:abstractNumId="63">
    <w:nsid w:val="2B4B8B53"/>
    <w:multiLevelType w:val="hybridMultilevel"/>
    <w:lvl w:ilvl="0">
      <w:lvlJc w:val="left"/>
      <w:lvlText w:val="•"/>
      <w:numFmt w:val="bullet"/>
      <w:start w:val="1"/>
    </w:lvl>
  </w:abstractNum>
  <w:abstractNum w:abstractNumId="64">
    <w:nsid w:val="72E3413A"/>
    <w:multiLevelType w:val="hybridMultilevel"/>
    <w:lvl w:ilvl="0">
      <w:lvlJc w:val="left"/>
      <w:lvlText w:val="•"/>
      <w:numFmt w:val="bullet"/>
      <w:start w:val="1"/>
    </w:lvl>
  </w:abstractNum>
  <w:abstractNum w:abstractNumId="65">
    <w:nsid w:val="116AE494"/>
    <w:multiLevelType w:val="hybridMultilevel"/>
    <w:lvl w:ilvl="0">
      <w:lvlJc w:val="left"/>
      <w:lvlText w:val="•"/>
      <w:numFmt w:val="bullet"/>
      <w:start w:val="1"/>
    </w:lvl>
  </w:abstractNum>
  <w:abstractNum w:abstractNumId="66">
    <w:nsid w:val="3494B2FB"/>
    <w:multiLevelType w:val="hybridMultilevel"/>
    <w:lvl w:ilvl="0">
      <w:lvlJc w:val="left"/>
      <w:lvlText w:val="•"/>
      <w:numFmt w:val="bullet"/>
      <w:start w:val="1"/>
    </w:lvl>
  </w:abstractNum>
  <w:abstractNum w:abstractNumId="67">
    <w:nsid w:val="B13A31"/>
    <w:multiLevelType w:val="hybridMultilevel"/>
    <w:lvl w:ilvl="0">
      <w:lvlJc w:val="left"/>
      <w:lvlText w:val="•"/>
      <w:numFmt w:val="bullet"/>
      <w:start w:val="1"/>
    </w:lvl>
  </w:abstractNum>
  <w:abstractNum w:abstractNumId="68">
    <w:nsid w:val="64429599"/>
    <w:multiLevelType w:val="hybridMultilevel"/>
    <w:lvl w:ilvl="0">
      <w:lvlJc w:val="left"/>
      <w:lvlText w:val="•"/>
      <w:numFmt w:val="bullet"/>
      <w:start w:val="1"/>
    </w:lvl>
  </w:abstractNum>
  <w:abstractNum w:abstractNumId="69">
    <w:nsid w:val="631F1690"/>
    <w:multiLevelType w:val="hybridMultilevel"/>
    <w:lvl w:ilvl="0">
      <w:lvlJc w:val="left"/>
      <w:lvlText w:val="•"/>
      <w:numFmt w:val="bullet"/>
      <w:start w:val="1"/>
    </w:lvl>
  </w:abstractNum>
  <w:abstractNum w:abstractNumId="70">
    <w:nsid w:val="25973E32"/>
    <w:multiLevelType w:val="hybridMultilevel"/>
    <w:lvl w:ilvl="0">
      <w:lvlJc w:val="left"/>
      <w:lvlText w:val="•"/>
      <w:numFmt w:val="bullet"/>
      <w:start w:val="1"/>
    </w:lvl>
  </w:abstractNum>
  <w:abstractNum w:abstractNumId="71">
    <w:nsid w:val="EAD6F57"/>
    <w:multiLevelType w:val="hybridMultilevel"/>
    <w:lvl w:ilvl="0">
      <w:lvlJc w:val="left"/>
      <w:lvlText w:val="•"/>
      <w:numFmt w:val="bullet"/>
      <w:start w:val="1"/>
    </w:lvl>
  </w:abstractNum>
  <w:abstractNum w:abstractNumId="72">
    <w:nsid w:val="6EC9D844"/>
    <w:multiLevelType w:val="hybridMultilevel"/>
    <w:lvl w:ilvl="0">
      <w:lvlJc w:val="left"/>
      <w:lvlText w:val="•"/>
      <w:numFmt w:val="bullet"/>
      <w:start w:val="1"/>
    </w:lvl>
  </w:abstractNum>
  <w:abstractNum w:abstractNumId="73">
    <w:nsid w:val="5C49EAEE"/>
    <w:multiLevelType w:val="hybridMultilevel"/>
    <w:lvl w:ilvl="0">
      <w:lvlJc w:val="left"/>
      <w:lvlText w:val="•"/>
      <w:numFmt w:val="bullet"/>
      <w:start w:val="1"/>
    </w:lvl>
  </w:abstractNum>
  <w:abstractNum w:abstractNumId="74">
    <w:nsid w:val="64AF49B"/>
    <w:multiLevelType w:val="hybridMultilevel"/>
    <w:lvl w:ilvl="0">
      <w:lvlJc w:val="left"/>
      <w:lvlText w:val="•"/>
      <w:numFmt w:val="bullet"/>
      <w:start w:val="1"/>
    </w:lvl>
  </w:abstractNum>
  <w:abstractNum w:abstractNumId="75">
    <w:nsid w:val="397C46BC"/>
    <w:multiLevelType w:val="hybridMultilevel"/>
    <w:lvl w:ilvl="0">
      <w:lvlJc w:val="left"/>
      <w:lvlText w:val="•"/>
      <w:numFmt w:val="bullet"/>
      <w:start w:val="1"/>
    </w:lvl>
  </w:abstractNum>
  <w:abstractNum w:abstractNumId="76">
    <w:nsid w:val="7E448DE9"/>
    <w:multiLevelType w:val="hybridMultilevel"/>
    <w:lvl w:ilvl="0">
      <w:lvlJc w:val="left"/>
      <w:lvlText w:val="•"/>
      <w:numFmt w:val="bullet"/>
      <w:start w:val="1"/>
    </w:lvl>
  </w:abstractNum>
  <w:abstractNum w:abstractNumId="77">
    <w:nsid w:val="5A9CC3E5"/>
    <w:multiLevelType w:val="hybridMultilevel"/>
    <w:lvl w:ilvl="0">
      <w:lvlJc w:val="left"/>
      <w:lvlText w:val="•"/>
      <w:numFmt w:val="bullet"/>
      <w:start w:val="1"/>
    </w:lvl>
  </w:abstractNum>
  <w:abstractNum w:abstractNumId="78">
    <w:nsid w:val="1AFE3625"/>
    <w:multiLevelType w:val="hybridMultilevel"/>
    <w:lvl w:ilvl="0">
      <w:lvlJc w:val="left"/>
      <w:lvlText w:val="•"/>
      <w:numFmt w:val="bullet"/>
      <w:start w:val="1"/>
    </w:lvl>
  </w:abstractNum>
  <w:abstractNum w:abstractNumId="79">
    <w:nsid w:val="3CA88ECF"/>
    <w:multiLevelType w:val="hybridMultilevel"/>
    <w:lvl w:ilvl="0">
      <w:lvlJc w:val="left"/>
      <w:lvlText w:val="•"/>
      <w:numFmt w:val="bullet"/>
      <w:start w:val="1"/>
    </w:lvl>
  </w:abstractNum>
  <w:abstractNum w:abstractNumId="80">
    <w:nsid w:val="6EBE4208"/>
    <w:multiLevelType w:val="hybridMultilevel"/>
    <w:lvl w:ilvl="0">
      <w:lvlJc w:val="left"/>
      <w:lvlText w:val="•"/>
      <w:numFmt w:val="bullet"/>
      <w:start w:val="1"/>
    </w:lvl>
  </w:abstractNum>
  <w:abstractNum w:abstractNumId="81">
    <w:nsid w:val="C058DF5"/>
    <w:multiLevelType w:val="hybridMultilevel"/>
    <w:lvl w:ilvl="0">
      <w:lvlJc w:val="left"/>
      <w:lvlText w:val="•"/>
      <w:numFmt w:val="bullet"/>
      <w:start w:val="1"/>
    </w:lvl>
  </w:abstractNum>
  <w:abstractNum w:abstractNumId="82">
    <w:nsid w:val="CBE5BE9"/>
    <w:multiLevelType w:val="hybridMultilevel"/>
    <w:lvl w:ilvl="0">
      <w:lvlJc w:val="left"/>
      <w:lvlText w:val="•"/>
      <w:numFmt w:val="bullet"/>
      <w:start w:val="1"/>
    </w:lvl>
  </w:abstractNum>
  <w:abstractNum w:abstractNumId="83">
    <w:nsid w:val="3102BBE2"/>
    <w:multiLevelType w:val="hybridMultilevel"/>
    <w:lvl w:ilvl="0">
      <w:lvlJc w:val="left"/>
      <w:lvlText w:val="•"/>
      <w:numFmt w:val="bullet"/>
      <w:start w:val="1"/>
    </w:lvl>
  </w:abstractNum>
  <w:abstractNum w:abstractNumId="84">
    <w:nsid w:val="26A02C5E"/>
    <w:multiLevelType w:val="hybridMultilevel"/>
    <w:lvl w:ilvl="0">
      <w:lvlJc w:val="left"/>
      <w:lvlText w:val="•"/>
      <w:numFmt w:val="bullet"/>
      <w:start w:val="1"/>
    </w:lvl>
  </w:abstractNum>
  <w:abstractNum w:abstractNumId="85">
    <w:nsid w:val="541C8153"/>
    <w:multiLevelType w:val="hybridMultilevel"/>
    <w:lvl w:ilvl="0">
      <w:lvlJc w:val="left"/>
      <w:lvlText w:val="•"/>
      <w:numFmt w:val="bullet"/>
      <w:start w:val="1"/>
    </w:lvl>
  </w:abstractNum>
  <w:abstractNum w:abstractNumId="86">
    <w:nsid w:val="67906F60"/>
    <w:multiLevelType w:val="hybridMultilevel"/>
    <w:lvl w:ilvl="0">
      <w:lvlJc w:val="left"/>
      <w:lvlText w:val="•"/>
      <w:numFmt w:val="bullet"/>
      <w:start w:val="1"/>
    </w:lvl>
  </w:abstractNum>
  <w:abstractNum w:abstractNumId="87">
    <w:nsid w:val="10DB9DAA"/>
    <w:multiLevelType w:val="hybridMultilevel"/>
    <w:lvl w:ilvl="0">
      <w:lvlJc w:val="left"/>
      <w:lvlText w:val="•"/>
      <w:numFmt w:val="bullet"/>
      <w:start w:val="1"/>
    </w:lvl>
  </w:abstractNum>
  <w:abstractNum w:abstractNumId="88">
    <w:nsid w:val="697D2D2"/>
    <w:multiLevelType w:val="hybridMultilevel"/>
    <w:lvl w:ilvl="0">
      <w:lvlJc w:val="left"/>
      <w:lvlText w:val="•"/>
      <w:numFmt w:val="bullet"/>
      <w:start w:val="1"/>
    </w:lvl>
  </w:abstractNum>
  <w:abstractNum w:abstractNumId="89">
    <w:nsid w:val="6D68AB2"/>
    <w:multiLevelType w:val="hybridMultilevel"/>
    <w:lvl w:ilvl="0">
      <w:lvlJc w:val="left"/>
      <w:lvlText w:val="•"/>
      <w:numFmt w:val="bullet"/>
      <w:start w:val="1"/>
    </w:lvl>
  </w:abstractNum>
  <w:abstractNum w:abstractNumId="90">
    <w:nsid w:val="3A966CD0"/>
    <w:multiLevelType w:val="hybridMultilevel"/>
    <w:lvl w:ilvl="0">
      <w:lvlJc w:val="left"/>
      <w:lvlText w:val="•"/>
      <w:numFmt w:val="bullet"/>
      <w:start w:val="1"/>
    </w:lvl>
  </w:abstractNum>
  <w:abstractNum w:abstractNumId="91">
    <w:nsid w:val="63F37E85"/>
    <w:multiLevelType w:val="hybridMultilevel"/>
    <w:lvl w:ilvl="0">
      <w:lvlJc w:val="left"/>
      <w:lvlText w:val="•"/>
      <w:numFmt w:val="bullet"/>
      <w:start w:val="1"/>
    </w:lvl>
  </w:abstractNum>
  <w:abstractNum w:abstractNumId="92">
    <w:nsid w:val="5895F5FA"/>
    <w:multiLevelType w:val="hybridMultilevel"/>
    <w:lvl w:ilvl="0">
      <w:lvlJc w:val="left"/>
      <w:lvlText w:val="•"/>
      <w:numFmt w:val="bullet"/>
      <w:start w:val="1"/>
    </w:lvl>
  </w:abstractNum>
  <w:abstractNum w:abstractNumId="93">
    <w:nsid w:val="38A5D054"/>
    <w:multiLevelType w:val="hybridMultilevel"/>
    <w:lvl w:ilvl="0">
      <w:lvlJc w:val="left"/>
      <w:lvlText w:val="•"/>
      <w:numFmt w:val="bullet"/>
      <w:start w:val="1"/>
    </w:lvl>
  </w:abstractNum>
  <w:abstractNum w:abstractNumId="94">
    <w:nsid w:val="F3F09D8"/>
    <w:multiLevelType w:val="hybridMultilevel"/>
    <w:lvl w:ilvl="0">
      <w:lvlJc w:val="left"/>
      <w:lvlText w:val="•"/>
      <w:numFmt w:val="bullet"/>
      <w:start w:val="1"/>
    </w:lvl>
  </w:abstractNum>
  <w:abstractNum w:abstractNumId="95">
    <w:nsid w:val="4B793735"/>
    <w:multiLevelType w:val="hybridMultilevel"/>
    <w:lvl w:ilvl="0">
      <w:lvlJc w:val="left"/>
      <w:lvlText w:val="•"/>
      <w:numFmt w:val="bullet"/>
      <w:start w:val="1"/>
    </w:lvl>
  </w:abstractNum>
  <w:abstractNum w:abstractNumId="96">
    <w:nsid w:val="4A10B4E8"/>
    <w:multiLevelType w:val="hybridMultilevel"/>
    <w:lvl w:ilvl="0">
      <w:lvlJc w:val="left"/>
      <w:lvlText w:val="•"/>
      <w:numFmt w:val="bullet"/>
      <w:start w:val="1"/>
    </w:lvl>
  </w:abstractNum>
  <w:abstractNum w:abstractNumId="97">
    <w:nsid w:val="43D3BCD4"/>
    <w:multiLevelType w:val="hybridMultilevel"/>
    <w:lvl w:ilvl="0">
      <w:lvlJc w:val="left"/>
      <w:lvlText w:val="•"/>
      <w:numFmt w:val="bullet"/>
      <w:start w:val="1"/>
    </w:lvl>
  </w:abstractNum>
  <w:abstractNum w:abstractNumId="98">
    <w:nsid w:val="4C2A7166"/>
    <w:multiLevelType w:val="hybridMultilevel"/>
    <w:lvl w:ilvl="0">
      <w:lvlJc w:val="left"/>
      <w:lvlText w:val="•"/>
      <w:numFmt w:val="bullet"/>
      <w:start w:val="1"/>
    </w:lvl>
  </w:abstractNum>
  <w:abstractNum w:abstractNumId="99">
    <w:nsid w:val="2E534A82"/>
    <w:multiLevelType w:val="hybridMultilevel"/>
    <w:lvl w:ilvl="0">
      <w:lvlJc w:val="left"/>
      <w:lvlText w:val="•"/>
      <w:numFmt w:val="bullet"/>
      <w:start w:val="1"/>
    </w:lvl>
  </w:abstractNum>
  <w:abstractNum w:abstractNumId="100">
    <w:nsid w:val="26F2D364"/>
    <w:multiLevelType w:val="hybridMultilevel"/>
    <w:lvl w:ilvl="0">
      <w:lvlJc w:val="left"/>
      <w:lvlText w:val="•"/>
      <w:numFmt w:val="bullet"/>
      <w:start w:val="1"/>
    </w:lvl>
  </w:abstractNum>
  <w:abstractNum w:abstractNumId="101">
    <w:nsid w:val="71C1AF98"/>
    <w:multiLevelType w:val="hybridMultilevel"/>
    <w:lvl w:ilvl="0">
      <w:lvlJc w:val="left"/>
      <w:lvlText w:val="•"/>
      <w:numFmt w:val="bullet"/>
      <w:start w:val="1"/>
    </w:lvl>
  </w:abstractNum>
  <w:abstractNum w:abstractNumId="102">
    <w:nsid w:val="3D00B9D9"/>
    <w:multiLevelType w:val="hybridMultilevel"/>
    <w:lvl w:ilvl="0">
      <w:lvlJc w:val="left"/>
      <w:lvlText w:val="•"/>
      <w:numFmt w:val="bullet"/>
      <w:start w:val="1"/>
    </w:lvl>
  </w:abstractNum>
  <w:abstractNum w:abstractNumId="103">
    <w:nsid w:val="15BCABA8"/>
    <w:multiLevelType w:val="hybridMultilevel"/>
    <w:lvl w:ilvl="0">
      <w:lvlJc w:val="left"/>
      <w:lvlText w:val="•"/>
      <w:numFmt w:val="bullet"/>
      <w:start w:val="1"/>
    </w:lvl>
  </w:abstractNum>
  <w:abstractNum w:abstractNumId="104">
    <w:nsid w:val="4E0B9A87"/>
    <w:multiLevelType w:val="hybridMultilevel"/>
    <w:lvl w:ilvl="0">
      <w:lvlJc w:val="left"/>
      <w:lvlText w:val="•"/>
      <w:numFmt w:val="bullet"/>
      <w:start w:val="1"/>
    </w:lvl>
  </w:abstractNum>
  <w:abstractNum w:abstractNumId="105">
    <w:nsid w:val="434BAE75"/>
    <w:multiLevelType w:val="hybridMultilevel"/>
    <w:lvl w:ilvl="0">
      <w:lvlJc w:val="left"/>
      <w:lvlText w:val="•"/>
      <w:numFmt w:val="bullet"/>
      <w:start w:val="1"/>
    </w:lvl>
  </w:abstractNum>
  <w:abstractNum w:abstractNumId="106">
    <w:nsid w:val="4F38F265"/>
    <w:multiLevelType w:val="hybridMultilevel"/>
    <w:lvl w:ilvl="0">
      <w:lvlJc w:val="left"/>
      <w:lvlText w:val="%1"/>
      <w:numFmt w:val="decimal"/>
      <w:start w:val="2"/>
    </w:lvl>
  </w:abstractNum>
  <w:abstractNum w:abstractNumId="107">
    <w:nsid w:val="4C502870"/>
    <w:multiLevelType w:val="hybridMultilevel"/>
    <w:lvl w:ilvl="0">
      <w:lvlJc w:val="left"/>
      <w:lvlText w:val="•"/>
      <w:numFmt w:val="bullet"/>
      <w:start w:val="1"/>
    </w:lvl>
  </w:abstractNum>
  <w:abstractNum w:abstractNumId="108">
    <w:nsid w:val="1DE8725A"/>
    <w:multiLevelType w:val="hybridMultilevel"/>
    <w:lvl w:ilvl="0">
      <w:lvlJc w:val="left"/>
      <w:lvlText w:val="•"/>
      <w:numFmt w:val="bullet"/>
      <w:start w:val="1"/>
    </w:lvl>
  </w:abstractNum>
  <w:abstractNum w:abstractNumId="109">
    <w:nsid w:val="6A37288A"/>
    <w:multiLevelType w:val="hybridMultilevel"/>
    <w:lvl w:ilvl="0">
      <w:lvlJc w:val="left"/>
      <w:lvlText w:val="•"/>
      <w:numFmt w:val="bullet"/>
      <w:start w:val="1"/>
    </w:lvl>
  </w:abstractNum>
  <w:abstractNum w:abstractNumId="110">
    <w:nsid w:val="8F8B73F"/>
    <w:multiLevelType w:val="hybridMultilevel"/>
    <w:lvl w:ilvl="0">
      <w:lvlJc w:val="left"/>
      <w:lvlText w:val="•"/>
      <w:numFmt w:val="bullet"/>
      <w:start w:val="1"/>
    </w:lvl>
    <w:lvl w:ilvl="1">
      <w:lvlJc w:val="left"/>
      <w:lvlText w:val="\emdash "/>
      <w:numFmt w:val="bullet"/>
      <w:start w:val="1"/>
    </w:lvl>
  </w:abstractNum>
  <w:abstractNum w:abstractNumId="111">
    <w:nsid w:val="CA6B462"/>
    <w:multiLevelType w:val="hybridMultilevel"/>
    <w:lvl w:ilvl="0">
      <w:lvlJc w:val="left"/>
      <w:lvlText w:val="•"/>
      <w:numFmt w:val="bullet"/>
      <w:start w:val="1"/>
    </w:lvl>
  </w:abstractNum>
  <w:abstractNum w:abstractNumId="112">
    <w:nsid w:val="763CB680"/>
    <w:multiLevelType w:val="hybridMultilevel"/>
    <w:lvl w:ilvl="0">
      <w:lvlJc w:val="left"/>
      <w:lvlText w:val="•"/>
      <w:numFmt w:val="bullet"/>
      <w:start w:val="1"/>
    </w:lvl>
  </w:abstractNum>
  <w:abstractNum w:abstractNumId="113">
    <w:nsid w:val="15B71329"/>
    <w:multiLevelType w:val="hybridMultilevel"/>
    <w:lvl w:ilvl="0">
      <w:lvlJc w:val="left"/>
      <w:lvlText w:val="•"/>
      <w:numFmt w:val="bullet"/>
      <w:start w:val="1"/>
    </w:lvl>
  </w:abstractNum>
  <w:abstractNum w:abstractNumId="114">
    <w:nsid w:val="3DA97044"/>
    <w:multiLevelType w:val="hybridMultilevel"/>
    <w:lvl w:ilvl="0">
      <w:lvlJc w:val="left"/>
      <w:lvlText w:val="•"/>
      <w:numFmt w:val="bullet"/>
      <w:start w:val="1"/>
    </w:lvl>
  </w:abstractNum>
  <w:abstractNum w:abstractNumId="115">
    <w:nsid w:val="1CDCE2DE"/>
    <w:multiLevelType w:val="hybridMultilevel"/>
    <w:lvl w:ilvl="0">
      <w:lvlJc w:val="left"/>
      <w:lvlText w:val="•"/>
      <w:numFmt w:val="bullet"/>
      <w:start w:val="1"/>
    </w:lvl>
  </w:abstractNum>
  <w:abstractNum w:abstractNumId="116">
    <w:nsid w:val="69D3947C"/>
    <w:multiLevelType w:val="hybridMultilevel"/>
    <w:lvl w:ilvl="0">
      <w:lvlJc w:val="left"/>
      <w:lvlText w:val="•"/>
      <w:numFmt w:val="bullet"/>
      <w:start w:val="1"/>
    </w:lvl>
  </w:abstractNum>
  <w:abstractNum w:abstractNumId="117">
    <w:nsid w:val="2539DFA5"/>
    <w:multiLevelType w:val="hybridMultilevel"/>
    <w:lvl w:ilvl="0">
      <w:lvlJc w:val="left"/>
      <w:lvlText w:val="1"/>
      <w:numFmt w:val="bullet"/>
      <w:start w:val="1"/>
    </w:lvl>
  </w:abstractNum>
  <w:abstractNum w:abstractNumId="118">
    <w:nsid w:val="2DB88089"/>
    <w:multiLevelType w:val="hybridMultilevel"/>
    <w:lvl w:ilvl="0">
      <w:lvlJc w:val="left"/>
      <w:lvlText w:val="2"/>
      <w:numFmt w:val="bullet"/>
      <w:start w:val="1"/>
    </w:lvl>
  </w:abstractNum>
  <w:abstractNum w:abstractNumId="119">
    <w:nsid w:val="706B674E"/>
    <w:multiLevelType w:val="hybridMultilevel"/>
    <w:lvl w:ilvl="0">
      <w:lvlJc w:val="left"/>
      <w:lvlText w:val="•"/>
      <w:numFmt w:val="bullet"/>
      <w:start w:val="1"/>
    </w:lvl>
  </w:abstractNum>
  <w:abstractNum w:abstractNumId="120">
    <w:nsid w:val="2C106A57"/>
    <w:multiLevelType w:val="hybridMultilevel"/>
    <w:lvl w:ilvl="0">
      <w:lvlJc w:val="left"/>
      <w:lvlText w:val="%1"/>
      <w:numFmt w:val="decimal"/>
      <w:start w:val="3"/>
    </w:lvl>
  </w:abstractNum>
  <w:abstractNum w:abstractNumId="121">
    <w:nsid w:val="684EED59"/>
    <w:multiLevelType w:val="hybridMultilevel"/>
    <w:lvl w:ilvl="0">
      <w:lvlJc w:val="left"/>
      <w:lvlText w:val="•"/>
      <w:numFmt w:val="bullet"/>
      <w:start w:val="1"/>
    </w:lvl>
  </w:abstractNum>
  <w:abstractNum w:abstractNumId="122">
    <w:nsid w:val="545EE5D3"/>
    <w:multiLevelType w:val="hybridMultilevel"/>
    <w:lvl w:ilvl="0">
      <w:lvlJc w:val="left"/>
      <w:lvlText w:val="%1"/>
      <w:numFmt w:val="decimal"/>
      <w:start w:val="4"/>
    </w:lvl>
  </w:abstractNum>
  <w:abstractNum w:abstractNumId="123">
    <w:nsid w:val="4A66051"/>
    <w:multiLevelType w:val="hybridMultilevel"/>
    <w:lvl w:ilvl="0">
      <w:lvlJc w:val="left"/>
      <w:lvlText w:val="•"/>
      <w:numFmt w:val="bullet"/>
      <w:start w:val="1"/>
    </w:lvl>
  </w:abstractNum>
  <w:abstractNum w:abstractNumId="124">
    <w:nsid w:val="20F4BDAD"/>
    <w:multiLevelType w:val="hybridMultilevel"/>
    <w:lvl w:ilvl="0">
      <w:lvlJc w:val="left"/>
      <w:lvlText w:val="•"/>
      <w:numFmt w:val="bullet"/>
      <w:start w:val="1"/>
    </w:lvl>
  </w:abstractNum>
  <w:abstractNum w:abstractNumId="125">
    <w:nsid w:val="639DEFAC"/>
    <w:multiLevelType w:val="hybridMultilevel"/>
    <w:lvl w:ilvl="0">
      <w:lvlJc w:val="left"/>
      <w:lvlText w:val="•"/>
      <w:numFmt w:val="bullet"/>
      <w:start w:val="1"/>
    </w:lvl>
  </w:abstractNum>
  <w:abstractNum w:abstractNumId="126">
    <w:nsid w:val="501F9786"/>
    <w:multiLevelType w:val="hybridMultilevel"/>
    <w:lvl w:ilvl="0">
      <w:lvlJc w:val="left"/>
      <w:lvlText w:val="•"/>
      <w:numFmt w:val="bullet"/>
      <w:start w:val="1"/>
    </w:lvl>
    <w:lvl w:ilvl="1">
      <w:lvlJc w:val="left"/>
      <w:lvlText w:val="\emdash "/>
      <w:numFmt w:val="bullet"/>
      <w:start w:val="1"/>
    </w:lvl>
  </w:abstractNum>
  <w:abstractNum w:abstractNumId="127">
    <w:nsid w:val="6B057295"/>
    <w:multiLevelType w:val="hybridMultilevel"/>
    <w:lvl w:ilvl="0">
      <w:lvlJc w:val="left"/>
      <w:lvlText w:val="•"/>
      <w:numFmt w:val="bullet"/>
      <w:start w:val="1"/>
    </w:lvl>
  </w:abstractNum>
  <w:abstractNum w:abstractNumId="128">
    <w:nsid w:val="2771AC80"/>
    <w:multiLevelType w:val="hybridMultilevel"/>
    <w:lvl w:ilvl="0">
      <w:lvlJc w:val="left"/>
      <w:lvlText w:val="1"/>
      <w:numFmt w:val="bullet"/>
      <w:start w:val="1"/>
    </w:lvl>
  </w:abstractNum>
  <w:abstractNum w:abstractNumId="129">
    <w:nsid w:val="1C4A08EC"/>
    <w:multiLevelType w:val="hybridMultilevel"/>
    <w:lvl w:ilvl="0">
      <w:lvlJc w:val="left"/>
      <w:lvlText w:val="2"/>
      <w:numFmt w:val="bullet"/>
      <w:start w:val="1"/>
    </w:lvl>
  </w:abstractNum>
  <w:abstractNum w:abstractNumId="130">
    <w:nsid w:val="1958BD17"/>
    <w:multiLevelType w:val="hybridMultilevel"/>
    <w:lvl w:ilvl="0">
      <w:lvlJc w:val="left"/>
      <w:lvlText w:val="3"/>
      <w:numFmt w:val="bullet"/>
      <w:start w:val="1"/>
    </w:lvl>
  </w:abstractNum>
  <w:abstractNum w:abstractNumId="131">
    <w:nsid w:val="4E647FE4"/>
    <w:multiLevelType w:val="hybridMultilevel"/>
    <w:lvl w:ilvl="0">
      <w:lvlJc w:val="left"/>
      <w:lvlText w:val="4"/>
      <w:numFmt w:val="bullet"/>
      <w:start w:val="1"/>
    </w:lvl>
  </w:abstractNum>
  <w:abstractNum w:abstractNumId="132">
    <w:nsid w:val="E0BB885"/>
    <w:multiLevelType w:val="hybridMultilevel"/>
    <w:lvl w:ilvl="0">
      <w:lvlJc w:val="left"/>
      <w:lvlText w:val="•"/>
      <w:numFmt w:val="bullet"/>
      <w:start w:val="1"/>
    </w:lvl>
  </w:abstractNum>
  <w:abstractNum w:abstractNumId="133">
    <w:nsid w:val="565976F1"/>
    <w:multiLevelType w:val="hybridMultilevel"/>
    <w:lvl w:ilvl="0">
      <w:lvlJc w:val="left"/>
      <w:lvlText w:val="•"/>
      <w:numFmt w:val="bullet"/>
      <w:start w:val="1"/>
    </w:lvl>
  </w:abstractNum>
  <w:abstractNum w:abstractNumId="134">
    <w:nsid w:val="64212B8C"/>
    <w:multiLevelType w:val="hybridMultilevel"/>
    <w:lvl w:ilvl="0">
      <w:lvlJc w:val="left"/>
      <w:lvlText w:val="•"/>
      <w:numFmt w:val="bullet"/>
      <w:start w:val="1"/>
    </w:lvl>
  </w:abstractNum>
  <w:abstractNum w:abstractNumId="135">
    <w:nsid w:val="5C17530C"/>
    <w:multiLevelType w:val="hybridMultilevel"/>
    <w:lvl w:ilvl="0">
      <w:lvlJc w:val="left"/>
      <w:lvlText w:val="1"/>
      <w:numFmt w:val="bullet"/>
      <w:start w:val="1"/>
    </w:lvl>
  </w:abstractNum>
  <w:abstractNum w:abstractNumId="136">
    <w:nsid w:val="19A52566"/>
    <w:multiLevelType w:val="hybridMultilevel"/>
    <w:lvl w:ilvl="0">
      <w:lvlJc w:val="left"/>
      <w:lvlText w:val="2"/>
      <w:numFmt w:val="bullet"/>
      <w:start w:val="1"/>
    </w:lvl>
  </w:abstractNum>
  <w:abstractNum w:abstractNumId="137">
    <w:nsid w:val="335A1DF1"/>
    <w:multiLevelType w:val="hybridMultilevel"/>
    <w:lvl w:ilvl="0">
      <w:lvlJc w:val="left"/>
      <w:lvlText w:val="•"/>
      <w:numFmt w:val="bullet"/>
      <w:start w:val="1"/>
    </w:lvl>
  </w:abstractNum>
  <w:abstractNum w:abstractNumId="138">
    <w:nsid w:val="28677B7C"/>
    <w:multiLevelType w:val="hybridMultilevel"/>
    <w:lvl w:ilvl="0">
      <w:lvlJc w:val="left"/>
      <w:lvlText w:val="1"/>
      <w:numFmt w:val="bullet"/>
      <w:start w:val="1"/>
    </w:lvl>
  </w:abstractNum>
  <w:abstractNum w:abstractNumId="139">
    <w:nsid w:val="378D97C0"/>
    <w:multiLevelType w:val="hybridMultilevel"/>
    <w:lvl w:ilvl="0">
      <w:lvlJc w:val="left"/>
      <w:lvlText w:val="•"/>
      <w:numFmt w:val="bullet"/>
      <w:start w:val="1"/>
    </w:lvl>
  </w:abstractNum>
  <w:abstractNum w:abstractNumId="140">
    <w:nsid w:val="1D91467C"/>
    <w:multiLevelType w:val="hybridMultilevel"/>
    <w:lvl w:ilvl="0">
      <w:lvlJc w:val="left"/>
      <w:lvlText w:val="•"/>
      <w:numFmt w:val="bullet"/>
      <w:start w:val="1"/>
    </w:lvl>
  </w:abstractNum>
  <w:abstractNum w:abstractNumId="141">
    <w:nsid w:val="316032BB"/>
    <w:multiLevelType w:val="hybridMultilevel"/>
    <w:lvl w:ilvl="0">
      <w:lvlJc w:val="left"/>
      <w:lvlText w:val="•"/>
      <w:numFmt w:val="bullet"/>
      <w:start w:val="1"/>
    </w:lvl>
  </w:abstractNum>
  <w:abstractNum w:abstractNumId="142">
    <w:nsid w:val="44344C22"/>
    <w:multiLevelType w:val="hybridMultilevel"/>
    <w:lvl w:ilvl="0">
      <w:lvlJc w:val="left"/>
      <w:lvlText w:val="•"/>
      <w:numFmt w:val="bullet"/>
      <w:start w:val="1"/>
    </w:lvl>
  </w:abstractNum>
  <w:abstractNum w:abstractNumId="143">
    <w:nsid w:val="13CDFCFC"/>
    <w:multiLevelType w:val="hybridMultilevel"/>
    <w:lvl w:ilvl="0">
      <w:lvlJc w:val="left"/>
      <w:lvlText w:val="1"/>
      <w:numFmt w:val="bullet"/>
      <w:start w:val="1"/>
    </w:lvl>
  </w:abstractNum>
  <w:abstractNum w:abstractNumId="144">
    <w:nsid w:val="471745E4"/>
    <w:multiLevelType w:val="hybridMultilevel"/>
    <w:lvl w:ilvl="0">
      <w:lvlJc w:val="left"/>
      <w:lvlText w:val="2"/>
      <w:numFmt w:val="bullet"/>
      <w:start w:val="1"/>
    </w:lvl>
  </w:abstractNum>
  <w:abstractNum w:abstractNumId="145">
    <w:nsid w:val="1DDBC66"/>
    <w:multiLevelType w:val="hybridMultilevel"/>
    <w:lvl w:ilvl="0">
      <w:lvlJc w:val="left"/>
      <w:lvlText w:val="•"/>
      <w:numFmt w:val="bullet"/>
      <w:start w:val="1"/>
    </w:lvl>
  </w:abstractNum>
  <w:abstractNum w:abstractNumId="146">
    <w:nsid w:val="30AADFDA"/>
    <w:multiLevelType w:val="hybridMultilevel"/>
    <w:lvl w:ilvl="0">
      <w:lvlJc w:val="left"/>
      <w:lvlText w:val="3"/>
      <w:numFmt w:val="bullet"/>
      <w:start w:val="1"/>
    </w:lvl>
  </w:abstractNum>
  <w:abstractNum w:abstractNumId="147">
    <w:nsid w:val="30EADA61"/>
    <w:multiLevelType w:val="hybridMultilevel"/>
    <w:lvl w:ilvl="0">
      <w:lvlJc w:val="left"/>
      <w:lvlText w:val="4"/>
      <w:numFmt w:val="bullet"/>
      <w:start w:val="1"/>
    </w:lvl>
  </w:abstractNum>
  <w:abstractNum w:abstractNumId="148">
    <w:nsid w:val="27179C0B"/>
    <w:multiLevelType w:val="hybridMultilevel"/>
    <w:lvl w:ilvl="0">
      <w:lvlJc w:val="left"/>
      <w:lvlText w:val="%1"/>
      <w:numFmt w:val="decimal"/>
      <w:start w:val="1"/>
    </w:lvl>
  </w:abstractNum>
  <w:abstractNum w:abstractNumId="149">
    <w:nsid w:val="5E636063"/>
    <w:multiLevelType w:val="hybridMultilevel"/>
    <w:lvl w:ilvl="0">
      <w:lvlJc w:val="left"/>
      <w:lvlText w:val="•"/>
      <w:numFmt w:val="bullet"/>
      <w:start w:val="1"/>
    </w:lvl>
  </w:abstractNum>
  <w:abstractNum w:abstractNumId="150">
    <w:nsid w:val="215641AF"/>
    <w:multiLevelType w:val="hybridMultilevel"/>
    <w:lvl w:ilvl="0">
      <w:lvlJc w:val="left"/>
      <w:lvlText w:val="•"/>
      <w:numFmt w:val="bullet"/>
      <w:start w:val="1"/>
    </w:lvl>
  </w:abstractNum>
  <w:abstractNum w:abstractNumId="151">
    <w:nsid w:val="53280662"/>
    <w:multiLevelType w:val="hybridMultilevel"/>
    <w:lvl w:ilvl="0">
      <w:lvlJc w:val="left"/>
      <w:lvlText w:val="•"/>
      <w:numFmt w:val="bullet"/>
      <w:start w:val="1"/>
    </w:lvl>
  </w:abstractNum>
  <w:abstractNum w:abstractNumId="152">
    <w:nsid w:val="46B24DBC"/>
    <w:multiLevelType w:val="hybridMultilevel"/>
    <w:lvl w:ilvl="0">
      <w:lvlJc w:val="left"/>
      <w:lvlText w:val="•"/>
      <w:numFmt w:val="bullet"/>
      <w:start w:val="1"/>
    </w:lvl>
  </w:abstractNum>
  <w:abstractNum w:abstractNumId="153">
    <w:nsid w:val="75B52783"/>
    <w:multiLevelType w:val="hybridMultilevel"/>
    <w:lvl w:ilvl="0">
      <w:lvlJc w:val="left"/>
      <w:lvlText w:val="•"/>
      <w:numFmt w:val="bullet"/>
      <w:start w:val="1"/>
    </w:lvl>
  </w:abstractNum>
  <w:abstractNum w:abstractNumId="154">
    <w:nsid w:val="57CE66B4"/>
    <w:multiLevelType w:val="hybridMultilevel"/>
    <w:lvl w:ilvl="0">
      <w:lvlJc w:val="left"/>
      <w:lvlText w:val="•"/>
      <w:numFmt w:val="bullet"/>
      <w:start w:val="1"/>
    </w:lvl>
  </w:abstractNum>
  <w:abstractNum w:abstractNumId="155">
    <w:nsid w:val="67A70B69"/>
    <w:multiLevelType w:val="hybridMultilevel"/>
    <w:lvl w:ilvl="0">
      <w:lvlJc w:val="left"/>
      <w:lvlText w:val="1"/>
      <w:numFmt w:val="bullet"/>
      <w:start w:val="1"/>
    </w:lvl>
  </w:abstractNum>
  <w:abstractNum w:abstractNumId="156">
    <w:nsid w:val="5953172F"/>
    <w:multiLevelType w:val="hybridMultilevel"/>
    <w:lvl w:ilvl="0">
      <w:lvlJc w:val="left"/>
      <w:lvlText w:val="2"/>
      <w:numFmt w:val="bullet"/>
      <w:start w:val="1"/>
    </w:lvl>
  </w:abstractNum>
  <w:abstractNum w:abstractNumId="157">
    <w:nsid w:val="27EDFE3A"/>
    <w:multiLevelType w:val="hybridMultilevel"/>
    <w:lvl w:ilvl="0">
      <w:lvlJc w:val="left"/>
      <w:lvlText w:val="1"/>
      <w:numFmt w:val="bullet"/>
      <w:start w:val="1"/>
    </w:lvl>
  </w:abstractNum>
  <w:abstractNum w:abstractNumId="158">
    <w:nsid w:val="52AC7DFF"/>
    <w:multiLevelType w:val="hybridMultilevel"/>
    <w:lvl w:ilvl="0">
      <w:lvlJc w:val="left"/>
      <w:lvlText w:val="2"/>
      <w:numFmt w:val="bullet"/>
      <w:start w:val="1"/>
    </w:lvl>
  </w:abstractNum>
  <w:abstractNum w:abstractNumId="159">
    <w:nsid w:val="C4C3AF"/>
    <w:multiLevelType w:val="hybridMultilevel"/>
    <w:lvl w:ilvl="0">
      <w:lvlJc w:val="left"/>
      <w:lvlText w:val="•"/>
      <w:numFmt w:val="bullet"/>
      <w:start w:val="1"/>
    </w:lvl>
    <w:lvl w:ilvl="1">
      <w:lvlJc w:val="left"/>
      <w:lvlText w:val="\emdash "/>
      <w:numFmt w:val="bullet"/>
      <w:start w:val="1"/>
    </w:lvl>
  </w:abstractNum>
  <w:abstractNum w:abstractNumId="160">
    <w:nsid w:val="44380727"/>
    <w:multiLevelType w:val="hybridMultilevel"/>
    <w:lvl w:ilvl="0">
      <w:lvlJc w:val="left"/>
      <w:lvlText w:val="•"/>
      <w:numFmt w:val="bullet"/>
      <w:start w:val="1"/>
    </w:lvl>
  </w:abstractNum>
  <w:abstractNum w:abstractNumId="161">
    <w:nsid w:val="6C053B16"/>
    <w:multiLevelType w:val="hybridMultilevel"/>
    <w:lvl w:ilvl="0">
      <w:lvlJc w:val="left"/>
      <w:lvlText w:val="•"/>
      <w:numFmt w:val="bullet"/>
      <w:start w:val="1"/>
    </w:lvl>
  </w:abstractNum>
  <w:abstractNum w:abstractNumId="162">
    <w:nsid w:val="4F294393"/>
    <w:multiLevelType w:val="hybridMultilevel"/>
    <w:lvl w:ilvl="0">
      <w:lvlJc w:val="left"/>
      <w:lvlText w:val="1"/>
      <w:numFmt w:val="bullet"/>
      <w:start w:val="1"/>
    </w:lvl>
  </w:abstractNum>
  <w:abstractNum w:abstractNumId="163">
    <w:nsid w:val="5243BFAC"/>
    <w:multiLevelType w:val="hybridMultilevel"/>
    <w:lvl w:ilvl="0">
      <w:lvlJc w:val="left"/>
      <w:lvlText w:val="2"/>
      <w:numFmt w:val="bullet"/>
      <w:start w:val="1"/>
    </w:lvl>
  </w:abstractNum>
  <w:abstractNum w:abstractNumId="164">
    <w:nsid w:val="425EB207"/>
    <w:multiLevelType w:val="hybridMultilevel"/>
    <w:lvl w:ilvl="0">
      <w:lvlJc w:val="left"/>
      <w:lvlText w:val="•"/>
      <w:numFmt w:val="bullet"/>
      <w:start w:val="1"/>
    </w:lvl>
    <w:lvl w:ilvl="1">
      <w:lvlJc w:val="left"/>
      <w:lvlText w:val="\emdash "/>
      <w:numFmt w:val="bullet"/>
      <w:start w:val="1"/>
    </w:lvl>
  </w:abstractNum>
  <w:abstractNum w:abstractNumId="165">
    <w:nsid w:val="334A6F1F"/>
    <w:multiLevelType w:val="hybridMultilevel"/>
    <w:lvl w:ilvl="0">
      <w:lvlJc w:val="left"/>
      <w:lvlText w:val="•"/>
      <w:numFmt w:val="bullet"/>
      <w:start w:val="1"/>
    </w:lvl>
  </w:abstractNum>
  <w:abstractNum w:abstractNumId="166">
    <w:nsid w:val="2E5B12B8"/>
    <w:multiLevelType w:val="hybridMultilevel"/>
    <w:lvl w:ilvl="0">
      <w:lvlJc w:val="left"/>
      <w:lvlText w:val="1"/>
      <w:numFmt w:val="bullet"/>
      <w:start w:val="1"/>
    </w:lvl>
  </w:abstractNum>
  <w:abstractNum w:abstractNumId="167">
    <w:nsid w:val="5C03D76D"/>
    <w:multiLevelType w:val="hybridMultilevel"/>
    <w:lvl w:ilvl="0">
      <w:lvlJc w:val="left"/>
      <w:lvlText w:val="•"/>
      <w:numFmt w:val="bullet"/>
      <w:start w:val="1"/>
    </w:lvl>
  </w:abstractNum>
  <w:abstractNum w:abstractNumId="168">
    <w:nsid w:val="66A48D11"/>
    <w:multiLevelType w:val="hybridMultilevel"/>
    <w:lvl w:ilvl="0">
      <w:lvlJc w:val="left"/>
      <w:lvlText w:val="•"/>
      <w:numFmt w:val="bullet"/>
      <w:start w:val="1"/>
    </w:lvl>
  </w:abstractNum>
  <w:abstractNum w:abstractNumId="169">
    <w:nsid w:val="56C28E34"/>
    <w:multiLevelType w:val="hybridMultilevel"/>
    <w:lvl w:ilvl="0">
      <w:lvlJc w:val="left"/>
      <w:lvlText w:val="•"/>
      <w:numFmt w:val="bullet"/>
      <w:start w:val="1"/>
    </w:lvl>
  </w:abstractNum>
  <w:abstractNum w:abstractNumId="170">
    <w:nsid w:val="13916F2D"/>
    <w:multiLevelType w:val="hybridMultilevel"/>
    <w:lvl w:ilvl="0">
      <w:lvlJc w:val="left"/>
      <w:lvlText w:val="%1."/>
      <w:numFmt w:val="upperLetter"/>
      <w:start w:val="9"/>
    </w:lvl>
  </w:abstractNum>
  <w:abstractNum w:abstractNumId="171">
    <w:nsid w:val="435D38D"/>
    <w:multiLevelType w:val="hybridMultilevel"/>
    <w:lvl w:ilvl="0">
      <w:lvlJc w:val="left"/>
      <w:lvlText w:val="1"/>
      <w:numFmt w:val="bullet"/>
      <w:start w:val="1"/>
    </w:lvl>
  </w:abstractNum>
  <w:abstractNum w:abstractNumId="172">
    <w:nsid w:val="822C0EF"/>
    <w:multiLevelType w:val="hybridMultilevel"/>
    <w:lvl w:ilvl="0">
      <w:lvlJc w:val="left"/>
      <w:lvlText w:val="2"/>
      <w:numFmt w:val="bullet"/>
      <w:start w:val="1"/>
    </w:lvl>
  </w:abstractNum>
  <w:abstractNum w:abstractNumId="173">
    <w:nsid w:val="57C5BB4F"/>
    <w:multiLevelType w:val="hybridMultilevel"/>
    <w:lvl w:ilvl="0">
      <w:lvlJc w:val="left"/>
      <w:lvlText w:val="%1"/>
      <w:numFmt w:val="decimal"/>
      <w:start w:val="2"/>
    </w:lvl>
  </w:abstractNum>
  <w:abstractNum w:abstractNumId="174">
    <w:nsid w:val="1803D089"/>
    <w:multiLevelType w:val="hybridMultilevel"/>
    <w:lvl w:ilvl="0">
      <w:lvlJc w:val="left"/>
      <w:lvlText w:val="•"/>
      <w:numFmt w:val="bullet"/>
      <w:start w:val="1"/>
    </w:lvl>
  </w:abstractNum>
  <w:abstractNum w:abstractNumId="175">
    <w:nsid w:val="4F3A06D4"/>
    <w:multiLevelType w:val="hybridMultilevel"/>
    <w:lvl w:ilvl="0">
      <w:lvlJc w:val="left"/>
      <w:lvlText w:val="1"/>
      <w:numFmt w:val="bullet"/>
      <w:start w:val="1"/>
    </w:lvl>
  </w:abstractNum>
  <w:abstractNum w:abstractNumId="176">
    <w:nsid w:val="59A377B6"/>
    <w:multiLevelType w:val="hybridMultilevel"/>
    <w:lvl w:ilvl="0">
      <w:lvlJc w:val="left"/>
      <w:lvlText w:val="2"/>
      <w:numFmt w:val="bullet"/>
      <w:start w:val="1"/>
    </w:lvl>
  </w:abstractNum>
  <w:abstractNum w:abstractNumId="177">
    <w:nsid w:val="48AEB063"/>
    <w:multiLevelType w:val="hybridMultilevel"/>
    <w:lvl w:ilvl="0">
      <w:lvlJc w:val="left"/>
      <w:lvlText w:val="3"/>
      <w:numFmt w:val="bullet"/>
      <w:start w:val="1"/>
    </w:lvl>
  </w:abstractNum>
  <w:abstractNum w:abstractNumId="178">
    <w:nsid w:val="24E135"/>
    <w:multiLevelType w:val="hybridMultilevel"/>
    <w:lvl w:ilvl="0">
      <w:lvlJc w:val="left"/>
      <w:lvlText w:val="4"/>
      <w:numFmt w:val="bullet"/>
      <w:start w:val="1"/>
    </w:lvl>
  </w:abstractNum>
  <w:abstractNum w:abstractNumId="179">
    <w:nsid w:val="BB13C1"/>
    <w:multiLevelType w:val="hybridMultilevel"/>
    <w:lvl w:ilvl="0">
      <w:lvlJc w:val="left"/>
      <w:lvlText w:val="5"/>
      <w:numFmt w:val="bullet"/>
      <w:start w:val="1"/>
    </w:lvl>
  </w:abstractNum>
  <w:abstractNum w:abstractNumId="180">
    <w:nsid w:val="271210C7"/>
    <w:multiLevelType w:val="hybridMultilevel"/>
    <w:lvl w:ilvl="0">
      <w:lvlJc w:val="left"/>
      <w:lvlText w:val="6"/>
      <w:numFmt w:val="bullet"/>
      <w:start w:val="1"/>
    </w:lvl>
  </w:abstractNum>
  <w:abstractNum w:abstractNumId="181">
    <w:nsid w:val="217B22E4"/>
    <w:multiLevelType w:val="hybridMultilevel"/>
    <w:lvl w:ilvl="0">
      <w:lvlJc w:val="left"/>
      <w:lvlText w:val="•"/>
      <w:numFmt w:val="bullet"/>
      <w:start w:val="1"/>
    </w:lvl>
  </w:abstractNum>
  <w:abstractNum w:abstractNumId="182">
    <w:nsid w:val="53E31A24"/>
    <w:multiLevelType w:val="hybridMultilevel"/>
    <w:lvl w:ilvl="0">
      <w:lvlJc w:val="left"/>
      <w:lvlText w:val="•"/>
      <w:numFmt w:val="bullet"/>
      <w:start w:val="1"/>
    </w:lvl>
  </w:abstractNum>
  <w:abstractNum w:abstractNumId="183">
    <w:nsid w:val="6DC45E83"/>
    <w:multiLevelType w:val="hybridMultilevel"/>
    <w:lvl w:ilvl="0">
      <w:lvlJc w:val="left"/>
      <w:lvlText w:val="•"/>
      <w:numFmt w:val="bullet"/>
      <w:start w:val="1"/>
    </w:lvl>
  </w:abstractNum>
  <w:abstractNum w:abstractNumId="184">
    <w:nsid w:val="17304A67"/>
    <w:multiLevelType w:val="hybridMultilevel"/>
    <w:lvl w:ilvl="0">
      <w:lvlJc w:val="left"/>
      <w:lvlText w:val="%1"/>
      <w:numFmt w:val="decimal"/>
      <w:start w:val="3"/>
    </w:lvl>
  </w:abstractNum>
  <w:abstractNum w:abstractNumId="185">
    <w:nsid w:val="2BB180D8"/>
    <w:multiLevelType w:val="hybridMultilevel"/>
    <w:lvl w:ilvl="0">
      <w:lvlJc w:val="left"/>
      <w:lvlText w:val="1"/>
      <w:numFmt w:val="bullet"/>
      <w:start w:val="1"/>
    </w:lvl>
  </w:abstractNum>
  <w:abstractNum w:abstractNumId="186">
    <w:nsid w:val="556B69ED"/>
    <w:multiLevelType w:val="hybridMultilevel"/>
    <w:lvl w:ilvl="0">
      <w:lvlJc w:val="left"/>
      <w:lvlText w:val="2"/>
      <w:numFmt w:val="bullet"/>
      <w:start w:val="1"/>
    </w:lvl>
  </w:abstractNum>
  <w:abstractNum w:abstractNumId="187">
    <w:nsid w:val="70836196"/>
    <w:multiLevelType w:val="hybridMultilevel"/>
    <w:lvl w:ilvl="0">
      <w:lvlJc w:val="left"/>
      <w:lvlText w:val="3"/>
      <w:numFmt w:val="bullet"/>
      <w:start w:val="1"/>
    </w:lvl>
  </w:abstractNum>
  <w:abstractNum w:abstractNumId="188">
    <w:nsid w:val="539F7F12"/>
    <w:multiLevelType w:val="hybridMultilevel"/>
    <w:lvl w:ilvl="0">
      <w:lvlJc w:val="left"/>
      <w:lvlText w:val="•"/>
      <w:numFmt w:val="bullet"/>
      <w:start w:val="1"/>
    </w:lvl>
  </w:abstractNum>
  <w:abstractNum w:abstractNumId="189">
    <w:nsid w:val="2817E7EC"/>
    <w:multiLevelType w:val="hybridMultilevel"/>
    <w:lvl w:ilvl="0">
      <w:lvlJc w:val="left"/>
      <w:lvlText w:val="•"/>
      <w:numFmt w:val="bullet"/>
      <w:start w:val="1"/>
    </w:lvl>
  </w:abstractNum>
  <w:abstractNum w:abstractNumId="190">
    <w:nsid w:val="71482545"/>
    <w:multiLevelType w:val="hybridMultilevel"/>
    <w:lvl w:ilvl="0">
      <w:lvlJc w:val="left"/>
      <w:lvlText w:val="•"/>
      <w:numFmt w:val="bullet"/>
      <w:start w:val="1"/>
    </w:lvl>
  </w:abstractNum>
  <w:abstractNum w:abstractNumId="191">
    <w:nsid w:val="17D78639"/>
    <w:multiLevelType w:val="hybridMultilevel"/>
    <w:lvl w:ilvl="0">
      <w:lvlJc w:val="left"/>
      <w:lvlText w:val="•"/>
      <w:numFmt w:val="bullet"/>
      <w:start w:val="1"/>
    </w:lvl>
  </w:abstractNum>
  <w:abstractNum w:abstractNumId="192">
    <w:nsid w:val="141D2302"/>
    <w:multiLevelType w:val="hybridMultilevel"/>
    <w:lvl w:ilvl="0">
      <w:lvlJc w:val="left"/>
      <w:lvlText w:val="•"/>
      <w:numFmt w:val="bullet"/>
      <w:start w:val="1"/>
    </w:lvl>
  </w:abstractNum>
  <w:abstractNum w:abstractNumId="193">
    <w:nsid w:val="407168D8"/>
    <w:multiLevelType w:val="hybridMultilevel"/>
    <w:lvl w:ilvl="0">
      <w:lvlJc w:val="left"/>
      <w:lvlText w:val="1"/>
      <w:numFmt w:val="bullet"/>
      <w:start w:val="1"/>
    </w:lvl>
  </w:abstractNum>
  <w:abstractNum w:abstractNumId="194">
    <w:nsid w:val="6A1B45E5"/>
    <w:multiLevelType w:val="hybridMultilevel"/>
    <w:lvl w:ilvl="0">
      <w:lvlJc w:val="left"/>
      <w:lvlText w:val="2"/>
      <w:numFmt w:val="bullet"/>
      <w:start w:val="1"/>
    </w:lvl>
  </w:abstractNum>
  <w:abstractNum w:abstractNumId="195">
    <w:nsid w:val="567BD50A"/>
    <w:multiLevelType w:val="hybridMultilevel"/>
    <w:lvl w:ilvl="0">
      <w:lvlJc w:val="left"/>
      <w:lvlText w:val="3"/>
      <w:numFmt w:val="bullet"/>
      <w:start w:val="1"/>
    </w:lvl>
  </w:abstractNum>
  <w:abstractNum w:abstractNumId="196">
    <w:nsid w:val="73BBD7F8"/>
    <w:multiLevelType w:val="hybridMultilevel"/>
    <w:lvl w:ilvl="0">
      <w:lvlJc w:val="left"/>
      <w:lvlText w:val="•"/>
      <w:numFmt w:val="bullet"/>
      <w:start w:val="1"/>
    </w:lvl>
  </w:abstractNum>
  <w:abstractNum w:abstractNumId="197">
    <w:nsid w:val="1876589D"/>
    <w:multiLevelType w:val="hybridMultilevel"/>
    <w:lvl w:ilvl="0">
      <w:lvlJc w:val="left"/>
      <w:lvlText w:val="•"/>
      <w:numFmt w:val="bullet"/>
      <w:start w:val="1"/>
    </w:lvl>
  </w:abstractNum>
  <w:abstractNum w:abstractNumId="198">
    <w:nsid w:val="327FAC77"/>
    <w:multiLevelType w:val="hybridMultilevel"/>
    <w:lvl w:ilvl="0">
      <w:lvlJc w:val="left"/>
      <w:lvlText w:val="•"/>
      <w:numFmt w:val="bullet"/>
      <w:start w:val="1"/>
    </w:lvl>
  </w:abstractNum>
  <w:abstractNum w:abstractNumId="199">
    <w:nsid w:val="5A606509"/>
    <w:multiLevelType w:val="hybridMultilevel"/>
    <w:lvl w:ilvl="0">
      <w:lvlJc w:val="left"/>
      <w:lvlText w:val="•"/>
      <w:numFmt w:val="bullet"/>
      <w:start w:val="1"/>
    </w:lvl>
  </w:abstractNum>
  <w:abstractNum w:abstractNumId="200">
    <w:nsid w:val="6F38E6D1"/>
    <w:multiLevelType w:val="hybridMultilevel"/>
    <w:lvl w:ilvl="0">
      <w:lvlJc w:val="left"/>
      <w:lvlText w:val="1"/>
      <w:numFmt w:val="bullet"/>
      <w:start w:val="1"/>
    </w:lvl>
  </w:abstractNum>
  <w:abstractNum w:abstractNumId="201">
    <w:nsid w:val="46111BA5"/>
    <w:multiLevelType w:val="hybridMultilevel"/>
    <w:lvl w:ilvl="0">
      <w:lvlJc w:val="left"/>
      <w:lvlText w:val="2"/>
      <w:numFmt w:val="bullet"/>
      <w:start w:val="1"/>
    </w:lvl>
  </w:abstractNum>
  <w:abstractNum w:abstractNumId="202">
    <w:nsid w:val="5E963896"/>
    <w:multiLevelType w:val="hybridMultilevel"/>
    <w:lvl w:ilvl="0">
      <w:lvlJc w:val="left"/>
      <w:lvlText w:val="•"/>
      <w:numFmt w:val="bullet"/>
      <w:start w:val="1"/>
    </w:lvl>
  </w:abstractNum>
  <w:abstractNum w:abstractNumId="203">
    <w:nsid w:val="775BA7C1"/>
    <w:multiLevelType w:val="hybridMultilevel"/>
    <w:lvl w:ilvl="0">
      <w:lvlJc w:val="left"/>
      <w:lvlText w:val="•"/>
      <w:numFmt w:val="bullet"/>
      <w:start w:val="1"/>
    </w:lvl>
  </w:abstractNum>
  <w:abstractNum w:abstractNumId="204">
    <w:nsid w:val="1DD6D6F4"/>
    <w:multiLevelType w:val="hybridMultilevel"/>
    <w:lvl w:ilvl="0">
      <w:lvlJc w:val="left"/>
      <w:lvlText w:val="•"/>
      <w:numFmt w:val="bullet"/>
      <w:start w:val="1"/>
    </w:lvl>
  </w:abstractNum>
  <w:abstractNum w:abstractNumId="205">
    <w:nsid w:val="769A091F"/>
    <w:multiLevelType w:val="hybridMultilevel"/>
    <w:lvl w:ilvl="0">
      <w:lvlJc w:val="left"/>
      <w:lvlText w:val="•"/>
      <w:numFmt w:val="bullet"/>
      <w:start w:val="1"/>
    </w:lvl>
  </w:abstractNum>
  <w:abstractNum w:abstractNumId="206">
    <w:nsid w:val="4695AE95"/>
    <w:multiLevelType w:val="hybridMultilevel"/>
    <w:lvl w:ilvl="0">
      <w:lvlJc w:val="left"/>
      <w:lvlText w:val="1"/>
      <w:numFmt w:val="bullet"/>
      <w:start w:val="1"/>
    </w:lvl>
  </w:abstractNum>
  <w:abstractNum w:abstractNumId="207">
    <w:nsid w:val="777A4EAA"/>
    <w:multiLevelType w:val="hybridMultilevel"/>
    <w:lvl w:ilvl="0">
      <w:lvlJc w:val="left"/>
      <w:lvlText w:val="2"/>
      <w:numFmt w:val="bullet"/>
      <w:start w:val="1"/>
    </w:lvl>
  </w:abstractNum>
  <w:abstractNum w:abstractNumId="208">
    <w:nsid w:val="3F48B982"/>
    <w:multiLevelType w:val="hybridMultilevel"/>
    <w:lvl w:ilvl="0">
      <w:lvlJc w:val="left"/>
      <w:lvlText w:val="3"/>
      <w:numFmt w:val="bullet"/>
      <w:start w:val="1"/>
    </w:lvl>
  </w:abstractNum>
  <w:abstractNum w:abstractNumId="209">
    <w:nsid w:val="46BA8FCA"/>
    <w:multiLevelType w:val="hybridMultilevel"/>
    <w:lvl w:ilvl="0">
      <w:lvlJc w:val="left"/>
      <w:lvlText w:val="4"/>
      <w:numFmt w:val="bullet"/>
      <w:start w:val="1"/>
    </w:lvl>
  </w:abstractNum>
  <w:abstractNum w:abstractNumId="210">
    <w:nsid w:val="7835626C"/>
    <w:multiLevelType w:val="hybridMultilevel"/>
    <w:lvl w:ilvl="0">
      <w:lvlJc w:val="left"/>
      <w:lvlText w:val="•"/>
      <w:numFmt w:val="bullet"/>
      <w:start w:val="1"/>
    </w:lvl>
  </w:abstractNum>
  <w:abstractNum w:abstractNumId="211">
    <w:nsid w:val="665ACA49"/>
    <w:multiLevelType w:val="hybridMultilevel"/>
    <w:lvl w:ilvl="0">
      <w:lvlJc w:val="left"/>
      <w:lvlText w:val="•"/>
      <w:numFmt w:val="bullet"/>
      <w:start w:val="1"/>
    </w:lvl>
  </w:abstractNum>
  <w:abstractNum w:abstractNumId="212">
    <w:nsid w:val="6835B2AE"/>
    <w:multiLevelType w:val="hybridMultilevel"/>
    <w:lvl w:ilvl="0">
      <w:lvlJc w:val="left"/>
      <w:lvlText w:val="•"/>
      <w:numFmt w:val="bullet"/>
      <w:start w:val="1"/>
    </w:lvl>
  </w:abstractNum>
  <w:abstractNum w:abstractNumId="213">
    <w:nsid w:val="4C187C90"/>
    <w:multiLevelType w:val="hybridMultilevel"/>
    <w:lvl w:ilvl="0">
      <w:lvlJc w:val="left"/>
      <w:lvlText w:val="•"/>
      <w:numFmt w:val="bullet"/>
      <w:start w:val="1"/>
    </w:lvl>
  </w:abstractNum>
  <w:abstractNum w:abstractNumId="214">
    <w:nsid w:val="541F28CD"/>
    <w:multiLevelType w:val="hybridMultilevel"/>
    <w:lvl w:ilvl="0">
      <w:lvlJc w:val="left"/>
      <w:lvlText w:val="1"/>
      <w:numFmt w:val="bullet"/>
      <w:start w:val="1"/>
    </w:lvl>
  </w:abstractNum>
  <w:abstractNum w:abstractNumId="215">
    <w:nsid w:val="7F65FD16"/>
    <w:multiLevelType w:val="hybridMultilevel"/>
    <w:lvl w:ilvl="0">
      <w:lvlJc w:val="left"/>
      <w:lvlText w:val="2"/>
      <w:numFmt w:val="bullet"/>
      <w:start w:val="1"/>
    </w:lvl>
  </w:abstractNum>
  <w:abstractNum w:abstractNumId="216">
    <w:nsid w:val="77C9FD68"/>
    <w:multiLevelType w:val="hybridMultilevel"/>
    <w:lvl w:ilvl="0">
      <w:lvlJc w:val="left"/>
      <w:lvlText w:val="3"/>
      <w:numFmt w:val="bullet"/>
      <w:start w:val="1"/>
    </w:lvl>
  </w:abstractNum>
  <w:abstractNum w:abstractNumId="217">
    <w:nsid w:val="298A92BA"/>
    <w:multiLevelType w:val="hybridMultilevel"/>
    <w:lvl w:ilvl="0">
      <w:lvlJc w:val="left"/>
      <w:lvlText w:val="4"/>
      <w:numFmt w:val="bullet"/>
      <w:start w:val="1"/>
    </w:lvl>
  </w:abstractNum>
  <w:abstractNum w:abstractNumId="218">
    <w:nsid w:val="6FE95EAC"/>
    <w:multiLevelType w:val="hybridMultilevel"/>
    <w:lvl w:ilvl="0">
      <w:lvlJc w:val="left"/>
      <w:lvlText w:val="•"/>
      <w:numFmt w:val="bullet"/>
      <w:start w:val="1"/>
    </w:lvl>
  </w:abstractNum>
  <w:abstractNum w:abstractNumId="219">
    <w:nsid w:val="4B697C7A"/>
    <w:multiLevelType w:val="hybridMultilevel"/>
    <w:lvl w:ilvl="0">
      <w:lvlJc w:val="left"/>
      <w:lvlText w:val="•"/>
      <w:numFmt w:val="bullet"/>
      <w:start w:val="1"/>
    </w:lvl>
  </w:abstractNum>
  <w:abstractNum w:abstractNumId="220">
    <w:nsid w:val="51A27AA6"/>
    <w:multiLevelType w:val="hybridMultilevel"/>
    <w:lvl w:ilvl="0">
      <w:lvlJc w:val="left"/>
      <w:lvlText w:val="•"/>
      <w:numFmt w:val="bullet"/>
      <w:start w:val="1"/>
    </w:lvl>
  </w:abstractNum>
  <w:abstractNum w:abstractNumId="221">
    <w:nsid w:val="613183F2"/>
    <w:multiLevelType w:val="hybridMultilevel"/>
    <w:lvl w:ilvl="0">
      <w:lvlJc w:val="left"/>
      <w:lvlText w:val="•"/>
      <w:numFmt w:val="bullet"/>
      <w:start w:val="1"/>
    </w:lvl>
  </w:abstractNum>
  <w:abstractNum w:abstractNumId="222">
    <w:nsid w:val="634102B4"/>
    <w:multiLevelType w:val="hybridMultilevel"/>
    <w:lvl w:ilvl="0">
      <w:lvlJc w:val="left"/>
      <w:lvlText w:val="1"/>
      <w:numFmt w:val="bullet"/>
      <w:start w:val="1"/>
    </w:lvl>
  </w:abstractNum>
  <w:abstractNum w:abstractNumId="223">
    <w:nsid w:val="65BF9DA8"/>
    <w:multiLevelType w:val="hybridMultilevel"/>
    <w:lvl w:ilvl="0">
      <w:lvlJc w:val="left"/>
      <w:lvlText w:val="2"/>
      <w:numFmt w:val="bullet"/>
      <w:start w:val="1"/>
    </w:lvl>
  </w:abstractNum>
  <w:abstractNum w:abstractNumId="224">
    <w:nsid w:val="21A2ECCA"/>
    <w:multiLevelType w:val="hybridMultilevel"/>
    <w:lvl w:ilvl="0">
      <w:lvlJc w:val="left"/>
      <w:lvlText w:val="3"/>
      <w:numFmt w:val="bullet"/>
      <w:start w:val="1"/>
    </w:lvl>
  </w:abstractNum>
  <w:abstractNum w:abstractNumId="225">
    <w:nsid w:val="4D5C4899"/>
    <w:multiLevelType w:val="hybridMultilevel"/>
    <w:lvl w:ilvl="0">
      <w:lvlJc w:val="left"/>
      <w:lvlText w:val="4"/>
      <w:numFmt w:val="bullet"/>
      <w:start w:val="1"/>
    </w:lvl>
  </w:abstractNum>
  <w:abstractNum w:abstractNumId="226">
    <w:nsid w:val="3C3B72B2"/>
    <w:multiLevelType w:val="hybridMultilevel"/>
    <w:lvl w:ilvl="0">
      <w:lvlJc w:val="left"/>
      <w:lvlText w:val="5"/>
      <w:numFmt w:val="bullet"/>
      <w:start w:val="1"/>
    </w:lvl>
  </w:abstractNum>
  <w:abstractNum w:abstractNumId="227">
    <w:nsid w:val="155EC4C2"/>
    <w:multiLevelType w:val="hybridMultilevel"/>
    <w:lvl w:ilvl="0">
      <w:lvlJc w:val="left"/>
      <w:lvlText w:val="6"/>
      <w:numFmt w:val="bullet"/>
      <w:start w:val="1"/>
    </w:lvl>
    <w:lvl w:ilvl="1">
      <w:lvlJc w:val="left"/>
      <w:lvlText w:val="(%2)"/>
      <w:numFmt w:val="decimal"/>
      <w:start w:val="1"/>
    </w:lvl>
  </w:abstractNum>
  <w:abstractNum w:abstractNumId="228">
    <w:nsid w:val="65D2A137"/>
    <w:multiLevelType w:val="hybridMultilevel"/>
    <w:lvl w:ilvl="0">
      <w:lvlJc w:val="left"/>
      <w:lvlText w:val="7"/>
      <w:numFmt w:val="bullet"/>
      <w:start w:val="1"/>
    </w:lvl>
  </w:abstractNum>
  <w:abstractNum w:abstractNumId="229">
    <w:nsid w:val="6EBB1F2A"/>
    <w:multiLevelType w:val="hybridMultilevel"/>
    <w:lvl w:ilvl="0">
      <w:lvlJc w:val="left"/>
      <w:lvlText w:val="8"/>
      <w:numFmt w:val="bullet"/>
      <w:start w:val="1"/>
    </w:lvl>
  </w:abstractNum>
  <w:abstractNum w:abstractNumId="230">
    <w:nsid w:val="6FBF29CB"/>
    <w:multiLevelType w:val="hybridMultilevel"/>
    <w:lvl w:ilvl="0">
      <w:lvlJc w:val="left"/>
      <w:lvlText w:val="9"/>
      <w:numFmt w:val="bullet"/>
      <w:start w:val="1"/>
    </w:lvl>
  </w:abstractNum>
  <w:abstractNum w:abstractNumId="231">
    <w:nsid w:val="550B8808"/>
    <w:multiLevelType w:val="hybridMultilevel"/>
    <w:lvl w:ilvl="0">
      <w:lvlJc w:val="left"/>
      <w:lvlText w:val="%1"/>
      <w:numFmt w:val="decimal"/>
      <w:start w:val="10"/>
    </w:lvl>
  </w:abstractNum>
  <w:abstractNum w:abstractNumId="232">
    <w:nsid w:val="34CC3ACF"/>
    <w:multiLevelType w:val="hybridMultilevel"/>
    <w:lvl w:ilvl="0">
      <w:lvlJc w:val="left"/>
      <w:lvlText w:val="1"/>
      <w:numFmt w:val="bullet"/>
      <w:start w:val="1"/>
    </w:lvl>
  </w:abstractNum>
  <w:abstractNum w:abstractNumId="233">
    <w:nsid w:val="4E556261"/>
    <w:multiLevelType w:val="hybridMultilevel"/>
    <w:lvl w:ilvl="0">
      <w:lvlJc w:val="left"/>
      <w:lvlText w:val="2"/>
      <w:numFmt w:val="bullet"/>
      <w:start w:val="1"/>
    </w:lvl>
  </w:abstractNum>
  <w:abstractNum w:abstractNumId="234">
    <w:nsid w:val="4C672FC9"/>
    <w:multiLevelType w:val="hybridMultilevel"/>
    <w:lvl w:ilvl="0">
      <w:lvlJc w:val="left"/>
      <w:lvlText w:val="3"/>
      <w:numFmt w:val="bullet"/>
      <w:start w:val="1"/>
    </w:lvl>
  </w:abstractNum>
  <w:abstractNum w:abstractNumId="235">
    <w:nsid w:val="52A311C3"/>
    <w:multiLevelType w:val="hybridMultilevel"/>
    <w:lvl w:ilvl="0">
      <w:lvlJc w:val="left"/>
      <w:lvlText w:val="4"/>
      <w:numFmt w:val="bullet"/>
      <w:start w:val="1"/>
    </w:lvl>
  </w:abstractNum>
  <w:abstractNum w:abstractNumId="236">
    <w:nsid w:val="44EF6B80"/>
    <w:multiLevelType w:val="hybridMultilevel"/>
    <w:lvl w:ilvl="0">
      <w:lvlJc w:val="left"/>
      <w:lvlText w:val="1"/>
      <w:numFmt w:val="bullet"/>
      <w:start w:val="1"/>
    </w:lvl>
  </w:abstractNum>
  <w:abstractNum w:abstractNumId="237">
    <w:nsid w:val="12FCDE5E"/>
    <w:multiLevelType w:val="hybridMultilevel"/>
    <w:lvl w:ilvl="0">
      <w:lvlJc w:val="left"/>
      <w:lvlText w:val="a"/>
      <w:numFmt w:val="bullet"/>
      <w:start w:val="1"/>
    </w:lvl>
  </w:abstractNum>
  <w:abstractNum w:abstractNumId="238">
    <w:nsid w:val="4A1D606E"/>
    <w:multiLevelType w:val="hybridMultilevel"/>
    <w:lvl w:ilvl="0">
      <w:lvlJc w:val="left"/>
      <w:lvlText w:val="b"/>
      <w:numFmt w:val="bullet"/>
      <w:start w:val="1"/>
    </w:lvl>
  </w:abstractNum>
  <w:abstractNum w:abstractNumId="239">
    <w:nsid w:val="4382503"/>
    <w:multiLevelType w:val="hybridMultilevel"/>
    <w:lvl w:ilvl="0">
      <w:lvlJc w:val="left"/>
      <w:lvlText w:val="c"/>
      <w:numFmt w:val="bullet"/>
      <w:start w:val="1"/>
    </w:lvl>
  </w:abstractNum>
  <w:abstractNum w:abstractNumId="240">
    <w:nsid w:val="59B76E28"/>
    <w:multiLevelType w:val="hybridMultilevel"/>
    <w:lvl w:ilvl="0">
      <w:lvlJc w:val="left"/>
      <w:lvlText w:val="d"/>
      <w:numFmt w:val="bullet"/>
      <w:start w:val="1"/>
    </w:lvl>
  </w:abstractNum>
  <w:abstractNum w:abstractNumId="241">
    <w:nsid w:val="4252C2DA"/>
    <w:multiLevelType w:val="hybridMultilevel"/>
    <w:lvl w:ilvl="0">
      <w:lvlJc w:val="left"/>
      <w:lvlText w:val="2"/>
      <w:numFmt w:val="bullet"/>
      <w:start w:val="1"/>
    </w:lvl>
  </w:abstractNum>
  <w:abstractNum w:abstractNumId="242">
    <w:nsid w:val="6A92EF4C"/>
    <w:multiLevelType w:val="hybridMultilevel"/>
    <w:lvl w:ilvl="0">
      <w:lvlJc w:val="left"/>
      <w:lvlText w:val="3"/>
      <w:numFmt w:val="bullet"/>
      <w:start w:val="1"/>
    </w:lvl>
  </w:abstractNum>
  <w:abstractNum w:abstractNumId="243">
    <w:nsid w:val="41ED20D7"/>
    <w:multiLevelType w:val="hybridMultilevel"/>
    <w:lvl w:ilvl="0">
      <w:lvlJc w:val="left"/>
      <w:lvlText w:val="4"/>
      <w:numFmt w:val="bullet"/>
      <w:start w:val="1"/>
    </w:lvl>
  </w:abstractNum>
  <w:abstractNum w:abstractNumId="244">
    <w:nsid w:val="E6B3F6A"/>
    <w:multiLevelType w:val="hybridMultilevel"/>
    <w:lvl w:ilvl="0">
      <w:lvlJc w:val="left"/>
      <w:lvlText w:val="5"/>
      <w:numFmt w:val="bullet"/>
      <w:start w:val="1"/>
    </w:lvl>
  </w:abstractNum>
  <w:abstractNum w:abstractNumId="245">
    <w:nsid w:val="3EB21819"/>
    <w:multiLevelType w:val="hybridMultilevel"/>
    <w:lvl w:ilvl="0">
      <w:lvlJc w:val="left"/>
      <w:lvlText w:val="1"/>
      <w:numFmt w:val="bullet"/>
      <w:start w:val="1"/>
    </w:lvl>
  </w:abstractNum>
  <w:abstractNum w:abstractNumId="246">
    <w:nsid w:val="41531DED"/>
    <w:multiLevelType w:val="hybridMultilevel"/>
    <w:lvl w:ilvl="0">
      <w:lvlJc w:val="left"/>
      <w:lvlText w:val="1"/>
      <w:numFmt w:val="bullet"/>
      <w:start w:val="1"/>
    </w:lvl>
  </w:abstractNum>
  <w:abstractNum w:abstractNumId="247">
    <w:nsid w:val="6353CD2"/>
    <w:multiLevelType w:val="hybridMultilevel"/>
    <w:lvl w:ilvl="0">
      <w:lvlJc w:val="left"/>
      <w:lvlText w:val="2"/>
      <w:numFmt w:val="bullet"/>
      <w:start w:val="1"/>
    </w:lvl>
  </w:abstractNum>
  <w:abstractNum w:abstractNumId="248">
    <w:nsid w:val="683CAAD3"/>
    <w:multiLevelType w:val="hybridMultilevel"/>
    <w:lvl w:ilvl="0">
      <w:lvlJc w:val="left"/>
      <w:lvlText w:val="1"/>
      <w:numFmt w:val="bullet"/>
      <w:start w:val="1"/>
    </w:lvl>
  </w:abstractNum>
  <w:abstractNum w:abstractNumId="249">
    <w:nsid w:val="313C7C99"/>
    <w:multiLevelType w:val="hybridMultilevel"/>
    <w:lvl w:ilvl="0">
      <w:lvlJc w:val="left"/>
      <w:lvlText w:val="1"/>
      <w:numFmt w:val="bullet"/>
      <w:start w:val="1"/>
    </w:lvl>
  </w:abstractNum>
  <w:abstractNum w:abstractNumId="250">
    <w:nsid w:val="519EB94C"/>
    <w:multiLevelType w:val="hybridMultilevel"/>
    <w:lvl w:ilvl="0">
      <w:lvlJc w:val="left"/>
      <w:lvlText w:val="4"/>
      <w:numFmt w:val="bullet"/>
      <w:start w:val="1"/>
    </w:lvl>
  </w:abstractNum>
  <w:abstractNum w:abstractNumId="251">
    <w:nsid w:val="39DF2579"/>
    <w:multiLevelType w:val="hybridMultilevel"/>
    <w:lvl w:ilvl="0">
      <w:lvlJc w:val="left"/>
      <w:lvlText w:val="7"/>
      <w:numFmt w:val="bullet"/>
      <w:start w:val="1"/>
    </w:lvl>
  </w:abstractNum>
  <w:abstractNum w:abstractNumId="252">
    <w:nsid w:val="126E008B"/>
    <w:multiLevelType w:val="hybridMultilevel"/>
    <w:lvl w:ilvl="0">
      <w:lvlJc w:val="left"/>
      <w:lvlText w:val="1"/>
      <w:numFmt w:val="bullet"/>
      <w:start w:val="1"/>
    </w:lvl>
  </w:abstractNum>
  <w:abstractNum w:abstractNumId="253">
    <w:nsid w:val="34DFBC00"/>
    <w:multiLevelType w:val="hybridMultilevel"/>
    <w:lvl w:ilvl="0">
      <w:lvlJc w:val="left"/>
      <w:lvlText w:val="2"/>
      <w:numFmt w:val="bullet"/>
      <w:start w:val="1"/>
    </w:lvl>
  </w:abstractNum>
  <w:abstractNum w:abstractNumId="254">
    <w:nsid w:val="1F9EC322"/>
    <w:multiLevelType w:val="hybridMultilevel"/>
    <w:lvl w:ilvl="0">
      <w:lvlJc w:val="left"/>
      <w:lvlText w:val="3"/>
      <w:numFmt w:val="bullet"/>
      <w:start w:val="1"/>
    </w:lvl>
  </w:abstractNum>
  <w:abstractNum w:abstractNumId="255">
    <w:nsid w:val="3410ED56"/>
    <w:multiLevelType w:val="hybridMultilevel"/>
    <w:lvl w:ilvl="0">
      <w:lvlJc w:val="left"/>
      <w:lvlText w:val="4"/>
      <w:numFmt w:val="bullet"/>
      <w:start w:val="1"/>
    </w:lvl>
  </w:abstractNum>
  <w:abstractNum w:abstractNumId="256">
    <w:nsid w:val="23C049A"/>
    <w:multiLevelType w:val="hybridMultilevel"/>
    <w:lvl w:ilvl="0">
      <w:lvlJc w:val="left"/>
      <w:lvlText w:val="5"/>
      <w:numFmt w:val="bullet"/>
      <w:start w:val="1"/>
    </w:lvl>
  </w:abstractNum>
  <w:abstractNum w:abstractNumId="257">
    <w:nsid w:val="5BDA35D4"/>
    <w:multiLevelType w:val="hybridMultilevel"/>
    <w:lvl w:ilvl="0">
      <w:lvlJc w:val="left"/>
      <w:lvlText w:val="6"/>
      <w:numFmt w:val="bullet"/>
      <w:start w:val="1"/>
    </w:lvl>
  </w:abstractNum>
  <w:abstractNum w:abstractNumId="258">
    <w:nsid w:val="496FB218"/>
    <w:multiLevelType w:val="hybridMultilevel"/>
    <w:lvl w:ilvl="0">
      <w:lvlJc w:val="left"/>
      <w:lvlText w:val="7"/>
      <w:numFmt w:val="bullet"/>
      <w:start w:val="1"/>
    </w:lvl>
  </w:abstractNum>
  <w:abstractNum w:abstractNumId="259">
    <w:nsid w:val="680EA5D1"/>
    <w:multiLevelType w:val="hybridMultilevel"/>
    <w:lvl w:ilvl="0">
      <w:lvlJc w:val="left"/>
      <w:lvlText w:val="•"/>
      <w:numFmt w:val="bullet"/>
      <w:start w:val="1"/>
    </w:lvl>
  </w:abstractNum>
  <w:abstractNum w:abstractNumId="260">
    <w:nsid w:val="4A9554FE"/>
    <w:multiLevelType w:val="hybridMultilevel"/>
    <w:lvl w:ilvl="0">
      <w:lvlJc w:val="left"/>
      <w:lvlText w:val="•"/>
      <w:numFmt w:val="bullet"/>
      <w:start w:val="1"/>
    </w:lvl>
  </w:abstractNum>
  <w:abstractNum w:abstractNumId="261">
    <w:nsid w:val="392EDBE4"/>
    <w:multiLevelType w:val="hybridMultilevel"/>
    <w:lvl w:ilvl="0">
      <w:lvlJc w:val="left"/>
      <w:lvlText w:val="•"/>
      <w:numFmt w:val="bullet"/>
      <w:start w:val="1"/>
    </w:lvl>
  </w:abstractNum>
  <w:abstractNum w:abstractNumId="262">
    <w:nsid w:val="3D1A2DD9"/>
    <w:multiLevelType w:val="hybridMultilevel"/>
    <w:lvl w:ilvl="0">
      <w:lvlJc w:val="left"/>
      <w:lvlText w:val="1"/>
      <w:numFmt w:val="bullet"/>
      <w:start w:val="1"/>
    </w:lvl>
  </w:abstractNum>
  <w:abstractNum w:abstractNumId="263">
    <w:nsid w:val="7F618FCD"/>
    <w:multiLevelType w:val="hybridMultilevel"/>
    <w:lvl w:ilvl="0">
      <w:lvlJc w:val="left"/>
      <w:lvlText w:val="2"/>
      <w:numFmt w:val="bullet"/>
      <w:start w:val="1"/>
    </w:lvl>
  </w:abstractNum>
  <w:abstractNum w:abstractNumId="264">
    <w:nsid w:val="7843E45"/>
    <w:multiLevelType w:val="hybridMultilevel"/>
    <w:lvl w:ilvl="0">
      <w:lvlJc w:val="left"/>
      <w:lvlText w:val="1"/>
      <w:numFmt w:val="bullet"/>
      <w:start w:val="1"/>
    </w:lvl>
  </w:abstractNum>
  <w:abstractNum w:abstractNumId="265">
    <w:nsid w:val="9815DA3"/>
    <w:multiLevelType w:val="hybridMultilevel"/>
    <w:lvl w:ilvl="0">
      <w:lvlJc w:val="left"/>
      <w:lvlText w:val="2"/>
      <w:numFmt w:val="bullet"/>
      <w:start w:val="1"/>
    </w:lvl>
  </w:abstractNum>
  <w:abstractNum w:abstractNumId="266">
    <w:nsid w:val="5204A191"/>
    <w:multiLevelType w:val="hybridMultilevel"/>
    <w:lvl w:ilvl="0">
      <w:lvlJc w:val="left"/>
      <w:lvlText w:val="3"/>
      <w:numFmt w:val="bullet"/>
      <w:start w:val="1"/>
    </w:lvl>
  </w:abstractNum>
  <w:abstractNum w:abstractNumId="267">
    <w:nsid w:val="4C73A9C6"/>
    <w:multiLevelType w:val="hybridMultilevel"/>
    <w:lvl w:ilvl="0">
      <w:lvlJc w:val="left"/>
      <w:lvlText w:val="1"/>
      <w:numFmt w:val="bullet"/>
      <w:start w:val="1"/>
    </w:lvl>
  </w:abstractNum>
  <w:abstractNum w:abstractNumId="268">
    <w:nsid w:val="1C7E3C01"/>
    <w:multiLevelType w:val="hybridMultilevel"/>
    <w:lvl w:ilvl="0">
      <w:lvlJc w:val="left"/>
      <w:lvlText w:val="2"/>
      <w:numFmt w:val="bullet"/>
      <w:start w:val="1"/>
    </w:lvl>
  </w:abstractNum>
  <w:abstractNum w:abstractNumId="269">
    <w:nsid w:val="1C2201FF"/>
    <w:multiLevelType w:val="hybridMultilevel"/>
    <w:lvl w:ilvl="0">
      <w:lvlJc w:val="left"/>
      <w:lvlText w:val="•"/>
      <w:numFmt w:val="bullet"/>
      <w:start w:val="1"/>
    </w:lvl>
  </w:abstractNum>
  <w:abstractNum w:abstractNumId="270">
    <w:nsid w:val="50ABCEC9"/>
    <w:multiLevelType w:val="hybridMultilevel"/>
    <w:lvl w:ilvl="0">
      <w:lvlJc w:val="left"/>
      <w:lvlText w:val="•"/>
      <w:numFmt w:val="bullet"/>
      <w:start w:val="1"/>
    </w:lvl>
  </w:abstractNum>
  <w:abstractNum w:abstractNumId="271">
    <w:nsid w:val="7635AA2A"/>
    <w:multiLevelType w:val="hybridMultilevel"/>
    <w:lvl w:ilvl="0">
      <w:lvlJc w:val="left"/>
      <w:lvlText w:val="•"/>
      <w:numFmt w:val="bullet"/>
      <w:start w:val="1"/>
    </w:lvl>
  </w:abstractNum>
  <w:abstractNum w:abstractNumId="272">
    <w:nsid w:val="5E74C4D9"/>
    <w:multiLevelType w:val="hybridMultilevel"/>
    <w:lvl w:ilvl="0">
      <w:lvlJc w:val="left"/>
      <w:lvlText w:val="•"/>
      <w:numFmt w:val="bullet"/>
      <w:start w:val="1"/>
    </w:lvl>
  </w:abstractNum>
  <w:abstractNum w:abstractNumId="273">
    <w:nsid w:val="3B3EBE15"/>
    <w:multiLevelType w:val="hybridMultilevel"/>
    <w:lvl w:ilvl="0">
      <w:lvlJc w:val="left"/>
      <w:lvlText w:val="1"/>
      <w:numFmt w:val="bullet"/>
      <w:start w:val="1"/>
    </w:lvl>
  </w:abstractNum>
  <w:abstractNum w:abstractNumId="274">
    <w:nsid w:val="3822CB01"/>
    <w:multiLevelType w:val="hybridMultilevel"/>
    <w:lvl w:ilvl="0">
      <w:lvlJc w:val="left"/>
      <w:lvlText w:val="1"/>
      <w:numFmt w:val="bullet"/>
      <w:start w:val="1"/>
    </w:lvl>
  </w:abstractNum>
  <w:abstractNum w:abstractNumId="275">
    <w:nsid w:val="6CE00443"/>
    <w:multiLevelType w:val="hybridMultilevel"/>
    <w:lvl w:ilvl="0">
      <w:lvlJc w:val="left"/>
      <w:lvlText w:val="2"/>
      <w:numFmt w:val="bullet"/>
      <w:start w:val="1"/>
    </w:lvl>
  </w:abstractNum>
  <w:abstractNum w:abstractNumId="276">
    <w:nsid w:val="79F0D62F"/>
    <w:multiLevelType w:val="hybridMultilevel"/>
    <w:lvl w:ilvl="0">
      <w:lvlJc w:val="left"/>
      <w:lvlText w:val="3"/>
      <w:numFmt w:val="bullet"/>
      <w:start w:val="1"/>
    </w:lvl>
  </w:abstractNum>
  <w:abstractNum w:abstractNumId="277">
    <w:nsid w:val="7975E8EE"/>
    <w:multiLevelType w:val="hybridMultilevel"/>
    <w:lvl w:ilvl="0">
      <w:lvlJc w:val="left"/>
      <w:lvlText w:val="4"/>
      <w:numFmt w:val="bullet"/>
      <w:start w:val="1"/>
    </w:lvl>
  </w:abstractNum>
  <w:abstractNum w:abstractNumId="278">
    <w:nsid w:val="73154115"/>
    <w:multiLevelType w:val="hybridMultilevel"/>
    <w:lvl w:ilvl="0">
      <w:lvlJc w:val="left"/>
      <w:lvlText w:val="5"/>
      <w:numFmt w:val="bullet"/>
      <w:start w:val="1"/>
    </w:lvl>
  </w:abstractNum>
  <w:abstractNum w:abstractNumId="279">
    <w:nsid w:val="622D8102"/>
    <w:multiLevelType w:val="hybridMultilevel"/>
    <w:lvl w:ilvl="0">
      <w:lvlJc w:val="left"/>
      <w:lvlText w:val="6"/>
      <w:numFmt w:val="bullet"/>
      <w:start w:val="1"/>
    </w:lvl>
  </w:abstractNum>
  <w:abstractNum w:abstractNumId="280">
    <w:nsid w:val="2AB26587"/>
    <w:multiLevelType w:val="hybridMultilevel"/>
    <w:lvl w:ilvl="0">
      <w:lvlJc w:val="left"/>
      <w:lvlText w:val="•"/>
      <w:numFmt w:val="bullet"/>
      <w:start w:val="1"/>
    </w:lvl>
  </w:abstractNum>
  <w:abstractNum w:abstractNumId="281">
    <w:nsid w:val="44B3FA61"/>
    <w:multiLevelType w:val="hybridMultilevel"/>
    <w:lvl w:ilvl="0">
      <w:lvlJc w:val="left"/>
      <w:lvlText w:val="7"/>
      <w:numFmt w:val="bullet"/>
      <w:start w:val="1"/>
    </w:lvl>
  </w:abstractNum>
  <w:abstractNum w:abstractNumId="282">
    <w:nsid w:val="1C0CA67C"/>
    <w:multiLevelType w:val="hybridMultilevel"/>
    <w:lvl w:ilvl="0">
      <w:lvlJc w:val="left"/>
      <w:lvlText w:val="•"/>
      <w:numFmt w:val="bullet"/>
      <w:start w:val="1"/>
    </w:lvl>
  </w:abstractNum>
  <w:abstractNum w:abstractNumId="283">
    <w:nsid w:val="3D206613"/>
    <w:multiLevelType w:val="hybridMultilevel"/>
    <w:lvl w:ilvl="0">
      <w:lvlJc w:val="left"/>
      <w:lvlText w:val="1"/>
      <w:numFmt w:val="bullet"/>
      <w:start w:val="1"/>
    </w:lvl>
  </w:abstractNum>
  <w:abstractNum w:abstractNumId="284">
    <w:nsid w:val="7993B662"/>
    <w:multiLevelType w:val="hybridMultilevel"/>
    <w:lvl w:ilvl="0">
      <w:lvlJc w:val="left"/>
      <w:lvlText w:val="1"/>
      <w:numFmt w:val="bullet"/>
      <w:start w:val="1"/>
    </w:lvl>
  </w:abstractNum>
  <w:abstractNum w:abstractNumId="285">
    <w:nsid w:val="3BAB699E"/>
    <w:multiLevelType w:val="hybridMultilevel"/>
    <w:lvl w:ilvl="0">
      <w:lvlJc w:val="left"/>
      <w:lvlText w:val="2"/>
      <w:numFmt w:val="bullet"/>
      <w:start w:val="1"/>
    </w:lvl>
  </w:abstractNum>
  <w:abstractNum w:abstractNumId="286">
    <w:nsid w:val="71315369"/>
    <w:multiLevelType w:val="hybridMultilevel"/>
    <w:lvl w:ilvl="0">
      <w:lvlJc w:val="left"/>
      <w:lvlText w:val="3"/>
      <w:numFmt w:val="bullet"/>
      <w:start w:val="1"/>
    </w:lvl>
  </w:abstractNum>
  <w:abstractNum w:abstractNumId="287">
    <w:nsid w:val="7BCFBAFC"/>
    <w:multiLevelType w:val="hybridMultilevel"/>
    <w:lvl w:ilvl="0">
      <w:lvlJc w:val="left"/>
      <w:lvlText w:val="•"/>
      <w:numFmt w:val="bullet"/>
      <w:start w:val="1"/>
    </w:lvl>
  </w:abstractNum>
  <w:abstractNum w:abstractNumId="288">
    <w:nsid w:val="17859F72"/>
    <w:multiLevelType w:val="hybridMultilevel"/>
    <w:lvl w:ilvl="0">
      <w:lvlJc w:val="left"/>
      <w:lvlText w:val="%1."/>
      <w:numFmt w:val="decimal"/>
      <w:start w:val="1"/>
    </w:lvl>
  </w:abstractNum>
  <w:abstractNum w:abstractNumId="289">
    <w:nsid w:val="3AA10581"/>
    <w:multiLevelType w:val="hybridMultilevel"/>
    <w:lvl w:ilvl="0">
      <w:lvlJc w:val="left"/>
      <w:lvlText w:val="1"/>
      <w:numFmt w:val="bullet"/>
      <w:start w:val="1"/>
    </w:lvl>
  </w:abstractNum>
  <w:abstractNum w:abstractNumId="290">
    <w:nsid w:val="63DE60CD"/>
    <w:multiLevelType w:val="hybridMultilevel"/>
    <w:lvl w:ilvl="0">
      <w:lvlJc w:val="left"/>
      <w:lvlText w:val="2"/>
      <w:numFmt w:val="bullet"/>
      <w:start w:val="1"/>
    </w:lvl>
  </w:abstractNum>
  <w:abstractNum w:abstractNumId="291">
    <w:nsid w:val="621AF471"/>
    <w:multiLevelType w:val="hybridMultilevel"/>
    <w:lvl w:ilvl="0">
      <w:lvlJc w:val="left"/>
      <w:lvlText w:val="•"/>
      <w:numFmt w:val="bullet"/>
      <w:start w:val="1"/>
    </w:lvl>
  </w:abstractNum>
  <w:abstractNum w:abstractNumId="292">
    <w:nsid w:val="73CFE165"/>
    <w:multiLevelType w:val="hybridMultilevel"/>
    <w:lvl w:ilvl="0">
      <w:lvlJc w:val="left"/>
      <w:lvlText w:val="3"/>
      <w:numFmt w:val="bullet"/>
      <w:start w:val="1"/>
    </w:lvl>
  </w:abstractNum>
  <w:abstractNum w:abstractNumId="293">
    <w:nsid w:val="20F88EA6"/>
    <w:multiLevelType w:val="hybridMultilevel"/>
    <w:lvl w:ilvl="0">
      <w:lvlJc w:val="left"/>
      <w:lvlText w:val="•"/>
      <w:numFmt w:val="bullet"/>
      <w:start w:val="1"/>
    </w:lvl>
  </w:abstractNum>
  <w:abstractNum w:abstractNumId="294">
    <w:nsid w:val="617C843E"/>
    <w:multiLevelType w:val="hybridMultilevel"/>
    <w:lvl w:ilvl="0">
      <w:lvlJc w:val="left"/>
      <w:lvlText w:val="•"/>
      <w:numFmt w:val="bullet"/>
      <w:start w:val="1"/>
    </w:lvl>
  </w:abstractNum>
  <w:abstractNum w:abstractNumId="295">
    <w:nsid w:val="7B541FAB"/>
    <w:multiLevelType w:val="hybridMultilevel"/>
    <w:lvl w:ilvl="0">
      <w:lvlJc w:val="left"/>
      <w:lvlText w:val="1"/>
      <w:numFmt w:val="bullet"/>
      <w:start w:val="1"/>
    </w:lvl>
  </w:abstractNum>
  <w:abstractNum w:abstractNumId="296">
    <w:nsid w:val="2A79EC49"/>
    <w:multiLevelType w:val="hybridMultilevel"/>
    <w:lvl w:ilvl="0">
      <w:lvlJc w:val="left"/>
      <w:lvlText w:val="2"/>
      <w:numFmt w:val="bullet"/>
      <w:start w:val="1"/>
    </w:lvl>
  </w:abstractNum>
  <w:abstractNum w:abstractNumId="297">
    <w:nsid w:val="338125CF"/>
    <w:multiLevelType w:val="hybridMultilevel"/>
    <w:lvl w:ilvl="0">
      <w:lvlJc w:val="left"/>
      <w:lvlText w:val="3"/>
      <w:numFmt w:val="bullet"/>
      <w:start w:val="1"/>
    </w:lvl>
  </w:abstractNum>
  <w:abstractNum w:abstractNumId="298">
    <w:nsid w:val="47C7C971"/>
    <w:multiLevelType w:val="hybridMultilevel"/>
    <w:lvl w:ilvl="0">
      <w:lvlJc w:val="left"/>
      <w:lvlText w:val="4"/>
      <w:numFmt w:val="bullet"/>
      <w:start w:val="1"/>
    </w:lvl>
  </w:abstractNum>
  <w:abstractNum w:abstractNumId="299">
    <w:nsid w:val="46F8284B"/>
    <w:multiLevelType w:val="hybridMultilevel"/>
    <w:lvl w:ilvl="0">
      <w:lvlJc w:val="left"/>
      <w:lvlText w:val="•"/>
      <w:numFmt w:val="bullet"/>
      <w:start w:val="1"/>
    </w:lvl>
  </w:abstractNum>
  <w:abstractNum w:abstractNumId="300">
    <w:nsid w:val="4FA327CE"/>
    <w:multiLevelType w:val="hybridMultilevel"/>
    <w:lvl w:ilvl="0">
      <w:lvlJc w:val="left"/>
      <w:lvlText w:val="%1."/>
      <w:numFmt w:val="decimal"/>
      <w:start w:val="1"/>
    </w:lvl>
  </w:abstractNum>
  <w:abstractNum w:abstractNumId="301">
    <w:nsid w:val="1873983A"/>
    <w:multiLevelType w:val="hybridMultilevel"/>
    <w:lvl w:ilvl="0">
      <w:lvlJc w:val="left"/>
      <w:lvlText w:val="(%1)"/>
      <w:numFmt w:val="lowerLetter"/>
      <w:start w:val="1"/>
    </w:lvl>
  </w:abstractNum>
  <w:abstractNum w:abstractNumId="302">
    <w:nsid w:val="3D2DD275"/>
    <w:multiLevelType w:val="hybridMultilevel"/>
    <w:lvl w:ilvl="0">
      <w:lvlJc w:val="left"/>
      <w:lvlText w:val="(%1)"/>
      <w:numFmt w:val="lowerLetter"/>
      <w:start w:val="1"/>
    </w:lvl>
  </w:abstractNum>
  <w:abstractNum w:abstractNumId="303">
    <w:nsid w:val="2E17ECA7"/>
    <w:multiLevelType w:val="hybridMultilevel"/>
    <w:lvl w:ilvl="0">
      <w:lvlJc w:val="left"/>
      <w:lvlText w:val="(%1)"/>
      <w:numFmt w:val="lowerLetter"/>
      <w:start w:val="1"/>
    </w:lvl>
  </w:abstractNum>
  <w:abstractNum w:abstractNumId="304">
    <w:nsid w:val="53B2564F"/>
    <w:multiLevelType w:val="hybridMultilevel"/>
    <w:lvl w:ilvl="0">
      <w:lvlJc w:val="left"/>
      <w:lvlText w:val="%1."/>
      <w:numFmt w:val="decimal"/>
      <w:start w:val="1"/>
    </w:lvl>
  </w:abstractNum>
  <w:abstractNum w:abstractNumId="305">
    <w:nsid w:val="75509D7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jpeg"/><Relationship Id="rId593" Type="http://schemas.openxmlformats.org/officeDocument/2006/relationships/image" Target="media/image586.jpeg"/><Relationship Id="rId594" Type="http://schemas.openxmlformats.org/officeDocument/2006/relationships/image" Target="media/image587.jpe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jpe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jpeg"/><Relationship Id="rId606" Type="http://schemas.openxmlformats.org/officeDocument/2006/relationships/image" Target="media/image599.jpe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jpe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jpeg"/><Relationship Id="rId655" Type="http://schemas.openxmlformats.org/officeDocument/2006/relationships/image" Target="media/image648.jpe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png"/><Relationship Id="rId668" Type="http://schemas.openxmlformats.org/officeDocument/2006/relationships/image" Target="media/image661.jpe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jpe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jpe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jpeg"/><Relationship Id="rId696" Type="http://schemas.openxmlformats.org/officeDocument/2006/relationships/image" Target="media/image689.jpeg"/><Relationship Id="rId697" Type="http://schemas.openxmlformats.org/officeDocument/2006/relationships/image" Target="media/image690.jpe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jpe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jpe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jpeg"/><Relationship Id="rId723" Type="http://schemas.openxmlformats.org/officeDocument/2006/relationships/image" Target="media/image716.jpe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jpeg"/><Relationship Id="rId728" Type="http://schemas.openxmlformats.org/officeDocument/2006/relationships/image" Target="media/image721.jpe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jpeg"/><Relationship Id="rId738" Type="http://schemas.openxmlformats.org/officeDocument/2006/relationships/image" Target="media/image731.jpeg"/><Relationship Id="rId739" Type="http://schemas.openxmlformats.org/officeDocument/2006/relationships/image" Target="media/image732.jpe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jpeg"/><Relationship Id="rId744" Type="http://schemas.openxmlformats.org/officeDocument/2006/relationships/image" Target="media/image737.jpeg"/><Relationship Id="rId745" Type="http://schemas.openxmlformats.org/officeDocument/2006/relationships/image" Target="media/image738.jpeg"/><Relationship Id="rId746" Type="http://schemas.openxmlformats.org/officeDocument/2006/relationships/image" Target="media/image739.jpeg"/><Relationship Id="rId747" Type="http://schemas.openxmlformats.org/officeDocument/2006/relationships/image" Target="media/image740.jpeg"/><Relationship Id="rId748" Type="http://schemas.openxmlformats.org/officeDocument/2006/relationships/image" Target="media/image741.jpeg"/><Relationship Id="rId749" Type="http://schemas.openxmlformats.org/officeDocument/2006/relationships/image" Target="media/image742.jpeg"/><Relationship Id="rId750" Type="http://schemas.openxmlformats.org/officeDocument/2006/relationships/image" Target="media/image743.jpeg"/><Relationship Id="rId751" Type="http://schemas.openxmlformats.org/officeDocument/2006/relationships/image" Target="media/image744.jpeg"/><Relationship Id="rId752" Type="http://schemas.openxmlformats.org/officeDocument/2006/relationships/image" Target="media/image745.jpeg"/><Relationship Id="rId753" Type="http://schemas.openxmlformats.org/officeDocument/2006/relationships/image" Target="media/image746.jpeg"/><Relationship Id="rId754" Type="http://schemas.openxmlformats.org/officeDocument/2006/relationships/image" Target="media/image747.jpeg"/><Relationship Id="rId755" Type="http://schemas.openxmlformats.org/officeDocument/2006/relationships/image" Target="media/image748.jpeg"/><Relationship Id="rId756" Type="http://schemas.openxmlformats.org/officeDocument/2006/relationships/image" Target="media/image749.jpeg"/><Relationship Id="rId757" Type="http://schemas.openxmlformats.org/officeDocument/2006/relationships/image" Target="media/image750.jpe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jpeg"/><Relationship Id="rId761" Type="http://schemas.openxmlformats.org/officeDocument/2006/relationships/image" Target="media/image754.png"/><Relationship Id="rId762" Type="http://schemas.openxmlformats.org/officeDocument/2006/relationships/image" Target="media/image755.jpeg"/><Relationship Id="rId763" Type="http://schemas.openxmlformats.org/officeDocument/2006/relationships/image" Target="media/image756.png"/><Relationship Id="rId764" Type="http://schemas.openxmlformats.org/officeDocument/2006/relationships/image" Target="media/image757.jpeg"/><Relationship Id="rId765" Type="http://schemas.openxmlformats.org/officeDocument/2006/relationships/image" Target="media/image758.jpe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jpeg"/><Relationship Id="rId769" Type="http://schemas.openxmlformats.org/officeDocument/2006/relationships/image" Target="media/image762.jpe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jpe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jpeg"/><Relationship Id="rId778" Type="http://schemas.openxmlformats.org/officeDocument/2006/relationships/image" Target="media/image771.jpeg"/><Relationship Id="rId779" Type="http://schemas.openxmlformats.org/officeDocument/2006/relationships/image" Target="media/image772.jpe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jpeg"/><Relationship Id="rId783" Type="http://schemas.openxmlformats.org/officeDocument/2006/relationships/image" Target="media/image776.jpe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jpe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jpeg"/><Relationship Id="rId791" Type="http://schemas.openxmlformats.org/officeDocument/2006/relationships/image" Target="media/image784.jpeg"/><Relationship Id="rId792" Type="http://schemas.openxmlformats.org/officeDocument/2006/relationships/image" Target="media/image785.png"/><Relationship Id="rId793" Type="http://schemas.openxmlformats.org/officeDocument/2006/relationships/image" Target="media/image786.jpe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png"/><Relationship Id="rId804" Type="http://schemas.openxmlformats.org/officeDocument/2006/relationships/image" Target="media/image797.jpe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jpeg"/><Relationship Id="rId808" Type="http://schemas.openxmlformats.org/officeDocument/2006/relationships/image" Target="media/image801.jpe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jpe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jpeg"/><Relationship Id="rId818" Type="http://schemas.openxmlformats.org/officeDocument/2006/relationships/image" Target="media/image811.jpe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png"/><Relationship Id="rId825" Type="http://schemas.openxmlformats.org/officeDocument/2006/relationships/image" Target="media/image818.jpe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png"/><Relationship Id="rId836" Type="http://schemas.openxmlformats.org/officeDocument/2006/relationships/image" Target="media/image829.jpe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jpeg"/><Relationship Id="rId840" Type="http://schemas.openxmlformats.org/officeDocument/2006/relationships/image" Target="media/image833.jpe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jpeg"/><Relationship Id="rId845" Type="http://schemas.openxmlformats.org/officeDocument/2006/relationships/image" Target="media/image838.jpeg"/><Relationship Id="rId846" Type="http://schemas.openxmlformats.org/officeDocument/2006/relationships/image" Target="media/image839.png"/><Relationship Id="rId847" Type="http://schemas.openxmlformats.org/officeDocument/2006/relationships/image" Target="media/image840.jpe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jpe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jpe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jpe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jpeg"/><Relationship Id="rId864" Type="http://schemas.openxmlformats.org/officeDocument/2006/relationships/image" Target="media/image857.png"/><Relationship Id="rId865" Type="http://schemas.openxmlformats.org/officeDocument/2006/relationships/image" Target="media/image858.jpe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jpe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jpe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jpe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jpe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jpe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jpe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jpe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jpe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jpe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jpe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jpe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jpe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jpe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jpe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jpe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jpe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jpe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jpe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jpe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jpeg"/><Relationship Id="rId949" Type="http://schemas.openxmlformats.org/officeDocument/2006/relationships/image" Target="media/image942.png"/><Relationship Id="rId950" Type="http://schemas.openxmlformats.org/officeDocument/2006/relationships/image" Target="media/image943.jpe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jpe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jpe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jpe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jpe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jpe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jpe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jpe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jpe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jpeg"/><Relationship Id="rId991" Type="http://schemas.openxmlformats.org/officeDocument/2006/relationships/image" Target="media/image984.png"/><Relationship Id="rId992" Type="http://schemas.openxmlformats.org/officeDocument/2006/relationships/image" Target="media/image985.jpe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jpe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jpe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jpe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jpeg"/><Relationship Id="rId1012" Type="http://schemas.openxmlformats.org/officeDocument/2006/relationships/image" Target="media/image1005.png"/><Relationship Id="rId1013" Type="http://schemas.openxmlformats.org/officeDocument/2006/relationships/image" Target="media/image1006.jpe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jpeg"/><Relationship Id="rId1018" Type="http://schemas.openxmlformats.org/officeDocument/2006/relationships/image" Target="media/image1011.png"/><Relationship Id="rId1019" Type="http://schemas.openxmlformats.org/officeDocument/2006/relationships/image" Target="media/image1012.jpe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jpeg"/><Relationship Id="rId1024" Type="http://schemas.openxmlformats.org/officeDocument/2006/relationships/image" Target="media/image1017.png"/><Relationship Id="rId1025" Type="http://schemas.openxmlformats.org/officeDocument/2006/relationships/image" Target="media/image1018.jpe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jpeg"/><Relationship Id="rId1030" Type="http://schemas.openxmlformats.org/officeDocument/2006/relationships/image" Target="media/image1023.jpe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2026-04-06T05:23:43Z</dcterms:created>
  <dcterms:modified xsi:type="dcterms:W3CDTF">2026-04-06T05:23:43Z</dcterms:modified>
</cp:coreProperties>
</file>