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9399-01_fwp.htm"/>
      <w:bookmarkStart w:id="1" w:name="ksea0309399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October 22,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3-Year RTY/SPX/NDX Enhanced Jump Securities with Auto-Callable Feature with 1-Year Initial Non-Call Period</w:t>
      </w:r>
    </w:p>
    <w:p>
      <w:pPr>
        <w:pStyle w:val="TextBody"/>
        <w:bidi w:val="0"/>
        <w:spacing w:before="0" w:after="0"/>
        <w:ind w:left="0"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966470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9664700"/>
                        </a:xfrm>
                        <a:prstGeom prst="rect"/>
                        <a:solidFill>
                          <a:srgbClr val="FFFFFF"/>
                        </a:solidFill>
                      </wps:spPr>
                      <wps:txb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1540"/>
                              <w:gridCol w:w="8665"/>
                            </w:tblGrid>
                            <w:tr>
                              <w:trPr/>
                              <w:tc>
                                <w:tcPr>
                                  <w:tcW w:w="1540"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665"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54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665" w:type="dxa"/>
                                  <w:tcBorders/>
                                  <w:shd w:fill="DCEBF4" w:val="clear"/>
                                  <w:vAlign w:val="center"/>
                                </w:tcPr>
                                <w:p>
                                  <w:pPr>
                                    <w:pStyle w:val="TableContents"/>
                                    <w:bidi w:val="0"/>
                                    <w:spacing w:before="0" w:after="283"/>
                                    <w:jc w:val="left"/>
                                    <w:rPr>
                                      <w:sz w:val="16"/>
                                    </w:rPr>
                                  </w:pPr>
                                  <w:r>
                                    <w:rPr>
                                      <w:sz w:val="16"/>
                                    </w:rPr>
                                    <w:t>JPMorgan Chase &amp; Co.</w:t>
                                  </w:r>
                                </w:p>
                              </w:tc>
                            </w:tr>
                            <w:tr>
                              <w:trPr/>
                              <w:tc>
                                <w:tcPr>
                                  <w:tcW w:w="154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665" w:type="dxa"/>
                                  <w:tcBorders/>
                                  <w:vAlign w:val="center"/>
                                </w:tcPr>
                                <w:p>
                                  <w:pPr>
                                    <w:pStyle w:val="TableContents"/>
                                    <w:bidi w:val="0"/>
                                    <w:spacing w:before="0" w:after="283"/>
                                    <w:jc w:val="left"/>
                                    <w:rPr>
                                      <w:sz w:val="16"/>
                                    </w:rPr>
                                  </w:pPr>
                                  <w:r>
                                    <w:rPr>
                                      <w:sz w:val="16"/>
                                    </w:rPr>
                                    <w:t>Russell 2000</w:t>
                                  </w:r>
                                  <w:r>
                                    <w:rPr>
                                      <w:position w:val="5"/>
                                      <w:sz w:val="13"/>
                                      <w:sz w:val="16"/>
                                    </w:rPr>
                                    <w:t>®</w:t>
                                  </w:r>
                                  <w:r>
                                    <w:rPr>
                                      <w:sz w:val="16"/>
                                    </w:rPr>
                                    <w:t xml:space="preserve"> Index (Bloomberg ticker: RTY Index) (the “RTY Index”), S&amp;P 500</w:t>
                                  </w:r>
                                  <w:r>
                                    <w:rPr>
                                      <w:position w:val="5"/>
                                      <w:sz w:val="13"/>
                                      <w:sz w:val="16"/>
                                    </w:rPr>
                                    <w:t>®</w:t>
                                  </w:r>
                                  <w:r>
                                    <w:rPr>
                                      <w:sz w:val="16"/>
                                    </w:rPr>
                                    <w:t xml:space="preserve"> Index (Bloomberg ticker: SPX Index) (the “SPX Index”) and Nasdaq-100 Index</w:t>
                                  </w:r>
                                  <w:r>
                                    <w:rPr>
                                      <w:position w:val="5"/>
                                      <w:sz w:val="13"/>
                                      <w:sz w:val="16"/>
                                    </w:rPr>
                                    <w:t>®</w:t>
                                  </w:r>
                                  <w:r>
                                    <w:rPr>
                                      <w:sz w:val="16"/>
                                    </w:rPr>
                                    <w:t xml:space="preserve"> (Bloomberg ticker: NDX Index) (the “NDX Index”) (each, an “underlying index”)</w:t>
                                  </w:r>
                                </w:p>
                              </w:tc>
                            </w:tr>
                            <w:tr>
                              <w:trPr/>
                              <w:tc>
                                <w:tcPr>
                                  <w:tcW w:w="154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Automatic early redemption: </w:t>
                                  </w:r>
                                </w:p>
                              </w:tc>
                              <w:tc>
                                <w:tcPr>
                                  <w:tcW w:w="8665" w:type="dxa"/>
                                  <w:tcBorders/>
                                  <w:shd w:fill="DCEBF4" w:val="clear"/>
                                  <w:vAlign w:val="center"/>
                                </w:tcPr>
                                <w:p>
                                  <w:pPr>
                                    <w:pStyle w:val="TableContents"/>
                                    <w:bidi w:val="0"/>
                                    <w:spacing w:before="0" w:after="283"/>
                                    <w:jc w:val="left"/>
                                    <w:rPr>
                                      <w:sz w:val="15"/>
                                    </w:rPr>
                                  </w:pPr>
                                  <w:r>
                                    <w:rPr>
                                      <w:sz w:val="15"/>
                                    </w:rPr>
                                    <w:t xml:space="preserve">If, on any of the determination dates (other than the final determination date), the closing level of each underlying index is </w:t>
                                  </w:r>
                                  <w:r>
                                    <w:rPr>
                                      <w:b/>
                                      <w:sz w:val="15"/>
                                    </w:rPr>
                                    <w:t>greater than or equal to</w:t>
                                  </w:r>
                                  <w:r>
                                    <w:rPr>
                                      <w:sz w:val="15"/>
                                    </w:rPr>
                                    <w:t xml:space="preserve"> its initial index value, the securities will be automatically redeemed for a cash payment equal to the early redemption payment payable on the applicable redemption date.</w:t>
                                  </w:r>
                                </w:p>
                              </w:tc>
                            </w:tr>
                          </w:tbl>
                          <w:tbl>
                            <w:tblPr>
                              <w:tblW w:w="10205" w:type="dxa"/>
                              <w:jc w:val="left"/>
                              <w:tblInd w:w="0" w:type="dxa"/>
                              <w:tblLayout w:type="fixed"/>
                              <w:tblCellMar>
                                <w:top w:w="0" w:type="dxa"/>
                                <w:left w:w="0" w:type="dxa"/>
                                <w:bottom w:w="0" w:type="dxa"/>
                                <w:right w:w="0" w:type="dxa"/>
                              </w:tblCellMar>
                            </w:tblPr>
                            <w:tblGrid>
                              <w:gridCol w:w="1367"/>
                              <w:gridCol w:w="8838"/>
                            </w:tblGrid>
                            <w:tr>
                              <w:trPr/>
                              <w:tc>
                                <w:tcPr>
                                  <w:tcW w:w="136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 payment:</w:t>
                                  </w:r>
                                </w:p>
                              </w:tc>
                              <w:tc>
                                <w:tcPr>
                                  <w:tcW w:w="8838" w:type="dxa"/>
                                  <w:tcBorders/>
                                  <w:vAlign w:val="center"/>
                                </w:tcPr>
                                <w:p>
                                  <w:pPr>
                                    <w:pStyle w:val="TableContents"/>
                                    <w:bidi w:val="0"/>
                                    <w:spacing w:before="20" w:after="40"/>
                                    <w:ind w:left="20" w:right="2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The early redemption payment will be an amount equal to the stated principal amount </w:t>
                                  </w:r>
                                  <w:r>
                                    <w:rPr>
                                      <w:rFonts w:ascii="Arial;Helvetica;Sans-Serif" w:hAnsi="Arial;Helvetica;Sans-Serif"/>
                                      <w:b w:val="false"/>
                                      <w:i/>
                                      <w:caps w:val="false"/>
                                      <w:smallCaps w:val="false"/>
                                      <w:sz w:val="15"/>
                                    </w:rPr>
                                    <w:t>plus</w:t>
                                  </w:r>
                                  <w:r>
                                    <w:rPr>
                                      <w:rFonts w:ascii="Arial;Helvetica;Sans-Serif" w:hAnsi="Arial;Helvetica;Sans-Serif"/>
                                      <w:b w:val="false"/>
                                      <w:i w:val="false"/>
                                      <w:caps w:val="false"/>
                                      <w:smallCaps w:val="false"/>
                                      <w:sz w:val="15"/>
                                    </w:rPr>
                                    <w:t xml:space="preserve"> an amount in cash per stated principal amount corresponding to a return of at least approximately 10.00% per annum (or at least 10.00% for the first determination date and increasing by at least 2.50% for each subsequent determination date), as follows:</w:t>
                                  </w:r>
                                </w:p>
                              </w:tc>
                            </w:tr>
                          </w:tbl>
                          <w:tbl>
                            <w:tblPr>
                              <w:tblW w:w="2635" w:type="dxa"/>
                              <w:jc w:val="left"/>
                              <w:tblInd w:w="0" w:type="dxa"/>
                              <w:tblLayout w:type="fixed"/>
                              <w:tblCellMar>
                                <w:top w:w="0" w:type="dxa"/>
                                <w:left w:w="0" w:type="dxa"/>
                                <w:bottom w:w="0" w:type="dxa"/>
                                <w:right w:w="0" w:type="dxa"/>
                              </w:tblCellMar>
                            </w:tblPr>
                            <w:tblGrid>
                              <w:gridCol w:w="75"/>
                              <w:gridCol w:w="1445"/>
                              <w:gridCol w:w="1115"/>
                            </w:tblGrid>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olor w:val="000000"/>
                                      <w:sz w:val="15"/>
                                    </w:rPr>
                                  </w:pPr>
                                  <w:r>
                                    <w:rPr>
                                      <w:color w:val="000000"/>
                                      <w:sz w:val="15"/>
                                    </w:rPr>
                                    <w:t>1st determination date:</w:t>
                                  </w:r>
                                </w:p>
                              </w:tc>
                              <w:tc>
                                <w:tcPr>
                                  <w:tcW w:w="1115" w:type="dxa"/>
                                  <w:tcBorders/>
                                  <w:vAlign w:val="center"/>
                                </w:tcPr>
                                <w:p>
                                  <w:pPr>
                                    <w:pStyle w:val="TableContents"/>
                                    <w:bidi w:val="0"/>
                                    <w:spacing w:before="0" w:after="283"/>
                                    <w:jc w:val="left"/>
                                    <w:rPr>
                                      <w:color w:val="000000"/>
                                      <w:sz w:val="15"/>
                                    </w:rPr>
                                  </w:pPr>
                                  <w:r>
                                    <w:rPr>
                                      <w:color w:val="000000"/>
                                      <w:sz w:val="15"/>
                                    </w:rPr>
                                    <w:t>at least $1,100.00</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olor w:val="000000"/>
                                      <w:sz w:val="15"/>
                                    </w:rPr>
                                  </w:pPr>
                                  <w:r>
                                    <w:rPr>
                                      <w:color w:val="000000"/>
                                      <w:sz w:val="15"/>
                                    </w:rPr>
                                    <w:t>2nd determination date:</w:t>
                                  </w:r>
                                </w:p>
                              </w:tc>
                              <w:tc>
                                <w:tcPr>
                                  <w:tcW w:w="1115" w:type="dxa"/>
                                  <w:tcBorders/>
                                  <w:vAlign w:val="center"/>
                                </w:tcPr>
                                <w:p>
                                  <w:pPr>
                                    <w:pStyle w:val="TableContents"/>
                                    <w:bidi w:val="0"/>
                                    <w:spacing w:before="0" w:after="283"/>
                                    <w:jc w:val="left"/>
                                    <w:rPr>
                                      <w:color w:val="000000"/>
                                      <w:sz w:val="15"/>
                                    </w:rPr>
                                  </w:pPr>
                                  <w:r>
                                    <w:rPr>
                                      <w:color w:val="000000"/>
                                      <w:sz w:val="15"/>
                                    </w:rPr>
                                    <w:t>at least $1,125.00</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olor w:val="000000"/>
                                      <w:sz w:val="15"/>
                                    </w:rPr>
                                  </w:pPr>
                                  <w:r>
                                    <w:rPr>
                                      <w:color w:val="000000"/>
                                      <w:sz w:val="15"/>
                                    </w:rPr>
                                    <w:t>3rd determination date:</w:t>
                                  </w:r>
                                </w:p>
                              </w:tc>
                              <w:tc>
                                <w:tcPr>
                                  <w:tcW w:w="1115" w:type="dxa"/>
                                  <w:tcBorders/>
                                  <w:vAlign w:val="center"/>
                                </w:tcPr>
                                <w:p>
                                  <w:pPr>
                                    <w:pStyle w:val="TableContents"/>
                                    <w:bidi w:val="0"/>
                                    <w:spacing w:before="0" w:after="283"/>
                                    <w:jc w:val="left"/>
                                    <w:rPr>
                                      <w:color w:val="000000"/>
                                      <w:sz w:val="15"/>
                                    </w:rPr>
                                  </w:pPr>
                                  <w:r>
                                    <w:rPr>
                                      <w:color w:val="000000"/>
                                      <w:sz w:val="15"/>
                                    </w:rPr>
                                    <w:t>at least $1,150.00</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olor w:val="000000"/>
                                      <w:sz w:val="15"/>
                                    </w:rPr>
                                  </w:pPr>
                                  <w:r>
                                    <w:rPr>
                                      <w:color w:val="000000"/>
                                      <w:sz w:val="15"/>
                                    </w:rPr>
                                    <w:t>4th determination date:</w:t>
                                  </w:r>
                                </w:p>
                              </w:tc>
                              <w:tc>
                                <w:tcPr>
                                  <w:tcW w:w="1115" w:type="dxa"/>
                                  <w:tcBorders/>
                                  <w:vAlign w:val="center"/>
                                </w:tcPr>
                                <w:p>
                                  <w:pPr>
                                    <w:pStyle w:val="TableContents"/>
                                    <w:bidi w:val="0"/>
                                    <w:spacing w:before="0" w:after="283"/>
                                    <w:jc w:val="left"/>
                                    <w:rPr>
                                      <w:color w:val="000000"/>
                                      <w:sz w:val="15"/>
                                    </w:rPr>
                                  </w:pPr>
                                  <w:r>
                                    <w:rPr>
                                      <w:color w:val="000000"/>
                                      <w:sz w:val="15"/>
                                    </w:rPr>
                                    <w:t>at least $1,175.00</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olor w:val="000000"/>
                                      <w:sz w:val="15"/>
                                    </w:rPr>
                                  </w:pPr>
                                  <w:r>
                                    <w:rPr>
                                      <w:color w:val="000000"/>
                                      <w:sz w:val="15"/>
                                    </w:rPr>
                                    <w:t>5th determination date:</w:t>
                                  </w:r>
                                </w:p>
                              </w:tc>
                              <w:tc>
                                <w:tcPr>
                                  <w:tcW w:w="1115" w:type="dxa"/>
                                  <w:tcBorders/>
                                  <w:vAlign w:val="center"/>
                                </w:tcPr>
                                <w:p>
                                  <w:pPr>
                                    <w:pStyle w:val="TableContents"/>
                                    <w:bidi w:val="0"/>
                                    <w:spacing w:before="0" w:after="283"/>
                                    <w:jc w:val="left"/>
                                    <w:rPr>
                                      <w:color w:val="000000"/>
                                      <w:sz w:val="15"/>
                                    </w:rPr>
                                  </w:pPr>
                                  <w:r>
                                    <w:rPr>
                                      <w:color w:val="000000"/>
                                      <w:sz w:val="15"/>
                                    </w:rPr>
                                    <w:t>at least $1,200.00</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olor w:val="000000"/>
                                      <w:sz w:val="15"/>
                                    </w:rPr>
                                  </w:pPr>
                                  <w:r>
                                    <w:rPr>
                                      <w:color w:val="000000"/>
                                      <w:sz w:val="15"/>
                                    </w:rPr>
                                    <w:t>6th determination date:</w:t>
                                  </w:r>
                                </w:p>
                              </w:tc>
                              <w:tc>
                                <w:tcPr>
                                  <w:tcW w:w="1115" w:type="dxa"/>
                                  <w:tcBorders/>
                                  <w:vAlign w:val="center"/>
                                </w:tcPr>
                                <w:p>
                                  <w:pPr>
                                    <w:pStyle w:val="TableContents"/>
                                    <w:bidi w:val="0"/>
                                    <w:spacing w:before="0" w:after="283"/>
                                    <w:jc w:val="left"/>
                                    <w:rPr>
                                      <w:color w:val="000000"/>
                                      <w:sz w:val="15"/>
                                    </w:rPr>
                                  </w:pPr>
                                  <w:r>
                                    <w:rPr>
                                      <w:color w:val="000000"/>
                                      <w:sz w:val="15"/>
                                    </w:rPr>
                                    <w:t>at least $1,225.00</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olor w:val="000000"/>
                                      <w:sz w:val="15"/>
                                    </w:rPr>
                                  </w:pPr>
                                  <w:r>
                                    <w:rPr>
                                      <w:color w:val="000000"/>
                                      <w:sz w:val="15"/>
                                    </w:rPr>
                                    <w:t>7th determination date:</w:t>
                                  </w:r>
                                </w:p>
                              </w:tc>
                              <w:tc>
                                <w:tcPr>
                                  <w:tcW w:w="1115" w:type="dxa"/>
                                  <w:tcBorders/>
                                  <w:vAlign w:val="center"/>
                                </w:tcPr>
                                <w:p>
                                  <w:pPr>
                                    <w:pStyle w:val="TableContents"/>
                                    <w:bidi w:val="0"/>
                                    <w:spacing w:before="0" w:after="283"/>
                                    <w:jc w:val="left"/>
                                    <w:rPr>
                                      <w:color w:val="000000"/>
                                      <w:sz w:val="15"/>
                                    </w:rPr>
                                  </w:pPr>
                                  <w:r>
                                    <w:rPr>
                                      <w:color w:val="000000"/>
                                      <w:sz w:val="15"/>
                                    </w:rPr>
                                    <w:t>at least $1,250.00</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olor w:val="000000"/>
                                      <w:sz w:val="15"/>
                                    </w:rPr>
                                  </w:pPr>
                                  <w:r>
                                    <w:rPr>
                                      <w:color w:val="000000"/>
                                      <w:sz w:val="15"/>
                                    </w:rPr>
                                    <w:t>8th determination date:</w:t>
                                  </w:r>
                                </w:p>
                              </w:tc>
                              <w:tc>
                                <w:tcPr>
                                  <w:tcW w:w="1115" w:type="dxa"/>
                                  <w:tcBorders/>
                                  <w:vAlign w:val="center"/>
                                </w:tcPr>
                                <w:p>
                                  <w:pPr>
                                    <w:pStyle w:val="TableContents"/>
                                    <w:bidi w:val="0"/>
                                    <w:spacing w:before="0" w:after="283"/>
                                    <w:jc w:val="left"/>
                                    <w:rPr>
                                      <w:color w:val="000000"/>
                                      <w:sz w:val="15"/>
                                    </w:rPr>
                                  </w:pPr>
                                  <w:r>
                                    <w:rPr>
                                      <w:color w:val="000000"/>
                                      <w:sz w:val="15"/>
                                    </w:rPr>
                                    <w:t>at least $1,275.00</w:t>
                                  </w:r>
                                </w:p>
                              </w:tc>
                            </w:tr>
                          </w:tbl>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sz w:val="15"/>
                                    </w:rPr>
                                  </w:pPr>
                                  <w:r>
                                    <w:rPr>
                                      <w:sz w:val="15"/>
                                    </w:rPr>
                                    <w:t>The actual early redemption payment with respect to each applicable determination date will be provided in the pricing supplement.  No further payments will be made on the securities once they have been redeemed.</w:t>
                                  </w:r>
                                </w:p>
                              </w:tc>
                            </w:tr>
                          </w:tbl>
                          <w:tbl>
                            <w:tblPr>
                              <w:tblW w:w="10205" w:type="dxa"/>
                              <w:jc w:val="left"/>
                              <w:tblInd w:w="0" w:type="dxa"/>
                              <w:tblLayout w:type="fixed"/>
                              <w:tblCellMar>
                                <w:top w:w="0" w:type="dxa"/>
                                <w:left w:w="0" w:type="dxa"/>
                                <w:bottom w:w="0" w:type="dxa"/>
                                <w:right w:w="0" w:type="dxa"/>
                              </w:tblCellMar>
                            </w:tblPr>
                            <w:tblGrid>
                              <w:gridCol w:w="944"/>
                              <w:gridCol w:w="2779"/>
                              <w:gridCol w:w="6482"/>
                            </w:tblGrid>
                            <w:tr>
                              <w:trPr/>
                              <w:tc>
                                <w:tcPr>
                                  <w:tcW w:w="944" w:type="dxa"/>
                                  <w:tcBorders/>
                                  <w:shd w:fill="DCEBF4" w:val="clear"/>
                                  <w:vAlign w:val="center"/>
                                </w:tcPr>
                                <w:p>
                                  <w:pPr>
                                    <w:pStyle w:val="TableContents"/>
                                    <w:bidi w:val="0"/>
                                    <w:spacing w:before="0" w:after="283"/>
                                    <w:ind w:left="0" w:right="0" w:hanging="180"/>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779" w:type="dxa"/>
                                  <w:tcBorders/>
                                  <w:shd w:fill="DCEBF4" w:val="clear"/>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each underlying index is </w:t>
                                  </w:r>
                                  <w:r>
                                    <w:rPr>
                                      <w:b/>
                                      <w:sz w:val="15"/>
                                    </w:rPr>
                                    <w:t>greater than or equal to its downside threshold level</w:t>
                                  </w:r>
                                  <w:r>
                                    <w:rPr>
                                      <w:sz w:val="15"/>
                                    </w:rPr>
                                    <w:t>:</w:t>
                                  </w:r>
                                </w:p>
                              </w:tc>
                              <w:tc>
                                <w:tcPr>
                                  <w:tcW w:w="6482" w:type="dxa"/>
                                  <w:tcBorders/>
                                  <w:shd w:fill="DCEBF4" w:val="clear"/>
                                  <w:vAlign w:val="center"/>
                                </w:tcPr>
                                <w:p>
                                  <w:pPr>
                                    <w:pStyle w:val="TableContents"/>
                                    <w:bidi w:val="0"/>
                                    <w:spacing w:before="0" w:after="283"/>
                                    <w:jc w:val="left"/>
                                    <w:rPr>
                                      <w:sz w:val="15"/>
                                    </w:rPr>
                                  </w:pPr>
                                  <w:r>
                                    <w:rPr>
                                      <w:sz w:val="15"/>
                                    </w:rPr>
                                    <w:t>the maturity redemption payment, which is an amount in cash per stated principal amount corresponding to a return of at least approximately 10.00% per annum, or at least $1,300.00.  The actual maturity redemption payment will be provided in the pricing supplement.</w:t>
                                  </w:r>
                                </w:p>
                              </w:tc>
                            </w:tr>
                            <w:tr>
                              <w:trPr/>
                              <w:tc>
                                <w:tcPr>
                                  <w:tcW w:w="944" w:type="dxa"/>
                                  <w:tcBorders/>
                                  <w:shd w:fill="DCEBF4" w:val="clear"/>
                                  <w:vAlign w:val="center"/>
                                </w:tcPr>
                                <w:p>
                                  <w:pPr>
                                    <w:pStyle w:val="TableContents"/>
                                    <w:bidi w:val="0"/>
                                    <w:spacing w:before="0" w:after="283"/>
                                    <w:ind w:left="0" w:right="0" w:hanging="180"/>
                                    <w:jc w:val="left"/>
                                    <w:rPr>
                                      <w:color w:val="296DC1"/>
                                    </w:rPr>
                                  </w:pPr>
                                  <w:r>
                                    <w:rPr>
                                      <w:color w:val="296DC1"/>
                                    </w:rPr>
                                    <w:t> </w:t>
                                  </w:r>
                                </w:p>
                              </w:tc>
                              <w:tc>
                                <w:tcPr>
                                  <w:tcW w:w="2779" w:type="dxa"/>
                                  <w:tcBorders/>
                                  <w:shd w:fill="DCEBF4" w:val="clear"/>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any underlying index is </w:t>
                                  </w:r>
                                  <w:r>
                                    <w:rPr>
                                      <w:b/>
                                      <w:sz w:val="15"/>
                                    </w:rPr>
                                    <w:t>less than</w:t>
                                  </w:r>
                                  <w:r>
                                    <w:rPr>
                                      <w:sz w:val="15"/>
                                    </w:rPr>
                                    <w:t xml:space="preserve"> its downside threshold level:</w:t>
                                  </w:r>
                                </w:p>
                              </w:tc>
                              <w:tc>
                                <w:tcPr>
                                  <w:tcW w:w="6482" w:type="dxa"/>
                                  <w:tcBorders/>
                                  <w:shd w:fill="DCEBF4" w:val="clear"/>
                                  <w:vAlign w:val="center"/>
                                </w:tcPr>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(i) the stated principal amount </w:t>
                                  </w:r>
                                  <w:r>
                                    <w:rPr>
                                      <w:rFonts w:ascii="Arial;Helvetica;Sans-Serif" w:hAnsi="Arial;Helvetica;Sans-Serif"/>
                                      <w:b w:val="false"/>
                                      <w:i/>
                                      <w:caps w:val="false"/>
                                      <w:smallCaps w:val="false"/>
                                      <w:sz w:val="15"/>
                                    </w:rPr>
                                    <w:t>times</w:t>
                                  </w:r>
                                  <w:r>
                                    <w:rPr>
                                      <w:rFonts w:ascii="Arial;Helvetica;Sans-Serif" w:hAnsi="Arial;Helvetica;Sans-Serif"/>
                                      <w:b w:val="false"/>
                                      <w:i w:val="false"/>
                                      <w:caps w:val="false"/>
                                      <w:smallCaps w:val="false"/>
                                      <w:sz w:val="15"/>
                                    </w:rPr>
                                    <w:t xml:space="preserve"> (ii) the index performance factor of the worst performing underlying index</w:t>
                                  </w:r>
                                </w:p>
                                <w:p>
                                  <w:pPr>
                                    <w:pStyle w:val="TableContents"/>
                                    <w:bidi w:val="0"/>
                                    <w:spacing w:before="0" w:after="283"/>
                                    <w:jc w:val="left"/>
                                    <w:rPr>
                                      <w:rFonts w:ascii="Arial;Helvetica;Sans-Serif" w:hAnsi="Arial;Helvetica;Sans-Serif"/>
                                      <w:b/>
                                      <w:i w:val="false"/>
                                      <w:caps w:val="false"/>
                                      <w:smallCaps w:val="false"/>
                                      <w:sz w:val="15"/>
                                    </w:rPr>
                                  </w:pPr>
                                  <w:r>
                                    <w:rPr>
                                      <w:rFonts w:ascii="Arial;Helvetica;Sans-Serif" w:hAnsi="Arial;Helvetica;Sans-Serif"/>
                                      <w:b/>
                                      <w:i w:val="false"/>
                                      <w:caps w:val="false"/>
                                      <w:smallCaps w:val="false"/>
                                      <w:sz w:val="15"/>
                                    </w:rPr>
                                    <w:t>Under these circumstances, the payment at maturity will be less than 70% of the stated principal amount and could be zero.</w:t>
                                  </w:r>
                                </w:p>
                              </w:tc>
                            </w:tr>
                          </w:tbl>
                          <w:tbl>
                            <w:tblPr>
                              <w:tblW w:w="9400" w:type="dxa"/>
                              <w:jc w:val="left"/>
                              <w:tblInd w:w="0" w:type="dxa"/>
                              <w:tblLayout w:type="fixed"/>
                              <w:tblCellMar>
                                <w:top w:w="0" w:type="dxa"/>
                                <w:left w:w="0" w:type="dxa"/>
                                <w:bottom w:w="0" w:type="dxa"/>
                                <w:right w:w="0" w:type="dxa"/>
                              </w:tblCellMar>
                            </w:tblPr>
                            <w:tblGrid>
                              <w:gridCol w:w="3020"/>
                              <w:gridCol w:w="6380"/>
                            </w:tblGrid>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6380" w:type="dxa"/>
                                  <w:tcBorders/>
                                  <w:vAlign w:val="center"/>
                                </w:tcPr>
                                <w:p>
                                  <w:pPr>
                                    <w:pStyle w:val="TableContents"/>
                                    <w:bidi w:val="0"/>
                                    <w:spacing w:before="0" w:after="283"/>
                                    <w:jc w:val="left"/>
                                    <w:rPr>
                                      <w:sz w:val="16"/>
                                    </w:rPr>
                                  </w:pPr>
                                  <w:r>
                                    <w:rPr>
                                      <w:sz w:val="16"/>
                                    </w:rPr>
                                    <w:t>With respect to each underlying index, 70% of its initial index value</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 value:</w:t>
                                  </w:r>
                                </w:p>
                              </w:tc>
                              <w:tc>
                                <w:tcPr>
                                  <w:tcW w:w="6380" w:type="dxa"/>
                                  <w:tcBorders/>
                                  <w:shd w:fill="DCEBF4" w:val="clear"/>
                                  <w:vAlign w:val="center"/>
                                </w:tcPr>
                                <w:p>
                                  <w:pPr>
                                    <w:pStyle w:val="TableContents"/>
                                    <w:bidi w:val="0"/>
                                    <w:spacing w:before="0" w:after="283"/>
                                    <w:jc w:val="left"/>
                                    <w:rPr>
                                      <w:sz w:val="16"/>
                                    </w:rPr>
                                  </w:pPr>
                                  <w:r>
                                    <w:rPr>
                                      <w:sz w:val="16"/>
                                    </w:rPr>
                                    <w:t>With respect to each underlying index, its closing level on the pricing date</w:t>
                                  </w:r>
                                </w:p>
                              </w:tc>
                            </w:tr>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 value:</w:t>
                                  </w:r>
                                </w:p>
                              </w:tc>
                              <w:tc>
                                <w:tcPr>
                                  <w:tcW w:w="6380" w:type="dxa"/>
                                  <w:tcBorders/>
                                  <w:vAlign w:val="center"/>
                                </w:tcPr>
                                <w:p>
                                  <w:pPr>
                                    <w:pStyle w:val="TableContents"/>
                                    <w:bidi w:val="0"/>
                                    <w:spacing w:before="0" w:after="283"/>
                                    <w:jc w:val="left"/>
                                    <w:rPr>
                                      <w:sz w:val="16"/>
                                    </w:rPr>
                                  </w:pPr>
                                  <w:r>
                                    <w:rPr>
                                      <w:sz w:val="16"/>
                                    </w:rPr>
                                    <w:t>With respect to each underlying index, its closing level on the final determination date</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Worst performing underlying index:</w:t>
                                  </w:r>
                                </w:p>
                              </w:tc>
                              <w:tc>
                                <w:tcPr>
                                  <w:tcW w:w="6380" w:type="dxa"/>
                                  <w:tcBorders/>
                                  <w:shd w:fill="DCEBF4" w:val="clear"/>
                                  <w:vAlign w:val="center"/>
                                </w:tcPr>
                                <w:p>
                                  <w:pPr>
                                    <w:pStyle w:val="TableContents"/>
                                    <w:bidi w:val="0"/>
                                    <w:spacing w:before="0" w:after="283"/>
                                    <w:jc w:val="left"/>
                                    <w:rPr>
                                      <w:sz w:val="16"/>
                                    </w:rPr>
                                  </w:pPr>
                                  <w:r>
                                    <w:rPr>
                                      <w:sz w:val="16"/>
                                    </w:rPr>
                                    <w:t>The underlying index with the worst index performance factor</w:t>
                                  </w:r>
                                </w:p>
                              </w:tc>
                            </w:tr>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6380" w:type="dxa"/>
                                  <w:tcBorders/>
                                  <w:vAlign w:val="center"/>
                                </w:tcPr>
                                <w:p>
                                  <w:pPr>
                                    <w:pStyle w:val="TableContents"/>
                                    <w:bidi w:val="0"/>
                                    <w:spacing w:before="0" w:after="283"/>
                                    <w:jc w:val="left"/>
                                    <w:rPr>
                                      <w:sz w:val="16"/>
                                    </w:rPr>
                                  </w:pPr>
                                  <w:r>
                                    <w:rPr>
                                      <w:sz w:val="16"/>
                                    </w:rPr>
                                    <w:t xml:space="preserve">With respect to each underlying index, its final index value </w:t>
                                  </w:r>
                                  <w:r>
                                    <w:rPr>
                                      <w:i/>
                                      <w:sz w:val="16"/>
                                    </w:rPr>
                                    <w:t xml:space="preserve">divided by </w:t>
                                  </w:r>
                                  <w:r>
                                    <w:rPr>
                                      <w:sz w:val="16"/>
                                    </w:rPr>
                                    <w:t>its initial index value</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6380" w:type="dxa"/>
                                  <w:tcBorders/>
                                  <w:shd w:fill="DCEBF4" w:val="clear"/>
                                  <w:vAlign w:val="center"/>
                                </w:tcPr>
                                <w:p>
                                  <w:pPr>
                                    <w:pStyle w:val="TableContents"/>
                                    <w:bidi w:val="0"/>
                                    <w:spacing w:before="0" w:after="283"/>
                                    <w:jc w:val="left"/>
                                    <w:rPr>
                                      <w:sz w:val="16"/>
                                    </w:rPr>
                                  </w:pPr>
                                  <w:r>
                                    <w:rPr>
                                      <w:sz w:val="16"/>
                                    </w:rPr>
                                    <w:t>$1,000 per security</w:t>
                                  </w:r>
                                </w:p>
                              </w:tc>
                            </w:tr>
                            <w:tr>
                              <w:trPr/>
                              <w:tc>
                                <w:tcPr>
                                  <w:tcW w:w="3020"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6380" w:type="dxa"/>
                                  <w:tcBorders/>
                                  <w:vAlign w:val="center"/>
                                </w:tcPr>
                                <w:p>
                                  <w:pPr>
                                    <w:pStyle w:val="TableContents"/>
                                    <w:bidi w:val="0"/>
                                    <w:spacing w:before="0" w:after="283"/>
                                    <w:jc w:val="left"/>
                                    <w:rPr>
                                      <w:sz w:val="16"/>
                                    </w:rPr>
                                  </w:pPr>
                                  <w:r>
                                    <w:rPr>
                                      <w:sz w:val="16"/>
                                    </w:rPr>
                                    <w:t>$1,000 per security</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6380" w:type="dxa"/>
                                  <w:tcBorders/>
                                  <w:shd w:fill="DCEBF4" w:val="clear"/>
                                  <w:vAlign w:val="center"/>
                                </w:tcPr>
                                <w:p>
                                  <w:pPr>
                                    <w:pStyle w:val="TableContents"/>
                                    <w:bidi w:val="0"/>
                                    <w:spacing w:before="0" w:after="283"/>
                                    <w:jc w:val="left"/>
                                    <w:rPr>
                                      <w:sz w:val="16"/>
                                    </w:rPr>
                                  </w:pPr>
                                  <w:r>
                                    <w:rPr>
                                      <w:sz w:val="16"/>
                                    </w:rPr>
                                    <w:t>Expected to be October 27, 2026</w:t>
                                  </w:r>
                                </w:p>
                              </w:tc>
                            </w:tr>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6380" w:type="dxa"/>
                                  <w:tcBorders/>
                                  <w:vAlign w:val="center"/>
                                </w:tcPr>
                                <w:p>
                                  <w:pPr>
                                    <w:pStyle w:val="TableContents"/>
                                    <w:bidi w:val="0"/>
                                    <w:spacing w:before="0" w:after="283"/>
                                    <w:jc w:val="left"/>
                                    <w:rPr>
                                      <w:sz w:val="16"/>
                                    </w:rPr>
                                  </w:pPr>
                                  <w:r>
                                    <w:rPr>
                                      <w:sz w:val="16"/>
                                    </w:rPr>
                                    <w:t>3 business days after the pricing date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61pt;mso-wrap-distance-left:0pt;mso-wrap-distance-right:0pt;mso-wrap-distance-top:0pt;mso-wrap-distance-bottom:0pt;margin-top:0pt;mso-position-vertical:top;mso-position-vertical-relative:text;margin-left:0pt;mso-position-horizontal:left;mso-position-horizontal-relative:text">
                <v:textbo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1540"/>
                        <w:gridCol w:w="8665"/>
                      </w:tblGrid>
                      <w:tr>
                        <w:trPr/>
                        <w:tc>
                          <w:tcPr>
                            <w:tcW w:w="1540"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665"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54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665" w:type="dxa"/>
                            <w:tcBorders/>
                            <w:shd w:fill="DCEBF4" w:val="clear"/>
                            <w:vAlign w:val="center"/>
                          </w:tcPr>
                          <w:p>
                            <w:pPr>
                              <w:pStyle w:val="TableContents"/>
                              <w:bidi w:val="0"/>
                              <w:spacing w:before="0" w:after="283"/>
                              <w:jc w:val="left"/>
                              <w:rPr>
                                <w:sz w:val="16"/>
                              </w:rPr>
                            </w:pPr>
                            <w:r>
                              <w:rPr>
                                <w:sz w:val="16"/>
                              </w:rPr>
                              <w:t>JPMorgan Chase &amp; Co.</w:t>
                            </w:r>
                          </w:p>
                        </w:tc>
                      </w:tr>
                      <w:tr>
                        <w:trPr/>
                        <w:tc>
                          <w:tcPr>
                            <w:tcW w:w="154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665" w:type="dxa"/>
                            <w:tcBorders/>
                            <w:vAlign w:val="center"/>
                          </w:tcPr>
                          <w:p>
                            <w:pPr>
                              <w:pStyle w:val="TableContents"/>
                              <w:bidi w:val="0"/>
                              <w:spacing w:before="0" w:after="283"/>
                              <w:jc w:val="left"/>
                              <w:rPr>
                                <w:sz w:val="16"/>
                              </w:rPr>
                            </w:pPr>
                            <w:r>
                              <w:rPr>
                                <w:sz w:val="16"/>
                              </w:rPr>
                              <w:t>Russell 2000</w:t>
                            </w:r>
                            <w:r>
                              <w:rPr>
                                <w:position w:val="5"/>
                                <w:sz w:val="13"/>
                                <w:sz w:val="16"/>
                              </w:rPr>
                              <w:t>®</w:t>
                            </w:r>
                            <w:r>
                              <w:rPr>
                                <w:sz w:val="16"/>
                              </w:rPr>
                              <w:t xml:space="preserve"> Index (Bloomberg ticker: RTY Index) (the “RTY Index”), S&amp;P 500</w:t>
                            </w:r>
                            <w:r>
                              <w:rPr>
                                <w:position w:val="5"/>
                                <w:sz w:val="13"/>
                                <w:sz w:val="16"/>
                              </w:rPr>
                              <w:t>®</w:t>
                            </w:r>
                            <w:r>
                              <w:rPr>
                                <w:sz w:val="16"/>
                              </w:rPr>
                              <w:t xml:space="preserve"> Index (Bloomberg ticker: SPX Index) (the “SPX Index”) and Nasdaq-100 Index</w:t>
                            </w:r>
                            <w:r>
                              <w:rPr>
                                <w:position w:val="5"/>
                                <w:sz w:val="13"/>
                                <w:sz w:val="16"/>
                              </w:rPr>
                              <w:t>®</w:t>
                            </w:r>
                            <w:r>
                              <w:rPr>
                                <w:sz w:val="16"/>
                              </w:rPr>
                              <w:t xml:space="preserve"> (Bloomberg ticker: NDX Index) (the “NDX Index”) (each, an “underlying index”)</w:t>
                            </w:r>
                          </w:p>
                        </w:tc>
                      </w:tr>
                      <w:tr>
                        <w:trPr/>
                        <w:tc>
                          <w:tcPr>
                            <w:tcW w:w="154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Automatic early redemption: </w:t>
                            </w:r>
                          </w:p>
                        </w:tc>
                        <w:tc>
                          <w:tcPr>
                            <w:tcW w:w="8665" w:type="dxa"/>
                            <w:tcBorders/>
                            <w:shd w:fill="DCEBF4" w:val="clear"/>
                            <w:vAlign w:val="center"/>
                          </w:tcPr>
                          <w:p>
                            <w:pPr>
                              <w:pStyle w:val="TableContents"/>
                              <w:bidi w:val="0"/>
                              <w:spacing w:before="0" w:after="283"/>
                              <w:jc w:val="left"/>
                              <w:rPr>
                                <w:sz w:val="15"/>
                              </w:rPr>
                            </w:pPr>
                            <w:r>
                              <w:rPr>
                                <w:sz w:val="15"/>
                              </w:rPr>
                              <w:t xml:space="preserve">If, on any of the determination dates (other than the final determination date), the closing level of each underlying index is </w:t>
                            </w:r>
                            <w:r>
                              <w:rPr>
                                <w:b/>
                                <w:sz w:val="15"/>
                              </w:rPr>
                              <w:t>greater than or equal to</w:t>
                            </w:r>
                            <w:r>
                              <w:rPr>
                                <w:sz w:val="15"/>
                              </w:rPr>
                              <w:t xml:space="preserve"> its initial index value, the securities will be automatically redeemed for a cash payment equal to the early redemption payment payable on the applicable redemption date.</w:t>
                            </w:r>
                          </w:p>
                        </w:tc>
                      </w:tr>
                    </w:tbl>
                    <w:tbl>
                      <w:tblPr>
                        <w:tblW w:w="10205" w:type="dxa"/>
                        <w:jc w:val="left"/>
                        <w:tblInd w:w="0" w:type="dxa"/>
                        <w:tblLayout w:type="fixed"/>
                        <w:tblCellMar>
                          <w:top w:w="0" w:type="dxa"/>
                          <w:left w:w="0" w:type="dxa"/>
                          <w:bottom w:w="0" w:type="dxa"/>
                          <w:right w:w="0" w:type="dxa"/>
                        </w:tblCellMar>
                      </w:tblPr>
                      <w:tblGrid>
                        <w:gridCol w:w="1367"/>
                        <w:gridCol w:w="8838"/>
                      </w:tblGrid>
                      <w:tr>
                        <w:trPr/>
                        <w:tc>
                          <w:tcPr>
                            <w:tcW w:w="136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 payment:</w:t>
                            </w:r>
                          </w:p>
                        </w:tc>
                        <w:tc>
                          <w:tcPr>
                            <w:tcW w:w="8838" w:type="dxa"/>
                            <w:tcBorders/>
                            <w:vAlign w:val="center"/>
                          </w:tcPr>
                          <w:p>
                            <w:pPr>
                              <w:pStyle w:val="TableContents"/>
                              <w:bidi w:val="0"/>
                              <w:spacing w:before="20" w:after="40"/>
                              <w:ind w:left="20" w:right="2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The early redemption payment will be an amount equal to the stated principal amount </w:t>
                            </w:r>
                            <w:r>
                              <w:rPr>
                                <w:rFonts w:ascii="Arial;Helvetica;Sans-Serif" w:hAnsi="Arial;Helvetica;Sans-Serif"/>
                                <w:b w:val="false"/>
                                <w:i/>
                                <w:caps w:val="false"/>
                                <w:smallCaps w:val="false"/>
                                <w:sz w:val="15"/>
                              </w:rPr>
                              <w:t>plus</w:t>
                            </w:r>
                            <w:r>
                              <w:rPr>
                                <w:rFonts w:ascii="Arial;Helvetica;Sans-Serif" w:hAnsi="Arial;Helvetica;Sans-Serif"/>
                                <w:b w:val="false"/>
                                <w:i w:val="false"/>
                                <w:caps w:val="false"/>
                                <w:smallCaps w:val="false"/>
                                <w:sz w:val="15"/>
                              </w:rPr>
                              <w:t xml:space="preserve"> an amount in cash per stated principal amount corresponding to a return of at least approximately 10.00% per annum (or at least 10.00% for the first determination date and increasing by at least 2.50% for each subsequent determination date), as follows:</w:t>
                            </w:r>
                          </w:p>
                        </w:tc>
                      </w:tr>
                    </w:tbl>
                    <w:tbl>
                      <w:tblPr>
                        <w:tblW w:w="2635" w:type="dxa"/>
                        <w:jc w:val="left"/>
                        <w:tblInd w:w="0" w:type="dxa"/>
                        <w:tblLayout w:type="fixed"/>
                        <w:tblCellMar>
                          <w:top w:w="0" w:type="dxa"/>
                          <w:left w:w="0" w:type="dxa"/>
                          <w:bottom w:w="0" w:type="dxa"/>
                          <w:right w:w="0" w:type="dxa"/>
                        </w:tblCellMar>
                      </w:tblPr>
                      <w:tblGrid>
                        <w:gridCol w:w="75"/>
                        <w:gridCol w:w="1445"/>
                        <w:gridCol w:w="1115"/>
                      </w:tblGrid>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olor w:val="000000"/>
                                <w:sz w:val="15"/>
                              </w:rPr>
                            </w:pPr>
                            <w:r>
                              <w:rPr>
                                <w:color w:val="000000"/>
                                <w:sz w:val="15"/>
                              </w:rPr>
                              <w:t>1st determination date:</w:t>
                            </w:r>
                          </w:p>
                        </w:tc>
                        <w:tc>
                          <w:tcPr>
                            <w:tcW w:w="1115" w:type="dxa"/>
                            <w:tcBorders/>
                            <w:vAlign w:val="center"/>
                          </w:tcPr>
                          <w:p>
                            <w:pPr>
                              <w:pStyle w:val="TableContents"/>
                              <w:bidi w:val="0"/>
                              <w:spacing w:before="0" w:after="283"/>
                              <w:jc w:val="left"/>
                              <w:rPr>
                                <w:color w:val="000000"/>
                                <w:sz w:val="15"/>
                              </w:rPr>
                            </w:pPr>
                            <w:r>
                              <w:rPr>
                                <w:color w:val="000000"/>
                                <w:sz w:val="15"/>
                              </w:rPr>
                              <w:t>at least $1,100.00</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olor w:val="000000"/>
                                <w:sz w:val="15"/>
                              </w:rPr>
                            </w:pPr>
                            <w:r>
                              <w:rPr>
                                <w:color w:val="000000"/>
                                <w:sz w:val="15"/>
                              </w:rPr>
                              <w:t>2nd determination date:</w:t>
                            </w:r>
                          </w:p>
                        </w:tc>
                        <w:tc>
                          <w:tcPr>
                            <w:tcW w:w="1115" w:type="dxa"/>
                            <w:tcBorders/>
                            <w:vAlign w:val="center"/>
                          </w:tcPr>
                          <w:p>
                            <w:pPr>
                              <w:pStyle w:val="TableContents"/>
                              <w:bidi w:val="0"/>
                              <w:spacing w:before="0" w:after="283"/>
                              <w:jc w:val="left"/>
                              <w:rPr>
                                <w:color w:val="000000"/>
                                <w:sz w:val="15"/>
                              </w:rPr>
                            </w:pPr>
                            <w:r>
                              <w:rPr>
                                <w:color w:val="000000"/>
                                <w:sz w:val="15"/>
                              </w:rPr>
                              <w:t>at least $1,125.00</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olor w:val="000000"/>
                                <w:sz w:val="15"/>
                              </w:rPr>
                            </w:pPr>
                            <w:r>
                              <w:rPr>
                                <w:color w:val="000000"/>
                                <w:sz w:val="15"/>
                              </w:rPr>
                              <w:t>3rd determination date:</w:t>
                            </w:r>
                          </w:p>
                        </w:tc>
                        <w:tc>
                          <w:tcPr>
                            <w:tcW w:w="1115" w:type="dxa"/>
                            <w:tcBorders/>
                            <w:vAlign w:val="center"/>
                          </w:tcPr>
                          <w:p>
                            <w:pPr>
                              <w:pStyle w:val="TableContents"/>
                              <w:bidi w:val="0"/>
                              <w:spacing w:before="0" w:after="283"/>
                              <w:jc w:val="left"/>
                              <w:rPr>
                                <w:color w:val="000000"/>
                                <w:sz w:val="15"/>
                              </w:rPr>
                            </w:pPr>
                            <w:r>
                              <w:rPr>
                                <w:color w:val="000000"/>
                                <w:sz w:val="15"/>
                              </w:rPr>
                              <w:t>at least $1,150.00</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olor w:val="000000"/>
                                <w:sz w:val="15"/>
                              </w:rPr>
                            </w:pPr>
                            <w:r>
                              <w:rPr>
                                <w:color w:val="000000"/>
                                <w:sz w:val="15"/>
                              </w:rPr>
                              <w:t>4th determination date:</w:t>
                            </w:r>
                          </w:p>
                        </w:tc>
                        <w:tc>
                          <w:tcPr>
                            <w:tcW w:w="1115" w:type="dxa"/>
                            <w:tcBorders/>
                            <w:vAlign w:val="center"/>
                          </w:tcPr>
                          <w:p>
                            <w:pPr>
                              <w:pStyle w:val="TableContents"/>
                              <w:bidi w:val="0"/>
                              <w:spacing w:before="0" w:after="283"/>
                              <w:jc w:val="left"/>
                              <w:rPr>
                                <w:color w:val="000000"/>
                                <w:sz w:val="15"/>
                              </w:rPr>
                            </w:pPr>
                            <w:r>
                              <w:rPr>
                                <w:color w:val="000000"/>
                                <w:sz w:val="15"/>
                              </w:rPr>
                              <w:t>at least $1,175.00</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olor w:val="000000"/>
                                <w:sz w:val="15"/>
                              </w:rPr>
                            </w:pPr>
                            <w:r>
                              <w:rPr>
                                <w:color w:val="000000"/>
                                <w:sz w:val="15"/>
                              </w:rPr>
                              <w:t>5th determination date:</w:t>
                            </w:r>
                          </w:p>
                        </w:tc>
                        <w:tc>
                          <w:tcPr>
                            <w:tcW w:w="1115" w:type="dxa"/>
                            <w:tcBorders/>
                            <w:vAlign w:val="center"/>
                          </w:tcPr>
                          <w:p>
                            <w:pPr>
                              <w:pStyle w:val="TableContents"/>
                              <w:bidi w:val="0"/>
                              <w:spacing w:before="0" w:after="283"/>
                              <w:jc w:val="left"/>
                              <w:rPr>
                                <w:color w:val="000000"/>
                                <w:sz w:val="15"/>
                              </w:rPr>
                            </w:pPr>
                            <w:r>
                              <w:rPr>
                                <w:color w:val="000000"/>
                                <w:sz w:val="15"/>
                              </w:rPr>
                              <w:t>at least $1,200.00</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olor w:val="000000"/>
                                <w:sz w:val="15"/>
                              </w:rPr>
                            </w:pPr>
                            <w:r>
                              <w:rPr>
                                <w:color w:val="000000"/>
                                <w:sz w:val="15"/>
                              </w:rPr>
                              <w:t>6th determination date:</w:t>
                            </w:r>
                          </w:p>
                        </w:tc>
                        <w:tc>
                          <w:tcPr>
                            <w:tcW w:w="1115" w:type="dxa"/>
                            <w:tcBorders/>
                            <w:vAlign w:val="center"/>
                          </w:tcPr>
                          <w:p>
                            <w:pPr>
                              <w:pStyle w:val="TableContents"/>
                              <w:bidi w:val="0"/>
                              <w:spacing w:before="0" w:after="283"/>
                              <w:jc w:val="left"/>
                              <w:rPr>
                                <w:color w:val="000000"/>
                                <w:sz w:val="15"/>
                              </w:rPr>
                            </w:pPr>
                            <w:r>
                              <w:rPr>
                                <w:color w:val="000000"/>
                                <w:sz w:val="15"/>
                              </w:rPr>
                              <w:t>at least $1,225.00</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olor w:val="000000"/>
                                <w:sz w:val="15"/>
                              </w:rPr>
                            </w:pPr>
                            <w:r>
                              <w:rPr>
                                <w:color w:val="000000"/>
                                <w:sz w:val="15"/>
                              </w:rPr>
                              <w:t>7th determination date:</w:t>
                            </w:r>
                          </w:p>
                        </w:tc>
                        <w:tc>
                          <w:tcPr>
                            <w:tcW w:w="1115" w:type="dxa"/>
                            <w:tcBorders/>
                            <w:vAlign w:val="center"/>
                          </w:tcPr>
                          <w:p>
                            <w:pPr>
                              <w:pStyle w:val="TableContents"/>
                              <w:bidi w:val="0"/>
                              <w:spacing w:before="0" w:after="283"/>
                              <w:jc w:val="left"/>
                              <w:rPr>
                                <w:color w:val="000000"/>
                                <w:sz w:val="15"/>
                              </w:rPr>
                            </w:pPr>
                            <w:r>
                              <w:rPr>
                                <w:color w:val="000000"/>
                                <w:sz w:val="15"/>
                              </w:rPr>
                              <w:t>at least $1,250.00</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olor w:val="000000"/>
                                <w:sz w:val="15"/>
                              </w:rPr>
                            </w:pPr>
                            <w:r>
                              <w:rPr>
                                <w:color w:val="000000"/>
                                <w:sz w:val="15"/>
                              </w:rPr>
                              <w:t>8th determination date:</w:t>
                            </w:r>
                          </w:p>
                        </w:tc>
                        <w:tc>
                          <w:tcPr>
                            <w:tcW w:w="1115" w:type="dxa"/>
                            <w:tcBorders/>
                            <w:vAlign w:val="center"/>
                          </w:tcPr>
                          <w:p>
                            <w:pPr>
                              <w:pStyle w:val="TableContents"/>
                              <w:bidi w:val="0"/>
                              <w:spacing w:before="0" w:after="283"/>
                              <w:jc w:val="left"/>
                              <w:rPr>
                                <w:color w:val="000000"/>
                                <w:sz w:val="15"/>
                              </w:rPr>
                            </w:pPr>
                            <w:r>
                              <w:rPr>
                                <w:color w:val="000000"/>
                                <w:sz w:val="15"/>
                              </w:rPr>
                              <w:t>at least $1,275.00</w:t>
                            </w:r>
                          </w:p>
                        </w:tc>
                      </w:tr>
                    </w:tbl>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sz w:val="15"/>
                              </w:rPr>
                            </w:pPr>
                            <w:r>
                              <w:rPr>
                                <w:sz w:val="15"/>
                              </w:rPr>
                              <w:t>The actual early redemption payment with respect to each applicable determination date will be provided in the pricing supplement.  No further payments will be made on the securities once they have been redeemed.</w:t>
                            </w:r>
                          </w:p>
                        </w:tc>
                      </w:tr>
                    </w:tbl>
                    <w:tbl>
                      <w:tblPr>
                        <w:tblW w:w="10205" w:type="dxa"/>
                        <w:jc w:val="left"/>
                        <w:tblInd w:w="0" w:type="dxa"/>
                        <w:tblLayout w:type="fixed"/>
                        <w:tblCellMar>
                          <w:top w:w="0" w:type="dxa"/>
                          <w:left w:w="0" w:type="dxa"/>
                          <w:bottom w:w="0" w:type="dxa"/>
                          <w:right w:w="0" w:type="dxa"/>
                        </w:tblCellMar>
                      </w:tblPr>
                      <w:tblGrid>
                        <w:gridCol w:w="944"/>
                        <w:gridCol w:w="2779"/>
                        <w:gridCol w:w="6482"/>
                      </w:tblGrid>
                      <w:tr>
                        <w:trPr/>
                        <w:tc>
                          <w:tcPr>
                            <w:tcW w:w="944" w:type="dxa"/>
                            <w:tcBorders/>
                            <w:shd w:fill="DCEBF4" w:val="clear"/>
                            <w:vAlign w:val="center"/>
                          </w:tcPr>
                          <w:p>
                            <w:pPr>
                              <w:pStyle w:val="TableContents"/>
                              <w:bidi w:val="0"/>
                              <w:spacing w:before="0" w:after="283"/>
                              <w:ind w:left="0" w:right="0" w:hanging="180"/>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779" w:type="dxa"/>
                            <w:tcBorders/>
                            <w:shd w:fill="DCEBF4" w:val="clear"/>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each underlying index is </w:t>
                            </w:r>
                            <w:r>
                              <w:rPr>
                                <w:b/>
                                <w:sz w:val="15"/>
                              </w:rPr>
                              <w:t>greater than or equal to its downside threshold level</w:t>
                            </w:r>
                            <w:r>
                              <w:rPr>
                                <w:sz w:val="15"/>
                              </w:rPr>
                              <w:t>:</w:t>
                            </w:r>
                          </w:p>
                        </w:tc>
                        <w:tc>
                          <w:tcPr>
                            <w:tcW w:w="6482" w:type="dxa"/>
                            <w:tcBorders/>
                            <w:shd w:fill="DCEBF4" w:val="clear"/>
                            <w:vAlign w:val="center"/>
                          </w:tcPr>
                          <w:p>
                            <w:pPr>
                              <w:pStyle w:val="TableContents"/>
                              <w:bidi w:val="0"/>
                              <w:spacing w:before="0" w:after="283"/>
                              <w:jc w:val="left"/>
                              <w:rPr>
                                <w:sz w:val="15"/>
                              </w:rPr>
                            </w:pPr>
                            <w:r>
                              <w:rPr>
                                <w:sz w:val="15"/>
                              </w:rPr>
                              <w:t>the maturity redemption payment, which is an amount in cash per stated principal amount corresponding to a return of at least approximately 10.00% per annum, or at least $1,300.00.  The actual maturity redemption payment will be provided in the pricing supplement.</w:t>
                            </w:r>
                          </w:p>
                        </w:tc>
                      </w:tr>
                      <w:tr>
                        <w:trPr/>
                        <w:tc>
                          <w:tcPr>
                            <w:tcW w:w="944" w:type="dxa"/>
                            <w:tcBorders/>
                            <w:shd w:fill="DCEBF4" w:val="clear"/>
                            <w:vAlign w:val="center"/>
                          </w:tcPr>
                          <w:p>
                            <w:pPr>
                              <w:pStyle w:val="TableContents"/>
                              <w:bidi w:val="0"/>
                              <w:spacing w:before="0" w:after="283"/>
                              <w:ind w:left="0" w:right="0" w:hanging="180"/>
                              <w:jc w:val="left"/>
                              <w:rPr>
                                <w:color w:val="296DC1"/>
                              </w:rPr>
                            </w:pPr>
                            <w:r>
                              <w:rPr>
                                <w:color w:val="296DC1"/>
                              </w:rPr>
                              <w:t> </w:t>
                            </w:r>
                          </w:p>
                        </w:tc>
                        <w:tc>
                          <w:tcPr>
                            <w:tcW w:w="2779" w:type="dxa"/>
                            <w:tcBorders/>
                            <w:shd w:fill="DCEBF4" w:val="clear"/>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any underlying index is </w:t>
                            </w:r>
                            <w:r>
                              <w:rPr>
                                <w:b/>
                                <w:sz w:val="15"/>
                              </w:rPr>
                              <w:t>less than</w:t>
                            </w:r>
                            <w:r>
                              <w:rPr>
                                <w:sz w:val="15"/>
                              </w:rPr>
                              <w:t xml:space="preserve"> its downside threshold level:</w:t>
                            </w:r>
                          </w:p>
                        </w:tc>
                        <w:tc>
                          <w:tcPr>
                            <w:tcW w:w="6482" w:type="dxa"/>
                            <w:tcBorders/>
                            <w:shd w:fill="DCEBF4" w:val="clear"/>
                            <w:vAlign w:val="center"/>
                          </w:tcPr>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(i) the stated principal amount </w:t>
                            </w:r>
                            <w:r>
                              <w:rPr>
                                <w:rFonts w:ascii="Arial;Helvetica;Sans-Serif" w:hAnsi="Arial;Helvetica;Sans-Serif"/>
                                <w:b w:val="false"/>
                                <w:i/>
                                <w:caps w:val="false"/>
                                <w:smallCaps w:val="false"/>
                                <w:sz w:val="15"/>
                              </w:rPr>
                              <w:t>times</w:t>
                            </w:r>
                            <w:r>
                              <w:rPr>
                                <w:rFonts w:ascii="Arial;Helvetica;Sans-Serif" w:hAnsi="Arial;Helvetica;Sans-Serif"/>
                                <w:b w:val="false"/>
                                <w:i w:val="false"/>
                                <w:caps w:val="false"/>
                                <w:smallCaps w:val="false"/>
                                <w:sz w:val="15"/>
                              </w:rPr>
                              <w:t xml:space="preserve"> (ii) the index performance factor of the worst performing underlying index</w:t>
                            </w:r>
                          </w:p>
                          <w:p>
                            <w:pPr>
                              <w:pStyle w:val="TableContents"/>
                              <w:bidi w:val="0"/>
                              <w:spacing w:before="0" w:after="283"/>
                              <w:jc w:val="left"/>
                              <w:rPr>
                                <w:rFonts w:ascii="Arial;Helvetica;Sans-Serif" w:hAnsi="Arial;Helvetica;Sans-Serif"/>
                                <w:b/>
                                <w:i w:val="false"/>
                                <w:caps w:val="false"/>
                                <w:smallCaps w:val="false"/>
                                <w:sz w:val="15"/>
                              </w:rPr>
                            </w:pPr>
                            <w:r>
                              <w:rPr>
                                <w:rFonts w:ascii="Arial;Helvetica;Sans-Serif" w:hAnsi="Arial;Helvetica;Sans-Serif"/>
                                <w:b/>
                                <w:i w:val="false"/>
                                <w:caps w:val="false"/>
                                <w:smallCaps w:val="false"/>
                                <w:sz w:val="15"/>
                              </w:rPr>
                              <w:t>Under these circumstances, the payment at maturity will be less than 70% of the stated principal amount and could be zero.</w:t>
                            </w:r>
                          </w:p>
                        </w:tc>
                      </w:tr>
                    </w:tbl>
                    <w:tbl>
                      <w:tblPr>
                        <w:tblW w:w="9400" w:type="dxa"/>
                        <w:jc w:val="left"/>
                        <w:tblInd w:w="0" w:type="dxa"/>
                        <w:tblLayout w:type="fixed"/>
                        <w:tblCellMar>
                          <w:top w:w="0" w:type="dxa"/>
                          <w:left w:w="0" w:type="dxa"/>
                          <w:bottom w:w="0" w:type="dxa"/>
                          <w:right w:w="0" w:type="dxa"/>
                        </w:tblCellMar>
                      </w:tblPr>
                      <w:tblGrid>
                        <w:gridCol w:w="3020"/>
                        <w:gridCol w:w="6380"/>
                      </w:tblGrid>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6380" w:type="dxa"/>
                            <w:tcBorders/>
                            <w:vAlign w:val="center"/>
                          </w:tcPr>
                          <w:p>
                            <w:pPr>
                              <w:pStyle w:val="TableContents"/>
                              <w:bidi w:val="0"/>
                              <w:spacing w:before="0" w:after="283"/>
                              <w:jc w:val="left"/>
                              <w:rPr>
                                <w:sz w:val="16"/>
                              </w:rPr>
                            </w:pPr>
                            <w:r>
                              <w:rPr>
                                <w:sz w:val="16"/>
                              </w:rPr>
                              <w:t>With respect to each underlying index, 70% of its initial index value</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 value:</w:t>
                            </w:r>
                          </w:p>
                        </w:tc>
                        <w:tc>
                          <w:tcPr>
                            <w:tcW w:w="6380" w:type="dxa"/>
                            <w:tcBorders/>
                            <w:shd w:fill="DCEBF4" w:val="clear"/>
                            <w:vAlign w:val="center"/>
                          </w:tcPr>
                          <w:p>
                            <w:pPr>
                              <w:pStyle w:val="TableContents"/>
                              <w:bidi w:val="0"/>
                              <w:spacing w:before="0" w:after="283"/>
                              <w:jc w:val="left"/>
                              <w:rPr>
                                <w:sz w:val="16"/>
                              </w:rPr>
                            </w:pPr>
                            <w:r>
                              <w:rPr>
                                <w:sz w:val="16"/>
                              </w:rPr>
                              <w:t>With respect to each underlying index, its closing level on the pricing date</w:t>
                            </w:r>
                          </w:p>
                        </w:tc>
                      </w:tr>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 value:</w:t>
                            </w:r>
                          </w:p>
                        </w:tc>
                        <w:tc>
                          <w:tcPr>
                            <w:tcW w:w="6380" w:type="dxa"/>
                            <w:tcBorders/>
                            <w:vAlign w:val="center"/>
                          </w:tcPr>
                          <w:p>
                            <w:pPr>
                              <w:pStyle w:val="TableContents"/>
                              <w:bidi w:val="0"/>
                              <w:spacing w:before="0" w:after="283"/>
                              <w:jc w:val="left"/>
                              <w:rPr>
                                <w:sz w:val="16"/>
                              </w:rPr>
                            </w:pPr>
                            <w:r>
                              <w:rPr>
                                <w:sz w:val="16"/>
                              </w:rPr>
                              <w:t>With respect to each underlying index, its closing level on the final determination date</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Worst performing underlying index:</w:t>
                            </w:r>
                          </w:p>
                        </w:tc>
                        <w:tc>
                          <w:tcPr>
                            <w:tcW w:w="6380" w:type="dxa"/>
                            <w:tcBorders/>
                            <w:shd w:fill="DCEBF4" w:val="clear"/>
                            <w:vAlign w:val="center"/>
                          </w:tcPr>
                          <w:p>
                            <w:pPr>
                              <w:pStyle w:val="TableContents"/>
                              <w:bidi w:val="0"/>
                              <w:spacing w:before="0" w:after="283"/>
                              <w:jc w:val="left"/>
                              <w:rPr>
                                <w:sz w:val="16"/>
                              </w:rPr>
                            </w:pPr>
                            <w:r>
                              <w:rPr>
                                <w:sz w:val="16"/>
                              </w:rPr>
                              <w:t>The underlying index with the worst index performance factor</w:t>
                            </w:r>
                          </w:p>
                        </w:tc>
                      </w:tr>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6380" w:type="dxa"/>
                            <w:tcBorders/>
                            <w:vAlign w:val="center"/>
                          </w:tcPr>
                          <w:p>
                            <w:pPr>
                              <w:pStyle w:val="TableContents"/>
                              <w:bidi w:val="0"/>
                              <w:spacing w:before="0" w:after="283"/>
                              <w:jc w:val="left"/>
                              <w:rPr>
                                <w:sz w:val="16"/>
                              </w:rPr>
                            </w:pPr>
                            <w:r>
                              <w:rPr>
                                <w:sz w:val="16"/>
                              </w:rPr>
                              <w:t xml:space="preserve">With respect to each underlying index, its final index value </w:t>
                            </w:r>
                            <w:r>
                              <w:rPr>
                                <w:i/>
                                <w:sz w:val="16"/>
                              </w:rPr>
                              <w:t xml:space="preserve">divided by </w:t>
                            </w:r>
                            <w:r>
                              <w:rPr>
                                <w:sz w:val="16"/>
                              </w:rPr>
                              <w:t>its initial index value</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6380" w:type="dxa"/>
                            <w:tcBorders/>
                            <w:shd w:fill="DCEBF4" w:val="clear"/>
                            <w:vAlign w:val="center"/>
                          </w:tcPr>
                          <w:p>
                            <w:pPr>
                              <w:pStyle w:val="TableContents"/>
                              <w:bidi w:val="0"/>
                              <w:spacing w:before="0" w:after="283"/>
                              <w:jc w:val="left"/>
                              <w:rPr>
                                <w:sz w:val="16"/>
                              </w:rPr>
                            </w:pPr>
                            <w:r>
                              <w:rPr>
                                <w:sz w:val="16"/>
                              </w:rPr>
                              <w:t>$1,000 per security</w:t>
                            </w:r>
                          </w:p>
                        </w:tc>
                      </w:tr>
                      <w:tr>
                        <w:trPr/>
                        <w:tc>
                          <w:tcPr>
                            <w:tcW w:w="3020"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6380" w:type="dxa"/>
                            <w:tcBorders/>
                            <w:vAlign w:val="center"/>
                          </w:tcPr>
                          <w:p>
                            <w:pPr>
                              <w:pStyle w:val="TableContents"/>
                              <w:bidi w:val="0"/>
                              <w:spacing w:before="0" w:after="283"/>
                              <w:jc w:val="left"/>
                              <w:rPr>
                                <w:sz w:val="16"/>
                              </w:rPr>
                            </w:pPr>
                            <w:r>
                              <w:rPr>
                                <w:sz w:val="16"/>
                              </w:rPr>
                              <w:t>$1,000 per security</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6380" w:type="dxa"/>
                            <w:tcBorders/>
                            <w:shd w:fill="DCEBF4" w:val="clear"/>
                            <w:vAlign w:val="center"/>
                          </w:tcPr>
                          <w:p>
                            <w:pPr>
                              <w:pStyle w:val="TableContents"/>
                              <w:bidi w:val="0"/>
                              <w:spacing w:before="0" w:after="283"/>
                              <w:jc w:val="left"/>
                              <w:rPr>
                                <w:sz w:val="16"/>
                              </w:rPr>
                            </w:pPr>
                            <w:r>
                              <w:rPr>
                                <w:sz w:val="16"/>
                              </w:rPr>
                              <w:t>Expected to be October 27, 2026</w:t>
                            </w:r>
                          </w:p>
                        </w:tc>
                      </w:tr>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6380" w:type="dxa"/>
                            <w:tcBorders/>
                            <w:vAlign w:val="center"/>
                          </w:tcPr>
                          <w:p>
                            <w:pPr>
                              <w:pStyle w:val="TableContents"/>
                              <w:bidi w:val="0"/>
                              <w:spacing w:before="0" w:after="283"/>
                              <w:jc w:val="left"/>
                              <w:rPr>
                                <w:sz w:val="16"/>
                              </w:rPr>
                            </w:pPr>
                            <w:r>
                              <w:rPr>
                                <w:sz w:val="16"/>
                              </w:rPr>
                              <w:t>3 business days after the pricing date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8919845"/>
                <wp:effectExtent l="0" t="0" r="0" b="0"/>
                <wp:wrapSquare wrapText="left"/>
                <wp:docPr id="2" name="Frame2"/>
                <a:graphic xmlns:a="http://schemas.openxmlformats.org/drawingml/2006/main">
                  <a:graphicData uri="http://schemas.microsoft.com/office/word/2010/wordprocessingShape">
                    <wps:wsp>
                      <wps:cNvSpPr txBox="1"/>
                      <wps:spPr>
                        <a:xfrm>
                          <a:off x="0" y="0"/>
                          <a:ext cx="3175000" cy="891984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80"/>
                              <w:gridCol w:w="8325"/>
                            </w:tblGrid>
                            <w:tr>
                              <w:trPr/>
                              <w:tc>
                                <w:tcPr>
                                  <w:tcW w:w="18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325" w:type="dxa"/>
                                  <w:tcBorders/>
                                  <w:shd w:fill="DCEBF4" w:val="clear"/>
                                  <w:vAlign w:val="center"/>
                                </w:tcPr>
                                <w:p>
                                  <w:pPr>
                                    <w:pStyle w:val="TableContents"/>
                                    <w:bidi w:val="0"/>
                                    <w:spacing w:before="0" w:after="283"/>
                                    <w:jc w:val="left"/>
                                    <w:rPr>
                                      <w:sz w:val="16"/>
                                    </w:rPr>
                                  </w:pPr>
                                  <w:r>
                                    <w:rPr>
                                      <w:sz w:val="16"/>
                                    </w:rPr>
                                    <w:t>November 3, 2027, January 27, 2028, April 27, 2028, July 27, 2028, October 27, 2028, January 29, 2029, April 27, 2029, July 27, 2029 and October 29, 2029 (the final determination date)</w:t>
                                  </w:r>
                                </w:p>
                              </w:tc>
                            </w:tr>
                            <w:tr>
                              <w:trPr/>
                              <w:tc>
                                <w:tcPr>
                                  <w:tcW w:w="188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325" w:type="dxa"/>
                                  <w:tcBorders/>
                                  <w:vAlign w:val="center"/>
                                </w:tcPr>
                                <w:p>
                                  <w:pPr>
                                    <w:pStyle w:val="TableContents"/>
                                    <w:bidi w:val="0"/>
                                    <w:spacing w:before="0" w:after="283"/>
                                    <w:jc w:val="left"/>
                                    <w:rPr>
                                      <w:sz w:val="16"/>
                                    </w:rPr>
                                  </w:pPr>
                                  <w:r>
                                    <w:rPr>
                                      <w:sz w:val="16"/>
                                    </w:rPr>
                                    <w:t>November 8, 2027, February 1, 2028, May 2, 2028, August 1, 2028, November 1, 2028, February 1, 2029, May 2, 2029, August 1, 2029 and the maturity date</w:t>
                                  </w:r>
                                </w:p>
                              </w:tc>
                            </w:tr>
                            <w:tr>
                              <w:trPr/>
                              <w:tc>
                                <w:tcPr>
                                  <w:tcW w:w="18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325" w:type="dxa"/>
                                  <w:tcBorders/>
                                  <w:shd w:fill="DCEBF4" w:val="clear"/>
                                  <w:vAlign w:val="center"/>
                                </w:tcPr>
                                <w:p>
                                  <w:pPr>
                                    <w:pStyle w:val="TableContents"/>
                                    <w:bidi w:val="0"/>
                                    <w:spacing w:before="0" w:after="283"/>
                                    <w:jc w:val="left"/>
                                    <w:rPr>
                                      <w:sz w:val="16"/>
                                    </w:rPr>
                                  </w:pPr>
                                  <w:r>
                                    <w:rPr>
                                      <w:sz w:val="16"/>
                                    </w:rPr>
                                    <w:t>November 1, 2029</w:t>
                                  </w:r>
                                </w:p>
                              </w:tc>
                            </w:tr>
                            <w:tr>
                              <w:trPr/>
                              <w:tc>
                                <w:tcPr>
                                  <w:tcW w:w="1880" w:type="dxa"/>
                                  <w:tcBorders/>
                                  <w:vAlign w:val="center"/>
                                </w:tcPr>
                                <w:p>
                                  <w:pPr>
                                    <w:pStyle w:val="TableContents"/>
                                    <w:bidi w:val="0"/>
                                    <w:spacing w:before="0" w:after="283"/>
                                    <w:jc w:val="left"/>
                                    <w:rPr>
                                      <w:b/>
                                      <w:color w:val="296DC1"/>
                                      <w:sz w:val="16"/>
                                    </w:rPr>
                                  </w:pPr>
                                  <w:r>
                                    <w:rPr>
                                      <w:b/>
                                      <w:color w:val="296DC1"/>
                                      <w:sz w:val="16"/>
                                    </w:rPr>
                                    <w:t>CUSIP / ISIN:</w:t>
                                  </w:r>
                                </w:p>
                              </w:tc>
                              <w:tc>
                                <w:tcPr>
                                  <w:tcW w:w="8325" w:type="dxa"/>
                                  <w:tcBorders/>
                                  <w:vAlign w:val="center"/>
                                </w:tcPr>
                                <w:p>
                                  <w:pPr>
                                    <w:pStyle w:val="TableContents"/>
                                    <w:bidi w:val="0"/>
                                    <w:spacing w:before="0" w:after="283"/>
                                    <w:jc w:val="left"/>
                                    <w:rPr>
                                      <w:sz w:val="16"/>
                                    </w:rPr>
                                  </w:pPr>
                                  <w:r>
                                    <w:rPr>
                                      <w:sz w:val="16"/>
                                    </w:rPr>
                                    <w:t>46661QP33 / US46661QP330</w:t>
                                  </w:r>
                                </w:p>
                              </w:tc>
                            </w:tr>
                            <w:tr>
                              <w:trPr/>
                              <w:tc>
                                <w:tcPr>
                                  <w:tcW w:w="1880"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325" w:type="dxa"/>
                                  <w:tcBorders/>
                                  <w:shd w:fill="DCEBF4" w:val="clear"/>
                                  <w:vAlign w:val="center"/>
                                </w:tcPr>
                                <w:p>
                                  <w:pPr>
                                    <w:pStyle w:val="TableContents"/>
                                    <w:bidi w:val="0"/>
                                    <w:spacing w:before="0" w:after="283"/>
                                    <w:jc w:val="left"/>
                                    <w:rPr/>
                                  </w:pPr>
                                  <w:hyperlink r:id="rId2">
                                    <w:r>
                                      <w:rPr>
                                        <w:rStyle w:val="InternetLink"/>
                                        <w:sz w:val="16"/>
                                      </w:rPr>
                                      <w:t>http://www.sec.gov/Archives/edgar/data/19617/000121390026111431/</w:t>
                                      <w:br/>
                                      <w:t>ea0309320-01_424b2.htm</w:t>
                                    </w:r>
                                  </w:hyperlink>
                                </w:p>
                              </w:tc>
                            </w:tr>
                          </w:tbl>
                          <w:p>
                            <w:pPr>
                              <w:pStyle w:val="TextBody"/>
                              <w:bidi w:val="0"/>
                              <w:spacing w:before="0" w:after="40"/>
                              <w:ind w:left="360"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0"/>
                              <w:ind w:left="3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$920.00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200"/>
                              <w:ind w:left="3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4000" w:type="dxa"/>
                              <w:jc w:val="center"/>
                              <w:tblInd w:w="0" w:type="dxa"/>
                              <w:tblLayout w:type="fixed"/>
                              <w:tblCellMar>
                                <w:top w:w="0" w:type="dxa"/>
                                <w:left w:w="0" w:type="dxa"/>
                                <w:bottom w:w="0" w:type="dxa"/>
                                <w:right w:w="0" w:type="dxa"/>
                              </w:tblCellMar>
                            </w:tblPr>
                            <w:tblGrid>
                              <w:gridCol w:w="2330"/>
                              <w:gridCol w:w="1670"/>
                            </w:tblGrid>
                            <w:tr>
                              <w:trPr/>
                              <w:tc>
                                <w:tcPr>
                                  <w:tcW w:w="4000"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Hypothetical Payout at Maturity </w:t>
                                  </w:r>
                                </w:p>
                              </w:tc>
                            </w:tr>
                            <w:tr>
                              <w:trPr/>
                              <w:tc>
                                <w:tcPr>
                                  <w:tcW w:w="233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Change in Worst Performing </w:t>
                                    <w:br/>
                                    <w:t>Underlying Index</w:t>
                                  </w:r>
                                </w:p>
                              </w:tc>
                              <w:tc>
                                <w:tcPr>
                                  <w:tcW w:w="167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w:t>
                                  </w:r>
                                </w:p>
                              </w:tc>
                            </w:tr>
                            <w:tr>
                              <w:trPr/>
                              <w:tc>
                                <w:tcPr>
                                  <w:tcW w:w="23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6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6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6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6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6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16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6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67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-30.01%</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$699.90</w:t>
                                  </w:r>
                                </w:p>
                              </w:tc>
                            </w:tr>
                            <w:tr>
                              <w:trPr/>
                              <w:tc>
                                <w:tcPr>
                                  <w:tcW w:w="23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67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23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167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23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167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0"/>
                              <w:ind w:left="346"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*if no automatic early redemption occurs and assumes a maturity redemption amount of $1,300.00</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02.35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880"/>
                        <w:gridCol w:w="8325"/>
                      </w:tblGrid>
                      <w:tr>
                        <w:trPr/>
                        <w:tc>
                          <w:tcPr>
                            <w:tcW w:w="18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325" w:type="dxa"/>
                            <w:tcBorders/>
                            <w:shd w:fill="DCEBF4" w:val="clear"/>
                            <w:vAlign w:val="center"/>
                          </w:tcPr>
                          <w:p>
                            <w:pPr>
                              <w:pStyle w:val="TableContents"/>
                              <w:bidi w:val="0"/>
                              <w:spacing w:before="0" w:after="283"/>
                              <w:jc w:val="left"/>
                              <w:rPr>
                                <w:sz w:val="16"/>
                              </w:rPr>
                            </w:pPr>
                            <w:r>
                              <w:rPr>
                                <w:sz w:val="16"/>
                              </w:rPr>
                              <w:t>November 3, 2027, January 27, 2028, April 27, 2028, July 27, 2028, October 27, 2028, January 29, 2029, April 27, 2029, July 27, 2029 and October 29, 2029 (the final determination date)</w:t>
                            </w:r>
                          </w:p>
                        </w:tc>
                      </w:tr>
                      <w:tr>
                        <w:trPr/>
                        <w:tc>
                          <w:tcPr>
                            <w:tcW w:w="188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325" w:type="dxa"/>
                            <w:tcBorders/>
                            <w:vAlign w:val="center"/>
                          </w:tcPr>
                          <w:p>
                            <w:pPr>
                              <w:pStyle w:val="TableContents"/>
                              <w:bidi w:val="0"/>
                              <w:spacing w:before="0" w:after="283"/>
                              <w:jc w:val="left"/>
                              <w:rPr>
                                <w:sz w:val="16"/>
                              </w:rPr>
                            </w:pPr>
                            <w:r>
                              <w:rPr>
                                <w:sz w:val="16"/>
                              </w:rPr>
                              <w:t>November 8, 2027, February 1, 2028, May 2, 2028, August 1, 2028, November 1, 2028, February 1, 2029, May 2, 2029, August 1, 2029 and the maturity date</w:t>
                            </w:r>
                          </w:p>
                        </w:tc>
                      </w:tr>
                      <w:tr>
                        <w:trPr/>
                        <w:tc>
                          <w:tcPr>
                            <w:tcW w:w="18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325" w:type="dxa"/>
                            <w:tcBorders/>
                            <w:shd w:fill="DCEBF4" w:val="clear"/>
                            <w:vAlign w:val="center"/>
                          </w:tcPr>
                          <w:p>
                            <w:pPr>
                              <w:pStyle w:val="TableContents"/>
                              <w:bidi w:val="0"/>
                              <w:spacing w:before="0" w:after="283"/>
                              <w:jc w:val="left"/>
                              <w:rPr>
                                <w:sz w:val="16"/>
                              </w:rPr>
                            </w:pPr>
                            <w:r>
                              <w:rPr>
                                <w:sz w:val="16"/>
                              </w:rPr>
                              <w:t>November 1, 2029</w:t>
                            </w:r>
                          </w:p>
                        </w:tc>
                      </w:tr>
                      <w:tr>
                        <w:trPr/>
                        <w:tc>
                          <w:tcPr>
                            <w:tcW w:w="1880" w:type="dxa"/>
                            <w:tcBorders/>
                            <w:vAlign w:val="center"/>
                          </w:tcPr>
                          <w:p>
                            <w:pPr>
                              <w:pStyle w:val="TableContents"/>
                              <w:bidi w:val="0"/>
                              <w:spacing w:before="0" w:after="283"/>
                              <w:jc w:val="left"/>
                              <w:rPr>
                                <w:b/>
                                <w:color w:val="296DC1"/>
                                <w:sz w:val="16"/>
                              </w:rPr>
                            </w:pPr>
                            <w:r>
                              <w:rPr>
                                <w:b/>
                                <w:color w:val="296DC1"/>
                                <w:sz w:val="16"/>
                              </w:rPr>
                              <w:t>CUSIP / ISIN:</w:t>
                            </w:r>
                          </w:p>
                        </w:tc>
                        <w:tc>
                          <w:tcPr>
                            <w:tcW w:w="8325" w:type="dxa"/>
                            <w:tcBorders/>
                            <w:vAlign w:val="center"/>
                          </w:tcPr>
                          <w:p>
                            <w:pPr>
                              <w:pStyle w:val="TableContents"/>
                              <w:bidi w:val="0"/>
                              <w:spacing w:before="0" w:after="283"/>
                              <w:jc w:val="left"/>
                              <w:rPr>
                                <w:sz w:val="16"/>
                              </w:rPr>
                            </w:pPr>
                            <w:r>
                              <w:rPr>
                                <w:sz w:val="16"/>
                              </w:rPr>
                              <w:t>46661QP33 / US46661QP330</w:t>
                            </w:r>
                          </w:p>
                        </w:tc>
                      </w:tr>
                      <w:tr>
                        <w:trPr/>
                        <w:tc>
                          <w:tcPr>
                            <w:tcW w:w="1880"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325" w:type="dxa"/>
                            <w:tcBorders/>
                            <w:shd w:fill="DCEBF4" w:val="clear"/>
                            <w:vAlign w:val="center"/>
                          </w:tcPr>
                          <w:p>
                            <w:pPr>
                              <w:pStyle w:val="TableContents"/>
                              <w:bidi w:val="0"/>
                              <w:spacing w:before="0" w:after="283"/>
                              <w:jc w:val="left"/>
                              <w:rPr/>
                            </w:pPr>
                            <w:hyperlink r:id="rId3">
                              <w:r>
                                <w:rPr>
                                  <w:rStyle w:val="InternetLink"/>
                                  <w:sz w:val="16"/>
                                </w:rPr>
                                <w:t>http://www.sec.gov/Archives/edgar/data/19617/000121390026111431/</w:t>
                                <w:br/>
                                <w:t>ea0309320-01_424b2.htm</w:t>
                              </w:r>
                            </w:hyperlink>
                          </w:p>
                        </w:tc>
                      </w:tr>
                    </w:tbl>
                    <w:p>
                      <w:pPr>
                        <w:pStyle w:val="TextBody"/>
                        <w:bidi w:val="0"/>
                        <w:spacing w:before="0" w:after="40"/>
                        <w:ind w:left="360"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0"/>
                        <w:ind w:left="3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$920.00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200"/>
                        <w:ind w:left="3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4000" w:type="dxa"/>
                        <w:jc w:val="center"/>
                        <w:tblInd w:w="0" w:type="dxa"/>
                        <w:tblLayout w:type="fixed"/>
                        <w:tblCellMar>
                          <w:top w:w="0" w:type="dxa"/>
                          <w:left w:w="0" w:type="dxa"/>
                          <w:bottom w:w="0" w:type="dxa"/>
                          <w:right w:w="0" w:type="dxa"/>
                        </w:tblCellMar>
                      </w:tblPr>
                      <w:tblGrid>
                        <w:gridCol w:w="2330"/>
                        <w:gridCol w:w="1670"/>
                      </w:tblGrid>
                      <w:tr>
                        <w:trPr/>
                        <w:tc>
                          <w:tcPr>
                            <w:tcW w:w="4000"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Hypothetical Payout at Maturity </w:t>
                            </w:r>
                          </w:p>
                        </w:tc>
                      </w:tr>
                      <w:tr>
                        <w:trPr/>
                        <w:tc>
                          <w:tcPr>
                            <w:tcW w:w="233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Change in Worst Performing </w:t>
                              <w:br/>
                              <w:t>Underlying Index</w:t>
                            </w:r>
                          </w:p>
                        </w:tc>
                        <w:tc>
                          <w:tcPr>
                            <w:tcW w:w="167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w:t>
                            </w:r>
                          </w:p>
                        </w:tc>
                      </w:tr>
                      <w:tr>
                        <w:trPr/>
                        <w:tc>
                          <w:tcPr>
                            <w:tcW w:w="23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6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6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6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6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6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16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6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67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$1,300.00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-30.01%</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$699.90</w:t>
                            </w:r>
                          </w:p>
                        </w:tc>
                      </w:tr>
                      <w:tr>
                        <w:trPr/>
                        <w:tc>
                          <w:tcPr>
                            <w:tcW w:w="23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67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23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167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23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167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0"/>
                        <w:ind w:left="346"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*if no automatic early redemption occurs and assumes a maturity redemption amount of $1,300.00</w:t>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3-Year RTY/SPX/NDX Enhanced Jump Securities with Auto-Callable Feature with 1-Year Initial Non-Call Period</w:t>
      </w:r>
    </w:p>
    <w:p>
      <w:pPr>
        <w:pStyle w:val="TextBody"/>
        <w:bidi w:val="0"/>
        <w:spacing w:before="20" w:after="40"/>
        <w:ind w:left="20" w:right="20" w:hanging="0"/>
        <w:jc w:val="left"/>
        <w:rPr>
          <w:rFonts w:ascii="Arial;Helvetica;Sans-Serif" w:hAnsi="Arial;Helvetica;Sans-Serif"/>
          <w:b w:val="false"/>
          <w:i w:val="false"/>
          <w:caps w:val="false"/>
          <w:smallCaps w:val="false"/>
          <w:color w:val="296DC1"/>
          <w:sz w:val="25"/>
        </w:rPr>
      </w:pPr>
      <w:r>
        <w:rPr>
          <w:rFonts w:ascii="Arial;Helvetica;Sans-Serif" w:hAnsi="Arial;Helvetica;Sans-Serif"/>
          <w:b w:val="false"/>
          <w:i w:val="false"/>
          <w:caps w:val="false"/>
          <w:smallCaps w:val="false"/>
          <w:color w:val="296DC1"/>
          <w:sz w:val="25"/>
        </w:rPr>
        <w:t>Underlying Indices</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 more information about the underlying indices, including historical performance information, see the accompanying preliminary pricing supplement.</w:t>
      </w:r>
    </w:p>
    <w:p>
      <w:pPr>
        <w:pStyle w:val="TextBody"/>
        <w:bidi w:val="0"/>
        <w:spacing w:before="60" w:after="60"/>
        <w:ind w:left="60" w:right="60" w:hanging="0"/>
        <w:jc w:val="left"/>
        <w:rPr>
          <w:rFonts w:ascii="Arial;Helvetica;Sans-Serif" w:hAnsi="Arial;Helvetica;Sans-Serif"/>
          <w:b w:val="false"/>
          <w:i w:val="false"/>
          <w:caps w:val="false"/>
          <w:smallCaps w:val="false"/>
          <w:color w:val="296DC1"/>
          <w:sz w:val="25"/>
        </w:rPr>
      </w:pPr>
      <w:r>
        <w:rPr>
          <w:rFonts w:ascii="Arial;Helvetica;Sans-Serif" w:hAnsi="Arial;Helvetica;Sans-Serif"/>
          <w:b w:val="false"/>
          <w:i w:val="false"/>
          <w:caps w:val="false"/>
          <w:smallCaps w:val="false"/>
          <w:color w:val="296DC1"/>
          <w:sz w:val="25"/>
        </w:rPr>
        <w:t>Risk Considerations</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risks identified below are not exhaustive. Please see “Risk Factors” in the accompanying prospectus supplement, product supplement and preliminary pricing supplement.</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1"/>
        <w:gridCol w:w="137"/>
        <w:gridCol w:w="10027"/>
      </w:tblGrid>
      <w:tr>
        <w:trPr/>
        <w:tc>
          <w:tcPr>
            <w:tcW w:w="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7" w:type="dxa"/>
            <w:tcBorders/>
            <w:vAlign w:val="center"/>
          </w:tcPr>
          <w:p>
            <w:pPr>
              <w:pStyle w:val="TableContents"/>
              <w:bidi w:val="0"/>
              <w:spacing w:before="0" w:after="283"/>
              <w:jc w:val="left"/>
              <w:rPr>
                <w:sz w:val="16"/>
              </w:rPr>
            </w:pPr>
            <w:r>
              <w:rPr>
                <w:sz w:val="16"/>
              </w:rPr>
              <w:t xml:space="preserve">The securities do not pay interest or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100"/>
        <w:gridCol w:w="331"/>
        <w:gridCol w:w="9774"/>
      </w:tblGrid>
      <w:tr>
        <w:trPr/>
        <w:tc>
          <w:tcPr>
            <w:tcW w:w="10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774" w:type="dxa"/>
            <w:tcBorders/>
            <w:vAlign w:val="center"/>
          </w:tcPr>
          <w:p>
            <w:pPr>
              <w:pStyle w:val="TableContents"/>
              <w:bidi w:val="0"/>
              <w:spacing w:before="0" w:after="283"/>
              <w:jc w:val="left"/>
              <w:rPr>
                <w:sz w:val="16"/>
              </w:rPr>
            </w:pPr>
            <w:r>
              <w:rPr>
                <w:sz w:val="16"/>
              </w:rPr>
              <w:t>The appreciation potential of the securities is limited.</w:t>
            </w:r>
          </w:p>
        </w:tc>
      </w:tr>
    </w:tbl>
    <w:tbl>
      <w:tblPr>
        <w:tblW w:w="5000" w:type="pct"/>
        <w:jc w:val="left"/>
        <w:tblInd w:w="0" w:type="dxa"/>
        <w:tblLayout w:type="fixed"/>
        <w:tblCellMar>
          <w:top w:w="0" w:type="dxa"/>
          <w:left w:w="0" w:type="dxa"/>
          <w:bottom w:w="0" w:type="dxa"/>
          <w:right w:w="0" w:type="dxa"/>
        </w:tblCellMar>
      </w:tblPr>
      <w:tblGrid>
        <w:gridCol w:w="88"/>
        <w:gridCol w:w="291"/>
        <w:gridCol w:w="9826"/>
      </w:tblGrid>
      <w:tr>
        <w:trPr/>
        <w:tc>
          <w:tcPr>
            <w:tcW w:w="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26" w:type="dxa"/>
            <w:tcBorders/>
            <w:vAlign w:val="center"/>
          </w:tcPr>
          <w:p>
            <w:pPr>
              <w:pStyle w:val="TableContents"/>
              <w:bidi w:val="0"/>
              <w:spacing w:before="0" w:after="283"/>
              <w:jc w:val="left"/>
              <w:rPr>
                <w:sz w:val="16"/>
              </w:rPr>
            </w:pPr>
            <w:r>
              <w:rPr>
                <w:sz w:val="16"/>
              </w:rPr>
              <w:t xml:space="preserve">You are exposed to the price risk of each underlying index.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Because the securities are linked to the performance of the worst performing underlying index, you are exposed to greater risks of no early redemption payment or maturity redemption payment and sustaining a significant loss on your investment than if the securities were linked to just one underlying index.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6"/>
        <w:gridCol w:w="185"/>
        <w:gridCol w:w="9964"/>
      </w:tblGrid>
      <w:tr>
        <w:trPr/>
        <w:tc>
          <w:tcPr>
            <w:tcW w:w="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64" w:type="dxa"/>
            <w:tcBorders/>
            <w:vAlign w:val="center"/>
          </w:tcPr>
          <w:p>
            <w:pPr>
              <w:pStyle w:val="TableContents"/>
              <w:bidi w:val="0"/>
              <w:spacing w:before="0" w:after="283"/>
              <w:jc w:val="left"/>
              <w:rPr>
                <w:sz w:val="16"/>
              </w:rPr>
            </w:pPr>
            <w:r>
              <w:rPr>
                <w:sz w:val="16"/>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40"/>
        <w:gridCol w:w="9893"/>
      </w:tblGrid>
      <w:tr>
        <w:trPr/>
        <w:tc>
          <w:tcPr>
            <w:tcW w:w="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3" w:type="dxa"/>
            <w:tcBorders/>
            <w:vAlign w:val="center"/>
          </w:tcPr>
          <w:p>
            <w:pPr>
              <w:pStyle w:val="TableContents"/>
              <w:bidi w:val="0"/>
              <w:spacing w:before="0" w:after="283"/>
              <w:jc w:val="left"/>
              <w:rPr>
                <w:sz w:val="16"/>
              </w:rPr>
            </w:pPr>
            <w:r>
              <w:rPr>
                <w:sz w:val="16"/>
              </w:rPr>
              <w:t>Investors will not participate in any appreciation of any underlying index.</w:t>
            </w:r>
          </w:p>
        </w:tc>
      </w:tr>
    </w:tbl>
    <w:tbl>
      <w:tblPr>
        <w:tblW w:w="5000" w:type="pct"/>
        <w:jc w:val="left"/>
        <w:tblInd w:w="0" w:type="dxa"/>
        <w:tblLayout w:type="fixed"/>
        <w:tblCellMar>
          <w:top w:w="0" w:type="dxa"/>
          <w:left w:w="0" w:type="dxa"/>
          <w:bottom w:w="0" w:type="dxa"/>
          <w:right w:w="0" w:type="dxa"/>
        </w:tblCellMar>
      </w:tblPr>
      <w:tblGrid>
        <w:gridCol w:w="215"/>
        <w:gridCol w:w="707"/>
        <w:gridCol w:w="9283"/>
      </w:tblGrid>
      <w:tr>
        <w:trPr/>
        <w:tc>
          <w:tcPr>
            <w:tcW w:w="21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83" w:type="dxa"/>
            <w:tcBorders/>
            <w:vAlign w:val="center"/>
          </w:tcPr>
          <w:p>
            <w:pPr>
              <w:pStyle w:val="TableContents"/>
              <w:bidi w:val="0"/>
              <w:spacing w:before="0" w:after="283"/>
              <w:jc w:val="left"/>
              <w:rPr>
                <w:sz w:val="16"/>
              </w:rPr>
            </w:pPr>
            <w:r>
              <w:rPr>
                <w:sz w:val="16"/>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149"/>
        <w:gridCol w:w="491"/>
        <w:gridCol w:w="9565"/>
      </w:tblGrid>
      <w:tr>
        <w:trPr/>
        <w:tc>
          <w:tcPr>
            <w:tcW w:w="14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5" w:type="dxa"/>
            <w:tcBorders/>
            <w:vAlign w:val="center"/>
          </w:tcPr>
          <w:p>
            <w:pPr>
              <w:pStyle w:val="TableContents"/>
              <w:bidi w:val="0"/>
              <w:spacing w:before="0" w:after="283"/>
              <w:jc w:val="left"/>
              <w:rPr>
                <w:sz w:val="16"/>
              </w:rPr>
            </w:pPr>
            <w:r>
              <w:rPr>
                <w:sz w:val="16"/>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6"/>
              </w:rPr>
            </w:pPr>
            <w:r>
              <w:rPr>
                <w:sz w:val="16"/>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7" w:type="dxa"/>
            <w:tcBorders/>
            <w:vAlign w:val="center"/>
          </w:tcPr>
          <w:p>
            <w:pPr>
              <w:pStyle w:val="TableContents"/>
              <w:bidi w:val="0"/>
              <w:spacing w:before="0" w:after="283"/>
              <w:jc w:val="left"/>
              <w:rPr>
                <w:sz w:val="16"/>
              </w:rPr>
            </w:pPr>
            <w:r>
              <w:rPr>
                <w:sz w:val="16"/>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 xml:space="preserve">Economic interests of the issuer, the guarantor, the calculation agent, the agent of the offering of the securities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9"/>
        <w:gridCol w:w="163"/>
        <w:gridCol w:w="9993"/>
      </w:tblGrid>
      <w:tr>
        <w:trPr/>
        <w:tc>
          <w:tcPr>
            <w:tcW w:w="4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3" w:type="dxa"/>
            <w:tcBorders/>
            <w:vAlign w:val="center"/>
          </w:tcPr>
          <w:p>
            <w:pPr>
              <w:pStyle w:val="TableContents"/>
              <w:bidi w:val="0"/>
              <w:spacing w:before="0" w:after="283"/>
              <w:jc w:val="left"/>
              <w:rPr>
                <w:sz w:val="16"/>
              </w:rPr>
            </w:pPr>
            <w:r>
              <w:rPr>
                <w:sz w:val="16"/>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6" w:type="dxa"/>
            <w:tcBorders/>
            <w:vAlign w:val="center"/>
          </w:tcPr>
          <w:p>
            <w:pPr>
              <w:pStyle w:val="TableContents"/>
              <w:bidi w:val="0"/>
              <w:spacing w:before="0" w:after="283"/>
              <w:jc w:val="left"/>
              <w:rPr>
                <w:sz w:val="16"/>
              </w:rPr>
            </w:pPr>
            <w:r>
              <w:rPr>
                <w:sz w:val="16"/>
              </w:rPr>
              <w:t>The estimated value of the securities will be lower than the original issue price (price to public) of the securities</w:t>
            </w:r>
            <w:r>
              <w:rPr>
                <w:rFonts w:ascii="Arial;Helvetica;Sans-Serif" w:hAnsi="Arial;Helvetica;Sans-Serif"/>
                <w:b w:val="false"/>
                <w:sz w:val="16"/>
              </w:rPr>
              <w:t>.</w:t>
            </w:r>
          </w:p>
        </w:tc>
      </w:tr>
    </w:tbl>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6" w:type="dxa"/>
            <w:tcBorders/>
            <w:vAlign w:val="center"/>
          </w:tcPr>
          <w:p>
            <w:pPr>
              <w:pStyle w:val="TableContents"/>
              <w:bidi w:val="0"/>
              <w:spacing w:before="0" w:after="283"/>
              <w:jc w:val="left"/>
              <w:rPr>
                <w:sz w:val="16"/>
              </w:rPr>
            </w:pPr>
            <w:r>
              <w:rPr>
                <w:sz w:val="16"/>
              </w:rPr>
              <w:t>The estimated value of the securities does not represent future values of the securities and may differ from others’ estimates.</w:t>
            </w:r>
          </w:p>
        </w:tc>
      </w:tr>
    </w:tbl>
    <w:tbl>
      <w:tblPr>
        <w:tblW w:w="5000" w:type="pct"/>
        <w:jc w:val="left"/>
        <w:tblInd w:w="0" w:type="dxa"/>
        <w:tblLayout w:type="fixed"/>
        <w:tblCellMar>
          <w:top w:w="0" w:type="dxa"/>
          <w:left w:w="0" w:type="dxa"/>
          <w:bottom w:w="0" w:type="dxa"/>
          <w:right w:w="0" w:type="dxa"/>
        </w:tblCellMar>
      </w:tblPr>
      <w:tblGrid>
        <w:gridCol w:w="59"/>
        <w:gridCol w:w="196"/>
        <w:gridCol w:w="9950"/>
      </w:tblGrid>
      <w:tr>
        <w:trPr/>
        <w:tc>
          <w:tcPr>
            <w:tcW w:w="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50" w:type="dxa"/>
            <w:tcBorders/>
            <w:vAlign w:val="center"/>
          </w:tcPr>
          <w:p>
            <w:pPr>
              <w:pStyle w:val="TableContents"/>
              <w:bidi w:val="0"/>
              <w:spacing w:before="0" w:after="283"/>
              <w:jc w:val="left"/>
              <w:rPr>
                <w:rFonts w:ascii="Arial;Helvetica;Sans-Serif" w:hAnsi="Arial;Helvetica;Sans-Serif"/>
                <w:b w:val="false"/>
                <w:sz w:val="16"/>
              </w:rPr>
            </w:pPr>
            <w:r>
              <w:rPr>
                <w:rFonts w:ascii="Arial;Helvetica;Sans-Serif" w:hAnsi="Arial;Helvetica;Sans-Serif"/>
                <w:b w:val="false"/>
                <w:sz w:val="16"/>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6"/>
              </w:rPr>
            </w:pPr>
            <w:r>
              <w:rPr>
                <w:rFonts w:ascii="Arial;Helvetica;Sans-Serif" w:hAnsi="Arial;Helvetica;Sans-Serif"/>
                <w:b w:val="false"/>
                <w:sz w:val="16"/>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1"/>
        <w:gridCol w:w="168"/>
        <w:gridCol w:w="9986"/>
      </w:tblGrid>
      <w:tr>
        <w:trPr/>
        <w:tc>
          <w:tcPr>
            <w:tcW w:w="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6" w:type="dxa"/>
            <w:tcBorders/>
            <w:vAlign w:val="center"/>
          </w:tcPr>
          <w:p>
            <w:pPr>
              <w:pStyle w:val="TableContents"/>
              <w:bidi w:val="0"/>
              <w:spacing w:before="0" w:after="283"/>
              <w:jc w:val="left"/>
              <w:rPr>
                <w:sz w:val="16"/>
              </w:rPr>
            </w:pPr>
            <w:r>
              <w:rPr>
                <w:sz w:val="16"/>
              </w:rPr>
              <w:t>Secondary market prices of the securities will likely be lower than the original issue price of the securities</w:t>
            </w:r>
            <w:r>
              <w:rPr>
                <w:rFonts w:ascii="Arial;Helvetica;Sans-Serif" w:hAnsi="Arial;Helvetica;Sans-Serif"/>
                <w:b w:val="false"/>
                <w:sz w:val="16"/>
              </w:rPr>
              <w:t xml:space="preserve">. </w:t>
            </w:r>
          </w:p>
        </w:tc>
      </w:tr>
    </w:tbl>
    <w:tbl>
      <w:tblPr>
        <w:tblW w:w="5000" w:type="pct"/>
        <w:jc w:val="left"/>
        <w:tblInd w:w="0" w:type="dxa"/>
        <w:tblLayout w:type="fixed"/>
        <w:tblCellMar>
          <w:top w:w="0" w:type="dxa"/>
          <w:left w:w="0" w:type="dxa"/>
          <w:bottom w:w="0" w:type="dxa"/>
          <w:right w:w="0" w:type="dxa"/>
        </w:tblCellMar>
      </w:tblPr>
      <w:tblGrid>
        <w:gridCol w:w="52"/>
        <w:gridCol w:w="175"/>
        <w:gridCol w:w="9978"/>
      </w:tblGrid>
      <w:tr>
        <w:trPr/>
        <w:tc>
          <w:tcPr>
            <w:tcW w:w="5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8" w:type="dxa"/>
            <w:tcBorders/>
            <w:vAlign w:val="center"/>
          </w:tcPr>
          <w:p>
            <w:pPr>
              <w:pStyle w:val="TableContents"/>
              <w:bidi w:val="0"/>
              <w:spacing w:before="0" w:after="283"/>
              <w:jc w:val="left"/>
              <w:rPr>
                <w:rFonts w:ascii="Arial;Helvetica;Sans-Serif" w:hAnsi="Arial;Helvetica;Sans-Serif"/>
                <w:b w:val="false"/>
                <w:sz w:val="16"/>
              </w:rPr>
            </w:pPr>
            <w:r>
              <w:rPr>
                <w:rFonts w:ascii="Arial;Helvetica;Sans-Serif" w:hAnsi="Arial;Helvetica;Sans-Serif"/>
                <w:b w:val="false"/>
                <w:sz w:val="16"/>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62"/>
        <w:gridCol w:w="205"/>
        <w:gridCol w:w="9938"/>
      </w:tblGrid>
      <w:tr>
        <w:trPr/>
        <w:tc>
          <w:tcPr>
            <w:tcW w:w="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38" w:type="dxa"/>
            <w:tcBorders/>
            <w:vAlign w:val="center"/>
          </w:tcPr>
          <w:p>
            <w:pPr>
              <w:pStyle w:val="TableContents"/>
              <w:bidi w:val="0"/>
              <w:spacing w:before="0" w:after="283"/>
              <w:jc w:val="left"/>
              <w:rPr>
                <w:sz w:val="16"/>
              </w:rPr>
            </w:pPr>
            <w:r>
              <w:rPr>
                <w:sz w:val="16"/>
              </w:rPr>
              <w:t>JPMorgan Chase &amp; Co. is currently one of the companies that make up the SPX Index.</w:t>
            </w:r>
          </w:p>
        </w:tc>
      </w:tr>
    </w:tbl>
    <w:tbl>
      <w:tblPr>
        <w:tblW w:w="5000" w:type="pct"/>
        <w:jc w:val="left"/>
        <w:tblInd w:w="0" w:type="dxa"/>
        <w:tblLayout w:type="fixed"/>
        <w:tblCellMar>
          <w:top w:w="0" w:type="dxa"/>
          <w:left w:w="0" w:type="dxa"/>
          <w:bottom w:w="0" w:type="dxa"/>
          <w:right w:w="0" w:type="dxa"/>
        </w:tblCellMar>
      </w:tblPr>
      <w:tblGrid>
        <w:gridCol w:w="67"/>
        <w:gridCol w:w="221"/>
        <w:gridCol w:w="9917"/>
      </w:tblGrid>
      <w:tr>
        <w:trPr/>
        <w:tc>
          <w:tcPr>
            <w:tcW w:w="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17" w:type="dxa"/>
            <w:tcBorders/>
            <w:vAlign w:val="center"/>
          </w:tcPr>
          <w:p>
            <w:pPr>
              <w:pStyle w:val="TableContents"/>
              <w:bidi w:val="0"/>
              <w:spacing w:before="0" w:after="283"/>
              <w:jc w:val="left"/>
              <w:rPr>
                <w:sz w:val="16"/>
              </w:rPr>
            </w:pPr>
            <w:r>
              <w:rPr>
                <w:sz w:val="16"/>
              </w:rPr>
              <w:t>Investing in the securities is not equivalent to investing in any underlying index.</w:t>
            </w:r>
          </w:p>
        </w:tc>
      </w:tr>
    </w:tbl>
    <w:tbl>
      <w:tblPr>
        <w:tblW w:w="5000" w:type="pct"/>
        <w:jc w:val="left"/>
        <w:tblInd w:w="0" w:type="dxa"/>
        <w:tblLayout w:type="fixed"/>
        <w:tblCellMar>
          <w:top w:w="0" w:type="dxa"/>
          <w:left w:w="0" w:type="dxa"/>
          <w:bottom w:w="0" w:type="dxa"/>
          <w:right w:w="0" w:type="dxa"/>
        </w:tblCellMar>
      </w:tblPr>
      <w:tblGrid>
        <w:gridCol w:w="62"/>
        <w:gridCol w:w="206"/>
        <w:gridCol w:w="9937"/>
      </w:tblGrid>
      <w:tr>
        <w:trPr/>
        <w:tc>
          <w:tcPr>
            <w:tcW w:w="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37" w:type="dxa"/>
            <w:tcBorders/>
            <w:vAlign w:val="center"/>
          </w:tcPr>
          <w:p>
            <w:pPr>
              <w:pStyle w:val="TableContents"/>
              <w:bidi w:val="0"/>
              <w:spacing w:before="0" w:after="283"/>
              <w:jc w:val="left"/>
              <w:rPr>
                <w:sz w:val="16"/>
              </w:rPr>
            </w:pPr>
            <w:r>
              <w:rPr>
                <w:sz w:val="16"/>
              </w:rPr>
              <w:t>Adjustments to any underlying index could adversely affect the value of the securities.</w:t>
            </w:r>
          </w:p>
        </w:tc>
      </w:tr>
    </w:tbl>
    <w:tbl>
      <w:tblPr>
        <w:tblW w:w="5000" w:type="pct"/>
        <w:jc w:val="left"/>
        <w:tblInd w:w="0" w:type="dxa"/>
        <w:tblLayout w:type="fixed"/>
        <w:tblCellMar>
          <w:top w:w="0" w:type="dxa"/>
          <w:left w:w="0" w:type="dxa"/>
          <w:bottom w:w="0" w:type="dxa"/>
          <w:right w:w="0" w:type="dxa"/>
        </w:tblCellMar>
      </w:tblPr>
      <w:tblGrid>
        <w:gridCol w:w="44"/>
        <w:gridCol w:w="148"/>
        <w:gridCol w:w="10013"/>
      </w:tblGrid>
      <w:tr>
        <w:trPr/>
        <w:tc>
          <w:tcPr>
            <w:tcW w:w="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3" w:type="dxa"/>
            <w:tcBorders/>
            <w:vAlign w:val="center"/>
          </w:tcPr>
          <w:p>
            <w:pPr>
              <w:pStyle w:val="TableContents"/>
              <w:bidi w:val="0"/>
              <w:spacing w:before="0" w:after="283"/>
              <w:jc w:val="left"/>
              <w:rPr>
                <w:sz w:val="16"/>
              </w:rPr>
            </w:pPr>
            <w:r>
              <w:rPr>
                <w:sz w:val="16"/>
              </w:rPr>
              <w:t xml:space="preserve">An investment in the securities is subject to risks associated with small capitalization stocks with respect to the RTY Index. </w:t>
            </w:r>
          </w:p>
        </w:tc>
      </w:tr>
    </w:tbl>
    <w:tbl>
      <w:tblPr>
        <w:tblW w:w="5000" w:type="pct"/>
        <w:jc w:val="left"/>
        <w:tblInd w:w="0" w:type="dxa"/>
        <w:tblLayout w:type="fixed"/>
        <w:tblCellMar>
          <w:top w:w="0" w:type="dxa"/>
          <w:left w:w="0" w:type="dxa"/>
          <w:bottom w:w="0" w:type="dxa"/>
          <w:right w:w="0" w:type="dxa"/>
        </w:tblCellMar>
      </w:tblPr>
      <w:tblGrid>
        <w:gridCol w:w="45"/>
        <w:gridCol w:w="148"/>
        <w:gridCol w:w="10012"/>
      </w:tblGrid>
      <w:tr>
        <w:trPr/>
        <w:tc>
          <w:tcPr>
            <w:tcW w:w="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2" w:type="dxa"/>
            <w:tcBorders/>
            <w:vAlign w:val="center"/>
          </w:tcPr>
          <w:p>
            <w:pPr>
              <w:pStyle w:val="TableContents"/>
              <w:bidi w:val="0"/>
              <w:spacing w:before="0" w:after="283"/>
              <w:jc w:val="left"/>
              <w:rPr>
                <w:sz w:val="16"/>
              </w:rPr>
            </w:pPr>
            <w:r>
              <w:rPr>
                <w:sz w:val="16"/>
              </w:rPr>
              <w:t xml:space="preserve">The securities are subject to risks associated with securities issued by non-U.S. companies with respect to the NDX Index. </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5"/>
        </w:rPr>
      </w:pPr>
      <w:r>
        <w:rPr>
          <w:rFonts w:ascii="Arial;Helvetica;Sans-Serif" w:hAnsi="Arial;Helvetica;Sans-Serif"/>
          <w:b w:val="false"/>
          <w:i w:val="false"/>
          <w:caps w:val="false"/>
          <w:smallCaps w:val="false"/>
          <w:color w:val="296DC1"/>
          <w:sz w:val="25"/>
        </w:rPr>
        <w:t>Tax Considerations</w:t>
      </w:r>
    </w:p>
    <w:p>
      <w:pPr>
        <w:pStyle w:val="TextBody"/>
        <w:bidi w:val="0"/>
        <w:spacing w:before="0" w:after="6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You should review carefully the discussion in the accompanying preliminary pricing supplement under “Additional Information about the Securities — Additional Provisions — Tax considerations” concerning the U.S. federal income tax consequences of an investment in the securities, and you should consult your tax adviser.</w:t>
      </w:r>
    </w:p>
    <w:p>
      <w:pPr>
        <w:pStyle w:val="TextBody"/>
        <w:bidi w:val="0"/>
        <w:spacing w:before="0" w:after="200"/>
        <w:ind w:left="360" w:right="0" w:hanging="0"/>
        <w:jc w:val="left"/>
        <w:rPr>
          <w:caps w:val="false"/>
          <w:smallCaps w:val="false"/>
        </w:rPr>
      </w:pPr>
      <w:r>
        <w:rPr>
          <w:caps w:val="false"/>
          <w:smallCaps w:val="false"/>
        </w:rPr>
        <w:t> </w:t>
      </w:r>
    </w:p>
    <w:p>
      <w:pPr>
        <w:pStyle w:val="TextBody"/>
        <w:bidi w:val="0"/>
        <w:spacing w:before="0" w:after="200"/>
        <w:ind w:left="360" w:right="0" w:hanging="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3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111431/ea0309320-01_424b2.htm" TargetMode="External"/><Relationship Id="rId3" Type="http://schemas.openxmlformats.org/officeDocument/2006/relationships/hyperlink" Target="http://www.sec.gov/Archives/edgar/data/19617/000121390026111431/ea0309320-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1553</Words>
  <Characters>8643</Characters>
  <CharactersWithSpaces>10065</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