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jc w:val="right"/>
        <w:spacing w:after="0" w:line="236" w:lineRule="auto"/>
        <w:rPr>
          <w:sz w:val="20"/>
          <w:szCs w:val="20"/>
          <w:color w:val="auto"/>
        </w:rPr>
      </w:pPr>
      <w:r>
        <w:rPr>
          <w:rFonts w:ascii="Arial" w:cs="Arial" w:eastAsia="Arial" w:hAnsi="Arial"/>
          <w:sz w:val="14"/>
          <w:szCs w:val="14"/>
          <w:color w:val="808080"/>
        </w:rPr>
        <w:t>Registration Statement Nos. 333-293684 and 333-293684-01</w:t>
      </w:r>
    </w:p>
    <w:p>
      <w:pPr>
        <w:jc w:val="right"/>
        <w:spacing w:after="0" w:line="223" w:lineRule="auto"/>
        <w:rPr>
          <w:sz w:val="20"/>
          <w:szCs w:val="20"/>
          <w:color w:val="auto"/>
        </w:rPr>
      </w:pPr>
      <w:r>
        <w:rPr>
          <w:rFonts w:ascii="Arial" w:cs="Arial" w:eastAsia="Arial" w:hAnsi="Arial"/>
          <w:sz w:val="14"/>
          <w:szCs w:val="14"/>
          <w:color w:val="808080"/>
        </w:rPr>
        <w:t>Dated June 15, 2026</w:t>
      </w:r>
    </w:p>
    <w:p>
      <w:pPr>
        <w:spacing w:after="0"/>
        <w:rPr>
          <w:sz w:val="20"/>
          <w:szCs w:val="20"/>
          <w:color w:val="auto"/>
        </w:rPr>
      </w:pPr>
      <w:r>
        <w:rPr>
          <w:rFonts w:ascii="Arial" w:cs="Arial" w:eastAsia="Arial" w:hAnsi="Arial"/>
          <w:sz w:val="28"/>
          <w:szCs w:val="28"/>
          <w:color w:val="296DC1"/>
        </w:rPr>
        <w:t>6-Year SPX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3"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This document provides a summary of the terms of the Trigger PLUS.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97090" cy="175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17589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p>
      <w:pPr>
        <w:spacing w:after="0" w:line="3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12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7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index:</w:t>
      </w:r>
    </w:p>
    <w:p>
      <w:pPr>
        <w:spacing w:after="0" w:line="18"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right="1600"/>
        <w:spacing w:after="0" w:line="246" w:lineRule="auto"/>
        <w:rPr>
          <w:sz w:val="20"/>
          <w:szCs w:val="20"/>
          <w:color w:val="auto"/>
        </w:rPr>
      </w:pPr>
      <w:r>
        <w:rPr>
          <w:rFonts w:ascii="Arial" w:cs="Arial" w:eastAsia="Arial" w:hAnsi="Arial"/>
          <w:sz w:val="14"/>
          <w:szCs w:val="14"/>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-203200</wp:posOffset>
            </wp:positionV>
            <wp:extent cx="3488055" cy="201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055" cy="20129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4"/>
          <w:szCs w:val="14"/>
          <w:color w:val="auto"/>
        </w:rPr>
        <w:t>JPMorgan Chase &amp; Co.</w:t>
      </w:r>
    </w:p>
    <w:p>
      <w:pPr>
        <w:spacing w:after="0" w:line="208" w:lineRule="auto"/>
        <w:rPr>
          <w:sz w:val="20"/>
          <w:szCs w:val="20"/>
          <w:color w:val="auto"/>
        </w:rPr>
      </w:pPr>
      <w:r>
        <w:rPr>
          <w:rFonts w:ascii="Arial" w:cs="Arial" w:eastAsia="Arial" w:hAnsi="Arial"/>
          <w:sz w:val="14"/>
          <w:szCs w:val="14"/>
          <w:color w:val="auto"/>
        </w:rPr>
        <w:t>S&amp;P 500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(Bloomberg ticker: SPX 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-144145</wp:posOffset>
            </wp:positionV>
            <wp:extent cx="3488055" cy="117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055" cy="117475"/>
                    </a:xfrm>
                    <a:prstGeom prst="rect">
                      <a:avLst/>
                    </a:prstGeom>
                    <a:noFill/>
                  </pic:spPr>
                </pic:pic>
              </a:graphicData>
            </a:graphic>
          </wp:anchor>
        </w:drawing>
      </w:r>
    </w:p>
    <w:p>
      <w:pPr>
        <w:ind w:right="1640"/>
        <w:spacing w:after="0" w:line="243" w:lineRule="auto"/>
        <w:rPr>
          <w:sz w:val="20"/>
          <w:szCs w:val="20"/>
          <w:color w:val="auto"/>
        </w:rPr>
      </w:pPr>
      <w:r>
        <w:rPr>
          <w:rFonts w:ascii="Arial" w:cs="Arial" w:eastAsia="Arial" w:hAnsi="Arial"/>
          <w:sz w:val="14"/>
          <w:szCs w:val="14"/>
          <w:color w:val="auto"/>
        </w:rPr>
        <w:t xml:space="preserve">If the final index value is </w:t>
      </w:r>
      <w:r>
        <w:rPr>
          <w:rFonts w:ascii="Arial" w:cs="Arial" w:eastAsia="Arial" w:hAnsi="Arial"/>
          <w:sz w:val="14"/>
          <w:szCs w:val="14"/>
          <w:i w:val="1"/>
          <w:iCs w:val="1"/>
          <w:color w:val="auto"/>
        </w:rPr>
        <w:t>greater than</w:t>
      </w:r>
      <w:r>
        <w:rPr>
          <w:rFonts w:ascii="Arial" w:cs="Arial" w:eastAsia="Arial" w:hAnsi="Arial"/>
          <w:sz w:val="14"/>
          <w:szCs w:val="14"/>
          <w:color w:val="auto"/>
        </w:rPr>
        <w:t xml:space="preserve"> the initial index value, for each $1,000 stated principal amount Trigger PLUS:</w:t>
      </w:r>
    </w:p>
    <w:p>
      <w:pPr>
        <w:spacing w:after="0" w:line="12"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$1,000 + leveraged upside payment</w:t>
      </w:r>
    </w:p>
    <w:p>
      <w:pPr>
        <w:spacing w:after="0" w:line="26" w:lineRule="exact"/>
        <w:rPr>
          <w:sz w:val="24"/>
          <w:szCs w:val="24"/>
          <w:color w:val="auto"/>
        </w:rPr>
      </w:pPr>
    </w:p>
    <w:p>
      <w:pPr>
        <w:ind w:right="1840"/>
        <w:spacing w:after="0" w:line="264" w:lineRule="auto"/>
        <w:rPr>
          <w:sz w:val="20"/>
          <w:szCs w:val="20"/>
          <w:color w:val="auto"/>
        </w:rPr>
      </w:pPr>
      <w:r>
        <w:rPr>
          <w:rFonts w:ascii="Arial" w:cs="Arial" w:eastAsia="Arial" w:hAnsi="Arial"/>
          <w:sz w:val="14"/>
          <w:szCs w:val="14"/>
          <w:i w:val="1"/>
          <w:iCs w:val="1"/>
          <w:color w:val="auto"/>
        </w:rPr>
        <w:t>In no event will the payment at maturity exceed the maximum payment at maturity.</w:t>
      </w:r>
    </w:p>
    <w:p>
      <w:pPr>
        <w:ind w:right="1380"/>
        <w:spacing w:after="0" w:line="254" w:lineRule="auto"/>
        <w:rPr>
          <w:sz w:val="20"/>
          <w:szCs w:val="20"/>
          <w:color w:val="auto"/>
        </w:rPr>
      </w:pPr>
      <w:r>
        <w:rPr>
          <w:rFonts w:ascii="Arial" w:cs="Arial" w:eastAsia="Arial" w:hAnsi="Arial"/>
          <w:sz w:val="14"/>
          <w:szCs w:val="14"/>
          <w:color w:val="auto"/>
        </w:rPr>
        <w:t xml:space="preserve">If the final index value is </w:t>
      </w:r>
      <w:r>
        <w:rPr>
          <w:rFonts w:ascii="Arial" w:cs="Arial" w:eastAsia="Arial" w:hAnsi="Arial"/>
          <w:sz w:val="14"/>
          <w:szCs w:val="14"/>
          <w:i w:val="1"/>
          <w:iCs w:val="1"/>
          <w:color w:val="auto"/>
        </w:rPr>
        <w:t>less than or equal to</w:t>
      </w:r>
      <w:r>
        <w:rPr>
          <w:rFonts w:ascii="Arial" w:cs="Arial" w:eastAsia="Arial" w:hAnsi="Arial"/>
          <w:sz w:val="14"/>
          <w:szCs w:val="14"/>
          <w:color w:val="auto"/>
        </w:rPr>
        <w:t xml:space="preserve"> the initial index value but is </w:t>
      </w:r>
      <w:r>
        <w:rPr>
          <w:rFonts w:ascii="Arial" w:cs="Arial" w:eastAsia="Arial" w:hAnsi="Arial"/>
          <w:sz w:val="14"/>
          <w:szCs w:val="14"/>
          <w:i w:val="1"/>
          <w:iCs w:val="1"/>
          <w:color w:val="auto"/>
        </w:rPr>
        <w:t>greater than or equal to</w:t>
      </w:r>
      <w:r>
        <w:rPr>
          <w:rFonts w:ascii="Arial" w:cs="Arial" w:eastAsia="Arial" w:hAnsi="Arial"/>
          <w:sz w:val="14"/>
          <w:szCs w:val="14"/>
          <w:color w:val="auto"/>
        </w:rPr>
        <w:t xml:space="preserve"> the trigger level, for each $1,000 stated principal amount Trigger PLUS:</w:t>
      </w:r>
    </w:p>
    <w:p>
      <w:pPr>
        <w:spacing w:after="0" w:line="4" w:lineRule="exact"/>
        <w:rPr>
          <w:sz w:val="24"/>
          <w:szCs w:val="24"/>
          <w:color w:val="auto"/>
        </w:rPr>
      </w:pPr>
    </w:p>
    <w:p>
      <w:pPr>
        <w:ind w:left="200"/>
        <w:spacing w:after="0"/>
        <w:rPr>
          <w:sz w:val="20"/>
          <w:szCs w:val="20"/>
          <w:color w:val="auto"/>
        </w:rPr>
      </w:pPr>
      <w:r>
        <w:rPr>
          <w:rFonts w:ascii="Arial" w:cs="Arial" w:eastAsia="Arial" w:hAnsi="Arial"/>
          <w:sz w:val="14"/>
          <w:szCs w:val="14"/>
          <w:color w:val="auto"/>
        </w:rPr>
        <w:t>$1,000</w:t>
      </w:r>
    </w:p>
    <w:p>
      <w:pPr>
        <w:spacing w:after="0" w:line="24" w:lineRule="exact"/>
        <w:rPr>
          <w:sz w:val="24"/>
          <w:szCs w:val="24"/>
          <w:color w:val="auto"/>
        </w:rPr>
      </w:pPr>
    </w:p>
    <w:p>
      <w:pPr>
        <w:ind w:right="1660"/>
        <w:spacing w:after="0" w:line="265" w:lineRule="auto"/>
        <w:rPr>
          <w:sz w:val="20"/>
          <w:szCs w:val="20"/>
          <w:color w:val="auto"/>
        </w:rPr>
      </w:pPr>
      <w:r>
        <w:rPr>
          <w:rFonts w:ascii="Arial" w:cs="Arial" w:eastAsia="Arial" w:hAnsi="Arial"/>
          <w:sz w:val="14"/>
          <w:szCs w:val="14"/>
          <w:color w:val="auto"/>
        </w:rPr>
        <w:t xml:space="preserve">If the final index value is </w:t>
      </w:r>
      <w:r>
        <w:rPr>
          <w:rFonts w:ascii="Arial" w:cs="Arial" w:eastAsia="Arial" w:hAnsi="Arial"/>
          <w:sz w:val="14"/>
          <w:szCs w:val="14"/>
          <w:i w:val="1"/>
          <w:iCs w:val="1"/>
          <w:color w:val="auto"/>
        </w:rPr>
        <w:t>less than</w:t>
      </w:r>
      <w:r>
        <w:rPr>
          <w:rFonts w:ascii="Arial" w:cs="Arial" w:eastAsia="Arial" w:hAnsi="Arial"/>
          <w:sz w:val="14"/>
          <w:szCs w:val="14"/>
          <w:color w:val="auto"/>
        </w:rPr>
        <w:t xml:space="preserve"> the trigger level, for each $1,000 stated principal amount Trigger PLUS:</w:t>
      </w:r>
    </w:p>
    <w:p>
      <w:pPr>
        <w:ind w:left="200"/>
        <w:spacing w:after="0" w:line="231" w:lineRule="auto"/>
        <w:rPr>
          <w:sz w:val="20"/>
          <w:szCs w:val="20"/>
          <w:color w:val="auto"/>
        </w:rPr>
      </w:pPr>
      <w:r>
        <w:rPr>
          <w:rFonts w:ascii="Arial" w:cs="Arial" w:eastAsia="Arial" w:hAnsi="Arial"/>
          <w:sz w:val="14"/>
          <w:szCs w:val="14"/>
          <w:color w:val="auto"/>
        </w:rPr>
        <w:t>$1,000 × index performance factor</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b w:val="1"/>
          <w:bCs w:val="1"/>
          <w:color w:val="296DC1"/>
        </w:rPr>
        <w:t>Trigger PLUS Payoff Diagram*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-1039495</wp:posOffset>
            </wp:positionH>
            <wp:positionV relativeFrom="paragraph">
              <wp:posOffset>35560</wp:posOffset>
            </wp:positionV>
            <wp:extent cx="3491230" cy="1718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91230" cy="1718945"/>
                    </a:xfrm>
                    <a:prstGeom prst="rect">
                      <a:avLst/>
                    </a:prstGeom>
                    <a:noFill/>
                  </pic:spPr>
                </pic:pic>
              </a:graphicData>
            </a:graphic>
          </wp:anchor>
        </w:drawing>
      </w:r>
    </w:p>
    <w:p>
      <w:pPr>
        <w:spacing w:after="0" w:line="3020" w:lineRule="exact"/>
        <w:rPr>
          <w:sz w:val="24"/>
          <w:szCs w:val="24"/>
          <w:color w:val="auto"/>
        </w:rPr>
      </w:pPr>
    </w:p>
    <w:p>
      <w:pPr>
        <w:sectPr>
          <w:pgSz w:w="11900" w:h="16838" w:orient="portrait"/>
          <w:cols w:equalWidth="0" w:num="3">
            <w:col w:w="1500" w:space="260"/>
            <w:col w:w="5000" w:space="720"/>
            <w:col w:w="3760"/>
          </w:cols>
          <w:pgMar w:left="320" w:top="217" w:right="339" w:bottom="1440" w:gutter="0" w:footer="0" w:header="0"/>
          <w:type w:val="continuous"/>
        </w:sectPr>
      </w:pPr>
    </w:p>
    <w:p>
      <w:pPr>
        <w:spacing w:after="0" w:line="200" w:lineRule="exact"/>
        <w:rPr>
          <w:sz w:val="24"/>
          <w:szCs w:val="24"/>
          <w:color w:val="auto"/>
        </w:rPr>
      </w:pPr>
    </w:p>
    <w:p>
      <w:pPr>
        <w:spacing w:after="0" w:line="325" w:lineRule="exact"/>
        <w:rPr>
          <w:sz w:val="24"/>
          <w:szCs w:val="24"/>
          <w:color w:val="auto"/>
        </w:rPr>
      </w:pPr>
    </w:p>
    <w:p>
      <w:pPr>
        <w:ind w:left="100" w:right="420"/>
        <w:spacing w:after="0" w:line="246" w:lineRule="auto"/>
        <w:rPr>
          <w:sz w:val="20"/>
          <w:szCs w:val="20"/>
          <w:color w:val="auto"/>
        </w:rPr>
      </w:pPr>
      <w:r>
        <w:rPr>
          <w:rFonts w:ascii="Arial" w:cs="Arial" w:eastAsia="Arial" w:hAnsi="Arial"/>
          <w:sz w:val="14"/>
          <w:szCs w:val="14"/>
          <w:b w:val="1"/>
          <w:bCs w:val="1"/>
          <w:color w:val="296DC1"/>
        </w:rPr>
        <w:t>Leveraged upside payment:</w:t>
      </w:r>
    </w:p>
    <w:p>
      <w:pPr>
        <w:spacing w:after="0" w:line="1" w:lineRule="exact"/>
        <w:rPr>
          <w:sz w:val="24"/>
          <w:szCs w:val="24"/>
          <w:color w:val="auto"/>
        </w:rPr>
      </w:pPr>
    </w:p>
    <w:p>
      <w:pPr>
        <w:ind w:left="100" w:right="700"/>
        <w:spacing w:after="0" w:line="263" w:lineRule="auto"/>
        <w:rPr>
          <w:sz w:val="20"/>
          <w:szCs w:val="20"/>
          <w:color w:val="auto"/>
        </w:rPr>
      </w:pPr>
      <w:r>
        <w:rPr>
          <w:rFonts w:ascii="Arial" w:cs="Arial" w:eastAsia="Arial" w:hAnsi="Arial"/>
          <w:sz w:val="14"/>
          <w:szCs w:val="14"/>
          <w:b w:val="1"/>
          <w:bCs w:val="1"/>
          <w:color w:val="296DC1"/>
        </w:rPr>
        <w:t>Index percent increase:</w:t>
      </w:r>
    </w:p>
    <w:p>
      <w:pPr>
        <w:spacing w:after="0" w:line="2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15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Final index value:</w:t>
      </w:r>
    </w:p>
    <w:p>
      <w:pPr>
        <w:spacing w:after="0" w:line="7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Trigger level:</w:t>
      </w:r>
    </w:p>
    <w:p>
      <w:pPr>
        <w:spacing w:after="0" w:line="7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Leverage factor:</w:t>
      </w:r>
    </w:p>
    <w:p>
      <w:pPr>
        <w:spacing w:after="0" w:line="77" w:lineRule="exact"/>
        <w:rPr>
          <w:sz w:val="24"/>
          <w:szCs w:val="24"/>
          <w:color w:val="auto"/>
        </w:rPr>
      </w:pPr>
    </w:p>
    <w:p>
      <w:pPr>
        <w:ind w:left="100" w:right="360"/>
        <w:spacing w:after="0" w:line="246" w:lineRule="auto"/>
        <w:rPr>
          <w:sz w:val="20"/>
          <w:szCs w:val="20"/>
          <w:color w:val="auto"/>
        </w:rPr>
      </w:pPr>
      <w:r>
        <w:rPr>
          <w:rFonts w:ascii="Arial" w:cs="Arial" w:eastAsia="Arial" w:hAnsi="Arial"/>
          <w:sz w:val="14"/>
          <w:szCs w:val="14"/>
          <w:b w:val="1"/>
          <w:bCs w:val="1"/>
          <w:color w:val="296DC1"/>
        </w:rPr>
        <w:t>Index performance factor:</w:t>
      </w:r>
    </w:p>
    <w:p>
      <w:pPr>
        <w:spacing w:after="0" w:line="1" w:lineRule="exact"/>
        <w:rPr>
          <w:sz w:val="24"/>
          <w:szCs w:val="24"/>
          <w:color w:val="auto"/>
        </w:rPr>
      </w:pPr>
    </w:p>
    <w:p>
      <w:pPr>
        <w:ind w:left="100" w:right="180"/>
        <w:spacing w:after="0" w:line="236" w:lineRule="auto"/>
        <w:rPr>
          <w:sz w:val="20"/>
          <w:szCs w:val="20"/>
          <w:color w:val="auto"/>
        </w:rPr>
      </w:pPr>
      <w:r>
        <w:rPr>
          <w:rFonts w:ascii="Arial" w:cs="Arial" w:eastAsia="Arial" w:hAnsi="Arial"/>
          <w:sz w:val="14"/>
          <w:szCs w:val="14"/>
          <w:b w:val="1"/>
          <w:bCs w:val="1"/>
          <w:color w:val="296DC1"/>
        </w:rPr>
        <w:t>Maximum payment at maturity:</w:t>
      </w:r>
    </w:p>
    <w:p>
      <w:pPr>
        <w:ind w:left="100" w:right="560"/>
        <w:spacing w:after="0" w:line="236" w:lineRule="auto"/>
        <w:rPr>
          <w:sz w:val="20"/>
          <w:szCs w:val="20"/>
          <w:color w:val="auto"/>
        </w:rPr>
      </w:pPr>
      <w:r>
        <w:rPr>
          <w:rFonts w:ascii="Arial" w:cs="Arial" w:eastAsia="Arial" w:hAnsi="Arial"/>
          <w:sz w:val="14"/>
          <w:szCs w:val="14"/>
          <w:b w:val="1"/>
          <w:bCs w:val="1"/>
          <w:color w:val="296DC1"/>
        </w:rPr>
        <w:t>Stated principal amount:</w:t>
      </w:r>
    </w:p>
    <w:p>
      <w:pPr>
        <w:ind w:left="100" w:right="360"/>
        <w:spacing w:after="0" w:line="234" w:lineRule="auto"/>
        <w:rPr>
          <w:sz w:val="20"/>
          <w:szCs w:val="20"/>
          <w:color w:val="auto"/>
        </w:rPr>
      </w:pPr>
      <w:r>
        <w:rPr>
          <w:rFonts w:ascii="Arial" w:cs="Arial" w:eastAsia="Arial" w:hAnsi="Arial"/>
          <w:sz w:val="14"/>
          <w:szCs w:val="14"/>
          <w:b w:val="1"/>
          <w:bCs w:val="1"/>
          <w:color w:val="296DC1"/>
        </w:rPr>
        <w:t>Issue price: Pricing date: Original issue date (settlement date):</w:t>
      </w:r>
    </w:p>
    <w:p>
      <w:pPr>
        <w:ind w:left="100"/>
        <w:spacing w:after="0" w:line="197" w:lineRule="auto"/>
        <w:rPr>
          <w:sz w:val="20"/>
          <w:szCs w:val="20"/>
          <w:color w:val="auto"/>
        </w:rPr>
      </w:pPr>
      <w:r>
        <w:rPr>
          <w:rFonts w:ascii="Arial" w:cs="Arial" w:eastAsia="Arial" w:hAnsi="Arial"/>
          <w:sz w:val="14"/>
          <w:szCs w:val="14"/>
          <w:b w:val="1"/>
          <w:bCs w:val="1"/>
          <w:color w:val="296DC1"/>
        </w:rPr>
        <w:t>Valuation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ind w:left="100" w:right="340"/>
        <w:spacing w:after="0" w:line="201" w:lineRule="auto"/>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 CUSIP / ISIN: Preliminary pricing supplement:</w:t>
      </w:r>
    </w:p>
    <w:p>
      <w:pPr>
        <w:ind w:left="100"/>
        <w:spacing w:after="0" w:line="230" w:lineRule="auto"/>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color w:val="auto"/>
        </w:rPr>
        <w:t>Subject to postponement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252" w:lineRule="auto"/>
        <w:rPr>
          <w:sz w:val="20"/>
          <w:szCs w:val="20"/>
          <w:color w:val="auto"/>
        </w:rPr>
      </w:pPr>
      <w:r>
        <w:rPr>
          <w:rFonts w:ascii="Arial" w:cs="Arial" w:eastAsia="Arial" w:hAnsi="Arial"/>
          <w:sz w:val="14"/>
          <w:szCs w:val="14"/>
          <w:i w:val="1"/>
          <w:iCs w:val="1"/>
          <w:color w:val="auto"/>
        </w:rPr>
        <w:t>This amount will be less than the stated principal amount of $1,000 per Trigger PLUS and will represent a loss of more than 15%, and possibly all, of your investment.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1270</wp:posOffset>
            </wp:positionV>
            <wp:extent cx="3488055" cy="201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055" cy="201295"/>
                    </a:xfrm>
                    <a:prstGeom prst="rect">
                      <a:avLst/>
                    </a:prstGeom>
                    <a:noFill/>
                  </pic:spPr>
                </pic:pic>
              </a:graphicData>
            </a:graphic>
          </wp:anchor>
        </w:drawing>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$1,000 × leverage factor × index percent increase</w:t>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(final index value – initial index value) / initial index value</w:t>
      </w:r>
    </w:p>
    <w:p>
      <w:pPr>
        <w:spacing w:after="0" w:line="77" w:lineRule="exact"/>
        <w:rPr>
          <w:sz w:val="24"/>
          <w:szCs w:val="24"/>
          <w:color w:val="auto"/>
        </w:rPr>
      </w:pPr>
    </w:p>
    <w:p>
      <w:pPr>
        <w:ind w:right="140"/>
        <w:spacing w:after="0" w:line="246" w:lineRule="auto"/>
        <w:rPr>
          <w:sz w:val="20"/>
          <w:szCs w:val="20"/>
          <w:color w:val="auto"/>
        </w:rPr>
      </w:pPr>
      <w:r>
        <w:rPr>
          <w:rFonts w:ascii="Arial" w:cs="Arial" w:eastAsia="Arial" w:hAnsi="Arial"/>
          <w:sz w:val="14"/>
          <w:szCs w:val="14"/>
          <w:color w:val="auto"/>
        </w:rPr>
        <w:t>The closing level of the underlying index on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-203200</wp:posOffset>
            </wp:positionV>
            <wp:extent cx="3488055" cy="201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055" cy="20129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4"/>
          <w:szCs w:val="14"/>
          <w:color w:val="auto"/>
        </w:rPr>
        <w:t>The closing level of the underlying index on the valuation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-1905</wp:posOffset>
            </wp:positionV>
            <wp:extent cx="3488055" cy="1003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055" cy="100330"/>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4"/>
          <w:szCs w:val="14"/>
          <w:color w:val="auto"/>
        </w:rPr>
        <w:t>85% of the initial index value</w:t>
      </w:r>
    </w:p>
    <w:p>
      <w:pPr>
        <w:ind w:right="660"/>
        <w:spacing w:after="0" w:line="251" w:lineRule="auto"/>
        <w:rPr>
          <w:sz w:val="20"/>
          <w:szCs w:val="20"/>
          <w:color w:val="auto"/>
        </w:rPr>
      </w:pPr>
      <w:r>
        <w:rPr>
          <w:rFonts w:ascii="Arial" w:cs="Arial" w:eastAsia="Arial" w:hAnsi="Arial"/>
          <w:sz w:val="14"/>
          <w:szCs w:val="14"/>
          <w:color w:val="auto"/>
        </w:rPr>
        <w:t>At least 130.80% (to be provided in the pricing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-15240</wp:posOffset>
            </wp:positionV>
            <wp:extent cx="3488055" cy="201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055" cy="20129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final index value / initial index value</w:t>
      </w:r>
    </w:p>
    <w:p>
      <w:pPr>
        <w:spacing w:after="0" w:line="77" w:lineRule="exact"/>
        <w:rPr>
          <w:sz w:val="24"/>
          <w:szCs w:val="24"/>
          <w:color w:val="auto"/>
        </w:rPr>
      </w:pPr>
    </w:p>
    <w:p>
      <w:pPr>
        <w:ind w:right="80"/>
        <w:spacing w:after="0" w:line="272" w:lineRule="auto"/>
        <w:rPr>
          <w:sz w:val="20"/>
          <w:szCs w:val="20"/>
          <w:color w:val="auto"/>
        </w:rPr>
      </w:pPr>
      <w:r>
        <w:rPr>
          <w:rFonts w:ascii="Arial" w:cs="Arial" w:eastAsia="Arial" w:hAnsi="Arial"/>
          <w:sz w:val="14"/>
          <w:szCs w:val="14"/>
          <w:color w:val="auto"/>
        </w:rPr>
        <w:t>$1,850.00 (185.00% of the stated principal amount)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-24130</wp:posOffset>
            </wp:positionV>
            <wp:extent cx="3488055" cy="201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8055" cy="20129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$1,000 per Trigger PLUS</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$1,000 per Trigger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4445</wp:posOffset>
            </wp:positionV>
            <wp:extent cx="3488055" cy="1003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88055" cy="1003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Expected to be June 30, 2026</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3 business days after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54610</wp:posOffset>
            </wp:positionV>
            <wp:extent cx="3488055" cy="117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055" cy="117475"/>
                    </a:xfrm>
                    <a:prstGeom prst="rect">
                      <a:avLst/>
                    </a:prstGeom>
                    <a:noFill/>
                  </pic:spPr>
                </pic:pic>
              </a:graphicData>
            </a:graphic>
          </wp:anchor>
        </w:drawing>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June 30, 2032</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July 6,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-1113155</wp:posOffset>
            </wp:positionH>
            <wp:positionV relativeFrom="paragraph">
              <wp:posOffset>12065</wp:posOffset>
            </wp:positionV>
            <wp:extent cx="3488055" cy="10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8055" cy="100330"/>
                    </a:xfrm>
                    <a:prstGeom prst="rect">
                      <a:avLst/>
                    </a:prstGeom>
                    <a:noFill/>
                  </pic:spPr>
                </pic:pic>
              </a:graphicData>
            </a:graphic>
          </wp:anchor>
        </w:drawing>
      </w:r>
    </w:p>
    <w:p>
      <w:pPr>
        <w:spacing w:after="0" w:line="4" w:lineRule="exact"/>
        <w:rPr>
          <w:sz w:val="24"/>
          <w:szCs w:val="24"/>
          <w:color w:val="auto"/>
        </w:rPr>
      </w:pPr>
    </w:p>
    <w:p>
      <w:pPr>
        <w:spacing w:after="0" w:line="244" w:lineRule="auto"/>
        <w:rPr>
          <w:rFonts w:ascii="Arial" w:cs="Arial" w:eastAsia="Arial" w:hAnsi="Arial"/>
          <w:sz w:val="14"/>
          <w:szCs w:val="14"/>
          <w:color w:val="0000EE"/>
        </w:rPr>
      </w:pPr>
      <w:r>
        <w:rPr>
          <w:rFonts w:ascii="Arial" w:cs="Arial" w:eastAsia="Arial" w:hAnsi="Arial"/>
          <w:sz w:val="14"/>
          <w:szCs w:val="14"/>
          <w:color w:val="auto"/>
        </w:rPr>
        <w:t xml:space="preserve">46661CWN2 / US46661CWN28 </w:t>
      </w:r>
      <w:hyperlink r:id="rId21">
        <w:r>
          <w:rPr>
            <w:rFonts w:ascii="Arial" w:cs="Arial" w:eastAsia="Arial" w:hAnsi="Arial"/>
            <w:sz w:val="14"/>
            <w:szCs w:val="14"/>
            <w:u w:val="single" w:color="auto"/>
            <w:color w:val="0000EE"/>
          </w:rPr>
          <w:t>http://www.sec.gov/Archives/edgar/data/</w:t>
        </w:r>
      </w:hyperlink>
      <w:r>
        <w:rPr>
          <w:rFonts w:ascii="Arial" w:cs="Arial" w:eastAsia="Arial" w:hAnsi="Arial"/>
          <w:sz w:val="14"/>
          <w:szCs w:val="14"/>
          <w:u w:val="single" w:color="auto"/>
          <w:color w:val="0000EE"/>
        </w:rPr>
        <w:t xml:space="preserve"> </w:t>
      </w:r>
      <w:hyperlink r:id="rId21">
        <w:r>
          <w:rPr>
            <w:rFonts w:ascii="Arial" w:cs="Arial" w:eastAsia="Arial" w:hAnsi="Arial"/>
            <w:sz w:val="14"/>
            <w:szCs w:val="14"/>
            <w:color w:val="0000EE"/>
          </w:rPr>
          <w:t>19617/000121390026068478/ea0294713-01_424b2.htm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240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2409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24"/>
        </w:trPr>
        <w:tc>
          <w:tcPr>
            <w:tcW w:w="2560" w:type="dxa"/>
            <w:vAlign w:val="bottom"/>
            <w:tcBorders>
              <w:bottom w:val="single" w:sz="8" w:color="296DC1"/>
            </w:tcBorders>
            <w:shd w:val="clear" w:color="auto" w:fill="296DC1"/>
          </w:tcPr>
          <w:p>
            <w:pPr>
              <w:ind w:left="400"/>
              <w:spacing w:after="0"/>
              <w:rPr>
                <w:sz w:val="20"/>
                <w:szCs w:val="20"/>
                <w:color w:val="auto"/>
              </w:rPr>
            </w:pPr>
            <w:r>
              <w:rPr>
                <w:rFonts w:ascii="Arial" w:cs="Arial" w:eastAsia="Arial" w:hAnsi="Arial"/>
                <w:sz w:val="14"/>
                <w:szCs w:val="14"/>
                <w:b w:val="1"/>
                <w:bCs w:val="1"/>
                <w:color w:val="FFFFFF"/>
              </w:rPr>
              <w:t>Change in Underlying Index</w:t>
            </w:r>
          </w:p>
        </w:tc>
        <w:tc>
          <w:tcPr>
            <w:tcW w:w="2380" w:type="dxa"/>
            <w:vAlign w:val="bottom"/>
            <w:tcBorders>
              <w:bottom w:val="single" w:sz="8" w:color="296DC1"/>
            </w:tcBorders>
            <w:shd w:val="clear" w:color="auto" w:fill="296DC1"/>
          </w:tcPr>
          <w:p>
            <w:pPr>
              <w:ind w:left="300"/>
              <w:spacing w:after="0"/>
              <w:rPr>
                <w:sz w:val="20"/>
                <w:szCs w:val="20"/>
                <w:color w:val="auto"/>
              </w:rPr>
            </w:pPr>
            <w:r>
              <w:rPr>
                <w:rFonts w:ascii="Arial" w:cs="Arial" w:eastAsia="Arial" w:hAnsi="Arial"/>
                <w:sz w:val="14"/>
                <w:szCs w:val="14"/>
                <w:b w:val="1"/>
                <w:bCs w:val="1"/>
                <w:color w:val="FFFFFF"/>
              </w:rPr>
              <w:t>Return on the Trigger PLUS*</w:t>
            </w:r>
          </w:p>
        </w:tc>
      </w:tr>
      <w:tr>
        <w:trPr>
          <w:trHeight w:val="185"/>
        </w:trPr>
        <w:tc>
          <w:tcPr>
            <w:tcW w:w="2560" w:type="dxa"/>
            <w:vAlign w:val="bottom"/>
          </w:tcPr>
          <w:p>
            <w:pPr>
              <w:jc w:val="center"/>
              <w:ind w:left="30"/>
              <w:spacing w:after="0"/>
              <w:rPr>
                <w:sz w:val="20"/>
                <w:szCs w:val="20"/>
                <w:color w:val="auto"/>
              </w:rPr>
            </w:pPr>
            <w:r>
              <w:rPr>
                <w:rFonts w:ascii="Arial" w:cs="Arial" w:eastAsia="Arial" w:hAnsi="Arial"/>
                <w:sz w:val="14"/>
                <w:szCs w:val="14"/>
                <w:color w:val="auto"/>
                <w:w w:val="99"/>
              </w:rPr>
              <w:t>100.00000%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7"/>
              </w:rPr>
              <w:t>85.000%</w:t>
            </w:r>
          </w:p>
        </w:tc>
      </w:tr>
      <w:tr>
        <w:trPr>
          <w:trHeight w:val="185"/>
        </w:trPr>
        <w:tc>
          <w:tcPr>
            <w:tcW w:w="2560" w:type="dxa"/>
            <w:vAlign w:val="bottom"/>
            <w:shd w:val="clear" w:color="auto" w:fill="D9D9D9"/>
          </w:tcPr>
          <w:p>
            <w:pPr>
              <w:jc w:val="center"/>
              <w:ind w:left="30"/>
              <w:spacing w:after="0"/>
              <w:rPr>
                <w:sz w:val="20"/>
                <w:szCs w:val="20"/>
                <w:color w:val="auto"/>
              </w:rPr>
            </w:pPr>
            <w:r>
              <w:rPr>
                <w:rFonts w:ascii="Arial" w:cs="Arial" w:eastAsia="Arial" w:hAnsi="Arial"/>
                <w:sz w:val="14"/>
                <w:szCs w:val="14"/>
                <w:color w:val="auto"/>
                <w:w w:val="98"/>
              </w:rPr>
              <w:t>80.00000%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7"/>
              </w:rPr>
              <w:t>85.000%</w:t>
            </w:r>
          </w:p>
        </w:tc>
      </w:tr>
      <w:tr>
        <w:trPr>
          <w:trHeight w:val="185"/>
        </w:trPr>
        <w:tc>
          <w:tcPr>
            <w:tcW w:w="2560" w:type="dxa"/>
            <w:vAlign w:val="bottom"/>
          </w:tcPr>
          <w:p>
            <w:pPr>
              <w:jc w:val="center"/>
              <w:ind w:left="30"/>
              <w:spacing w:after="0"/>
              <w:rPr>
                <w:sz w:val="20"/>
                <w:szCs w:val="20"/>
                <w:color w:val="auto"/>
              </w:rPr>
            </w:pPr>
            <w:r>
              <w:rPr>
                <w:rFonts w:ascii="Arial" w:cs="Arial" w:eastAsia="Arial" w:hAnsi="Arial"/>
                <w:sz w:val="14"/>
                <w:szCs w:val="14"/>
                <w:color w:val="auto"/>
                <w:w w:val="98"/>
              </w:rPr>
              <w:t>70.00000%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7"/>
              </w:rPr>
              <w:t>85.000%</w:t>
            </w:r>
          </w:p>
        </w:tc>
      </w:tr>
      <w:tr>
        <w:trPr>
          <w:trHeight w:val="185"/>
        </w:trPr>
        <w:tc>
          <w:tcPr>
            <w:tcW w:w="2560" w:type="dxa"/>
            <w:vAlign w:val="bottom"/>
            <w:shd w:val="clear" w:color="auto" w:fill="D9D9D9"/>
          </w:tcPr>
          <w:p>
            <w:pPr>
              <w:jc w:val="center"/>
              <w:ind w:left="30"/>
              <w:spacing w:after="0"/>
              <w:rPr>
                <w:sz w:val="20"/>
                <w:szCs w:val="20"/>
                <w:color w:val="auto"/>
              </w:rPr>
            </w:pPr>
            <w:r>
              <w:rPr>
                <w:rFonts w:ascii="Arial" w:cs="Arial" w:eastAsia="Arial" w:hAnsi="Arial"/>
                <w:sz w:val="14"/>
                <w:szCs w:val="14"/>
                <w:color w:val="auto"/>
                <w:w w:val="98"/>
              </w:rPr>
              <w:t>64.98471%</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7"/>
              </w:rPr>
              <w:t>85.000%</w:t>
            </w:r>
          </w:p>
        </w:tc>
      </w:tr>
      <w:tr>
        <w:trPr>
          <w:trHeight w:val="185"/>
        </w:trPr>
        <w:tc>
          <w:tcPr>
            <w:tcW w:w="2560" w:type="dxa"/>
            <w:vAlign w:val="bottom"/>
          </w:tcPr>
          <w:p>
            <w:pPr>
              <w:jc w:val="center"/>
              <w:ind w:left="30"/>
              <w:spacing w:after="0"/>
              <w:rPr>
                <w:sz w:val="20"/>
                <w:szCs w:val="20"/>
                <w:color w:val="auto"/>
              </w:rPr>
            </w:pPr>
            <w:r>
              <w:rPr>
                <w:rFonts w:ascii="Arial" w:cs="Arial" w:eastAsia="Arial" w:hAnsi="Arial"/>
                <w:sz w:val="14"/>
                <w:szCs w:val="14"/>
                <w:color w:val="auto"/>
                <w:w w:val="98"/>
              </w:rPr>
              <w:t>60.00000%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7"/>
              </w:rPr>
              <w:t>78.480%</w:t>
            </w:r>
          </w:p>
        </w:tc>
      </w:tr>
      <w:tr>
        <w:trPr>
          <w:trHeight w:val="185"/>
        </w:trPr>
        <w:tc>
          <w:tcPr>
            <w:tcW w:w="2560" w:type="dxa"/>
            <w:vAlign w:val="bottom"/>
            <w:shd w:val="clear" w:color="auto" w:fill="D9D9D9"/>
          </w:tcPr>
          <w:p>
            <w:pPr>
              <w:jc w:val="center"/>
              <w:ind w:left="30"/>
              <w:spacing w:after="0"/>
              <w:rPr>
                <w:sz w:val="20"/>
                <w:szCs w:val="20"/>
                <w:color w:val="auto"/>
              </w:rPr>
            </w:pPr>
            <w:r>
              <w:rPr>
                <w:rFonts w:ascii="Arial" w:cs="Arial" w:eastAsia="Arial" w:hAnsi="Arial"/>
                <w:sz w:val="14"/>
                <w:szCs w:val="14"/>
                <w:color w:val="auto"/>
                <w:w w:val="98"/>
              </w:rPr>
              <w:t>50.00000%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7"/>
              </w:rPr>
              <w:t>65.400%</w:t>
            </w:r>
          </w:p>
        </w:tc>
      </w:tr>
      <w:tr>
        <w:trPr>
          <w:trHeight w:val="185"/>
        </w:trPr>
        <w:tc>
          <w:tcPr>
            <w:tcW w:w="2560" w:type="dxa"/>
            <w:vAlign w:val="bottom"/>
          </w:tcPr>
          <w:p>
            <w:pPr>
              <w:jc w:val="center"/>
              <w:ind w:left="30"/>
              <w:spacing w:after="0"/>
              <w:rPr>
                <w:sz w:val="20"/>
                <w:szCs w:val="20"/>
                <w:color w:val="auto"/>
              </w:rPr>
            </w:pPr>
            <w:r>
              <w:rPr>
                <w:rFonts w:ascii="Arial" w:cs="Arial" w:eastAsia="Arial" w:hAnsi="Arial"/>
                <w:sz w:val="14"/>
                <w:szCs w:val="14"/>
                <w:color w:val="auto"/>
                <w:w w:val="98"/>
              </w:rPr>
              <w:t>40.00000%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7"/>
              </w:rPr>
              <w:t>52.320%</w:t>
            </w:r>
          </w:p>
        </w:tc>
      </w:tr>
      <w:tr>
        <w:trPr>
          <w:trHeight w:val="185"/>
        </w:trPr>
        <w:tc>
          <w:tcPr>
            <w:tcW w:w="2560" w:type="dxa"/>
            <w:vAlign w:val="bottom"/>
            <w:shd w:val="clear" w:color="auto" w:fill="D9D9D9"/>
          </w:tcPr>
          <w:p>
            <w:pPr>
              <w:jc w:val="center"/>
              <w:ind w:left="30"/>
              <w:spacing w:after="0"/>
              <w:rPr>
                <w:sz w:val="20"/>
                <w:szCs w:val="20"/>
                <w:color w:val="auto"/>
              </w:rPr>
            </w:pPr>
            <w:r>
              <w:rPr>
                <w:rFonts w:ascii="Arial" w:cs="Arial" w:eastAsia="Arial" w:hAnsi="Arial"/>
                <w:sz w:val="14"/>
                <w:szCs w:val="14"/>
                <w:color w:val="auto"/>
                <w:w w:val="98"/>
              </w:rPr>
              <w:t>30.00000%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7"/>
              </w:rPr>
              <w:t>39.240%</w:t>
            </w:r>
          </w:p>
        </w:tc>
      </w:tr>
      <w:tr>
        <w:trPr>
          <w:trHeight w:val="185"/>
        </w:trPr>
        <w:tc>
          <w:tcPr>
            <w:tcW w:w="2560" w:type="dxa"/>
            <w:vAlign w:val="bottom"/>
          </w:tcPr>
          <w:p>
            <w:pPr>
              <w:jc w:val="center"/>
              <w:ind w:left="30"/>
              <w:spacing w:after="0"/>
              <w:rPr>
                <w:sz w:val="20"/>
                <w:szCs w:val="20"/>
                <w:color w:val="auto"/>
              </w:rPr>
            </w:pPr>
            <w:r>
              <w:rPr>
                <w:rFonts w:ascii="Arial" w:cs="Arial" w:eastAsia="Arial" w:hAnsi="Arial"/>
                <w:sz w:val="14"/>
                <w:szCs w:val="14"/>
                <w:color w:val="auto"/>
                <w:w w:val="98"/>
              </w:rPr>
              <w:t>20.00000%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7"/>
              </w:rPr>
              <w:t>26.160%</w:t>
            </w:r>
          </w:p>
        </w:tc>
      </w:tr>
      <w:tr>
        <w:trPr>
          <w:trHeight w:val="185"/>
        </w:trPr>
        <w:tc>
          <w:tcPr>
            <w:tcW w:w="2560" w:type="dxa"/>
            <w:vAlign w:val="bottom"/>
            <w:shd w:val="clear" w:color="auto" w:fill="D9D9D9"/>
          </w:tcPr>
          <w:p>
            <w:pPr>
              <w:jc w:val="center"/>
              <w:ind w:left="30"/>
              <w:spacing w:after="0"/>
              <w:rPr>
                <w:sz w:val="20"/>
                <w:szCs w:val="20"/>
                <w:color w:val="auto"/>
              </w:rPr>
            </w:pPr>
            <w:r>
              <w:rPr>
                <w:rFonts w:ascii="Arial" w:cs="Arial" w:eastAsia="Arial" w:hAnsi="Arial"/>
                <w:sz w:val="14"/>
                <w:szCs w:val="14"/>
                <w:color w:val="auto"/>
                <w:w w:val="98"/>
              </w:rPr>
              <w:t>10.00000%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7"/>
              </w:rPr>
              <w:t>13.080%</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5.00000%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6"/>
              </w:rPr>
              <w:t>6.540%</w:t>
            </w:r>
          </w:p>
        </w:tc>
      </w:tr>
      <w:tr>
        <w:trPr>
          <w:trHeight w:val="185"/>
        </w:trPr>
        <w:tc>
          <w:tcPr>
            <w:tcW w:w="256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rPr>
              <w:t>1.00000%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6"/>
              </w:rPr>
              <w:t>1.308%</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6"/>
              </w:rPr>
              <w:t>0.000%</w:t>
            </w:r>
          </w:p>
        </w:tc>
      </w:tr>
      <w:tr>
        <w:trPr>
          <w:trHeight w:val="185"/>
        </w:trPr>
        <w:tc>
          <w:tcPr>
            <w:tcW w:w="256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rPr>
              <w:t>-10.00000%</w:t>
            </w:r>
          </w:p>
        </w:tc>
        <w:tc>
          <w:tcPr>
            <w:tcW w:w="2380" w:type="dxa"/>
            <w:vAlign w:val="bottom"/>
            <w:shd w:val="clear" w:color="auto" w:fill="D9D9D9"/>
          </w:tcPr>
          <w:p>
            <w:pPr>
              <w:jc w:val="center"/>
              <w:ind w:left="50"/>
              <w:spacing w:after="0"/>
              <w:rPr>
                <w:sz w:val="20"/>
                <w:szCs w:val="20"/>
                <w:color w:val="auto"/>
              </w:rPr>
            </w:pPr>
            <w:r>
              <w:rPr>
                <w:rFonts w:ascii="Arial" w:cs="Arial" w:eastAsia="Arial" w:hAnsi="Arial"/>
                <w:sz w:val="14"/>
                <w:szCs w:val="14"/>
                <w:color w:val="auto"/>
                <w:w w:val="96"/>
              </w:rPr>
              <w:t>0.000%</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-15.00000%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w w:val="96"/>
              </w:rPr>
              <w:t>0.000%</w:t>
            </w:r>
          </w:p>
        </w:tc>
      </w:tr>
      <w:tr>
        <w:trPr>
          <w:trHeight w:val="185"/>
        </w:trPr>
        <w:tc>
          <w:tcPr>
            <w:tcW w:w="256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-15.01000%</w:t>
            </w:r>
          </w:p>
        </w:tc>
        <w:tc>
          <w:tcPr>
            <w:tcW w:w="238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-15.010%</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-20.00000%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rPr>
              <w:t>-20.000%</w:t>
            </w:r>
          </w:p>
        </w:tc>
      </w:tr>
      <w:tr>
        <w:trPr>
          <w:trHeight w:val="185"/>
        </w:trPr>
        <w:tc>
          <w:tcPr>
            <w:tcW w:w="256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-30.00000%</w:t>
            </w:r>
          </w:p>
        </w:tc>
        <w:tc>
          <w:tcPr>
            <w:tcW w:w="238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-30.000%</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-40.00000%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rPr>
              <w:t>-40.000%</w:t>
            </w:r>
          </w:p>
        </w:tc>
      </w:tr>
      <w:tr>
        <w:trPr>
          <w:trHeight w:val="185"/>
        </w:trPr>
        <w:tc>
          <w:tcPr>
            <w:tcW w:w="256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-50.00000%</w:t>
            </w:r>
          </w:p>
        </w:tc>
        <w:tc>
          <w:tcPr>
            <w:tcW w:w="238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-50.000%</w:t>
            </w:r>
          </w:p>
        </w:tc>
      </w:tr>
      <w:tr>
        <w:trPr>
          <w:trHeight w:val="185"/>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-60.00000%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rPr>
              <w:t>-60.000%</w:t>
            </w:r>
          </w:p>
        </w:tc>
      </w:tr>
      <w:tr>
        <w:trPr>
          <w:trHeight w:val="185"/>
        </w:trPr>
        <w:tc>
          <w:tcPr>
            <w:tcW w:w="256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-80.00000%</w:t>
            </w:r>
          </w:p>
        </w:tc>
        <w:tc>
          <w:tcPr>
            <w:tcW w:w="2380" w:type="dxa"/>
            <w:vAlign w:val="bottom"/>
            <w:shd w:val="clear" w:color="auto" w:fill="D6D6D6"/>
          </w:tcPr>
          <w:p>
            <w:pPr>
              <w:jc w:val="center"/>
              <w:ind w:left="50"/>
              <w:spacing w:after="0"/>
              <w:rPr>
                <w:sz w:val="20"/>
                <w:szCs w:val="20"/>
                <w:color w:val="auto"/>
              </w:rPr>
            </w:pPr>
            <w:r>
              <w:rPr>
                <w:rFonts w:ascii="Arial" w:cs="Arial" w:eastAsia="Arial" w:hAnsi="Arial"/>
                <w:sz w:val="14"/>
                <w:szCs w:val="14"/>
                <w:color w:val="auto"/>
              </w:rPr>
              <w:t>-80.000%</w:t>
            </w:r>
          </w:p>
        </w:tc>
      </w:tr>
      <w:tr>
        <w:trPr>
          <w:trHeight w:val="189"/>
        </w:trPr>
        <w:tc>
          <w:tcPr>
            <w:tcW w:w="2560" w:type="dxa"/>
            <w:vAlign w:val="bottom"/>
          </w:tcPr>
          <w:p>
            <w:pPr>
              <w:jc w:val="center"/>
              <w:ind w:left="50"/>
              <w:spacing w:after="0"/>
              <w:rPr>
                <w:sz w:val="20"/>
                <w:szCs w:val="20"/>
                <w:color w:val="auto"/>
              </w:rPr>
            </w:pPr>
            <w:r>
              <w:rPr>
                <w:rFonts w:ascii="Arial" w:cs="Arial" w:eastAsia="Arial" w:hAnsi="Arial"/>
                <w:sz w:val="14"/>
                <w:szCs w:val="14"/>
                <w:color w:val="auto"/>
              </w:rPr>
              <w:t>-100.00000%</w:t>
            </w:r>
          </w:p>
        </w:tc>
        <w:tc>
          <w:tcPr>
            <w:tcW w:w="2380" w:type="dxa"/>
            <w:vAlign w:val="bottom"/>
          </w:tcPr>
          <w:p>
            <w:pPr>
              <w:jc w:val="center"/>
              <w:ind w:left="50"/>
              <w:spacing w:after="0"/>
              <w:rPr>
                <w:sz w:val="20"/>
                <w:szCs w:val="20"/>
                <w:color w:val="auto"/>
              </w:rPr>
            </w:pPr>
            <w:r>
              <w:rPr>
                <w:rFonts w:ascii="Arial" w:cs="Arial" w:eastAsia="Arial" w:hAnsi="Arial"/>
                <w:sz w:val="14"/>
                <w:szCs w:val="14"/>
                <w:color w:val="auto"/>
              </w:rPr>
              <w:t>-100.000%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*Assumes a leverage factor of 130.80%. The actual leverage factor will be provided</w:t>
      </w:r>
    </w:p>
    <w:p>
      <w:pPr>
        <w:spacing w:after="0" w:line="49" w:lineRule="exact"/>
        <w:rPr>
          <w:sz w:val="20"/>
          <w:szCs w:val="20"/>
          <w:color w:val="auto"/>
        </w:rPr>
      </w:pPr>
    </w:p>
    <w:p>
      <w:pPr>
        <w:sectPr>
          <w:pgSz w:w="11900" w:h="16838" w:orient="portrait"/>
          <w:cols w:equalWidth="0" w:num="3">
            <w:col w:w="1720" w:space="40"/>
            <w:col w:w="3520" w:space="700"/>
            <w:col w:w="5260"/>
          </w:cols>
          <w:pgMar w:left="320" w:top="217" w:right="339"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spacing w:after="0" w:line="13" w:lineRule="exact"/>
        <w:rPr>
          <w:sz w:val="20"/>
          <w:szCs w:val="20"/>
          <w:color w:val="auto"/>
        </w:rPr>
      </w:pPr>
    </w:p>
    <w:p>
      <w:pPr>
        <w:ind w:left="100" w:right="60"/>
        <w:spacing w:after="0" w:line="254" w:lineRule="auto"/>
        <w:rPr>
          <w:sz w:val="20"/>
          <w:szCs w:val="20"/>
          <w:color w:val="auto"/>
        </w:rPr>
      </w:pPr>
      <w:r>
        <w:rPr>
          <w:rFonts w:ascii="Arial" w:cs="Arial" w:eastAsia="Arial" w:hAnsi="Arial"/>
          <w:sz w:val="14"/>
          <w:szCs w:val="14"/>
          <w:color w:val="auto"/>
        </w:rPr>
        <w:t>Any payment on the Trigger PLUS is subject to the credit risk of JPMorgan Financial, as issuer of the Trigger PLUS, and the credit risk of JPMorgan Chase &amp; Co., as guarantor of the Trigger PLUS.</w:t>
      </w:r>
    </w:p>
    <w:p>
      <w:pPr>
        <w:spacing w:after="0" w:line="20" w:lineRule="exact"/>
        <w:rPr>
          <w:sz w:val="20"/>
          <w:szCs w:val="20"/>
          <w:color w:val="auto"/>
        </w:rPr>
      </w:pPr>
      <w:r>
        <w:rPr>
          <w:sz w:val="20"/>
          <w:szCs w:val="20"/>
          <w:color w:val="auto"/>
        </w:rPr>
        <w:br w:type="column"/>
      </w:r>
    </w:p>
    <w:p>
      <w:pPr>
        <w:spacing w:after="0" w:line="197" w:lineRule="auto"/>
        <w:rPr>
          <w:sz w:val="20"/>
          <w:szCs w:val="20"/>
          <w:color w:val="auto"/>
        </w:rPr>
      </w:pPr>
      <w:r>
        <w:rPr>
          <w:rFonts w:ascii="Arial" w:cs="Arial" w:eastAsia="Arial" w:hAnsi="Arial"/>
          <w:sz w:val="14"/>
          <w:szCs w:val="14"/>
          <w:i w:val="1"/>
          <w:iCs w:val="1"/>
          <w:color w:val="auto"/>
        </w:rPr>
        <w:t>in the pricing supplement and will not be less than 130.80%</w:t>
      </w:r>
    </w:p>
    <w:p>
      <w:pPr>
        <w:sectPr>
          <w:pgSz w:w="11900" w:h="16838" w:orient="portrait"/>
          <w:cols w:equalWidth="0" w:num="2">
            <w:col w:w="5440" w:space="540"/>
            <w:col w:w="5260"/>
          </w:cols>
          <w:pgMar w:left="320" w:top="2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b w:val="1"/>
          <w:bCs w:val="1"/>
          <w:color w:val="808080"/>
        </w:rPr>
        <w:t>JPMorgan Chase Financial Company LLC</w:t>
      </w:r>
    </w:p>
    <w:p>
      <w:pPr>
        <w:spacing w:after="0" w:line="21" w:lineRule="exact"/>
        <w:rPr>
          <w:sz w:val="20"/>
          <w:szCs w:val="20"/>
          <w:color w:val="auto"/>
        </w:rPr>
      </w:pPr>
    </w:p>
    <w:p>
      <w:pPr>
        <w:spacing w:after="0"/>
        <w:rPr>
          <w:sz w:val="20"/>
          <w:szCs w:val="20"/>
          <w:color w:val="auto"/>
        </w:rPr>
      </w:pPr>
      <w:r>
        <w:rPr>
          <w:rFonts w:ascii="Arial" w:cs="Arial" w:eastAsia="Arial" w:hAnsi="Arial"/>
          <w:sz w:val="28"/>
          <w:szCs w:val="28"/>
          <w:color w:val="296DC1"/>
        </w:rPr>
        <w:t>6-Year SPX Trigger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5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color w:val="296DC1"/>
        </w:rPr>
        <w:t>Underlying Index</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index, including historical performance information, see the accompanying preliminary pricing supplement.</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64"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for additional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Trigger PLUS Generally</w:t>
      </w:r>
    </w:p>
    <w:p>
      <w:pPr>
        <w:ind w:left="320" w:hanging="314"/>
        <w:spacing w:after="0" w:line="183" w:lineRule="auto"/>
        <w:tabs>
          <w:tab w:leader="none" w:pos="320" w:val="left"/>
        </w:tabs>
        <w:numPr>
          <w:ilvl w:val="0"/>
          <w:numId w:val="1"/>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Trigger PLUS do not pay interest or guarantee the return of any principal and your investment in the Trigger PLUS may result in a loss.</w:t>
      </w:r>
    </w:p>
    <w:p>
      <w:pPr>
        <w:spacing w:after="0" w:line="31" w:lineRule="exact"/>
        <w:rPr>
          <w:rFonts w:ascii="Wingdings" w:cs="Wingdings" w:eastAsia="Wingdings" w:hAnsi="Wingdings"/>
          <w:sz w:val="24"/>
          <w:szCs w:val="24"/>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appreciation potential of the Trigger PLUS is limited by the maximum payment at maturity.</w:t>
      </w:r>
    </w:p>
    <w:p>
      <w:pPr>
        <w:spacing w:after="0" w:line="31" w:lineRule="exact"/>
        <w:rPr>
          <w:rFonts w:ascii="Wingdings" w:cs="Wingdings" w:eastAsia="Wingdings" w:hAnsi="Wingdings"/>
          <w:sz w:val="23"/>
          <w:szCs w:val="23"/>
          <w:b w:val="1"/>
          <w:bCs w:val="1"/>
          <w:color w:val="A3C4EB"/>
          <w:vertAlign w:val="subscript"/>
        </w:rPr>
      </w:pPr>
    </w:p>
    <w:p>
      <w:pPr>
        <w:ind w:left="320" w:right="520" w:hanging="314"/>
        <w:spacing w:after="0" w:line="183" w:lineRule="auto"/>
        <w:tabs>
          <w:tab w:leader="none" w:pos="320" w:val="left"/>
        </w:tabs>
        <w:numPr>
          <w:ilvl w:val="0"/>
          <w:numId w:val="1"/>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Trigger PLUS are subject to the credit risks of JPMorgan Financial and JPMorgan Chase &amp; Co., and any actual or anticipated changes to our or JPMorgan Chase &amp; Co.’s credit ratings or credit spreads may adversely affect the market value of the Trigger PLUS.</w:t>
      </w:r>
    </w:p>
    <w:p>
      <w:pPr>
        <w:spacing w:after="0" w:line="1" w:lineRule="exact"/>
        <w:rPr>
          <w:rFonts w:ascii="Wingdings" w:cs="Wingdings" w:eastAsia="Wingdings" w:hAnsi="Wingdings"/>
          <w:sz w:val="30"/>
          <w:szCs w:val="30"/>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benefit provided by the trigger level may terminate on the valuation date.</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final terms and estimated valuation of the Trigger PLUS will be provided in the pricing supplement.</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1"/>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tax consequences of an investment in the Trigger PLUS are uncertain.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20" w:right="80" w:hanging="314"/>
        <w:spacing w:after="0"/>
        <w:tabs>
          <w:tab w:leader="none" w:pos="32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Economic interests of the issuer, the guarantor, the calculation agent, the agent of the offering of the Trigger PLUS and other affiliates of the issuer may be different from those of investors.</w:t>
      </w:r>
    </w:p>
    <w:p>
      <w:pPr>
        <w:spacing w:after="0" w:line="43" w:lineRule="exact"/>
        <w:rPr>
          <w:rFonts w:ascii="Wingdings" w:cs="Wingdings" w:eastAsia="Wingdings" w:hAnsi="Wingdings"/>
          <w:sz w:val="30"/>
          <w:szCs w:val="30"/>
          <w:b w:val="1"/>
          <w:bCs w:val="1"/>
          <w:color w:val="A3C4EB"/>
          <w:vertAlign w:val="subscript"/>
        </w:rPr>
      </w:pPr>
    </w:p>
    <w:p>
      <w:pPr>
        <w:ind w:left="320" w:hanging="314"/>
        <w:spacing w:after="0" w:line="181" w:lineRule="auto"/>
        <w:tabs>
          <w:tab w:leader="none" w:pos="320" w:val="left"/>
        </w:tabs>
        <w:numPr>
          <w:ilvl w:val="0"/>
          <w:numId w:val="2"/>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Trigger PLUS.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Trigger PLUS</w:t>
      </w:r>
    </w:p>
    <w:p>
      <w:pPr>
        <w:ind w:left="320" w:hanging="314"/>
        <w:spacing w:after="0" w:line="180" w:lineRule="auto"/>
        <w:tabs>
          <w:tab w:leader="none" w:pos="320" w:val="left"/>
        </w:tabs>
        <w:numPr>
          <w:ilvl w:val="0"/>
          <w:numId w:val="3"/>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Trigger PLUS will be lower than the original issue price (price to public) of the Trigger PLUS.</w:t>
      </w:r>
    </w:p>
    <w:p>
      <w:pPr>
        <w:spacing w:after="0" w:line="31" w:lineRule="exact"/>
        <w:rPr>
          <w:rFonts w:ascii="Wingdings" w:cs="Wingdings" w:eastAsia="Wingdings" w:hAnsi="Wingdings"/>
          <w:sz w:val="24"/>
          <w:szCs w:val="24"/>
          <w:b w:val="1"/>
          <w:bCs w:val="1"/>
          <w:color w:val="A3C4EB"/>
          <w:vertAlign w:val="subscript"/>
        </w:rPr>
      </w:pPr>
    </w:p>
    <w:p>
      <w:pPr>
        <w:ind w:left="320" w:hanging="314"/>
        <w:spacing w:after="0" w:line="181"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Trigger PLUS does not represent future values of the Trigger PLUS and may differ from others’ estimates.</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The estimated value of the Trigger PLUS is derived by reference to an internal funding rate.</w:t>
      </w:r>
    </w:p>
    <w:p>
      <w:pPr>
        <w:spacing w:after="0" w:line="31" w:lineRule="exact"/>
        <w:rPr>
          <w:rFonts w:ascii="Wingdings" w:cs="Wingdings" w:eastAsia="Wingdings" w:hAnsi="Wingdings"/>
          <w:sz w:val="23"/>
          <w:szCs w:val="23"/>
          <w:b w:val="1"/>
          <w:bCs w:val="1"/>
          <w:color w:val="A3C4EB"/>
          <w:vertAlign w:val="subscript"/>
        </w:rPr>
      </w:pPr>
    </w:p>
    <w:p>
      <w:pPr>
        <w:ind w:left="320" w:right="180" w:hanging="314"/>
        <w:spacing w:after="0" w:line="183" w:lineRule="auto"/>
        <w:tabs>
          <w:tab w:leader="none" w:pos="320" w:val="left"/>
        </w:tabs>
        <w:numPr>
          <w:ilvl w:val="0"/>
          <w:numId w:val="3"/>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Trigger PLUS as published by J.P. Morgan Securities LLC (and which may be reflected on customer account statements) may be higher than the then-current estimated value of the Trigger PLUS for a limited time period.</w:t>
      </w:r>
    </w:p>
    <w:p>
      <w:pPr>
        <w:spacing w:after="0" w:line="1" w:lineRule="exact"/>
        <w:rPr>
          <w:rFonts w:ascii="Wingdings" w:cs="Wingdings" w:eastAsia="Wingdings" w:hAnsi="Wingdings"/>
          <w:sz w:val="30"/>
          <w:szCs w:val="30"/>
          <w:b w:val="1"/>
          <w:bCs w:val="1"/>
          <w:color w:val="A3C4EB"/>
          <w:vertAlign w:val="subscript"/>
        </w:rPr>
      </w:pPr>
    </w:p>
    <w:p>
      <w:pPr>
        <w:ind w:left="320" w:hanging="314"/>
        <w:spacing w:after="0" w:line="181"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market prices of the Trigger PLUS will likely be lower than the original issue price of the Trigger PLUS.</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3"/>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Secondary market prices of the Trigger PLUS will be impacted by many economic and market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Index</w:t>
      </w:r>
    </w:p>
    <w:p>
      <w:pPr>
        <w:ind w:left="320" w:hanging="314"/>
        <w:spacing w:after="0" w:line="180" w:lineRule="auto"/>
        <w:tabs>
          <w:tab w:leader="none" w:pos="32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underlying index.</w:t>
      </w:r>
    </w:p>
    <w:p>
      <w:pPr>
        <w:spacing w:after="0" w:line="31" w:lineRule="exact"/>
        <w:rPr>
          <w:rFonts w:ascii="Wingdings" w:cs="Wingdings" w:eastAsia="Wingdings" w:hAnsi="Wingdings"/>
          <w:sz w:val="24"/>
          <w:szCs w:val="24"/>
          <w:b w:val="1"/>
          <w:bCs w:val="1"/>
          <w:color w:val="A3C4EB"/>
          <w:vertAlign w:val="subscript"/>
        </w:rPr>
      </w:pPr>
    </w:p>
    <w:p>
      <w:pPr>
        <w:ind w:left="320" w:hanging="314"/>
        <w:spacing w:after="0" w:line="181" w:lineRule="auto"/>
        <w:tabs>
          <w:tab w:leader="none" w:pos="320" w:val="left"/>
        </w:tabs>
        <w:numPr>
          <w:ilvl w:val="0"/>
          <w:numId w:val="4"/>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Investing in the Trigger PLUS is not equivalent to investing in the underlying index.</w:t>
      </w:r>
    </w:p>
    <w:p>
      <w:pPr>
        <w:spacing w:after="0" w:line="31" w:lineRule="exact"/>
        <w:rPr>
          <w:rFonts w:ascii="Wingdings" w:cs="Wingdings" w:eastAsia="Wingdings" w:hAnsi="Wingdings"/>
          <w:sz w:val="23"/>
          <w:szCs w:val="23"/>
          <w:b w:val="1"/>
          <w:bCs w:val="1"/>
          <w:color w:val="A3C4EB"/>
          <w:vertAlign w:val="subscript"/>
        </w:rPr>
      </w:pPr>
    </w:p>
    <w:p>
      <w:pPr>
        <w:ind w:left="320" w:hanging="314"/>
        <w:spacing w:after="0" w:line="181" w:lineRule="auto"/>
        <w:tabs>
          <w:tab w:leader="none" w:pos="320" w:val="left"/>
        </w:tabs>
        <w:numPr>
          <w:ilvl w:val="0"/>
          <w:numId w:val="4"/>
        </w:numPr>
        <w:rPr>
          <w:rFonts w:ascii="Wingdings" w:cs="Wingdings" w:eastAsia="Wingdings" w:hAnsi="Wingdings"/>
          <w:sz w:val="23"/>
          <w:szCs w:val="23"/>
          <w:b w:val="1"/>
          <w:bCs w:val="1"/>
          <w:color w:val="A3C4EB"/>
          <w:vertAlign w:val="subscript"/>
        </w:rPr>
      </w:pPr>
      <w:r>
        <w:rPr>
          <w:rFonts w:ascii="Arial" w:cs="Arial" w:eastAsia="Arial" w:hAnsi="Arial"/>
          <w:sz w:val="12"/>
          <w:szCs w:val="12"/>
          <w:color w:val="auto"/>
        </w:rPr>
        <w:t>Adjustments to the underlying index could adversely affect the value of the Trigger PLUS.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64"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-836930</wp:posOffset>
            </wp:positionV>
            <wp:extent cx="7135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sectPr>
      <w:pgSz w:w="11900" w:h="16838" w:orient="portrait"/>
      <w:cols w:equalWidth="0" w:num="1">
        <w:col w:w="11200"/>
      </w:cols>
      <w:pgMar w:left="320" w:top="45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1" Type="http://schemas.openxmlformats.org/officeDocument/2006/relationships/hyperlink" Target="http://www.sec.gov/Archives/edgar/data/19617/000121390026068478/ea029471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2026-06-16T05:09:01Z</dcterms:created>
  <dcterms:modified xsi:type="dcterms:W3CDTF">2026-06-16T05:09:01Z</dcterms:modified>
</cp:coreProperties>
</file>