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5470-01_fwp.htm"/>
      <w:bookmarkStart w:id="1" w:name="ksea030547001_fwp"/>
      <w:bookmarkStart w:id="2" w:name="ea0305470-01_fwp.htm"/>
      <w:bookmarkStart w:id="3" w:name="ksea030547001_fwp"/>
      <w:bookmarkEnd w:id="2"/>
      <w:bookmarkEnd w:id="3"/>
    </w:p>
    <w:tbl>
      <w:tblPr>
        <w:tblW w:w="10205" w:type="dxa"/>
        <w:jc w:val="left"/>
        <w:tblInd w:w="0" w:type="dxa"/>
        <w:tblLayout w:type="fixed"/>
        <w:tblCellMar>
          <w:top w:w="0" w:type="dxa"/>
          <w:left w:w="0" w:type="dxa"/>
          <w:bottom w:w="0" w:type="dxa"/>
          <w:right w:w="0" w:type="dxa"/>
        </w:tblCellMar>
      </w:tblPr>
      <w:tblGrid>
        <w:gridCol w:w="6345"/>
        <w:gridCol w:w="3860"/>
      </w:tblGrid>
      <w:tr>
        <w:trPr/>
        <w:tc>
          <w:tcPr>
            <w:tcW w:w="6345" w:type="dxa"/>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860"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bl>
    <w:tbl>
      <w:tblPr>
        <w:tblW w:w="2640" w:type="dxa"/>
        <w:jc w:val="left"/>
        <w:tblInd w:w="0" w:type="dxa"/>
        <w:tblLayout w:type="fixed"/>
        <w:tblCellMar>
          <w:top w:w="0" w:type="dxa"/>
          <w:left w:w="0" w:type="dxa"/>
          <w:bottom w:w="0" w:type="dxa"/>
          <w:right w:w="0" w:type="dxa"/>
        </w:tblCellMar>
      </w:tblPr>
      <w:tblGrid>
        <w:gridCol w:w="75"/>
        <w:gridCol w:w="2565"/>
      </w:tblGrid>
      <w:tr>
        <w:trPr/>
        <w:tc>
          <w:tcPr>
            <w:tcW w:w="75" w:type="dxa"/>
            <w:tcBorders/>
            <w:vAlign w:val="center"/>
          </w:tcPr>
          <w:p>
            <w:pPr>
              <w:pStyle w:val="TableContents"/>
              <w:bidi w:val="0"/>
              <w:spacing w:before="0" w:after="283"/>
              <w:jc w:val="left"/>
              <w:rPr>
                <w:caps w:val="false"/>
                <w:smallCaps w:val="false"/>
                <w:color w:val="688FCF"/>
              </w:rPr>
            </w:pPr>
            <w:r>
              <w:rPr>
                <w:caps w:val="false"/>
                <w:smallCaps w:val="false"/>
                <w:color w:val="688FCF"/>
              </w:rPr>
              <w:t> </w:t>
            </w:r>
          </w:p>
        </w:tc>
        <w:tc>
          <w:tcPr>
            <w:tcW w:w="2565"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619250"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352425"/>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and Contingent Downside</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Class A Common Stock of Palantir Technologies Inc. due September 20, 2027</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September 14, 2026 to Preliminary Pricing Supplement dated September 14, 2026</w:t>
            </w:r>
          </w:p>
        </w:tc>
      </w:tr>
    </w:tbl>
    <w:p>
      <w:pPr>
        <w:pStyle w:val="TextBody"/>
        <w:bidi w:val="0"/>
        <w:spacing w:before="0" w:after="2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52246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52246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651"/>
                              <w:gridCol w:w="8554"/>
                            </w:tblGrid>
                            <w:tr>
                              <w:trPr/>
                              <w:tc>
                                <w:tcPr>
                                  <w:tcW w:w="16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55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Class A common stock of Palantir Technologies Inc. (Bloomberg ticker: PLTR)</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15, 2026</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18, 2026</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20, 2027</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65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6"/>
                                    </w:rPr>
                                    <w:t>and only if</w:t>
                                  </w:r>
                                  <w:r>
                                    <w:rPr>
                                      <w:rFonts w:ascii="Georgia;Times;Serif" w:hAnsi="Georgia;Times;Serif"/>
                                      <w:b w:val="false"/>
                                      <w:i w:val="false"/>
                                      <w:caps w:val="false"/>
                                      <w:smallCaps w:val="false"/>
                                      <w:sz w:val="16"/>
                                    </w:rPr>
                                    <w:t>, the stock closing price of the Underlying Stock on the related calculation day is greater than or equal to the threshold price.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12</w:t>
                                  </w:r>
                                </w:p>
                              </w:tc>
                            </w:tr>
                            <w:tr>
                              <w:trPr/>
                              <w:tc>
                                <w:tcPr>
                                  <w:tcW w:w="165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65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8554"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25.70% per annum (to be provided in the pricing supplement)</w:t>
                                  </w:r>
                                </w:p>
                              </w:tc>
                            </w:tr>
                            <w:tr>
                              <w:trPr/>
                              <w:tc>
                                <w:tcPr>
                                  <w:tcW w:w="165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Underlying Stock on any of the calculation days from March 2027 to August 2027,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w:t>
                                  </w:r>
                                </w:p>
                              </w:tc>
                            </w:tr>
                            <w:tr>
                              <w:trPr/>
                              <w:tc>
                                <w:tcPr>
                                  <w:tcW w:w="165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15</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month, commencing October 2026 and ending September 2027. We refer to September 15, 2027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65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55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207"/>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If the ending price is greater than or equal to the threshold price: $1,000; or</w:t>
                                  </w:r>
                                </w:p>
                                <w:p>
                                  <w:pPr>
                                    <w:pStyle w:val="TableContents"/>
                                    <w:bidi w:val="0"/>
                                    <w:spacing w:before="60" w:after="40"/>
                                    <w:ind w:left="160" w:right="0" w:hanging="20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If the ending price is less than the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final calculation day</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70% of the starting price</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46661MXJ8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4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651"/>
                        <w:gridCol w:w="8554"/>
                      </w:tblGrid>
                      <w:tr>
                        <w:trPr/>
                        <w:tc>
                          <w:tcPr>
                            <w:tcW w:w="165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55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Class A common stock of Palantir Technologies Inc. (Bloomberg ticker: PLTR)</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15, 2026</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18, 2026</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20, 2027</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65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6"/>
                              </w:rPr>
                              <w:t>and only if</w:t>
                            </w:r>
                            <w:r>
                              <w:rPr>
                                <w:rFonts w:ascii="Georgia;Times;Serif" w:hAnsi="Georgia;Times;Serif"/>
                                <w:b w:val="false"/>
                                <w:i w:val="false"/>
                                <w:caps w:val="false"/>
                                <w:smallCaps w:val="false"/>
                                <w:sz w:val="16"/>
                              </w:rPr>
                              <w:t>, the stock closing price of the Underlying Stock on the related calculation day is greater than or equal to the threshold price.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12</w:t>
                            </w:r>
                          </w:p>
                        </w:tc>
                      </w:tr>
                      <w:tr>
                        <w:trPr/>
                        <w:tc>
                          <w:tcPr>
                            <w:tcW w:w="165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65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8554"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25.70% per annum (to be provided in the pricing supplement)</w:t>
                            </w:r>
                          </w:p>
                        </w:tc>
                      </w:tr>
                      <w:tr>
                        <w:trPr/>
                        <w:tc>
                          <w:tcPr>
                            <w:tcW w:w="165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Underlying Stock on any of the calculation days from March 2027 to August 2027,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w:t>
                            </w:r>
                          </w:p>
                        </w:tc>
                      </w:tr>
                      <w:tr>
                        <w:trPr/>
                        <w:tc>
                          <w:tcPr>
                            <w:tcW w:w="165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15</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month, commencing October 2026 and ending September 2027. We refer to September 15, 2027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65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855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207"/>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If the ending price is greater than or equal to the threshold price: $1,000; or</w:t>
                            </w:r>
                          </w:p>
                          <w:p>
                            <w:pPr>
                              <w:pStyle w:val="TableContents"/>
                              <w:bidi w:val="0"/>
                              <w:spacing w:before="60" w:after="40"/>
                              <w:ind w:left="160" w:right="0" w:hanging="20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20"/>
                              </w:rPr>
                              <w:t xml:space="preserve">    </w:t>
                            </w:r>
                            <w:r>
                              <w:rPr>
                                <w:rFonts w:ascii="Georgia;Times;Serif" w:hAnsi="Georgia;Times;Serif"/>
                                <w:b w:val="false"/>
                                <w:i w:val="false"/>
                                <w:caps w:val="false"/>
                                <w:smallCaps w:val="false"/>
                                <w:sz w:val="16"/>
                              </w:rPr>
                              <w:t>If the ending price is less than the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final calculation day</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70% of the starting price</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65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5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46661MXJ8</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8282305"/>
                <wp:effectExtent l="0" t="0" r="0" b="0"/>
                <wp:wrapSquare wrapText="left"/>
                <wp:docPr id="3" name="Frame2"/>
                <a:graphic xmlns:a="http://schemas.openxmlformats.org/drawingml/2006/main">
                  <a:graphicData uri="http://schemas.microsoft.com/office/word/2010/wordprocessingShape">
                    <wps:wsp>
                      <wps:cNvSpPr txBox="1"/>
                      <wps:spPr>
                        <a:xfrm>
                          <a:off x="0" y="0"/>
                          <a:ext cx="3175000" cy="8282305"/>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80"/>
                              <w:gridCol w:w="8925"/>
                            </w:tblGrid>
                            <w:tr>
                              <w:trPr/>
                              <w:tc>
                                <w:tcPr>
                                  <w:tcW w:w="12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1.575%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1.00%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60"/>
                              <w:ind w:left="57" w:right="6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60"/>
                              <w:ind w:left="405" w:right="60" w:hanging="360"/>
                              <w:jc w:val="left"/>
                              <w:rPr>
                                <w:caps w:val="false"/>
                                <w:smallCaps w:val="false"/>
                                <w:color w:val="8F8F8F"/>
                              </w:rPr>
                            </w:pPr>
                            <w:r>
                              <w:rPr>
                                <w:caps w:val="false"/>
                                <w:smallCaps w:val="false"/>
                                <w:color w:val="8F8F8F"/>
                              </w:rPr>
                              <w:drawing>
                                <wp:inline distT="0" distB="0" distL="0" distR="0">
                                  <wp:extent cx="3305175" cy="21240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305175" cy="2124075"/>
                                          </a:xfrm>
                                          <a:prstGeom prst="rect">
                                            <a:avLst/>
                                          </a:prstGeom>
                                        </pic:spPr>
                                      </pic:pic>
                                    </a:graphicData>
                                  </a:graphic>
                                </wp:inline>
                              </w:drawing>
                            </w:r>
                          </w:p>
                          <w:p>
                            <w:pPr>
                              <w:pStyle w:val="TextBody"/>
                              <w:bidi w:val="0"/>
                              <w:spacing w:before="80" w:after="40"/>
                              <w:ind w:left="130" w:right="8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price is less than the threshold price, you will lose more than 30%, and possibly all, of the principal amount of your securities at maturity.</w:t>
                            </w:r>
                          </w:p>
                          <w:p>
                            <w:pPr>
                              <w:pStyle w:val="TextBody"/>
                              <w:bidi w:val="0"/>
                              <w:spacing w:before="40" w:after="40"/>
                              <w:ind w:left="13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spacing w:before="40" w:after="40"/>
                              <w:ind w:left="13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40" w:after="40"/>
                              <w:ind w:left="13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$966.40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40" w:after="40"/>
                              <w:ind w:left="130" w:right="40" w:hanging="0"/>
                              <w:jc w:val="left"/>
                              <w:rPr/>
                            </w:pPr>
                            <w:r>
                              <w:rPr>
                                <w:rFonts w:ascii="Georgia;Times;Serif" w:hAnsi="Georgia;Times;Serif"/>
                                <w:b w:val="false"/>
                                <w:i w:val="false"/>
                                <w:caps w:val="false"/>
                                <w:smallCaps w:val="false"/>
                                <w:sz w:val="16"/>
                              </w:rPr>
                              <w:t xml:space="preserve">Preliminary Pricing Supplement: </w:t>
                            </w:r>
                            <w:hyperlink r:id="rId4">
                              <w:r>
                                <w:rPr>
                                  <w:rStyle w:val="InternetLink"/>
                                  <w:rFonts w:ascii="Georgia;Times;Serif" w:hAnsi="Georgia;Times;Serif"/>
                                  <w:b w:val="false"/>
                                  <w:i w:val="false"/>
                                  <w:caps w:val="false"/>
                                  <w:smallCaps w:val="false"/>
                                  <w:sz w:val="16"/>
                                </w:rPr>
                                <w:t>http://www.sec.gov/Archives/edgar/data/19617/</w:t>
                                <w:br/>
                                <w:t>000121390026099655/ea0305432-01_424b2.htm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652.1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80"/>
                        <w:gridCol w:w="8925"/>
                      </w:tblGrid>
                      <w:tr>
                        <w:trPr/>
                        <w:tc>
                          <w:tcPr>
                            <w:tcW w:w="12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1.575%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1.00%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28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60"/>
                        <w:ind w:left="57" w:right="6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60"/>
                        <w:ind w:left="405" w:right="60" w:hanging="360"/>
                        <w:jc w:val="left"/>
                        <w:rPr>
                          <w:caps w:val="false"/>
                          <w:smallCaps w:val="false"/>
                          <w:color w:val="8F8F8F"/>
                        </w:rPr>
                      </w:pPr>
                      <w:r>
                        <w:rPr>
                          <w:caps w:val="false"/>
                          <w:smallCaps w:val="false"/>
                          <w:color w:val="8F8F8F"/>
                        </w:rPr>
                        <w:drawing>
                          <wp:inline distT="0" distB="0" distL="0" distR="0">
                            <wp:extent cx="3305175" cy="21240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305175" cy="2124075"/>
                                    </a:xfrm>
                                    <a:prstGeom prst="rect">
                                      <a:avLst/>
                                    </a:prstGeom>
                                  </pic:spPr>
                                </pic:pic>
                              </a:graphicData>
                            </a:graphic>
                          </wp:inline>
                        </w:drawing>
                      </w:r>
                    </w:p>
                    <w:p>
                      <w:pPr>
                        <w:pStyle w:val="TextBody"/>
                        <w:bidi w:val="0"/>
                        <w:spacing w:before="80" w:after="40"/>
                        <w:ind w:left="130" w:right="8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price is less than the threshold price, you will lose more than 30%, and possibly all, of the principal amount of your securities at maturity.</w:t>
                      </w:r>
                    </w:p>
                    <w:p>
                      <w:pPr>
                        <w:pStyle w:val="TextBody"/>
                        <w:bidi w:val="0"/>
                        <w:spacing w:before="40" w:after="40"/>
                        <w:ind w:left="130" w:right="4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spacing w:before="40" w:after="40"/>
                        <w:ind w:left="13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40" w:after="40"/>
                        <w:ind w:left="130" w:right="4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$966.40 per security. The estimated value of the securities, when the terms of the securities are set, will be provided in the pricing supplement and will not be less than $930.00 per security. See “The Estimated Value of the Securities” in the preliminary pricing supplement for additional information.</w:t>
                      </w:r>
                    </w:p>
                    <w:p>
                      <w:pPr>
                        <w:pStyle w:val="TextBody"/>
                        <w:bidi w:val="0"/>
                        <w:spacing w:before="40" w:after="40"/>
                        <w:ind w:left="130" w:right="40" w:hanging="0"/>
                        <w:jc w:val="left"/>
                        <w:rPr/>
                      </w:pPr>
                      <w:r>
                        <w:rPr>
                          <w:rFonts w:ascii="Georgia;Times;Serif" w:hAnsi="Georgia;Times;Serif"/>
                          <w:b w:val="false"/>
                          <w:i w:val="false"/>
                          <w:caps w:val="false"/>
                          <w:smallCaps w:val="false"/>
                          <w:sz w:val="16"/>
                        </w:rPr>
                        <w:t xml:space="preserve">Preliminary Pricing Supplement: </w:t>
                      </w:r>
                      <w:hyperlink r:id="rId6">
                        <w:r>
                          <w:rPr>
                            <w:rStyle w:val="InternetLink"/>
                            <w:rFonts w:ascii="Georgia;Times;Serif" w:hAnsi="Georgia;Times;Serif"/>
                            <w:b w:val="false"/>
                            <w:i w:val="false"/>
                            <w:caps w:val="false"/>
                            <w:smallCaps w:val="false"/>
                            <w:sz w:val="16"/>
                          </w:rPr>
                          <w:t>http://www.sec.gov/Archives/edgar/data/19617/</w:t>
                          <w:br/>
                          <w:t>000121390026099655/ea0305432-01_424b2.htm</w:t>
                        </w:r>
                      </w:hyperlink>
                    </w:p>
                  </w:txbxContent>
                </v:textbox>
                <w10:wrap type="square" side="left"/>
              </v:rect>
            </w:pict>
          </mc:Fallback>
        </mc:AlternateConten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417"/>
        <w:gridCol w:w="5788"/>
      </w:tblGrid>
      <w:tr>
        <w:trPr/>
        <w:tc>
          <w:tcPr>
            <w:tcW w:w="4417"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If the Securities Are Not Automatically Called and the Ending Price Is Less Than the Threshold Price, You Will Lose More Than 30%,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the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You Will Be Subject to Reinvestment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No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788"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No Affiliation with the Underlying Stock Issuer</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xml:space="preserve">        </w:t>
            </w:r>
            <w:r>
              <w:rPr>
                <w:rFonts w:ascii="Georgia;Times;Serif" w:hAnsi="Georgia;Times;Serif"/>
                <w:b/>
                <w:i w:val="false"/>
                <w:caps w:val="false"/>
                <w:smallCaps w:val="false"/>
                <w:sz w:val="18"/>
              </w:rPr>
              <w:t xml:space="preserve">Any Payment on the Securities Will Depend upon the Performance of the Underlying Stock and Therefore the Securities Are Subject to the Risks Associated with the Underlying Stock, Each as Discussed in the Accompanying Preliminary Pricing Supplement and Product Supplement. </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0"/>
        <w:ind w:left="0" w:right="0" w:hanging="0"/>
        <w:jc w:val="left"/>
        <w:rPr/>
      </w:pPr>
      <w:r>
        <w:rPr/>
        <w:t> </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99655/ea0305432-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99655/ea0305432-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1552</Words>
  <Characters>8356</Characters>
  <CharactersWithSpaces>9986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