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Arial" w:cs="Arial" w:eastAsia="Arial" w:hAnsi="Arial"/>
          <w:sz w:val="27"/>
          <w:szCs w:val="27"/>
          <w:b w:val="1"/>
          <w:bCs w:val="1"/>
          <w:color w:val="BB0826"/>
        </w:rPr>
        <w:t>JPMorgan Chase Financial Company LLC</w:t>
      </w:r>
    </w:p>
    <w:p>
      <w:pPr>
        <w:spacing w:after="0" w:line="43" w:lineRule="exact"/>
        <w:rPr>
          <w:sz w:val="24"/>
          <w:szCs w:val="24"/>
          <w:color w:val="auto"/>
        </w:rPr>
      </w:pPr>
    </w:p>
    <w:p>
      <w:pPr>
        <w:ind w:left="100"/>
        <w:spacing w:after="0"/>
        <w:rPr>
          <w:sz w:val="20"/>
          <w:szCs w:val="20"/>
          <w:color w:val="auto"/>
        </w:rPr>
      </w:pPr>
      <w:r>
        <w:rPr>
          <w:rFonts w:ascii="Arial" w:cs="Arial" w:eastAsia="Arial" w:hAnsi="Arial"/>
          <w:sz w:val="17"/>
          <w:szCs w:val="17"/>
          <w:b w:val="1"/>
          <w:bCs w:val="1"/>
          <w:i w:val="1"/>
          <w:iCs w:val="1"/>
          <w:color w:val="BB0826"/>
        </w:rPr>
        <w:t>Fully and Unconditionally Guaranteed by JPMorgan Chase &amp; Co.</w:t>
      </w:r>
    </w:p>
    <w:p>
      <w:pPr>
        <w:ind w:left="100"/>
        <w:spacing w:after="0"/>
        <w:rPr>
          <w:sz w:val="20"/>
          <w:szCs w:val="20"/>
          <w:color w:val="auto"/>
        </w:rPr>
      </w:pPr>
      <w:r>
        <w:rPr>
          <w:rFonts w:ascii="Arial" w:cs="Arial" w:eastAsia="Arial" w:hAnsi="Arial"/>
          <w:sz w:val="21"/>
          <w:szCs w:val="21"/>
          <w:b w:val="1"/>
          <w:bCs w:val="1"/>
          <w:color w:val="BB0826"/>
        </w:rPr>
        <w:t>Market Linked Securities</w:t>
      </w:r>
    </w:p>
    <w:p>
      <w:pPr>
        <w:spacing w:after="0" w:line="20" w:lineRule="exact"/>
        <w:rPr>
          <w:sz w:val="24"/>
          <w:szCs w:val="24"/>
          <w:color w:val="auto"/>
        </w:rPr>
      </w:pPr>
      <w:r>
        <w:rPr>
          <w:sz w:val="24"/>
          <w:szCs w:val="24"/>
          <w:color w:val="auto"/>
        </w:rPr>
        <w:br w:type="column"/>
      </w:r>
    </w:p>
    <w:p>
      <w:pPr>
        <w:jc w:val="right"/>
        <w:ind w:right="100"/>
        <w:spacing w:after="0"/>
        <w:rPr>
          <w:sz w:val="20"/>
          <w:szCs w:val="20"/>
          <w:color w:val="auto"/>
        </w:rPr>
      </w:pPr>
      <w:r>
        <w:rPr>
          <w:rFonts w:ascii="Arial" w:cs="Arial" w:eastAsia="Arial" w:hAnsi="Arial"/>
          <w:sz w:val="12"/>
          <w:szCs w:val="12"/>
          <w:color w:val="auto"/>
        </w:rPr>
        <w:t>Filed Pursuant to Rule 433</w:t>
      </w:r>
    </w:p>
    <w:p>
      <w:pPr>
        <w:jc w:val="right"/>
        <w:ind w:right="100"/>
        <w:spacing w:after="0" w:line="235" w:lineRule="auto"/>
        <w:rPr>
          <w:sz w:val="20"/>
          <w:szCs w:val="20"/>
          <w:color w:val="auto"/>
        </w:rPr>
      </w:pPr>
      <w:r>
        <w:rPr>
          <w:rFonts w:ascii="Arial" w:cs="Arial" w:eastAsia="Arial" w:hAnsi="Arial"/>
          <w:sz w:val="12"/>
          <w:szCs w:val="12"/>
          <w:color w:val="auto"/>
        </w:rPr>
        <w:t>Registration Statement Nos. 333-293684 and</w:t>
      </w:r>
    </w:p>
    <w:p>
      <w:pPr>
        <w:spacing w:after="0" w:line="1" w:lineRule="exact"/>
        <w:rPr>
          <w:sz w:val="24"/>
          <w:szCs w:val="24"/>
          <w:color w:val="auto"/>
        </w:rPr>
      </w:pPr>
    </w:p>
    <w:p>
      <w:pPr>
        <w:jc w:val="right"/>
        <w:ind w:right="100"/>
        <w:spacing w:after="0"/>
        <w:rPr>
          <w:sz w:val="20"/>
          <w:szCs w:val="20"/>
          <w:color w:val="auto"/>
        </w:rPr>
      </w:pPr>
      <w:r>
        <w:rPr>
          <w:rFonts w:ascii="Arial" w:cs="Arial" w:eastAsia="Arial" w:hAnsi="Arial"/>
          <w:sz w:val="12"/>
          <w:szCs w:val="12"/>
          <w:color w:val="auto"/>
        </w:rPr>
        <w:t>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102870</wp:posOffset>
            </wp:positionH>
            <wp:positionV relativeFrom="paragraph">
              <wp:posOffset>0</wp:posOffset>
            </wp:positionV>
            <wp:extent cx="1454150" cy="299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0" cy="299085"/>
                    </a:xfrm>
                    <a:prstGeom prst="rect">
                      <a:avLst/>
                    </a:prstGeom>
                    <a:noFill/>
                  </pic:spPr>
                </pic:pic>
              </a:graphicData>
            </a:graphic>
          </wp:anchor>
        </w:drawing>
      </w:r>
    </w:p>
    <w:p>
      <w:pPr>
        <w:spacing w:after="0" w:line="465" w:lineRule="exact"/>
        <w:rPr>
          <w:sz w:val="24"/>
          <w:szCs w:val="24"/>
          <w:color w:val="auto"/>
        </w:rPr>
      </w:pPr>
    </w:p>
    <w:p>
      <w:pPr>
        <w:sectPr>
          <w:pgSz w:w="11900" w:h="16838" w:orient="portrait"/>
          <w:cols w:equalWidth="0" w:num="2">
            <w:col w:w="7980" w:space="720"/>
            <w:col w:w="2540"/>
          </w:cols>
          <w:pgMar w:left="320" w:top="212" w:right="339" w:bottom="630" w:gutter="0" w:footer="0" w:header="0"/>
        </w:sectPr>
      </w:pPr>
    </w:p>
    <w:p>
      <w:pPr>
        <w:ind w:left="100"/>
        <w:spacing w:after="0"/>
        <w:rPr>
          <w:sz w:val="20"/>
          <w:szCs w:val="20"/>
          <w:color w:val="auto"/>
        </w:rPr>
      </w:pPr>
      <w:r>
        <w:rPr>
          <w:rFonts w:ascii="Arial" w:cs="Arial" w:eastAsia="Arial" w:hAnsi="Arial"/>
          <w:sz w:val="17"/>
          <w:szCs w:val="17"/>
          <w:color w:val="FFFFFF"/>
        </w:rPr>
        <w:t>Market Linked Securities—Auto-Callable with Contingent Coupon with Memory Feature and Contingent Downside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765"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539750"/>
                    </a:xfrm>
                    <a:prstGeom prst="rect">
                      <a:avLst/>
                    </a:prstGeom>
                    <a:noFill/>
                  </pic:spPr>
                </pic:pic>
              </a:graphicData>
            </a:graphic>
          </wp:anchor>
        </w:drawing>
      </w:r>
    </w:p>
    <w:p>
      <w:pPr>
        <w:spacing w:after="0" w:line="14" w:lineRule="exact"/>
        <w:rPr>
          <w:sz w:val="24"/>
          <w:szCs w:val="24"/>
          <w:color w:val="auto"/>
        </w:rPr>
      </w:pPr>
    </w:p>
    <w:p>
      <w:pPr>
        <w:ind w:left="100" w:right="580"/>
        <w:spacing w:after="0" w:line="254" w:lineRule="auto"/>
        <w:rPr>
          <w:sz w:val="20"/>
          <w:szCs w:val="20"/>
          <w:color w:val="auto"/>
        </w:rPr>
      </w:pPr>
      <w:r>
        <w:rPr>
          <w:rFonts w:ascii="Arial" w:cs="Arial" w:eastAsia="Arial" w:hAnsi="Arial"/>
          <w:sz w:val="17"/>
          <w:szCs w:val="17"/>
          <w:color w:val="FFFFFF"/>
        </w:rPr>
        <w:t>Principal at Risk Securities Linked to the Lowest Performing of the Common Stock of Arista Networks, Inc., the Common Stock of Marvell Technology, Inc. and the Common Stock of Amazon.com, Inc. due November 9, 2028</w:t>
      </w:r>
    </w:p>
    <w:p>
      <w:pPr>
        <w:ind w:left="100"/>
        <w:spacing w:after="0"/>
        <w:rPr>
          <w:sz w:val="20"/>
          <w:szCs w:val="20"/>
          <w:color w:val="auto"/>
        </w:rPr>
      </w:pPr>
      <w:r>
        <w:rPr>
          <w:rFonts w:ascii="Arial" w:cs="Arial" w:eastAsia="Arial" w:hAnsi="Arial"/>
          <w:sz w:val="17"/>
          <w:szCs w:val="17"/>
          <w:color w:val="FFFFFF"/>
        </w:rPr>
        <w:t>Fact Sheet dated November 4, 2026 to Preliminary Pricing Supplement dated November 4, 2026</w:t>
      </w:r>
    </w:p>
    <w:p>
      <w:pPr>
        <w:sectPr>
          <w:pgSz w:w="11900" w:h="16838" w:orient="portrait"/>
          <w:cols w:equalWidth="0" w:num="1">
            <w:col w:w="11240"/>
          </w:cols>
          <w:pgMar w:left="320" w:top="212" w:right="339" w:bottom="630" w:gutter="0" w:footer="0" w:header="0"/>
          <w:type w:val="continuous"/>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23"/>
          <w:szCs w:val="23"/>
          <w:color w:val="8F8F8F"/>
        </w:rPr>
        <w:t>Summary of Terms</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1940" w:type="dxa"/>
            <w:vAlign w:val="bottom"/>
            <w:tcBorders>
              <w:top w:val="single" w:sz="8" w:color="auto"/>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Issuer:</w:t>
            </w:r>
          </w:p>
        </w:tc>
        <w:tc>
          <w:tcPr>
            <w:tcW w:w="3560" w:type="dxa"/>
            <w:vAlign w:val="bottom"/>
            <w:tcBorders>
              <w:top w:val="single" w:sz="8" w:color="auto"/>
              <w:right w:val="single" w:sz="8" w:color="auto"/>
            </w:tcBorders>
            <w:gridSpan w:val="7"/>
          </w:tcPr>
          <w:p>
            <w:pPr>
              <w:ind w:left="100"/>
              <w:spacing w:after="0" w:line="141" w:lineRule="exact"/>
              <w:rPr>
                <w:sz w:val="20"/>
                <w:szCs w:val="20"/>
                <w:color w:val="auto"/>
              </w:rPr>
            </w:pPr>
            <w:r>
              <w:rPr>
                <w:rFonts w:ascii="Arial" w:cs="Arial" w:eastAsia="Arial" w:hAnsi="Arial"/>
                <w:sz w:val="14"/>
                <w:szCs w:val="14"/>
                <w:color w:val="auto"/>
              </w:rPr>
              <w:t>JPMorgan Chase Financial Company LLC, a direct,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wholly owned finance subsidiary of JPMorgan Chase</w:t>
            </w: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&amp; Co.</w:t>
            </w:r>
          </w:p>
        </w:tc>
      </w:tr>
      <w:tr>
        <w:trPr>
          <w:trHeight w:val="150"/>
        </w:trPr>
        <w:tc>
          <w:tcPr>
            <w:tcW w:w="1940" w:type="dxa"/>
            <w:vAlign w:val="bottom"/>
            <w:tcBorders>
              <w:left w:val="single" w:sz="8" w:color="auto"/>
              <w:bottom w:val="single" w:sz="8" w:color="auto"/>
              <w:right w:val="single" w:sz="8" w:color="auto"/>
            </w:tcBorders>
          </w:tcPr>
          <w:p>
            <w:pPr>
              <w:ind w:left="120"/>
              <w:spacing w:after="0" w:line="150" w:lineRule="exact"/>
              <w:rPr>
                <w:sz w:val="20"/>
                <w:szCs w:val="20"/>
                <w:color w:val="auto"/>
              </w:rPr>
            </w:pPr>
            <w:r>
              <w:rPr>
                <w:rFonts w:ascii="Arial" w:cs="Arial" w:eastAsia="Arial" w:hAnsi="Arial"/>
                <w:sz w:val="14"/>
                <w:szCs w:val="14"/>
                <w:color w:val="auto"/>
              </w:rPr>
              <w:t>Guarantor:</w:t>
            </w:r>
          </w:p>
        </w:tc>
        <w:tc>
          <w:tcPr>
            <w:tcW w:w="3560" w:type="dxa"/>
            <w:vAlign w:val="bottom"/>
            <w:tcBorders>
              <w:bottom w:val="single" w:sz="8" w:color="auto"/>
              <w:right w:val="single" w:sz="8" w:color="auto"/>
            </w:tcBorders>
            <w:gridSpan w:val="7"/>
          </w:tcPr>
          <w:p>
            <w:pPr>
              <w:ind w:left="100"/>
              <w:spacing w:after="0" w:line="150" w:lineRule="exact"/>
              <w:rPr>
                <w:sz w:val="20"/>
                <w:szCs w:val="20"/>
                <w:color w:val="auto"/>
              </w:rPr>
            </w:pPr>
            <w:r>
              <w:rPr>
                <w:rFonts w:ascii="Arial" w:cs="Arial" w:eastAsia="Arial" w:hAnsi="Arial"/>
                <w:sz w:val="14"/>
                <w:szCs w:val="14"/>
                <w:color w:val="auto"/>
              </w:rPr>
              <w:t>JPMorgan Chase &amp; Co.</w:t>
            </w:r>
          </w:p>
        </w:tc>
      </w:tr>
      <w:tr>
        <w:trPr>
          <w:trHeight w:val="141"/>
        </w:trPr>
        <w:tc>
          <w:tcPr>
            <w:tcW w:w="194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Underlying Stocks:</w:t>
            </w:r>
          </w:p>
        </w:tc>
        <w:tc>
          <w:tcPr>
            <w:tcW w:w="3560" w:type="dxa"/>
            <w:vAlign w:val="bottom"/>
            <w:tcBorders>
              <w:right w:val="single" w:sz="8" w:color="auto"/>
            </w:tcBorders>
            <w:gridSpan w:val="7"/>
          </w:tcPr>
          <w:p>
            <w:pPr>
              <w:ind w:left="100"/>
              <w:spacing w:after="0" w:line="141" w:lineRule="exact"/>
              <w:rPr>
                <w:sz w:val="20"/>
                <w:szCs w:val="20"/>
                <w:color w:val="auto"/>
              </w:rPr>
            </w:pPr>
            <w:r>
              <w:rPr>
                <w:rFonts w:ascii="Arial" w:cs="Arial" w:eastAsia="Arial" w:hAnsi="Arial"/>
                <w:sz w:val="14"/>
                <w:szCs w:val="14"/>
                <w:color w:val="auto"/>
              </w:rPr>
              <w:t>The common stock of Arista Networks, Inc.</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(Bloomberg ticker: ANET), the common stock of</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Marvell Technology, Inc. (Bloomberg ticker: MRVL)</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and the common stock of Amazon.com, Inc.</w:t>
            </w: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(Bloomberg ticker: AMZN)</w:t>
            </w:r>
          </w:p>
        </w:tc>
      </w:tr>
      <w:tr>
        <w:trPr>
          <w:trHeight w:val="176"/>
        </w:trPr>
        <w:tc>
          <w:tcPr>
            <w:tcW w:w="1940" w:type="dxa"/>
            <w:vAlign w:val="bottom"/>
            <w:tcBorders>
              <w:left w:val="single" w:sz="8" w:color="auto"/>
              <w:bottom w:val="single" w:sz="8" w:color="auto"/>
              <w:right w:val="single" w:sz="8" w:color="auto"/>
            </w:tcBorders>
          </w:tcPr>
          <w:p>
            <w:pPr>
              <w:ind w:left="120"/>
              <w:spacing w:after="0" w:line="176" w:lineRule="exact"/>
              <w:rPr>
                <w:sz w:val="20"/>
                <w:szCs w:val="20"/>
                <w:color w:val="auto"/>
              </w:rPr>
            </w:pPr>
            <w:r>
              <w:rPr>
                <w:rFonts w:ascii="Arial" w:cs="Arial" w:eastAsia="Arial" w:hAnsi="Arial"/>
                <w:sz w:val="12"/>
                <w:szCs w:val="12"/>
                <w:color w:val="auto"/>
              </w:rPr>
              <w:t>Pricing Date</w:t>
            </w:r>
            <w:r>
              <w:rPr>
                <w:rFonts w:ascii="Arial" w:cs="Arial" w:eastAsia="Arial" w:hAnsi="Arial"/>
                <w:sz w:val="20"/>
                <w:szCs w:val="20"/>
                <w:color w:val="auto"/>
                <w:vertAlign w:val="superscript"/>
              </w:rPr>
              <w:t>1</w:t>
            </w:r>
            <w:r>
              <w:rPr>
                <w:rFonts w:ascii="Arial" w:cs="Arial" w:eastAsia="Arial" w:hAnsi="Arial"/>
                <w:sz w:val="12"/>
                <w:szCs w:val="12"/>
                <w:color w:val="auto"/>
              </w:rPr>
              <w:t>:</w:t>
            </w: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November 6, 2026</w:t>
            </w:r>
          </w:p>
        </w:tc>
      </w:tr>
      <w:tr>
        <w:trPr>
          <w:trHeight w:val="176"/>
        </w:trPr>
        <w:tc>
          <w:tcPr>
            <w:tcW w:w="1940" w:type="dxa"/>
            <w:vAlign w:val="bottom"/>
            <w:tcBorders>
              <w:left w:val="single" w:sz="8" w:color="auto"/>
              <w:bottom w:val="single" w:sz="8" w:color="auto"/>
              <w:right w:val="single" w:sz="8" w:color="auto"/>
            </w:tcBorders>
          </w:tcPr>
          <w:p>
            <w:pPr>
              <w:ind w:left="120"/>
              <w:spacing w:after="0" w:line="176" w:lineRule="exact"/>
              <w:rPr>
                <w:sz w:val="20"/>
                <w:szCs w:val="20"/>
                <w:color w:val="auto"/>
              </w:rPr>
            </w:pPr>
            <w:r>
              <w:rPr>
                <w:rFonts w:ascii="Arial" w:cs="Arial" w:eastAsia="Arial" w:hAnsi="Arial"/>
                <w:sz w:val="12"/>
                <w:szCs w:val="12"/>
                <w:color w:val="auto"/>
              </w:rPr>
              <w:t>Issue Date</w:t>
            </w:r>
            <w:r>
              <w:rPr>
                <w:rFonts w:ascii="Arial" w:cs="Arial" w:eastAsia="Arial" w:hAnsi="Arial"/>
                <w:sz w:val="20"/>
                <w:szCs w:val="20"/>
                <w:color w:val="auto"/>
                <w:vertAlign w:val="superscript"/>
              </w:rPr>
              <w:t>1</w:t>
            </w:r>
            <w:r>
              <w:rPr>
                <w:rFonts w:ascii="Arial" w:cs="Arial" w:eastAsia="Arial" w:hAnsi="Arial"/>
                <w:sz w:val="12"/>
                <w:szCs w:val="12"/>
                <w:color w:val="auto"/>
              </w:rPr>
              <w:t>:</w:t>
            </w: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November 12, 2026</w:t>
            </w:r>
          </w:p>
        </w:tc>
      </w:tr>
      <w:tr>
        <w:trPr>
          <w:trHeight w:val="176"/>
        </w:trPr>
        <w:tc>
          <w:tcPr>
            <w:tcW w:w="1940" w:type="dxa"/>
            <w:vAlign w:val="bottom"/>
            <w:tcBorders>
              <w:left w:val="single" w:sz="8" w:color="auto"/>
              <w:bottom w:val="single" w:sz="8" w:color="auto"/>
              <w:right w:val="single" w:sz="8" w:color="auto"/>
            </w:tcBorders>
          </w:tcPr>
          <w:p>
            <w:pPr>
              <w:ind w:left="120"/>
              <w:spacing w:after="0" w:line="176" w:lineRule="exact"/>
              <w:rPr>
                <w:sz w:val="20"/>
                <w:szCs w:val="20"/>
                <w:color w:val="auto"/>
              </w:rPr>
            </w:pPr>
            <w:r>
              <w:rPr>
                <w:rFonts w:ascii="Arial" w:cs="Arial" w:eastAsia="Arial" w:hAnsi="Arial"/>
                <w:sz w:val="12"/>
                <w:szCs w:val="12"/>
                <w:color w:val="auto"/>
              </w:rPr>
              <w:t>Stated Maturity Date</w:t>
            </w:r>
            <w:r>
              <w:rPr>
                <w:rFonts w:ascii="Arial" w:cs="Arial" w:eastAsia="Arial" w:hAnsi="Arial"/>
                <w:sz w:val="20"/>
                <w:szCs w:val="20"/>
                <w:color w:val="auto"/>
                <w:vertAlign w:val="superscript"/>
              </w:rPr>
              <w:t>1, 2</w:t>
            </w:r>
            <w:r>
              <w:rPr>
                <w:rFonts w:ascii="Arial" w:cs="Arial" w:eastAsia="Arial" w:hAnsi="Arial"/>
                <w:sz w:val="12"/>
                <w:szCs w:val="12"/>
                <w:color w:val="auto"/>
              </w:rPr>
              <w:t>:</w:t>
            </w: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November 9, 2028</w:t>
            </w:r>
          </w:p>
        </w:tc>
      </w:tr>
      <w:tr>
        <w:trPr>
          <w:trHeight w:val="150"/>
        </w:trPr>
        <w:tc>
          <w:tcPr>
            <w:tcW w:w="1940" w:type="dxa"/>
            <w:vAlign w:val="bottom"/>
            <w:tcBorders>
              <w:left w:val="single" w:sz="8" w:color="auto"/>
              <w:bottom w:val="single" w:sz="8" w:color="auto"/>
              <w:right w:val="single" w:sz="8" w:color="auto"/>
            </w:tcBorders>
          </w:tcPr>
          <w:p>
            <w:pPr>
              <w:ind w:left="120"/>
              <w:spacing w:after="0" w:line="150" w:lineRule="exact"/>
              <w:rPr>
                <w:sz w:val="20"/>
                <w:szCs w:val="20"/>
                <w:color w:val="auto"/>
              </w:rPr>
            </w:pPr>
            <w:r>
              <w:rPr>
                <w:rFonts w:ascii="Arial" w:cs="Arial" w:eastAsia="Arial" w:hAnsi="Arial"/>
                <w:sz w:val="14"/>
                <w:szCs w:val="14"/>
                <w:color w:val="auto"/>
              </w:rPr>
              <w:t>Principal Amount:</w:t>
            </w:r>
          </w:p>
        </w:tc>
        <w:tc>
          <w:tcPr>
            <w:tcW w:w="3560" w:type="dxa"/>
            <w:vAlign w:val="bottom"/>
            <w:tcBorders>
              <w:bottom w:val="single" w:sz="8" w:color="auto"/>
              <w:right w:val="single" w:sz="8" w:color="auto"/>
            </w:tcBorders>
            <w:gridSpan w:val="7"/>
          </w:tcPr>
          <w:p>
            <w:pPr>
              <w:ind w:left="100"/>
              <w:spacing w:after="0" w:line="150" w:lineRule="exact"/>
              <w:rPr>
                <w:sz w:val="20"/>
                <w:szCs w:val="20"/>
                <w:color w:val="auto"/>
              </w:rPr>
            </w:pPr>
            <w:r>
              <w:rPr>
                <w:rFonts w:ascii="Arial" w:cs="Arial" w:eastAsia="Arial" w:hAnsi="Arial"/>
                <w:sz w:val="14"/>
                <w:szCs w:val="14"/>
                <w:color w:val="auto"/>
              </w:rPr>
              <w:t>$1,000 per security (100% of par)</w:t>
            </w:r>
          </w:p>
        </w:tc>
      </w:tr>
      <w:tr>
        <w:trPr>
          <w:trHeight w:val="141"/>
        </w:trPr>
        <w:tc>
          <w:tcPr>
            <w:tcW w:w="194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Contingent Coupon</w:t>
            </w:r>
          </w:p>
        </w:tc>
        <w:tc>
          <w:tcPr>
            <w:tcW w:w="3560" w:type="dxa"/>
            <w:vAlign w:val="bottom"/>
            <w:tcBorders>
              <w:right w:val="single" w:sz="8" w:color="auto"/>
            </w:tcBorders>
            <w:gridSpan w:val="7"/>
          </w:tcPr>
          <w:p>
            <w:pPr>
              <w:ind w:left="100"/>
              <w:spacing w:after="0" w:line="141" w:lineRule="exact"/>
              <w:rPr>
                <w:sz w:val="20"/>
                <w:szCs w:val="20"/>
                <w:color w:val="auto"/>
              </w:rPr>
            </w:pPr>
            <w:r>
              <w:rPr>
                <w:rFonts w:ascii="Arial" w:cs="Arial" w:eastAsia="Arial" w:hAnsi="Arial"/>
                <w:sz w:val="14"/>
                <w:szCs w:val="14"/>
                <w:color w:val="auto"/>
              </w:rPr>
              <w:t>On each contingent coupon payment date, you will</w:t>
            </w:r>
          </w:p>
        </w:tc>
      </w:tr>
      <w:tr>
        <w:trPr>
          <w:trHeight w:val="157"/>
        </w:trPr>
        <w:tc>
          <w:tcPr>
            <w:tcW w:w="1940" w:type="dxa"/>
            <w:vAlign w:val="bottom"/>
            <w:tcBorders>
              <w:left w:val="single" w:sz="8" w:color="auto"/>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Payment:</w:t>
            </w: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receive a contingent coupon payment at a per annum</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 xml:space="preserve">rate equal to the contingent coupon rate if, </w:t>
            </w:r>
            <w:r>
              <w:rPr>
                <w:rFonts w:ascii="Arial" w:cs="Arial" w:eastAsia="Arial" w:hAnsi="Arial"/>
                <w:sz w:val="14"/>
                <w:szCs w:val="14"/>
                <w:b w:val="1"/>
                <w:bCs w:val="1"/>
                <w:color w:val="auto"/>
              </w:rPr>
              <w:t>and only</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b w:val="1"/>
                <w:bCs w:val="1"/>
                <w:color w:val="auto"/>
              </w:rPr>
              <w:t>if</w:t>
            </w:r>
            <w:r>
              <w:rPr>
                <w:rFonts w:ascii="Arial" w:cs="Arial" w:eastAsia="Arial" w:hAnsi="Arial"/>
                <w:sz w:val="14"/>
                <w:szCs w:val="14"/>
                <w:color w:val="auto"/>
              </w:rPr>
              <w:t>, the stock closing price of the lowest performing</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Underlying Stock on the related calculation day is</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greater than or equal to its threshold price. In addition,</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if the stock closing price of the lowest performing</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Underlying Stock on one or more calculation days is</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less than its threshold price and, on a subsequent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calculation day, the stock closing price of the lowest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performing Underlying Stock is greater than or equal</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to its threshold price, on the contingent coupon</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payment date related to that subsequent calculation</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day, you will receive the contingent coupon payment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 xml:space="preserve">due for that subsequent calculation day </w:t>
            </w:r>
            <w:r>
              <w:rPr>
                <w:rFonts w:ascii="Arial" w:cs="Arial" w:eastAsia="Arial" w:hAnsi="Arial"/>
                <w:sz w:val="14"/>
                <w:szCs w:val="14"/>
                <w:i w:val="1"/>
                <w:iCs w:val="1"/>
                <w:color w:val="auto"/>
              </w:rPr>
              <w:t>plus</w:t>
            </w:r>
            <w:r>
              <w:rPr>
                <w:rFonts w:ascii="Arial" w:cs="Arial" w:eastAsia="Arial" w:hAnsi="Arial"/>
                <w:sz w:val="14"/>
                <w:szCs w:val="14"/>
                <w:color w:val="auto"/>
              </w:rPr>
              <w:t xml:space="preserve"> all</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previously unpaid contingent coupon payments</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(without interest on amounts previously unpaid). Each</w:t>
            </w:r>
          </w:p>
        </w:tc>
      </w:tr>
      <w:tr>
        <w:trPr>
          <w:trHeight w:val="153"/>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3" w:lineRule="exact"/>
              <w:rPr>
                <w:sz w:val="20"/>
                <w:szCs w:val="20"/>
                <w:color w:val="auto"/>
              </w:rPr>
            </w:pPr>
            <w:r>
              <w:rPr>
                <w:rFonts w:ascii="Arial" w:cs="Arial" w:eastAsia="Arial" w:hAnsi="Arial"/>
                <w:sz w:val="14"/>
                <w:szCs w:val="14"/>
                <w:color w:val="auto"/>
              </w:rPr>
              <w:t>“contingent coupon payment,” if any, will be calculated</w:t>
            </w:r>
          </w:p>
        </w:tc>
      </w:tr>
      <w:tr>
        <w:trPr>
          <w:trHeight w:val="141"/>
        </w:trPr>
        <w:tc>
          <w:tcPr>
            <w:tcW w:w="194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color w:val="auto"/>
              </w:rPr>
              <w:t>per security as follows:</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20" w:type="dxa"/>
            <w:vAlign w:val="bottom"/>
            <w:tcBorders>
              <w:bottom w:val="single" w:sz="8" w:color="auto"/>
              <w:right w:val="single" w:sz="8" w:color="auto"/>
            </w:tcBorders>
            <w:gridSpan w:val="5"/>
          </w:tcPr>
          <w:p>
            <w:pPr>
              <w:jc w:val="center"/>
              <w:ind w:right="90"/>
              <w:spacing w:after="0"/>
              <w:rPr>
                <w:sz w:val="20"/>
                <w:szCs w:val="20"/>
                <w:color w:val="auto"/>
              </w:rPr>
            </w:pPr>
            <w:r>
              <w:rPr>
                <w:rFonts w:ascii="Arial" w:cs="Arial" w:eastAsia="Arial" w:hAnsi="Arial"/>
                <w:sz w:val="14"/>
                <w:szCs w:val="14"/>
                <w:color w:val="auto"/>
              </w:rPr>
              <w:t>($1,000 × contingent coupon rate) / 4.</w:t>
            </w:r>
          </w:p>
        </w:tc>
      </w:tr>
      <w:tr>
        <w:trPr>
          <w:trHeight w:val="141"/>
        </w:trPr>
        <w:tc>
          <w:tcPr>
            <w:tcW w:w="194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color w:val="auto"/>
                <w:w w:val="98"/>
              </w:rPr>
              <w:t>Contingent Coupon Payment</w:t>
            </w:r>
          </w:p>
        </w:tc>
        <w:tc>
          <w:tcPr>
            <w:tcW w:w="3560" w:type="dxa"/>
            <w:vAlign w:val="bottom"/>
            <w:tcBorders>
              <w:right w:val="single" w:sz="8" w:color="auto"/>
            </w:tcBorders>
            <w:gridSpan w:val="7"/>
          </w:tcPr>
          <w:p>
            <w:pPr>
              <w:ind w:left="100"/>
              <w:spacing w:after="0" w:line="141" w:lineRule="exact"/>
              <w:rPr>
                <w:sz w:val="20"/>
                <w:szCs w:val="20"/>
                <w:color w:val="auto"/>
              </w:rPr>
            </w:pPr>
            <w:r>
              <w:rPr>
                <w:rFonts w:ascii="Arial" w:cs="Arial" w:eastAsia="Arial" w:hAnsi="Arial"/>
                <w:sz w:val="14"/>
                <w:szCs w:val="14"/>
                <w:color w:val="auto"/>
              </w:rPr>
              <w:t>Quarterly, on the third business day following each</w:t>
            </w:r>
          </w:p>
        </w:tc>
      </w:tr>
      <w:tr>
        <w:trPr>
          <w:trHeight w:val="171"/>
        </w:trPr>
        <w:tc>
          <w:tcPr>
            <w:tcW w:w="194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2"/>
                <w:szCs w:val="12"/>
                <w:color w:val="auto"/>
              </w:rPr>
              <w:t>Dates</w:t>
            </w:r>
            <w:r>
              <w:rPr>
                <w:rFonts w:ascii="Arial" w:cs="Arial" w:eastAsia="Arial" w:hAnsi="Arial"/>
                <w:sz w:val="19"/>
                <w:szCs w:val="19"/>
                <w:color w:val="auto"/>
                <w:vertAlign w:val="superscript"/>
              </w:rPr>
              <w:t>1, 2</w:t>
            </w:r>
            <w:r>
              <w:rPr>
                <w:rFonts w:ascii="Arial" w:cs="Arial" w:eastAsia="Arial" w:hAnsi="Arial"/>
                <w:sz w:val="12"/>
                <w:szCs w:val="12"/>
                <w:color w:val="auto"/>
              </w:rPr>
              <w:t>:</w:t>
            </w:r>
          </w:p>
        </w:tc>
        <w:tc>
          <w:tcPr>
            <w:tcW w:w="3560" w:type="dxa"/>
            <w:vAlign w:val="bottom"/>
            <w:tcBorders>
              <w:right w:val="single" w:sz="8" w:color="auto"/>
            </w:tcBorders>
            <w:gridSpan w:val="7"/>
          </w:tcPr>
          <w:p>
            <w:pPr>
              <w:ind w:left="100"/>
              <w:spacing w:after="0"/>
              <w:rPr>
                <w:sz w:val="20"/>
                <w:szCs w:val="20"/>
                <w:color w:val="auto"/>
              </w:rPr>
            </w:pPr>
            <w:r>
              <w:rPr>
                <w:rFonts w:ascii="Arial" w:cs="Arial" w:eastAsia="Arial" w:hAnsi="Arial"/>
                <w:sz w:val="14"/>
                <w:szCs w:val="14"/>
                <w:color w:val="auto"/>
              </w:rPr>
              <w:t xml:space="preserve">calculation day,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contingent coupon</w:t>
            </w:r>
          </w:p>
        </w:tc>
      </w:tr>
      <w:tr>
        <w:trPr>
          <w:trHeight w:val="143"/>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7"/>
          </w:tcPr>
          <w:p>
            <w:pPr>
              <w:ind w:left="100"/>
              <w:spacing w:after="0" w:line="143" w:lineRule="exact"/>
              <w:rPr>
                <w:sz w:val="20"/>
                <w:szCs w:val="20"/>
                <w:color w:val="auto"/>
              </w:rPr>
            </w:pPr>
            <w:r>
              <w:rPr>
                <w:rFonts w:ascii="Arial" w:cs="Arial" w:eastAsia="Arial" w:hAnsi="Arial"/>
                <w:sz w:val="14"/>
                <w:szCs w:val="14"/>
                <w:color w:val="auto"/>
              </w:rPr>
              <w:t>payment date with respect to the final calculation day</w:t>
            </w: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will be the stated maturity date</w:t>
            </w:r>
          </w:p>
        </w:tc>
      </w:tr>
      <w:tr>
        <w:trPr>
          <w:trHeight w:val="154"/>
        </w:trPr>
        <w:tc>
          <w:tcPr>
            <w:tcW w:w="1940" w:type="dxa"/>
            <w:vAlign w:val="bottom"/>
            <w:tcBorders>
              <w:left w:val="single" w:sz="8" w:color="auto"/>
              <w:right w:val="single" w:sz="8" w:color="auto"/>
            </w:tcBorders>
          </w:tcPr>
          <w:p>
            <w:pPr>
              <w:ind w:left="120"/>
              <w:spacing w:after="0" w:line="154" w:lineRule="exact"/>
              <w:rPr>
                <w:sz w:val="20"/>
                <w:szCs w:val="20"/>
                <w:color w:val="auto"/>
              </w:rPr>
            </w:pPr>
            <w:r>
              <w:rPr>
                <w:rFonts w:ascii="Arial" w:cs="Arial" w:eastAsia="Arial" w:hAnsi="Arial"/>
                <w:sz w:val="14"/>
                <w:szCs w:val="14"/>
                <w:color w:val="auto"/>
              </w:rPr>
              <w:t>Contingent Coupon Rate:</w:t>
            </w:r>
          </w:p>
        </w:tc>
        <w:tc>
          <w:tcPr>
            <w:tcW w:w="3560" w:type="dxa"/>
            <w:vAlign w:val="bottom"/>
            <w:tcBorders>
              <w:right w:val="single" w:sz="8" w:color="auto"/>
            </w:tcBorders>
            <w:gridSpan w:val="7"/>
          </w:tcPr>
          <w:p>
            <w:pPr>
              <w:ind w:left="100"/>
              <w:spacing w:after="0" w:line="154" w:lineRule="exact"/>
              <w:rPr>
                <w:sz w:val="20"/>
                <w:szCs w:val="20"/>
                <w:color w:val="auto"/>
              </w:rPr>
            </w:pPr>
            <w:r>
              <w:rPr>
                <w:rFonts w:ascii="Arial" w:cs="Arial" w:eastAsia="Arial" w:hAnsi="Arial"/>
                <w:sz w:val="14"/>
                <w:szCs w:val="14"/>
                <w:color w:val="auto"/>
              </w:rPr>
              <w:t>At least 19.20% per annum (to be provided in the</w:t>
            </w:r>
          </w:p>
        </w:tc>
      </w:tr>
      <w:tr>
        <w:trPr>
          <w:trHeight w:val="188"/>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pricing supplement)</w:t>
            </w:r>
          </w:p>
        </w:tc>
      </w:tr>
      <w:tr>
        <w:trPr>
          <w:trHeight w:val="145"/>
        </w:trPr>
        <w:tc>
          <w:tcPr>
            <w:tcW w:w="1940" w:type="dxa"/>
            <w:vAlign w:val="bottom"/>
            <w:tcBorders>
              <w:left w:val="single" w:sz="8" w:color="auto"/>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Automatic Call:</w:t>
            </w:r>
          </w:p>
        </w:tc>
        <w:tc>
          <w:tcPr>
            <w:tcW w:w="3560" w:type="dxa"/>
            <w:vAlign w:val="bottom"/>
            <w:tcBorders>
              <w:right w:val="single" w:sz="8" w:color="auto"/>
            </w:tcBorders>
            <w:gridSpan w:val="7"/>
          </w:tcPr>
          <w:p>
            <w:pPr>
              <w:ind w:left="100"/>
              <w:spacing w:after="0" w:line="145" w:lineRule="exact"/>
              <w:rPr>
                <w:sz w:val="20"/>
                <w:szCs w:val="20"/>
                <w:color w:val="auto"/>
              </w:rPr>
            </w:pPr>
            <w:r>
              <w:rPr>
                <w:rFonts w:ascii="Arial" w:cs="Arial" w:eastAsia="Arial" w:hAnsi="Arial"/>
                <w:sz w:val="14"/>
                <w:szCs w:val="14"/>
                <w:color w:val="auto"/>
              </w:rPr>
              <w:t>If the stock closing price of the lowest performing</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Underlying Stock on any of the calculation days from</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May 2027 to August 2028, inclusive, is greater than or</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equal to its starting price, the securities will be</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automatically called, and on the related call settlement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date you will be entitled to receive a cash payment per</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security in U.S. dollars equal to the principal amount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 xml:space="preserve">per security </w:t>
            </w:r>
            <w:r>
              <w:rPr>
                <w:rFonts w:ascii="Arial" w:cs="Arial" w:eastAsia="Arial" w:hAnsi="Arial"/>
                <w:sz w:val="14"/>
                <w:szCs w:val="14"/>
                <w:i w:val="1"/>
                <w:iCs w:val="1"/>
                <w:color w:val="auto"/>
              </w:rPr>
              <w:t>plus</w:t>
            </w:r>
            <w:r>
              <w:rPr>
                <w:rFonts w:ascii="Arial" w:cs="Arial" w:eastAsia="Arial" w:hAnsi="Arial"/>
                <w:sz w:val="14"/>
                <w:szCs w:val="14"/>
                <w:color w:val="auto"/>
              </w:rPr>
              <w:t xml:space="preserve"> a final contingent coupon payment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and any previously unpaid contingent coupon</w:t>
            </w: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4"/>
                <w:szCs w:val="14"/>
                <w:color w:val="auto"/>
              </w:rPr>
              <w:t>payments.</w:t>
            </w:r>
          </w:p>
        </w:tc>
      </w:tr>
      <w:tr>
        <w:trPr>
          <w:trHeight w:val="167"/>
        </w:trPr>
        <w:tc>
          <w:tcPr>
            <w:tcW w:w="1940" w:type="dxa"/>
            <w:vAlign w:val="bottom"/>
            <w:tcBorders>
              <w:left w:val="single" w:sz="8" w:color="auto"/>
              <w:right w:val="single" w:sz="8" w:color="auto"/>
            </w:tcBorders>
          </w:tcPr>
          <w:p>
            <w:pPr>
              <w:ind w:left="120"/>
              <w:spacing w:after="0" w:line="167" w:lineRule="exact"/>
              <w:rPr>
                <w:sz w:val="20"/>
                <w:szCs w:val="20"/>
                <w:color w:val="auto"/>
              </w:rPr>
            </w:pPr>
            <w:r>
              <w:rPr>
                <w:rFonts w:ascii="Arial" w:cs="Arial" w:eastAsia="Arial" w:hAnsi="Arial"/>
                <w:sz w:val="12"/>
                <w:szCs w:val="12"/>
                <w:color w:val="auto"/>
              </w:rPr>
              <w:t>Calculation Days</w:t>
            </w:r>
            <w:r>
              <w:rPr>
                <w:rFonts w:ascii="Arial" w:cs="Arial" w:eastAsia="Arial" w:hAnsi="Arial"/>
                <w:sz w:val="19"/>
                <w:szCs w:val="19"/>
                <w:color w:val="auto"/>
                <w:vertAlign w:val="superscript"/>
              </w:rPr>
              <w:t>1, 2</w:t>
            </w:r>
            <w:r>
              <w:rPr>
                <w:rFonts w:ascii="Arial" w:cs="Arial" w:eastAsia="Arial" w:hAnsi="Arial"/>
                <w:sz w:val="12"/>
                <w:szCs w:val="12"/>
                <w:color w:val="auto"/>
              </w:rPr>
              <w:t>:</w:t>
            </w:r>
          </w:p>
        </w:tc>
        <w:tc>
          <w:tcPr>
            <w:tcW w:w="3560" w:type="dxa"/>
            <w:vAlign w:val="bottom"/>
            <w:tcBorders>
              <w:right w:val="single" w:sz="8" w:color="auto"/>
            </w:tcBorders>
            <w:gridSpan w:val="7"/>
          </w:tcPr>
          <w:p>
            <w:pPr>
              <w:ind w:left="100"/>
              <w:spacing w:after="0" w:line="167" w:lineRule="exact"/>
              <w:rPr>
                <w:sz w:val="20"/>
                <w:szCs w:val="20"/>
                <w:color w:val="auto"/>
              </w:rPr>
            </w:pPr>
            <w:r>
              <w:rPr>
                <w:rFonts w:ascii="Arial" w:cs="Arial" w:eastAsia="Arial" w:hAnsi="Arial"/>
                <w:sz w:val="12"/>
                <w:szCs w:val="12"/>
                <w:color w:val="auto"/>
              </w:rPr>
              <w:t>Quarterly, on the 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day of each February, May,</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August and November, commencing February 2027</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7"/>
          </w:tcPr>
          <w:p>
            <w:pPr>
              <w:ind w:left="100"/>
              <w:spacing w:after="0" w:line="157" w:lineRule="exact"/>
              <w:rPr>
                <w:sz w:val="20"/>
                <w:szCs w:val="20"/>
                <w:color w:val="auto"/>
              </w:rPr>
            </w:pPr>
            <w:r>
              <w:rPr>
                <w:rFonts w:ascii="Arial" w:cs="Arial" w:eastAsia="Arial" w:hAnsi="Arial"/>
                <w:sz w:val="14"/>
                <w:szCs w:val="14"/>
                <w:color w:val="auto"/>
              </w:rPr>
              <w:t>and ending November 2028. We refer to November</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7"/>
          </w:tcPr>
          <w:p>
            <w:pPr>
              <w:ind w:left="100"/>
              <w:spacing w:after="0" w:line="153" w:lineRule="exact"/>
              <w:rPr>
                <w:sz w:val="20"/>
                <w:szCs w:val="20"/>
                <w:color w:val="auto"/>
              </w:rPr>
            </w:pPr>
            <w:r>
              <w:rPr>
                <w:rFonts w:ascii="Arial" w:cs="Arial" w:eastAsia="Arial" w:hAnsi="Arial"/>
                <w:sz w:val="14"/>
                <w:szCs w:val="14"/>
                <w:color w:val="auto"/>
              </w:rPr>
              <w:t>6, 2028 as the “final calculation day.”</w:t>
            </w:r>
          </w:p>
        </w:tc>
      </w:tr>
      <w:tr>
        <w:trPr>
          <w:trHeight w:val="170"/>
        </w:trPr>
        <w:tc>
          <w:tcPr>
            <w:tcW w:w="194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2"/>
                <w:szCs w:val="12"/>
                <w:color w:val="auto"/>
              </w:rPr>
              <w:t>Call Settlement Date</w:t>
            </w:r>
            <w:r>
              <w:rPr>
                <w:rFonts w:ascii="Arial" w:cs="Arial" w:eastAsia="Arial" w:hAnsi="Arial"/>
                <w:sz w:val="19"/>
                <w:szCs w:val="19"/>
                <w:color w:val="auto"/>
                <w:vertAlign w:val="superscript"/>
              </w:rPr>
              <w:t>1, 2</w:t>
            </w:r>
            <w:r>
              <w:rPr>
                <w:rFonts w:ascii="Arial" w:cs="Arial" w:eastAsia="Arial" w:hAnsi="Arial"/>
                <w:sz w:val="12"/>
                <w:szCs w:val="12"/>
                <w:color w:val="auto"/>
              </w:rPr>
              <w:t>:</w:t>
            </w:r>
          </w:p>
        </w:tc>
        <w:tc>
          <w:tcPr>
            <w:tcW w:w="3560" w:type="dxa"/>
            <w:vAlign w:val="bottom"/>
            <w:tcBorders>
              <w:right w:val="single" w:sz="8" w:color="auto"/>
            </w:tcBorders>
            <w:gridSpan w:val="7"/>
          </w:tcPr>
          <w:p>
            <w:pPr>
              <w:ind w:left="100"/>
              <w:spacing w:after="0"/>
              <w:rPr>
                <w:sz w:val="20"/>
                <w:szCs w:val="20"/>
                <w:color w:val="auto"/>
              </w:rPr>
            </w:pPr>
            <w:r>
              <w:rPr>
                <w:rFonts w:ascii="Arial" w:cs="Arial" w:eastAsia="Arial" w:hAnsi="Arial"/>
                <w:sz w:val="14"/>
                <w:szCs w:val="14"/>
                <w:color w:val="auto"/>
              </w:rPr>
              <w:t>Three business days after the applicable calculation</w:t>
            </w:r>
          </w:p>
        </w:tc>
      </w:tr>
      <w:tr>
        <w:trPr>
          <w:trHeight w:val="144"/>
        </w:trPr>
        <w:tc>
          <w:tcPr>
            <w:tcW w:w="1940" w:type="dxa"/>
            <w:vAlign w:val="bottom"/>
            <w:tcBorders>
              <w:left w:val="single" w:sz="8" w:color="auto"/>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gridSpan w:val="7"/>
          </w:tcPr>
          <w:p>
            <w:pPr>
              <w:ind w:left="100"/>
              <w:spacing w:after="0" w:line="144" w:lineRule="exact"/>
              <w:rPr>
                <w:sz w:val="20"/>
                <w:szCs w:val="20"/>
                <w:color w:val="auto"/>
              </w:rPr>
            </w:pPr>
            <w:r>
              <w:rPr>
                <w:rFonts w:ascii="Arial" w:cs="Arial" w:eastAsia="Arial" w:hAnsi="Arial"/>
                <w:sz w:val="14"/>
                <w:szCs w:val="14"/>
                <w:color w:val="auto"/>
              </w:rPr>
              <w:t>day</w:t>
            </w:r>
          </w:p>
        </w:tc>
      </w:tr>
      <w:tr>
        <w:trPr>
          <w:trHeight w:val="141"/>
        </w:trPr>
        <w:tc>
          <w:tcPr>
            <w:tcW w:w="194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Maturity Payment Amount</w:t>
            </w:r>
          </w:p>
        </w:tc>
        <w:tc>
          <w:tcPr>
            <w:tcW w:w="3560" w:type="dxa"/>
            <w:vAlign w:val="bottom"/>
            <w:tcBorders>
              <w:right w:val="single" w:sz="8" w:color="auto"/>
            </w:tcBorders>
            <w:gridSpan w:val="7"/>
          </w:tcPr>
          <w:p>
            <w:pPr>
              <w:ind w:left="100"/>
              <w:spacing w:after="0" w:line="141" w:lineRule="exact"/>
              <w:rPr>
                <w:sz w:val="20"/>
                <w:szCs w:val="20"/>
                <w:color w:val="auto"/>
              </w:rPr>
            </w:pPr>
            <w:r>
              <w:rPr>
                <w:rFonts w:ascii="Arial" w:cs="Arial" w:eastAsia="Arial" w:hAnsi="Arial"/>
                <w:sz w:val="14"/>
                <w:szCs w:val="14"/>
                <w:color w:val="auto"/>
              </w:rPr>
              <w:t>If the securities are not automatically called:</w:t>
            </w:r>
          </w:p>
        </w:tc>
      </w:tr>
      <w:tr>
        <w:trPr>
          <w:trHeight w:val="170"/>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(per security):</w:t>
            </w:r>
          </w:p>
        </w:tc>
        <w:tc>
          <w:tcPr>
            <w:tcW w:w="3560" w:type="dxa"/>
            <w:vAlign w:val="bottom"/>
            <w:tcBorders>
              <w:right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If the ending price of the lowest performing</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tcBorders>
              <w:right w:val="single" w:sz="8" w:color="auto"/>
            </w:tcBorders>
            <w:gridSpan w:val="5"/>
          </w:tcPr>
          <w:p>
            <w:pPr>
              <w:ind w:left="100"/>
              <w:spacing w:after="0" w:line="157" w:lineRule="exact"/>
              <w:rPr>
                <w:sz w:val="20"/>
                <w:szCs w:val="20"/>
                <w:color w:val="auto"/>
              </w:rPr>
            </w:pPr>
            <w:r>
              <w:rPr>
                <w:rFonts w:ascii="Arial" w:cs="Arial" w:eastAsia="Arial" w:hAnsi="Arial"/>
                <w:sz w:val="14"/>
                <w:szCs w:val="14"/>
                <w:color w:val="auto"/>
              </w:rPr>
              <w:t>Underlying Stock on the final calculation day is</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tcBorders>
              <w:right w:val="single" w:sz="8" w:color="auto"/>
            </w:tcBorders>
            <w:gridSpan w:val="5"/>
          </w:tcPr>
          <w:p>
            <w:pPr>
              <w:ind w:left="100"/>
              <w:spacing w:after="0" w:line="157" w:lineRule="exact"/>
              <w:rPr>
                <w:sz w:val="20"/>
                <w:szCs w:val="20"/>
                <w:color w:val="auto"/>
              </w:rPr>
            </w:pPr>
            <w:r>
              <w:rPr>
                <w:rFonts w:ascii="Arial" w:cs="Arial" w:eastAsia="Arial" w:hAnsi="Arial"/>
                <w:sz w:val="14"/>
                <w:szCs w:val="14"/>
                <w:color w:val="auto"/>
              </w:rPr>
              <w:t>greater than or equal to its threshold price: $1,000;</w:t>
            </w:r>
          </w:p>
        </w:tc>
      </w:tr>
      <w:tr>
        <w:trPr>
          <w:trHeight w:val="184"/>
        </w:trPr>
        <w:tc>
          <w:tcPr>
            <w:tcW w:w="19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20" w:type="dxa"/>
            <w:vAlign w:val="bottom"/>
            <w:tcBorders>
              <w:right w:val="single" w:sz="8" w:color="auto"/>
            </w:tcBorders>
            <w:gridSpan w:val="5"/>
          </w:tcPr>
          <w:p>
            <w:pPr>
              <w:ind w:left="100"/>
              <w:spacing w:after="0"/>
              <w:rPr>
                <w:sz w:val="20"/>
                <w:szCs w:val="20"/>
                <w:color w:val="auto"/>
              </w:rPr>
            </w:pPr>
            <w:r>
              <w:rPr>
                <w:rFonts w:ascii="Arial" w:cs="Arial" w:eastAsia="Arial" w:hAnsi="Arial"/>
                <w:sz w:val="14"/>
                <w:szCs w:val="14"/>
                <w:color w:val="auto"/>
              </w:rPr>
              <w:t>or</w:t>
            </w:r>
          </w:p>
        </w:tc>
      </w:tr>
      <w:tr>
        <w:trPr>
          <w:trHeight w:val="195"/>
        </w:trPr>
        <w:tc>
          <w:tcPr>
            <w:tcW w:w="194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If the ending price of the lowest performing</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tcBorders>
              <w:right w:val="single" w:sz="8" w:color="auto"/>
            </w:tcBorders>
            <w:gridSpan w:val="5"/>
          </w:tcPr>
          <w:p>
            <w:pPr>
              <w:ind w:left="100"/>
              <w:spacing w:after="0" w:line="157" w:lineRule="exact"/>
              <w:rPr>
                <w:sz w:val="20"/>
                <w:szCs w:val="20"/>
                <w:color w:val="auto"/>
              </w:rPr>
            </w:pPr>
            <w:r>
              <w:rPr>
                <w:rFonts w:ascii="Arial" w:cs="Arial" w:eastAsia="Arial" w:hAnsi="Arial"/>
                <w:sz w:val="14"/>
                <w:szCs w:val="14"/>
                <w:color w:val="auto"/>
              </w:rPr>
              <w:t>Underlying Stock on the final calculation day is less</w:t>
            </w:r>
          </w:p>
        </w:tc>
      </w:tr>
      <w:tr>
        <w:trPr>
          <w:trHeight w:val="184"/>
        </w:trPr>
        <w:tc>
          <w:tcPr>
            <w:tcW w:w="19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20" w:type="dxa"/>
            <w:vAlign w:val="bottom"/>
            <w:tcBorders>
              <w:right w:val="single" w:sz="8" w:color="auto"/>
            </w:tcBorders>
            <w:gridSpan w:val="5"/>
          </w:tcPr>
          <w:p>
            <w:pPr>
              <w:ind w:left="100"/>
              <w:spacing w:after="0"/>
              <w:rPr>
                <w:sz w:val="20"/>
                <w:szCs w:val="20"/>
                <w:color w:val="auto"/>
              </w:rPr>
            </w:pPr>
            <w:r>
              <w:rPr>
                <w:rFonts w:ascii="Arial" w:cs="Arial" w:eastAsia="Arial" w:hAnsi="Arial"/>
                <w:sz w:val="14"/>
                <w:szCs w:val="14"/>
                <w:color w:val="auto"/>
              </w:rPr>
              <w:t>than its threshold price:</w:t>
            </w:r>
          </w:p>
        </w:tc>
      </w:tr>
      <w:tr>
        <w:trPr>
          <w:trHeight w:val="195"/>
        </w:trPr>
        <w:tc>
          <w:tcPr>
            <w:tcW w:w="19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20" w:type="dxa"/>
            <w:vAlign w:val="bottom"/>
            <w:tcBorders>
              <w:right w:val="single" w:sz="8" w:color="auto"/>
            </w:tcBorders>
            <w:gridSpan w:val="5"/>
          </w:tcPr>
          <w:p>
            <w:pPr>
              <w:jc w:val="center"/>
              <w:ind w:right="70"/>
              <w:spacing w:after="0"/>
              <w:rPr>
                <w:sz w:val="20"/>
                <w:szCs w:val="20"/>
                <w:color w:val="auto"/>
              </w:rPr>
            </w:pPr>
            <w:r>
              <w:rPr>
                <w:rFonts w:ascii="Arial" w:cs="Arial" w:eastAsia="Arial" w:hAnsi="Arial"/>
                <w:sz w:val="14"/>
                <w:szCs w:val="14"/>
                <w:color w:val="auto"/>
                <w:w w:val="99"/>
              </w:rPr>
              <w:t>$1,000 + ($1,000 × stock return of the lowest</w:t>
            </w: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tcBorders>
              <w:right w:val="single" w:sz="8" w:color="auto"/>
            </w:tcBorders>
            <w:gridSpan w:val="5"/>
          </w:tcPr>
          <w:p>
            <w:pPr>
              <w:jc w:val="center"/>
              <w:ind w:right="50"/>
              <w:spacing w:after="0" w:line="157" w:lineRule="exact"/>
              <w:rPr>
                <w:sz w:val="20"/>
                <w:szCs w:val="20"/>
                <w:color w:val="auto"/>
              </w:rPr>
            </w:pPr>
            <w:r>
              <w:rPr>
                <w:rFonts w:ascii="Arial" w:cs="Arial" w:eastAsia="Arial" w:hAnsi="Arial"/>
                <w:sz w:val="14"/>
                <w:szCs w:val="14"/>
                <w:color w:val="auto"/>
                <w:w w:val="99"/>
              </w:rPr>
              <w:t>performing Underlying Stock on the final calculation</w:t>
            </w:r>
          </w:p>
        </w:tc>
      </w:tr>
      <w:tr>
        <w:trPr>
          <w:trHeight w:val="184"/>
        </w:trPr>
        <w:tc>
          <w:tcPr>
            <w:tcW w:w="19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Borders>
              <w:right w:val="single" w:sz="8" w:color="auto"/>
            </w:tcBorders>
            <w:gridSpan w:val="4"/>
          </w:tcPr>
          <w:p>
            <w:pPr>
              <w:jc w:val="center"/>
              <w:ind w:right="1070"/>
              <w:spacing w:after="0"/>
              <w:rPr>
                <w:sz w:val="20"/>
                <w:szCs w:val="20"/>
                <w:color w:val="auto"/>
              </w:rPr>
            </w:pPr>
            <w:r>
              <w:rPr>
                <w:rFonts w:ascii="Arial" w:cs="Arial" w:eastAsia="Arial" w:hAnsi="Arial"/>
                <w:sz w:val="14"/>
                <w:szCs w:val="14"/>
                <w:color w:val="auto"/>
              </w:rPr>
              <w:t>day)</w:t>
            </w:r>
          </w:p>
        </w:tc>
      </w:tr>
      <w:tr>
        <w:trPr>
          <w:trHeight w:val="21"/>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137"/>
        </w:trPr>
        <w:tc>
          <w:tcPr>
            <w:tcW w:w="1940" w:type="dxa"/>
            <w:vAlign w:val="bottom"/>
            <w:tcBorders>
              <w:left w:val="single" w:sz="8" w:color="auto"/>
              <w:right w:val="single" w:sz="8" w:color="auto"/>
            </w:tcBorders>
          </w:tcPr>
          <w:p>
            <w:pPr>
              <w:ind w:left="120"/>
              <w:spacing w:after="0" w:line="137" w:lineRule="exact"/>
              <w:rPr>
                <w:sz w:val="20"/>
                <w:szCs w:val="20"/>
                <w:color w:val="auto"/>
              </w:rPr>
            </w:pPr>
            <w:r>
              <w:rPr>
                <w:rFonts w:ascii="Arial" w:cs="Arial" w:eastAsia="Arial" w:hAnsi="Arial"/>
                <w:sz w:val="14"/>
                <w:szCs w:val="14"/>
                <w:color w:val="auto"/>
              </w:rPr>
              <w:t>Lowest Performing</w:t>
            </w:r>
          </w:p>
        </w:tc>
        <w:tc>
          <w:tcPr>
            <w:tcW w:w="3560" w:type="dxa"/>
            <w:vAlign w:val="bottom"/>
            <w:tcBorders>
              <w:right w:val="single" w:sz="8" w:color="auto"/>
            </w:tcBorders>
            <w:gridSpan w:val="7"/>
          </w:tcPr>
          <w:p>
            <w:pPr>
              <w:ind w:left="100"/>
              <w:spacing w:after="0" w:line="137" w:lineRule="exact"/>
              <w:rPr>
                <w:sz w:val="20"/>
                <w:szCs w:val="20"/>
                <w:color w:val="auto"/>
              </w:rPr>
            </w:pPr>
            <w:r>
              <w:rPr>
                <w:rFonts w:ascii="Arial" w:cs="Arial" w:eastAsia="Arial" w:hAnsi="Arial"/>
                <w:sz w:val="14"/>
                <w:szCs w:val="14"/>
                <w:color w:val="auto"/>
              </w:rPr>
              <w:t>For any calculation day, the “lowest performing</w:t>
            </w:r>
          </w:p>
        </w:tc>
      </w:tr>
      <w:tr>
        <w:trPr>
          <w:trHeight w:val="137"/>
        </w:trPr>
        <w:tc>
          <w:tcPr>
            <w:tcW w:w="1940" w:type="dxa"/>
            <w:vAlign w:val="bottom"/>
            <w:tcBorders>
              <w:left w:val="single" w:sz="8" w:color="auto"/>
              <w:right w:val="single" w:sz="8" w:color="auto"/>
            </w:tcBorders>
          </w:tcPr>
          <w:p>
            <w:pPr>
              <w:ind w:left="120"/>
              <w:spacing w:after="0" w:line="137" w:lineRule="exact"/>
              <w:rPr>
                <w:sz w:val="20"/>
                <w:szCs w:val="20"/>
                <w:color w:val="auto"/>
              </w:rPr>
            </w:pPr>
            <w:r>
              <w:rPr>
                <w:rFonts w:ascii="Arial" w:cs="Arial" w:eastAsia="Arial" w:hAnsi="Arial"/>
                <w:sz w:val="14"/>
                <w:szCs w:val="14"/>
                <w:color w:val="auto"/>
              </w:rPr>
              <w:t>Underlying Stock:</w:t>
            </w:r>
          </w:p>
        </w:tc>
        <w:tc>
          <w:tcPr>
            <w:tcW w:w="1880" w:type="dxa"/>
            <w:vAlign w:val="bottom"/>
            <w:gridSpan w:val="5"/>
          </w:tcPr>
          <w:p>
            <w:pPr>
              <w:ind w:left="100"/>
              <w:spacing w:after="0" w:line="137" w:lineRule="exact"/>
              <w:rPr>
                <w:sz w:val="20"/>
                <w:szCs w:val="20"/>
                <w:color w:val="auto"/>
              </w:rPr>
            </w:pPr>
            <w:r>
              <w:rPr>
                <w:rFonts w:ascii="Arial" w:cs="Arial" w:eastAsia="Arial" w:hAnsi="Arial"/>
                <w:sz w:val="14"/>
                <w:szCs w:val="14"/>
                <w:color w:val="auto"/>
                <w:w w:val="99"/>
              </w:rPr>
              <w:t>Underlying Stock” will be the</w:t>
            </w:r>
          </w:p>
        </w:tc>
        <w:tc>
          <w:tcPr>
            <w:tcW w:w="1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8"/>
              </w:rPr>
              <w:t>Underlying Stock</w:t>
            </w:r>
          </w:p>
        </w:tc>
        <w:tc>
          <w:tcPr>
            <w:tcW w:w="580" w:type="dxa"/>
            <w:vAlign w:val="bottom"/>
            <w:tcBorders>
              <w:right w:val="single" w:sz="8" w:color="auto"/>
            </w:tcBorders>
          </w:tcPr>
          <w:p>
            <w:pPr>
              <w:spacing w:after="0" w:line="137" w:lineRule="exact"/>
              <w:rPr>
                <w:sz w:val="20"/>
                <w:szCs w:val="20"/>
                <w:color w:val="auto"/>
              </w:rPr>
            </w:pPr>
            <w:r>
              <w:rPr>
                <w:rFonts w:ascii="Arial" w:cs="Arial" w:eastAsia="Arial" w:hAnsi="Arial"/>
                <w:sz w:val="14"/>
                <w:szCs w:val="14"/>
                <w:color w:val="auto"/>
              </w:rPr>
              <w:t>with</w:t>
            </w:r>
          </w:p>
        </w:tc>
      </w:tr>
      <w:tr>
        <w:trPr>
          <w:trHeight w:val="177"/>
        </w:trPr>
        <w:tc>
          <w:tcPr>
            <w:tcW w:w="194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the lowest stock</w:t>
            </w:r>
          </w:p>
        </w:tc>
        <w:tc>
          <w:tcPr>
            <w:tcW w:w="2420" w:type="dxa"/>
            <w:vAlign w:val="bottom"/>
            <w:tcBorders>
              <w:right w:val="single" w:sz="8" w:color="auto"/>
            </w:tcBorders>
            <w:gridSpan w:val="4"/>
          </w:tcPr>
          <w:p>
            <w:pPr>
              <w:jc w:val="right"/>
              <w:ind w:right="550"/>
              <w:spacing w:after="0"/>
              <w:rPr>
                <w:sz w:val="20"/>
                <w:szCs w:val="20"/>
                <w:color w:val="auto"/>
              </w:rPr>
            </w:pPr>
            <w:r>
              <w:rPr>
                <w:rFonts w:ascii="Arial" w:cs="Arial" w:eastAsia="Arial" w:hAnsi="Arial"/>
                <w:sz w:val="14"/>
                <w:szCs w:val="14"/>
                <w:color w:val="auto"/>
                <w:w w:val="96"/>
              </w:rPr>
              <w:t>return on that calculation day.</w:t>
            </w:r>
          </w:p>
        </w:tc>
      </w:tr>
      <w:tr>
        <w:trPr>
          <w:trHeight w:val="25"/>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23"/>
          <w:szCs w:val="23"/>
          <w:color w:val="8F8F8F"/>
        </w:rPr>
        <w:t>Summary of Terms (continued)</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1940" w:type="dxa"/>
            <w:vAlign w:val="bottom"/>
            <w:tcBorders>
              <w:top w:val="single" w:sz="8" w:color="auto"/>
              <w:left w:val="single" w:sz="8" w:color="auto"/>
              <w:right w:val="single" w:sz="8" w:color="auto"/>
            </w:tcBorders>
          </w:tcPr>
          <w:p>
            <w:pPr>
              <w:ind w:left="100"/>
              <w:spacing w:after="0" w:line="141" w:lineRule="exact"/>
              <w:rPr>
                <w:sz w:val="20"/>
                <w:szCs w:val="20"/>
                <w:color w:val="auto"/>
              </w:rPr>
            </w:pPr>
            <w:r>
              <w:rPr>
                <w:rFonts w:ascii="Arial" w:cs="Arial" w:eastAsia="Arial" w:hAnsi="Arial"/>
                <w:sz w:val="14"/>
                <w:szCs w:val="14"/>
                <w:color w:val="auto"/>
              </w:rPr>
              <w:t>Starting Price:</w:t>
            </w:r>
          </w:p>
        </w:tc>
        <w:tc>
          <w:tcPr>
            <w:tcW w:w="3560" w:type="dxa"/>
            <w:vAlign w:val="bottom"/>
            <w:tcBorders>
              <w:top w:val="single" w:sz="8" w:color="auto"/>
              <w:right w:val="single" w:sz="8" w:color="auto"/>
            </w:tcBorders>
            <w:gridSpan w:val="5"/>
          </w:tcPr>
          <w:p>
            <w:pPr>
              <w:ind w:left="80"/>
              <w:spacing w:after="0" w:line="141" w:lineRule="exact"/>
              <w:rPr>
                <w:sz w:val="20"/>
                <w:szCs w:val="20"/>
                <w:color w:val="auto"/>
              </w:rPr>
            </w:pPr>
            <w:r>
              <w:rPr>
                <w:rFonts w:ascii="Arial" w:cs="Arial" w:eastAsia="Arial" w:hAnsi="Arial"/>
                <w:sz w:val="14"/>
                <w:szCs w:val="14"/>
                <w:color w:val="auto"/>
              </w:rPr>
              <w:t>For each Underlying Stock, its stock closing price on</w:t>
            </w:r>
          </w:p>
        </w:tc>
        <w:tc>
          <w:tcPr>
            <w:tcW w:w="0" w:type="dxa"/>
            <w:vAlign w:val="bottom"/>
          </w:tcPr>
          <w:p>
            <w:pPr>
              <w:spacing w:after="0"/>
              <w:rPr>
                <w:sz w:val="1"/>
                <w:szCs w:val="1"/>
                <w:color w:val="auto"/>
              </w:rPr>
            </w:pP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4"/>
                <w:szCs w:val="14"/>
                <w:color w:val="auto"/>
              </w:rPr>
              <w:t>the pricing date</w:t>
            </w:r>
          </w:p>
        </w:tc>
        <w:tc>
          <w:tcPr>
            <w:tcW w:w="0" w:type="dxa"/>
            <w:vAlign w:val="bottom"/>
          </w:tcPr>
          <w:p>
            <w:pPr>
              <w:spacing w:after="0"/>
              <w:rPr>
                <w:sz w:val="1"/>
                <w:szCs w:val="1"/>
                <w:color w:val="auto"/>
              </w:rPr>
            </w:pPr>
          </w:p>
        </w:tc>
      </w:tr>
      <w:tr>
        <w:trPr>
          <w:trHeight w:val="141"/>
        </w:trPr>
        <w:tc>
          <w:tcPr>
            <w:tcW w:w="1940" w:type="dxa"/>
            <w:vAlign w:val="bottom"/>
            <w:tcBorders>
              <w:left w:val="single" w:sz="8" w:color="auto"/>
              <w:right w:val="single" w:sz="8" w:color="auto"/>
            </w:tcBorders>
          </w:tcPr>
          <w:p>
            <w:pPr>
              <w:ind w:left="100"/>
              <w:spacing w:after="0" w:line="141" w:lineRule="exact"/>
              <w:rPr>
                <w:sz w:val="20"/>
                <w:szCs w:val="20"/>
                <w:color w:val="auto"/>
              </w:rPr>
            </w:pPr>
            <w:r>
              <w:rPr>
                <w:rFonts w:ascii="Arial" w:cs="Arial" w:eastAsia="Arial" w:hAnsi="Arial"/>
                <w:sz w:val="14"/>
                <w:szCs w:val="14"/>
                <w:color w:val="auto"/>
              </w:rPr>
              <w:t>Ending Price:</w:t>
            </w:r>
          </w:p>
        </w:tc>
        <w:tc>
          <w:tcPr>
            <w:tcW w:w="3560" w:type="dxa"/>
            <w:vAlign w:val="bottom"/>
            <w:tcBorders>
              <w:right w:val="single" w:sz="8" w:color="auto"/>
            </w:tcBorders>
            <w:gridSpan w:val="5"/>
          </w:tcPr>
          <w:p>
            <w:pPr>
              <w:ind w:left="80"/>
              <w:spacing w:after="0" w:line="141" w:lineRule="exact"/>
              <w:rPr>
                <w:sz w:val="20"/>
                <w:szCs w:val="20"/>
                <w:color w:val="auto"/>
              </w:rPr>
            </w:pPr>
            <w:r>
              <w:rPr>
                <w:rFonts w:ascii="Arial" w:cs="Arial" w:eastAsia="Arial" w:hAnsi="Arial"/>
                <w:sz w:val="14"/>
                <w:szCs w:val="14"/>
                <w:color w:val="auto"/>
              </w:rPr>
              <w:t>For each Underlying Stock, its stock closing price on</w:t>
            </w:r>
          </w:p>
        </w:tc>
        <w:tc>
          <w:tcPr>
            <w:tcW w:w="0" w:type="dxa"/>
            <w:vAlign w:val="bottom"/>
          </w:tcPr>
          <w:p>
            <w:pPr>
              <w:spacing w:after="0"/>
              <w:rPr>
                <w:sz w:val="1"/>
                <w:szCs w:val="1"/>
                <w:color w:val="auto"/>
              </w:rPr>
            </w:pP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4"/>
                <w:szCs w:val="14"/>
                <w:color w:val="auto"/>
              </w:rPr>
              <w:t>the final calculation day</w:t>
            </w:r>
          </w:p>
        </w:tc>
        <w:tc>
          <w:tcPr>
            <w:tcW w:w="0" w:type="dxa"/>
            <w:vAlign w:val="bottom"/>
          </w:tcPr>
          <w:p>
            <w:pPr>
              <w:spacing w:after="0"/>
              <w:rPr>
                <w:sz w:val="1"/>
                <w:szCs w:val="1"/>
                <w:color w:val="auto"/>
              </w:rPr>
            </w:pPr>
          </w:p>
        </w:tc>
      </w:tr>
      <w:tr>
        <w:trPr>
          <w:trHeight w:val="141"/>
        </w:trPr>
        <w:tc>
          <w:tcPr>
            <w:tcW w:w="1940" w:type="dxa"/>
            <w:vAlign w:val="bottom"/>
            <w:tcBorders>
              <w:left w:val="single" w:sz="8" w:color="auto"/>
              <w:right w:val="single" w:sz="8" w:color="auto"/>
            </w:tcBorders>
          </w:tcPr>
          <w:p>
            <w:pPr>
              <w:ind w:left="100"/>
              <w:spacing w:after="0" w:line="141" w:lineRule="exact"/>
              <w:rPr>
                <w:sz w:val="20"/>
                <w:szCs w:val="20"/>
                <w:color w:val="auto"/>
              </w:rPr>
            </w:pPr>
            <w:r>
              <w:rPr>
                <w:rFonts w:ascii="Arial" w:cs="Arial" w:eastAsia="Arial" w:hAnsi="Arial"/>
                <w:sz w:val="14"/>
                <w:szCs w:val="14"/>
                <w:color w:val="auto"/>
              </w:rPr>
              <w:t>Stock Return:</w:t>
            </w:r>
          </w:p>
        </w:tc>
        <w:tc>
          <w:tcPr>
            <w:tcW w:w="3560" w:type="dxa"/>
            <w:vAlign w:val="bottom"/>
            <w:tcBorders>
              <w:right w:val="single" w:sz="8" w:color="auto"/>
            </w:tcBorders>
            <w:gridSpan w:val="5"/>
          </w:tcPr>
          <w:p>
            <w:pPr>
              <w:ind w:left="80"/>
              <w:spacing w:after="0" w:line="141" w:lineRule="exact"/>
              <w:rPr>
                <w:sz w:val="20"/>
                <w:szCs w:val="20"/>
                <w:color w:val="auto"/>
              </w:rPr>
            </w:pPr>
            <w:r>
              <w:rPr>
                <w:rFonts w:ascii="Arial" w:cs="Arial" w:eastAsia="Arial" w:hAnsi="Arial"/>
                <w:sz w:val="14"/>
                <w:szCs w:val="14"/>
                <w:color w:val="auto"/>
              </w:rPr>
              <w:t>For each Underlying Stock on any calculation day,</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(stock closing price on that calculation day – starting</w:t>
            </w:r>
          </w:p>
        </w:tc>
        <w:tc>
          <w:tcPr>
            <w:tcW w:w="0" w:type="dxa"/>
            <w:vAlign w:val="bottom"/>
          </w:tcPr>
          <w:p>
            <w:pPr>
              <w:spacing w:after="0"/>
              <w:rPr>
                <w:sz w:val="1"/>
                <w:szCs w:val="1"/>
                <w:color w:val="auto"/>
              </w:rPr>
            </w:pP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4"/>
                <w:szCs w:val="14"/>
                <w:color w:val="auto"/>
              </w:rPr>
              <w:t>price) / starting price</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bottom w:val="single" w:sz="8" w:color="auto"/>
              <w:right w:val="single" w:sz="8" w:color="auto"/>
            </w:tcBorders>
          </w:tcPr>
          <w:p>
            <w:pPr>
              <w:ind w:left="100"/>
              <w:spacing w:after="0" w:line="150" w:lineRule="exact"/>
              <w:rPr>
                <w:sz w:val="20"/>
                <w:szCs w:val="20"/>
                <w:color w:val="auto"/>
              </w:rPr>
            </w:pPr>
            <w:r>
              <w:rPr>
                <w:rFonts w:ascii="Arial" w:cs="Arial" w:eastAsia="Arial" w:hAnsi="Arial"/>
                <w:sz w:val="14"/>
                <w:szCs w:val="14"/>
                <w:color w:val="auto"/>
              </w:rPr>
              <w:t>Threshold Price:</w:t>
            </w:r>
          </w:p>
        </w:tc>
        <w:tc>
          <w:tcPr>
            <w:tcW w:w="3560" w:type="dxa"/>
            <w:vAlign w:val="bottom"/>
            <w:tcBorders>
              <w:bottom w:val="single" w:sz="8" w:color="auto"/>
              <w:right w:val="single" w:sz="8" w:color="auto"/>
            </w:tcBorders>
            <w:gridSpan w:val="5"/>
          </w:tcPr>
          <w:p>
            <w:pPr>
              <w:ind w:left="80"/>
              <w:spacing w:after="0" w:line="150" w:lineRule="exact"/>
              <w:rPr>
                <w:sz w:val="20"/>
                <w:szCs w:val="20"/>
                <w:color w:val="auto"/>
              </w:rPr>
            </w:pPr>
            <w:r>
              <w:rPr>
                <w:rFonts w:ascii="Arial" w:cs="Arial" w:eastAsia="Arial" w:hAnsi="Arial"/>
                <w:sz w:val="14"/>
                <w:szCs w:val="14"/>
                <w:color w:val="auto"/>
              </w:rPr>
              <w:t>For each Underlying Stock, 50% of its starting price</w:t>
            </w: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bottom w:val="single" w:sz="8" w:color="auto"/>
              <w:right w:val="single" w:sz="8" w:color="auto"/>
            </w:tcBorders>
          </w:tcPr>
          <w:p>
            <w:pPr>
              <w:ind w:left="100"/>
              <w:spacing w:after="0" w:line="137" w:lineRule="exact"/>
              <w:rPr>
                <w:sz w:val="20"/>
                <w:szCs w:val="20"/>
                <w:color w:val="auto"/>
              </w:rPr>
            </w:pPr>
            <w:r>
              <w:rPr>
                <w:rFonts w:ascii="Arial" w:cs="Arial" w:eastAsia="Arial" w:hAnsi="Arial"/>
                <w:sz w:val="14"/>
                <w:szCs w:val="14"/>
                <w:color w:val="auto"/>
              </w:rPr>
              <w:t>Calculation Agent:</w:t>
            </w:r>
          </w:p>
        </w:tc>
        <w:tc>
          <w:tcPr>
            <w:tcW w:w="3560" w:type="dxa"/>
            <w:vAlign w:val="bottom"/>
            <w:tcBorders>
              <w:bottom w:val="single" w:sz="8" w:color="auto"/>
              <w:right w:val="single" w:sz="8" w:color="auto"/>
            </w:tcBorders>
            <w:gridSpan w:val="5"/>
          </w:tcPr>
          <w:p>
            <w:pPr>
              <w:ind w:left="80"/>
              <w:spacing w:after="0" w:line="137" w:lineRule="exact"/>
              <w:rPr>
                <w:sz w:val="20"/>
                <w:szCs w:val="20"/>
                <w:color w:val="auto"/>
              </w:rPr>
            </w:pPr>
            <w:r>
              <w:rPr>
                <w:rFonts w:ascii="Arial" w:cs="Arial" w:eastAsia="Arial" w:hAnsi="Arial"/>
                <w:sz w:val="14"/>
                <w:szCs w:val="14"/>
                <w:color w:val="auto"/>
              </w:rPr>
              <w:t>J.P. Morgan Securities LLC (“JPMS”)</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Denominations:</w:t>
            </w:r>
          </w:p>
        </w:tc>
        <w:tc>
          <w:tcPr>
            <w:tcW w:w="3560" w:type="dxa"/>
            <w:vAlign w:val="bottom"/>
            <w:tcBorders>
              <w:bottom w:val="single" w:sz="8" w:color="auto"/>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$1,000 and any integral multiple of $1,000</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bottom w:val="single" w:sz="8" w:color="auto"/>
              <w:right w:val="single" w:sz="8" w:color="auto"/>
            </w:tcBorders>
          </w:tcPr>
          <w:p>
            <w:pPr>
              <w:ind w:left="100"/>
              <w:spacing w:after="0" w:line="150" w:lineRule="exact"/>
              <w:rPr>
                <w:sz w:val="20"/>
                <w:szCs w:val="20"/>
                <w:color w:val="auto"/>
              </w:rPr>
            </w:pPr>
            <w:r>
              <w:rPr>
                <w:rFonts w:ascii="Arial" w:cs="Arial" w:eastAsia="Arial" w:hAnsi="Arial"/>
                <w:sz w:val="14"/>
                <w:szCs w:val="14"/>
                <w:color w:val="auto"/>
              </w:rPr>
              <w:t>CUSIP:</w:t>
            </w:r>
          </w:p>
        </w:tc>
        <w:tc>
          <w:tcPr>
            <w:tcW w:w="3560" w:type="dxa"/>
            <w:vAlign w:val="bottom"/>
            <w:tcBorders>
              <w:bottom w:val="single" w:sz="8" w:color="auto"/>
              <w:right w:val="single" w:sz="8" w:color="auto"/>
            </w:tcBorders>
            <w:gridSpan w:val="5"/>
          </w:tcPr>
          <w:p>
            <w:pPr>
              <w:ind w:left="80"/>
              <w:spacing w:after="0" w:line="150" w:lineRule="exact"/>
              <w:rPr>
                <w:sz w:val="20"/>
                <w:szCs w:val="20"/>
                <w:color w:val="auto"/>
              </w:rPr>
            </w:pPr>
            <w:r>
              <w:rPr>
                <w:rFonts w:ascii="Arial" w:cs="Arial" w:eastAsia="Arial" w:hAnsi="Arial"/>
                <w:sz w:val="14"/>
                <w:szCs w:val="14"/>
                <w:color w:val="auto"/>
              </w:rPr>
              <w:t>46661QK46</w:t>
            </w:r>
          </w:p>
        </w:tc>
        <w:tc>
          <w:tcPr>
            <w:tcW w:w="0" w:type="dxa"/>
            <w:vAlign w:val="bottom"/>
          </w:tcPr>
          <w:p>
            <w:pPr>
              <w:spacing w:after="0"/>
              <w:rPr>
                <w:sz w:val="1"/>
                <w:szCs w:val="1"/>
                <w:color w:val="auto"/>
              </w:rPr>
            </w:pPr>
          </w:p>
        </w:tc>
      </w:tr>
      <w:tr>
        <w:trPr>
          <w:trHeight w:val="141"/>
        </w:trPr>
        <w:tc>
          <w:tcPr>
            <w:tcW w:w="1940" w:type="dxa"/>
            <w:vAlign w:val="bottom"/>
            <w:tcBorders>
              <w:left w:val="single" w:sz="8" w:color="auto"/>
              <w:right w:val="single" w:sz="8" w:color="auto"/>
            </w:tcBorders>
          </w:tcPr>
          <w:p>
            <w:pPr>
              <w:ind w:left="100"/>
              <w:spacing w:after="0" w:line="141" w:lineRule="exact"/>
              <w:rPr>
                <w:sz w:val="20"/>
                <w:szCs w:val="20"/>
                <w:color w:val="auto"/>
              </w:rPr>
            </w:pPr>
            <w:r>
              <w:rPr>
                <w:rFonts w:ascii="Arial" w:cs="Arial" w:eastAsia="Arial" w:hAnsi="Arial"/>
                <w:sz w:val="14"/>
                <w:szCs w:val="14"/>
                <w:color w:val="auto"/>
              </w:rPr>
              <w:t>Fees and Commissions:</w:t>
            </w:r>
          </w:p>
        </w:tc>
        <w:tc>
          <w:tcPr>
            <w:tcW w:w="3560" w:type="dxa"/>
            <w:vAlign w:val="bottom"/>
            <w:tcBorders>
              <w:right w:val="single" w:sz="8" w:color="auto"/>
            </w:tcBorders>
            <w:gridSpan w:val="5"/>
          </w:tcPr>
          <w:p>
            <w:pPr>
              <w:ind w:left="80"/>
              <w:spacing w:after="0" w:line="141" w:lineRule="exact"/>
              <w:rPr>
                <w:sz w:val="20"/>
                <w:szCs w:val="20"/>
                <w:color w:val="auto"/>
              </w:rPr>
            </w:pPr>
            <w:r>
              <w:rPr>
                <w:rFonts w:ascii="Arial" w:cs="Arial" w:eastAsia="Arial" w:hAnsi="Arial"/>
                <w:sz w:val="14"/>
                <w:szCs w:val="14"/>
                <w:color w:val="auto"/>
              </w:rPr>
              <w:t>Up to 2.325% for Wells Fargo Securities, LLC</w:t>
            </w:r>
          </w:p>
        </w:tc>
        <w:tc>
          <w:tcPr>
            <w:tcW w:w="0" w:type="dxa"/>
            <w:vAlign w:val="bottom"/>
          </w:tcPr>
          <w:p>
            <w:pPr>
              <w:spacing w:after="0"/>
              <w:rPr>
                <w:sz w:val="1"/>
                <w:szCs w:val="1"/>
                <w:color w:val="auto"/>
              </w:rPr>
            </w:pPr>
          </w:p>
        </w:tc>
      </w:tr>
      <w:tr>
        <w:trPr>
          <w:trHeight w:val="153"/>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3" w:lineRule="exact"/>
              <w:rPr>
                <w:sz w:val="20"/>
                <w:szCs w:val="20"/>
                <w:color w:val="auto"/>
              </w:rPr>
            </w:pPr>
            <w:r>
              <w:rPr>
                <w:rFonts w:ascii="Arial" w:cs="Arial" w:eastAsia="Arial" w:hAnsi="Arial"/>
                <w:sz w:val="14"/>
                <w:szCs w:val="14"/>
                <w:color w:val="auto"/>
              </w:rPr>
              <w:t>(“WFS”); WFS has advised us that dealers, including</w:t>
            </w:r>
          </w:p>
        </w:tc>
        <w:tc>
          <w:tcPr>
            <w:tcW w:w="0" w:type="dxa"/>
            <w:vAlign w:val="bottom"/>
          </w:tcPr>
          <w:p>
            <w:pPr>
              <w:spacing w:after="0"/>
              <w:rPr>
                <w:sz w:val="1"/>
                <w:szCs w:val="1"/>
                <w:color w:val="auto"/>
              </w:rPr>
            </w:pP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80" w:type="dxa"/>
            <w:vAlign w:val="bottom"/>
            <w:tcBorders>
              <w:right w:val="single" w:sz="8" w:color="auto"/>
            </w:tcBorders>
            <w:gridSpan w:val="3"/>
            <w:vMerge w:val="restart"/>
          </w:tcPr>
          <w:p>
            <w:pPr>
              <w:spacing w:after="0" w:line="157" w:lineRule="exact"/>
              <w:rPr>
                <w:sz w:val="20"/>
                <w:szCs w:val="20"/>
                <w:color w:val="auto"/>
              </w:rPr>
            </w:pPr>
            <w:r>
              <w:rPr>
                <w:rFonts w:ascii="Arial" w:cs="Arial" w:eastAsia="Arial" w:hAnsi="Arial"/>
                <w:sz w:val="14"/>
                <w:szCs w:val="14"/>
                <w:color w:val="auto"/>
              </w:rPr>
              <w:t>Fargo Advisors (“WFA”), may receive 1.75% of</w:t>
            </w:r>
          </w:p>
        </w:tc>
        <w:tc>
          <w:tcPr>
            <w:tcW w:w="0" w:type="dxa"/>
            <w:vAlign w:val="bottom"/>
          </w:tcPr>
          <w:p>
            <w:pPr>
              <w:spacing w:after="0" w:line="20" w:lineRule="exact"/>
              <w:rPr>
                <w:sz w:val="1"/>
                <w:szCs w:val="1"/>
                <w:color w:val="auto"/>
              </w:rPr>
            </w:pPr>
          </w:p>
        </w:tc>
      </w:tr>
      <w:tr>
        <w:trPr>
          <w:trHeight w:val="137"/>
        </w:trPr>
        <w:tc>
          <w:tcPr>
            <w:tcW w:w="1940" w:type="dxa"/>
            <w:vAlign w:val="bottom"/>
            <w:tcBorders>
              <w:left w:val="single" w:sz="8" w:color="auto"/>
              <w:right w:val="single" w:sz="8" w:color="auto"/>
            </w:tcBorders>
          </w:tcPr>
          <w:p>
            <w:pPr>
              <w:spacing w:after="0"/>
              <w:rPr>
                <w:sz w:val="11"/>
                <w:szCs w:val="11"/>
                <w:color w:val="auto"/>
              </w:rPr>
            </w:pPr>
          </w:p>
        </w:tc>
        <w:tc>
          <w:tcPr>
            <w:tcW w:w="48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Wells</w:t>
            </w:r>
          </w:p>
        </w:tc>
        <w:tc>
          <w:tcPr>
            <w:tcW w:w="308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80"/>
              <w:spacing w:after="0" w:line="141" w:lineRule="exact"/>
              <w:rPr>
                <w:sz w:val="20"/>
                <w:szCs w:val="20"/>
                <w:color w:val="auto"/>
              </w:rPr>
            </w:pPr>
            <w:r>
              <w:rPr>
                <w:rFonts w:ascii="Arial" w:cs="Arial" w:eastAsia="Arial" w:hAnsi="Arial"/>
                <w:sz w:val="14"/>
                <w:szCs w:val="14"/>
                <w:color w:val="auto"/>
              </w:rPr>
              <w:t>WFS’s fee, and WFA may also receive a distribution</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expense fee of 0.075%. In addition, in respect of</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certain securities sold in this offering, JPMS may pay</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a fee of up to 0.20% to selected dealers in</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consideration for marketing and other services in</w:t>
            </w:r>
          </w:p>
        </w:tc>
        <w:tc>
          <w:tcPr>
            <w:tcW w:w="0" w:type="dxa"/>
            <w:vAlign w:val="bottom"/>
          </w:tcPr>
          <w:p>
            <w:pPr>
              <w:spacing w:after="0"/>
              <w:rPr>
                <w:sz w:val="1"/>
                <w:szCs w:val="1"/>
                <w:color w:val="auto"/>
              </w:rPr>
            </w:pPr>
          </w:p>
        </w:tc>
      </w:tr>
      <w:tr>
        <w:trPr>
          <w:trHeight w:val="157"/>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80"/>
              <w:spacing w:after="0" w:line="157" w:lineRule="exact"/>
              <w:rPr>
                <w:sz w:val="20"/>
                <w:szCs w:val="20"/>
                <w:color w:val="auto"/>
              </w:rPr>
            </w:pPr>
            <w:r>
              <w:rPr>
                <w:rFonts w:ascii="Arial" w:cs="Arial" w:eastAsia="Arial" w:hAnsi="Arial"/>
                <w:sz w:val="14"/>
                <w:szCs w:val="14"/>
                <w:color w:val="auto"/>
              </w:rPr>
              <w:t>connection with the distribution of the securities to</w:t>
            </w:r>
          </w:p>
        </w:tc>
        <w:tc>
          <w:tcPr>
            <w:tcW w:w="0" w:type="dxa"/>
            <w:vAlign w:val="bottom"/>
          </w:tcPr>
          <w:p>
            <w:pPr>
              <w:spacing w:after="0"/>
              <w:rPr>
                <w:sz w:val="1"/>
                <w:szCs w:val="1"/>
                <w:color w:val="auto"/>
              </w:rPr>
            </w:pPr>
          </w:p>
        </w:tc>
      </w:tr>
      <w:tr>
        <w:trPr>
          <w:trHeight w:val="166"/>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35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4"/>
                <w:szCs w:val="14"/>
                <w:color w:val="auto"/>
              </w:rPr>
              <w:t>other dealers.</w:t>
            </w:r>
          </w:p>
        </w:tc>
        <w:tc>
          <w:tcPr>
            <w:tcW w:w="0" w:type="dxa"/>
            <w:vAlign w:val="bottom"/>
          </w:tcPr>
          <w:p>
            <w:pPr>
              <w:spacing w:after="0"/>
              <w:rPr>
                <w:sz w:val="1"/>
                <w:szCs w:val="1"/>
                <w:color w:val="auto"/>
              </w:rPr>
            </w:pPr>
          </w:p>
        </w:tc>
      </w:tr>
      <w:tr>
        <w:trPr>
          <w:trHeight w:val="150"/>
        </w:trPr>
        <w:tc>
          <w:tcPr>
            <w:tcW w:w="1940" w:type="dxa"/>
            <w:vAlign w:val="bottom"/>
            <w:tcBorders>
              <w:left w:val="single" w:sz="8" w:color="auto"/>
              <w:bottom w:val="single" w:sz="8" w:color="auto"/>
              <w:right w:val="single" w:sz="8" w:color="auto"/>
            </w:tcBorders>
          </w:tcPr>
          <w:p>
            <w:pPr>
              <w:ind w:left="100"/>
              <w:spacing w:after="0" w:line="150" w:lineRule="exact"/>
              <w:rPr>
                <w:sz w:val="20"/>
                <w:szCs w:val="20"/>
                <w:color w:val="auto"/>
              </w:rPr>
            </w:pPr>
            <w:r>
              <w:rPr>
                <w:rFonts w:ascii="Arial" w:cs="Arial" w:eastAsia="Arial" w:hAnsi="Arial"/>
                <w:sz w:val="14"/>
                <w:szCs w:val="14"/>
                <w:color w:val="auto"/>
              </w:rPr>
              <w:t>Tax Considerations:</w:t>
            </w:r>
          </w:p>
        </w:tc>
        <w:tc>
          <w:tcPr>
            <w:tcW w:w="3560" w:type="dxa"/>
            <w:vAlign w:val="bottom"/>
            <w:tcBorders>
              <w:bottom w:val="single" w:sz="8" w:color="auto"/>
              <w:right w:val="single" w:sz="8" w:color="auto"/>
            </w:tcBorders>
            <w:gridSpan w:val="5"/>
          </w:tcPr>
          <w:p>
            <w:pPr>
              <w:ind w:left="80"/>
              <w:spacing w:after="0" w:line="150" w:lineRule="exact"/>
              <w:rPr>
                <w:sz w:val="20"/>
                <w:szCs w:val="20"/>
                <w:color w:val="auto"/>
              </w:rPr>
            </w:pPr>
            <w:r>
              <w:rPr>
                <w:rFonts w:ascii="Arial" w:cs="Arial" w:eastAsia="Arial" w:hAnsi="Arial"/>
                <w:sz w:val="14"/>
                <w:szCs w:val="14"/>
                <w:color w:val="auto"/>
              </w:rPr>
              <w:t>See the preliminary pricing supplement.</w:t>
            </w:r>
          </w:p>
        </w:tc>
        <w:tc>
          <w:tcPr>
            <w:tcW w:w="0" w:type="dxa"/>
            <w:vAlign w:val="bottom"/>
          </w:tcPr>
          <w:p>
            <w:pPr>
              <w:spacing w:after="0"/>
              <w:rPr>
                <w:sz w:val="1"/>
                <w:szCs w:val="1"/>
                <w:color w:val="auto"/>
              </w:rPr>
            </w:pPr>
          </w:p>
        </w:tc>
      </w:tr>
      <w:tr>
        <w:trPr>
          <w:trHeight w:val="172"/>
        </w:trPr>
        <w:tc>
          <w:tcPr>
            <w:tcW w:w="1940" w:type="dxa"/>
            <w:vAlign w:val="bottom"/>
            <w:tcBorders>
              <w:left w:val="single" w:sz="8" w:color="auto"/>
            </w:tcBorders>
          </w:tcPr>
          <w:p>
            <w:pPr>
              <w:ind w:left="100"/>
              <w:spacing w:after="0" w:line="173" w:lineRule="exact"/>
              <w:rPr>
                <w:sz w:val="20"/>
                <w:szCs w:val="20"/>
                <w:color w:val="auto"/>
              </w:rPr>
            </w:pPr>
            <w:r>
              <w:rPr>
                <w:rFonts w:ascii="Arial" w:cs="Arial" w:eastAsia="Arial" w:hAnsi="Arial"/>
                <w:sz w:val="19"/>
                <w:szCs w:val="19"/>
                <w:color w:val="auto"/>
                <w:vertAlign w:val="superscript"/>
              </w:rPr>
              <w:t>1</w:t>
            </w:r>
            <w:r>
              <w:rPr>
                <w:rFonts w:ascii="Arial" w:cs="Arial" w:eastAsia="Arial" w:hAnsi="Arial"/>
                <w:sz w:val="12"/>
                <w:szCs w:val="12"/>
                <w:color w:val="auto"/>
              </w:rPr>
              <w:t xml:space="preserve"> Subject to change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bottom w:val="single" w:sz="8" w:color="auto"/>
            </w:tcBorders>
          </w:tcPr>
          <w:p>
            <w:pPr>
              <w:ind w:left="100"/>
              <w:spacing w:after="0" w:line="187"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3"/>
                <w:szCs w:val="13"/>
                <w:color w:val="auto"/>
              </w:rPr>
              <w:t xml:space="preserve"> Subject to postponement</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right="840" w:hanging="10"/>
        <w:spacing w:after="0" w:line="280" w:lineRule="auto"/>
        <w:rPr>
          <w:sz w:val="20"/>
          <w:szCs w:val="20"/>
          <w:color w:val="auto"/>
        </w:rPr>
      </w:pPr>
      <w:r>
        <w:rPr>
          <w:rFonts w:ascii="Arial" w:cs="Arial" w:eastAsia="Arial" w:hAnsi="Arial"/>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1905</wp:posOffset>
            </wp:positionV>
            <wp:extent cx="3534410" cy="2317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4410" cy="2317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60"/>
        <w:spacing w:after="0" w:line="247" w:lineRule="auto"/>
        <w:rPr>
          <w:sz w:val="20"/>
          <w:szCs w:val="20"/>
          <w:color w:val="auto"/>
        </w:rPr>
      </w:pPr>
      <w:r>
        <w:rPr>
          <w:rFonts w:ascii="Arial" w:cs="Arial" w:eastAsia="Arial" w:hAnsi="Arial"/>
          <w:sz w:val="14"/>
          <w:szCs w:val="14"/>
          <w:b w:val="1"/>
          <w:bCs w:val="1"/>
          <w:color w:val="auto"/>
        </w:rPr>
        <w:t>If the securities are not automatically called prior to maturity and the ending price of the lowest performing Underlying Stock on the final calculation day is less than its threshold price, you will lose more than 50%, and possibly all, of the principal amount of your securities at maturity.</w:t>
      </w:r>
    </w:p>
    <w:p>
      <w:pPr>
        <w:ind w:right="160"/>
        <w:spacing w:after="0" w:line="242" w:lineRule="auto"/>
        <w:rPr>
          <w:sz w:val="20"/>
          <w:szCs w:val="20"/>
          <w:color w:val="auto"/>
        </w:rPr>
      </w:pPr>
      <w:r>
        <w:rPr>
          <w:rFonts w:ascii="Arial" w:cs="Arial" w:eastAsia="Arial" w:hAnsi="Arial"/>
          <w:sz w:val="14"/>
          <w:szCs w:val="14"/>
          <w:b w:val="1"/>
          <w:bCs w:val="1"/>
          <w:color w:val="auto"/>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spacing w:after="0" w:line="4" w:lineRule="exact"/>
        <w:rPr>
          <w:sz w:val="24"/>
          <w:szCs w:val="24"/>
          <w:color w:val="auto"/>
        </w:rPr>
      </w:pPr>
    </w:p>
    <w:p>
      <w:pPr>
        <w:ind w:right="140"/>
        <w:spacing w:after="0" w:line="243" w:lineRule="auto"/>
        <w:rPr>
          <w:sz w:val="20"/>
          <w:szCs w:val="20"/>
          <w:color w:val="auto"/>
        </w:rPr>
      </w:pPr>
      <w:r>
        <w:rPr>
          <w:rFonts w:ascii="Arial" w:cs="Arial" w:eastAsia="Arial" w:hAnsi="Arial"/>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4"/>
          <w:szCs w:val="14"/>
          <w:b w:val="1"/>
          <w:bCs w:val="1"/>
          <w:color w:val="auto"/>
        </w:rPr>
        <w:t>Any payment</w:t>
      </w:r>
      <w:r>
        <w:rPr>
          <w:rFonts w:ascii="Arial" w:cs="Arial" w:eastAsia="Arial" w:hAnsi="Arial"/>
          <w:sz w:val="14"/>
          <w:szCs w:val="14"/>
          <w:color w:val="auto"/>
        </w:rPr>
        <w:t xml:space="preserve"> </w:t>
      </w:r>
      <w:r>
        <w:rPr>
          <w:rFonts w:ascii="Arial" w:cs="Arial" w:eastAsia="Arial" w:hAnsi="Arial"/>
          <w:sz w:val="14"/>
          <w:szCs w:val="14"/>
          <w:b w:val="1"/>
          <w:bCs w:val="1"/>
          <w:color w:val="auto"/>
        </w:rPr>
        <w:t>on the securities is subject to the credit risk of JPMorgan Financial, as issuer of the securities, and the credit risk of JPMorgan Chase &amp; Co., as guarantor of the securities.</w:t>
      </w:r>
    </w:p>
    <w:p>
      <w:pPr>
        <w:spacing w:after="0" w:line="3" w:lineRule="exact"/>
        <w:rPr>
          <w:sz w:val="24"/>
          <w:szCs w:val="24"/>
          <w:color w:val="auto"/>
        </w:rPr>
      </w:pPr>
    </w:p>
    <w:p>
      <w:pPr>
        <w:ind w:right="120"/>
        <w:spacing w:after="0"/>
        <w:rPr>
          <w:sz w:val="20"/>
          <w:szCs w:val="20"/>
          <w:color w:val="auto"/>
        </w:rPr>
      </w:pPr>
      <w:r>
        <w:rPr>
          <w:rFonts w:ascii="Arial" w:cs="Arial" w:eastAsia="Arial" w:hAnsi="Arial"/>
          <w:sz w:val="14"/>
          <w:szCs w:val="14"/>
          <w:color w:val="auto"/>
        </w:rPr>
        <w:t>If the securities priced on the date of the accompanying preliminary pricing supplement, the estimated value of the securities would be approximately $931.80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Preliminary Pricing Supplement:</w:t>
      </w:r>
    </w:p>
    <w:p>
      <w:pPr>
        <w:spacing w:after="0" w:line="5" w:lineRule="exact"/>
        <w:rPr>
          <w:sz w:val="24"/>
          <w:szCs w:val="24"/>
          <w:color w:val="auto"/>
        </w:rPr>
      </w:pPr>
    </w:p>
    <w:p>
      <w:pPr>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http://www.sec.gov/Archives/edgar/data/19617/000121390026116020/</w:t>
        </w:r>
      </w:hyperlink>
    </w:p>
    <w:p>
      <w:pPr>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ea0310983-01_424b2.htm</w:t>
        </w:r>
      </w:hyperlink>
    </w:p>
    <w:p>
      <w:pPr>
        <w:spacing w:after="0" w:line="21" w:lineRule="exact"/>
        <w:rPr>
          <w:sz w:val="24"/>
          <w:szCs w:val="24"/>
          <w:color w:val="auto"/>
        </w:rPr>
      </w:pPr>
    </w:p>
    <w:p>
      <w:pPr>
        <w:sectPr>
          <w:pgSz w:w="11900" w:h="16838" w:orient="portrait"/>
          <w:cols w:equalWidth="0" w:num="2">
            <w:col w:w="5500" w:space="240"/>
            <w:col w:w="5500"/>
          </w:cols>
          <w:pgMar w:left="320" w:top="212" w:right="339" w:bottom="630" w:gutter="0" w:footer="0" w:header="0"/>
          <w:type w:val="continuous"/>
        </w:sectPr>
      </w:pPr>
    </w:p>
    <w:p>
      <w:pPr>
        <w:ind w:right="20"/>
        <w:spacing w:after="0" w:line="247" w:lineRule="auto"/>
        <w:rPr>
          <w:sz w:val="20"/>
          <w:szCs w:val="20"/>
          <w:color w:val="auto"/>
        </w:rPr>
      </w:pPr>
      <w:r>
        <w:rPr>
          <w:rFonts w:ascii="Arial" w:cs="Arial" w:eastAsia="Arial" w:hAnsi="Arial"/>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1" w:lineRule="exact"/>
        <w:rPr>
          <w:sz w:val="24"/>
          <w:szCs w:val="24"/>
          <w:color w:val="auto"/>
        </w:rPr>
      </w:pPr>
    </w:p>
    <w:p>
      <w:pPr>
        <w:ind w:right="100"/>
        <w:spacing w:after="0" w:line="247" w:lineRule="auto"/>
        <w:rPr>
          <w:sz w:val="20"/>
          <w:szCs w:val="20"/>
          <w:color w:val="auto"/>
        </w:rPr>
      </w:pPr>
      <w:r>
        <w:rPr>
          <w:rFonts w:ascii="Arial" w:cs="Arial" w:eastAsia="Arial" w:hAnsi="Arial"/>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 w:lineRule="exact"/>
        <w:rPr>
          <w:sz w:val="24"/>
          <w:szCs w:val="24"/>
          <w:color w:val="auto"/>
        </w:rPr>
      </w:pPr>
    </w:p>
    <w:p>
      <w:pPr>
        <w:ind w:right="60"/>
        <w:spacing w:after="0" w:line="280" w:lineRule="auto"/>
        <w:rPr>
          <w:sz w:val="20"/>
          <w:szCs w:val="20"/>
          <w:color w:val="auto"/>
        </w:rPr>
      </w:pPr>
      <w:r>
        <w:rPr>
          <w:rFonts w:ascii="Arial" w:cs="Arial" w:eastAsia="Arial" w:hAnsi="Arial"/>
          <w:sz w:val="14"/>
          <w:szCs w:val="14"/>
          <w:b w:val="1"/>
          <w:bCs w:val="1"/>
          <w:color w:val="C00000"/>
        </w:rPr>
        <w:t xml:space="preserve">THIS FACT SHEET DOES NOT PROVIDE ALL OF THE INFORMATION THAT AN INVESTOR SHOULD CONSIDER PRIOR TO MAKING AN INVESTMENT DECISION. </w:t>
      </w:r>
      <w:r>
        <w:rPr>
          <w:rFonts w:ascii="Arial" w:cs="Arial" w:eastAsia="Arial" w:hAnsi="Arial"/>
          <w:sz w:val="14"/>
          <w:szCs w:val="14"/>
          <w:b w:val="1"/>
          <w:bCs w:val="1"/>
          <w:color w:val="000000"/>
        </w:rPr>
        <w:t>This fact</w:t>
      </w:r>
      <w:r>
        <w:rPr>
          <w:rFonts w:ascii="Arial" w:cs="Arial" w:eastAsia="Arial" w:hAnsi="Arial"/>
          <w:sz w:val="14"/>
          <w:szCs w:val="14"/>
          <w:b w:val="1"/>
          <w:bCs w:val="1"/>
          <w:color w:val="C00000"/>
        </w:rPr>
        <w:t xml:space="preserve"> </w:t>
      </w:r>
      <w:r>
        <w:rPr>
          <w:rFonts w:ascii="Arial" w:cs="Arial" w:eastAsia="Arial" w:hAnsi="Arial"/>
          <w:sz w:val="14"/>
          <w:szCs w:val="14"/>
          <w:b w:val="1"/>
          <w:bCs w:val="1"/>
          <w:color w:val="000000"/>
        </w:rPr>
        <w:t>sheet should be read in conjunction with the accompanying preliminary pricing supplement, prospectus, prospectus supplement and product supplement.</w:t>
      </w:r>
    </w:p>
    <w:p>
      <w:pPr>
        <w:sectPr>
          <w:pgSz w:w="11900" w:h="16838" w:orient="portrait"/>
          <w:cols w:equalWidth="0" w:num="1">
            <w:col w:w="11240"/>
          </w:cols>
          <w:pgMar w:left="320" w:top="212" w:right="339" w:bottom="63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8F8F8F"/>
        </w:rPr>
        <w:t>Selected Risk Considerations</w:t>
      </w:r>
    </w:p>
    <w:p>
      <w:pPr>
        <w:spacing w:after="0" w:line="153"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00"/>
          </w:cols>
          <w:pgMar w:left="320" w:top="509" w:right="379" w:bottom="1440" w:gutter="0" w:footer="0" w:header="0"/>
        </w:sectPr>
      </w:pPr>
    </w:p>
    <w:p>
      <w:pPr>
        <w:spacing w:after="0" w:line="354" w:lineRule="exact"/>
        <w:rPr>
          <w:sz w:val="20"/>
          <w:szCs w:val="20"/>
          <w:color w:val="auto"/>
        </w:rPr>
      </w:pPr>
    </w:p>
    <w:p>
      <w:pPr>
        <w:ind w:left="320" w:right="100" w:hanging="315"/>
        <w:spacing w:after="0" w:line="261"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spacing w:after="0" w:line="2" w:lineRule="exact"/>
        <w:rPr>
          <w:rFonts w:ascii="Arial" w:cs="Arial" w:eastAsia="Arial" w:hAnsi="Arial"/>
          <w:sz w:val="17"/>
          <w:szCs w:val="17"/>
          <w:b w:val="1"/>
          <w:bCs w:val="1"/>
          <w:color w:val="auto"/>
        </w:rPr>
      </w:pPr>
    </w:p>
    <w:p>
      <w:pPr>
        <w:ind w:left="320" w:right="24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Securities Do Not Guarantee the Payment of Interest and May Not Pay Any Interest at All.</w:t>
      </w:r>
    </w:p>
    <w:p>
      <w:pPr>
        <w:jc w:val="both"/>
        <w:ind w:left="320" w:right="140" w:hanging="315"/>
        <w:spacing w:after="0" w:line="262"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Potential Return on the Securities Is Limited to the Sum of Any Contingent Coupon Payments and You Will Not Participate in Any Appreciation of Any Underlying Stock.</w:t>
      </w:r>
    </w:p>
    <w:p>
      <w:pPr>
        <w:ind w:left="300" w:hanging="295"/>
        <w:spacing w:after="0"/>
        <w:tabs>
          <w:tab w:leader="none" w:pos="30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You Will Be Subject to Reinvestment Risk.</w:t>
      </w:r>
    </w:p>
    <w:p>
      <w:pPr>
        <w:spacing w:after="0" w:line="26" w:lineRule="exact"/>
        <w:rPr>
          <w:rFonts w:ascii="Arial" w:cs="Arial" w:eastAsia="Arial" w:hAnsi="Arial"/>
          <w:sz w:val="17"/>
          <w:szCs w:val="17"/>
          <w:b w:val="1"/>
          <w:bCs w:val="1"/>
          <w:color w:val="auto"/>
        </w:rPr>
      </w:pPr>
    </w:p>
    <w:p>
      <w:pPr>
        <w:ind w:left="32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Securities Are Subject to the Credit Risks of JPMorgan Financial and JPMorgan Chase &amp; Co.</w:t>
      </w:r>
    </w:p>
    <w:p>
      <w:pPr>
        <w:ind w:left="320" w:right="20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As a Finance Subsidiary, JPMorgan Financial Has No Independent Activities and Has Limited Assets.</w:t>
      </w:r>
    </w:p>
    <w:p>
      <w:pPr>
        <w:ind w:left="320" w:right="78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You Are Exposed to the Risk of Decline in the Price of Each Underlying Stock.</w:t>
      </w:r>
    </w:p>
    <w:p>
      <w:pPr>
        <w:ind w:left="320" w:right="14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Your Maturity Payment Amount Will Be Determined by the Lowest Performing Underlying Stock.</w:t>
      </w:r>
    </w:p>
    <w:p>
      <w:pPr>
        <w:ind w:left="320" w:right="6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You Will Be Subject to Risks Resulting from the Relationship Among the Underlying Stocks.</w:t>
      </w:r>
    </w:p>
    <w:p>
      <w:pPr>
        <w:ind w:left="300" w:hanging="295"/>
        <w:spacing w:after="0"/>
        <w:tabs>
          <w:tab w:leader="none" w:pos="30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Higher Contingent Coupon Rates Are Associated with Greater Risk.</w:t>
      </w:r>
    </w:p>
    <w:p>
      <w:pPr>
        <w:spacing w:after="0" w:line="26" w:lineRule="exact"/>
        <w:rPr>
          <w:rFonts w:ascii="Arial" w:cs="Arial" w:eastAsia="Arial" w:hAnsi="Arial"/>
          <w:sz w:val="17"/>
          <w:szCs w:val="17"/>
          <w:b w:val="1"/>
          <w:bCs w:val="1"/>
          <w:color w:val="auto"/>
        </w:rPr>
      </w:pPr>
    </w:p>
    <w:p>
      <w:pPr>
        <w:ind w:left="320" w:right="18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Benefit Provided by the Threshold Price May Terminate on the Final Calculation Day.</w:t>
      </w:r>
    </w:p>
    <w:p>
      <w:pPr>
        <w:ind w:left="300" w:hanging="295"/>
        <w:spacing w:after="0"/>
        <w:tabs>
          <w:tab w:leader="none" w:pos="30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No Dividend Payments or Voting Rights</w:t>
      </w:r>
    </w:p>
    <w:p>
      <w:pPr>
        <w:spacing w:after="0" w:line="26" w:lineRule="exact"/>
        <w:rPr>
          <w:rFonts w:ascii="Arial" w:cs="Arial" w:eastAsia="Arial" w:hAnsi="Arial"/>
          <w:sz w:val="17"/>
          <w:szCs w:val="17"/>
          <w:b w:val="1"/>
          <w:bCs w:val="1"/>
          <w:color w:val="auto"/>
        </w:rPr>
      </w:pPr>
    </w:p>
    <w:p>
      <w:pPr>
        <w:ind w:left="300" w:hanging="295"/>
        <w:spacing w:after="0"/>
        <w:tabs>
          <w:tab w:leader="none" w:pos="30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Lack of Liquidity</w:t>
      </w:r>
    </w:p>
    <w:p>
      <w:pPr>
        <w:spacing w:after="0" w:line="26" w:lineRule="exact"/>
        <w:rPr>
          <w:rFonts w:ascii="Arial" w:cs="Arial" w:eastAsia="Arial" w:hAnsi="Arial"/>
          <w:sz w:val="17"/>
          <w:szCs w:val="17"/>
          <w:b w:val="1"/>
          <w:bCs w:val="1"/>
          <w:color w:val="auto"/>
        </w:rPr>
      </w:pPr>
    </w:p>
    <w:p>
      <w:pPr>
        <w:ind w:left="320" w:right="24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Final Terms and Estimated Valuation of the Securities Will Be Provided in the Pricing Supplement.</w:t>
      </w:r>
    </w:p>
    <w:p>
      <w:pPr>
        <w:ind w:left="320" w:right="140" w:hanging="315"/>
        <w:spacing w:after="0" w:line="264"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U.S. Federal Tax Consequences of the Securities Are Uncertain, and May Be Adverse to a Holder of the Securities.</w:t>
      </w:r>
    </w:p>
    <w:p>
      <w:pPr>
        <w:ind w:left="300" w:hanging="295"/>
        <w:spacing w:after="0"/>
        <w:tabs>
          <w:tab w:leader="none" w:pos="30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Potential Conflicts</w:t>
      </w:r>
    </w:p>
    <w:p>
      <w:pPr>
        <w:spacing w:after="0" w:line="26" w:lineRule="exact"/>
        <w:rPr>
          <w:rFonts w:ascii="Arial" w:cs="Arial" w:eastAsia="Arial" w:hAnsi="Arial"/>
          <w:sz w:val="17"/>
          <w:szCs w:val="17"/>
          <w:b w:val="1"/>
          <w:bCs w:val="1"/>
          <w:color w:val="auto"/>
        </w:rPr>
      </w:pPr>
    </w:p>
    <w:p>
      <w:pPr>
        <w:ind w:left="320" w:right="560" w:hanging="315"/>
        <w:spacing w:after="0" w:line="289" w:lineRule="auto"/>
        <w:tabs>
          <w:tab w:leader="none" w:pos="304"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309" w:right="420" w:hanging="309"/>
        <w:spacing w:after="0" w:line="268"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Estimated Value of the Securities Does Not Represent Future Values of the Securities and May Differ from Others’ Estimates.</w:t>
      </w:r>
    </w:p>
    <w:p>
      <w:pPr>
        <w:spacing w:after="0" w:line="1" w:lineRule="exact"/>
        <w:rPr>
          <w:rFonts w:ascii="Arial" w:cs="Arial" w:eastAsia="Arial" w:hAnsi="Arial"/>
          <w:sz w:val="17"/>
          <w:szCs w:val="17"/>
          <w:b w:val="1"/>
          <w:bCs w:val="1"/>
          <w:color w:val="auto"/>
        </w:rPr>
      </w:pPr>
    </w:p>
    <w:p>
      <w:pPr>
        <w:ind w:left="309" w:right="240" w:hanging="309"/>
        <w:spacing w:after="0" w:line="264"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Estimated Value of the Securities Is Derived by Reference to an Internal Funding Rate.</w:t>
      </w:r>
    </w:p>
    <w:p>
      <w:pPr>
        <w:ind w:left="309" w:right="100" w:hanging="309"/>
        <w:spacing w:after="0" w:line="260"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 w:lineRule="exact"/>
        <w:rPr>
          <w:rFonts w:ascii="Arial" w:cs="Arial" w:eastAsia="Arial" w:hAnsi="Arial"/>
          <w:sz w:val="17"/>
          <w:szCs w:val="17"/>
          <w:b w:val="1"/>
          <w:bCs w:val="1"/>
          <w:color w:val="auto"/>
        </w:rPr>
      </w:pPr>
    </w:p>
    <w:p>
      <w:pPr>
        <w:ind w:left="309" w:right="60" w:hanging="309"/>
        <w:spacing w:after="0" w:line="264"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Secondary Market Prices of the Securities Will Likely Be Lower Than the Original Issue Price of the Securities.</w:t>
      </w:r>
    </w:p>
    <w:p>
      <w:pPr>
        <w:ind w:left="309" w:right="380" w:hanging="309"/>
        <w:spacing w:after="0" w:line="264"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Many Economic and Market Factors Will Impact the Value of the Securities.</w:t>
      </w:r>
    </w:p>
    <w:p>
      <w:pPr>
        <w:ind w:left="289" w:hanging="289"/>
        <w:spacing w:after="0"/>
        <w:tabs>
          <w:tab w:leader="none" w:pos="289"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No Affiliation with Any Underlying Stock Issuer</w:t>
      </w:r>
    </w:p>
    <w:p>
      <w:pPr>
        <w:spacing w:after="0" w:line="26" w:lineRule="exact"/>
        <w:rPr>
          <w:rFonts w:ascii="Arial" w:cs="Arial" w:eastAsia="Arial" w:hAnsi="Arial"/>
          <w:sz w:val="17"/>
          <w:szCs w:val="17"/>
          <w:b w:val="1"/>
          <w:bCs w:val="1"/>
          <w:color w:val="auto"/>
        </w:rPr>
      </w:pPr>
    </w:p>
    <w:p>
      <w:pPr>
        <w:ind w:left="309" w:right="600" w:hanging="309"/>
        <w:spacing w:after="0" w:line="264"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Limited Trading History with Respect to the Common Stock of Marvell Technology, Inc.</w:t>
      </w:r>
    </w:p>
    <w:p>
      <w:pPr>
        <w:ind w:left="289" w:hanging="289"/>
        <w:spacing w:after="0"/>
        <w:tabs>
          <w:tab w:leader="none" w:pos="289"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The Anti-Dilution Protection Is Limited and May Be Discretionary.</w:t>
      </w:r>
    </w:p>
    <w:p>
      <w:pPr>
        <w:spacing w:after="0" w:line="26" w:lineRule="exact"/>
        <w:rPr>
          <w:rFonts w:ascii="Arial" w:cs="Arial" w:eastAsia="Arial" w:hAnsi="Arial"/>
          <w:sz w:val="17"/>
          <w:szCs w:val="17"/>
          <w:b w:val="1"/>
          <w:bCs w:val="1"/>
          <w:color w:val="auto"/>
        </w:rPr>
      </w:pPr>
    </w:p>
    <w:p>
      <w:pPr>
        <w:ind w:left="309" w:right="120" w:hanging="309"/>
        <w:spacing w:after="0" w:line="265" w:lineRule="auto"/>
        <w:tabs>
          <w:tab w:leader="none" w:pos="293" w:val="left"/>
        </w:tabs>
        <w:numPr>
          <w:ilvl w:val="0"/>
          <w:numId w:val="2"/>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spacing w:after="0" w:line="2836" w:lineRule="exact"/>
        <w:rPr>
          <w:sz w:val="20"/>
          <w:szCs w:val="20"/>
          <w:color w:val="auto"/>
        </w:rPr>
      </w:pPr>
    </w:p>
    <w:p>
      <w:pPr>
        <w:sectPr>
          <w:pgSz w:w="11900" w:h="16838" w:orient="portrait"/>
          <w:cols w:equalWidth="0" w:num="2">
            <w:col w:w="5500" w:space="131"/>
            <w:col w:w="5569"/>
          </w:cols>
          <w:pgMar w:left="320" w:top="50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43" w:lineRule="auto"/>
        <w:rPr>
          <w:sz w:val="20"/>
          <w:szCs w:val="20"/>
          <w:color w:val="auto"/>
        </w:rPr>
      </w:pPr>
      <w:r>
        <w:rPr>
          <w:rFonts w:ascii="Arial" w:cs="Arial" w:eastAsia="Arial" w:hAnsi="Arial"/>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8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8F8F8F"/>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00"/>
      </w:cols>
      <w:pgMar w:left="320" w:top="50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6116020/ea031098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2026-11-05T05:13:31Z</dcterms:created>
  <dcterms:modified xsi:type="dcterms:W3CDTF">2026-11-05T05:13:31Z</dcterms:modified>
</cp:coreProperties>
</file>