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0"/>
          <w:szCs w:val="20"/>
          <w:color w:val="auto"/>
        </w:rPr>
      </w:pPr>
    </w:p>
    <w:p>
      <w:pPr>
        <w:ind w:left="5260"/>
        <w:spacing w:after="0"/>
        <w:rPr>
          <w:sz w:val="20"/>
          <w:szCs w:val="20"/>
          <w:color w:val="auto"/>
        </w:rPr>
      </w:pPr>
      <w:r>
        <w:rPr>
          <w:rFonts w:ascii="Arial" w:cs="Arial" w:eastAsia="Arial" w:hAnsi="Arial"/>
          <w:sz w:val="22"/>
          <w:szCs w:val="22"/>
          <w:b w:val="1"/>
          <w:bCs w:val="1"/>
          <w:color w:val="auto"/>
        </w:rPr>
        <w:t>Form 8-K</w:t>
      </w:r>
    </w:p>
    <w:p>
      <w:pPr>
        <w:spacing w:after="0" w:line="98"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CURRENT REPORT PURSUANT TO SECTION 13 OR 15(d) OF</w:t>
      </w:r>
    </w:p>
    <w:p>
      <w:pPr>
        <w:spacing w:after="0" w:line="14" w:lineRule="exact"/>
        <w:rPr>
          <w:sz w:val="20"/>
          <w:szCs w:val="20"/>
          <w:color w:val="auto"/>
        </w:rPr>
      </w:pPr>
    </w:p>
    <w:p>
      <w:pPr>
        <w:ind w:left="34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74"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June 5, 2008</w:t>
      </w:r>
    </w:p>
    <w:p>
      <w:pPr>
        <w:spacing w:after="0" w:line="98"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JPMORGAN CHASE &amp; CO.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40" w:type="dxa"/>
            <w:vAlign w:val="bottom"/>
          </w:tcPr>
          <w:p>
            <w:pPr>
              <w:jc w:val="center"/>
              <w:ind w:right="492"/>
              <w:spacing w:after="0"/>
              <w:rPr>
                <w:sz w:val="20"/>
                <w:szCs w:val="20"/>
                <w:color w:val="auto"/>
              </w:rPr>
            </w:pPr>
            <w:r>
              <w:rPr>
                <w:rFonts w:ascii="Arial" w:cs="Arial" w:eastAsia="Arial" w:hAnsi="Arial"/>
                <w:sz w:val="22"/>
                <w:szCs w:val="22"/>
                <w:b w:val="1"/>
                <w:bCs w:val="1"/>
                <w:color w:val="auto"/>
                <w:w w:val="91"/>
              </w:rPr>
              <w:t>Delaware</w:t>
            </w:r>
          </w:p>
        </w:tc>
        <w:tc>
          <w:tcPr>
            <w:tcW w:w="3880" w:type="dxa"/>
            <w:vAlign w:val="bottom"/>
          </w:tcPr>
          <w:p>
            <w:pPr>
              <w:jc w:val="right"/>
              <w:ind w:right="1772"/>
              <w:spacing w:after="0"/>
              <w:rPr>
                <w:sz w:val="20"/>
                <w:szCs w:val="20"/>
                <w:color w:val="auto"/>
              </w:rPr>
            </w:pPr>
            <w:r>
              <w:rPr>
                <w:rFonts w:ascii="Arial" w:cs="Arial" w:eastAsia="Arial" w:hAnsi="Arial"/>
                <w:sz w:val="22"/>
                <w:szCs w:val="22"/>
                <w:b w:val="1"/>
                <w:bCs w:val="1"/>
                <w:color w:val="auto"/>
              </w:rPr>
              <w:t>1-5805</w:t>
            </w:r>
          </w:p>
        </w:tc>
        <w:tc>
          <w:tcPr>
            <w:tcW w:w="2600" w:type="dxa"/>
            <w:vAlign w:val="bottom"/>
          </w:tcPr>
          <w:p>
            <w:pPr>
              <w:jc w:val="center"/>
              <w:ind w:left="872"/>
              <w:spacing w:after="0"/>
              <w:rPr>
                <w:sz w:val="20"/>
                <w:szCs w:val="20"/>
                <w:color w:val="auto"/>
              </w:rPr>
            </w:pPr>
            <w:r>
              <w:rPr>
                <w:rFonts w:ascii="Arial" w:cs="Arial" w:eastAsia="Arial" w:hAnsi="Arial"/>
                <w:sz w:val="22"/>
                <w:szCs w:val="22"/>
                <w:b w:val="1"/>
                <w:bCs w:val="1"/>
                <w:color w:val="auto"/>
                <w:w w:val="90"/>
              </w:rPr>
              <w:t>13-2624428</w:t>
            </w:r>
          </w:p>
        </w:tc>
      </w:tr>
      <w:tr>
        <w:trPr>
          <w:trHeight w:val="243"/>
        </w:trPr>
        <w:tc>
          <w:tcPr>
            <w:tcW w:w="4040" w:type="dxa"/>
            <w:vAlign w:val="bottom"/>
          </w:tcPr>
          <w:p>
            <w:pPr>
              <w:jc w:val="center"/>
              <w:ind w:right="552"/>
              <w:spacing w:after="0" w:line="243" w:lineRule="exact"/>
              <w:rPr>
                <w:sz w:val="20"/>
                <w:szCs w:val="20"/>
                <w:color w:val="auto"/>
              </w:rPr>
            </w:pPr>
            <w:r>
              <w:rPr>
                <w:rFonts w:ascii="Arial" w:cs="Arial" w:eastAsia="Arial" w:hAnsi="Arial"/>
                <w:sz w:val="22"/>
                <w:szCs w:val="22"/>
                <w:color w:val="auto"/>
                <w:w w:val="90"/>
              </w:rPr>
              <w:t>(State or Other Jurisdiction of</w:t>
            </w:r>
          </w:p>
        </w:tc>
        <w:tc>
          <w:tcPr>
            <w:tcW w:w="3880" w:type="dxa"/>
            <w:vAlign w:val="bottom"/>
          </w:tcPr>
          <w:p>
            <w:pPr>
              <w:jc w:val="center"/>
              <w:ind w:right="392"/>
              <w:spacing w:after="0" w:line="243" w:lineRule="exact"/>
              <w:rPr>
                <w:sz w:val="20"/>
                <w:szCs w:val="20"/>
                <w:color w:val="auto"/>
              </w:rPr>
            </w:pPr>
            <w:r>
              <w:rPr>
                <w:rFonts w:ascii="Arial" w:cs="Arial" w:eastAsia="Arial" w:hAnsi="Arial"/>
                <w:sz w:val="22"/>
                <w:szCs w:val="22"/>
                <w:color w:val="auto"/>
                <w:w w:val="90"/>
              </w:rPr>
              <w:t>(Commission File Number)</w:t>
            </w:r>
          </w:p>
        </w:tc>
        <w:tc>
          <w:tcPr>
            <w:tcW w:w="2600" w:type="dxa"/>
            <w:vAlign w:val="bottom"/>
          </w:tcPr>
          <w:p>
            <w:pPr>
              <w:jc w:val="center"/>
              <w:ind w:left="872"/>
              <w:spacing w:after="0" w:line="243" w:lineRule="exact"/>
              <w:rPr>
                <w:sz w:val="20"/>
                <w:szCs w:val="20"/>
                <w:color w:val="auto"/>
              </w:rPr>
            </w:pPr>
            <w:r>
              <w:rPr>
                <w:rFonts w:ascii="Arial" w:cs="Arial" w:eastAsia="Arial" w:hAnsi="Arial"/>
                <w:sz w:val="22"/>
                <w:szCs w:val="22"/>
                <w:color w:val="auto"/>
                <w:w w:val="90"/>
              </w:rPr>
              <w:t>(IRS Employer</w:t>
            </w:r>
          </w:p>
        </w:tc>
      </w:tr>
      <w:tr>
        <w:trPr>
          <w:trHeight w:val="275"/>
        </w:trPr>
        <w:tc>
          <w:tcPr>
            <w:tcW w:w="4040" w:type="dxa"/>
            <w:vAlign w:val="bottom"/>
          </w:tcPr>
          <w:p>
            <w:pPr>
              <w:jc w:val="center"/>
              <w:ind w:right="492"/>
              <w:spacing w:after="0"/>
              <w:rPr>
                <w:sz w:val="20"/>
                <w:szCs w:val="20"/>
                <w:color w:val="auto"/>
              </w:rPr>
            </w:pPr>
            <w:r>
              <w:rPr>
                <w:rFonts w:ascii="Arial" w:cs="Arial" w:eastAsia="Arial" w:hAnsi="Arial"/>
                <w:sz w:val="22"/>
                <w:szCs w:val="22"/>
                <w:color w:val="auto"/>
                <w:w w:val="91"/>
              </w:rPr>
              <w:t>Incorporation)</w:t>
            </w:r>
          </w:p>
        </w:tc>
        <w:tc>
          <w:tcPr>
            <w:tcW w:w="3880" w:type="dxa"/>
            <w:vAlign w:val="bottom"/>
          </w:tcPr>
          <w:p>
            <w:pPr>
              <w:spacing w:after="0"/>
              <w:rPr>
                <w:sz w:val="23"/>
                <w:szCs w:val="23"/>
                <w:color w:val="auto"/>
              </w:rPr>
            </w:pPr>
          </w:p>
        </w:tc>
        <w:tc>
          <w:tcPr>
            <w:tcW w:w="2600" w:type="dxa"/>
            <w:vAlign w:val="bottom"/>
          </w:tcPr>
          <w:p>
            <w:pPr>
              <w:jc w:val="center"/>
              <w:ind w:left="872"/>
              <w:spacing w:after="0"/>
              <w:rPr>
                <w:sz w:val="20"/>
                <w:szCs w:val="20"/>
                <w:color w:val="auto"/>
              </w:rPr>
            </w:pPr>
            <w:r>
              <w:rPr>
                <w:rFonts w:ascii="Arial" w:cs="Arial" w:eastAsia="Arial" w:hAnsi="Arial"/>
                <w:sz w:val="22"/>
                <w:szCs w:val="22"/>
                <w:color w:val="auto"/>
                <w:w w:val="94"/>
              </w:rPr>
              <w:t>Identification No.)</w:t>
            </w:r>
          </w:p>
        </w:tc>
      </w:tr>
      <w:tr>
        <w:trPr>
          <w:trHeight w:val="455"/>
        </w:trPr>
        <w:tc>
          <w:tcPr>
            <w:tcW w:w="404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270 Park Avenue, New York, NY</w:t>
            </w:r>
          </w:p>
        </w:tc>
        <w:tc>
          <w:tcPr>
            <w:tcW w:w="3880" w:type="dxa"/>
            <w:vAlign w:val="bottom"/>
          </w:tcPr>
          <w:p>
            <w:pPr>
              <w:spacing w:after="0"/>
              <w:rPr>
                <w:sz w:val="24"/>
                <w:szCs w:val="24"/>
                <w:color w:val="auto"/>
              </w:rPr>
            </w:pPr>
          </w:p>
        </w:tc>
        <w:tc>
          <w:tcPr>
            <w:tcW w:w="2600" w:type="dxa"/>
            <w:vAlign w:val="bottom"/>
          </w:tcPr>
          <w:p>
            <w:pPr>
              <w:jc w:val="center"/>
              <w:ind w:left="912"/>
              <w:spacing w:after="0"/>
              <w:rPr>
                <w:sz w:val="20"/>
                <w:szCs w:val="20"/>
                <w:color w:val="auto"/>
              </w:rPr>
            </w:pPr>
            <w:r>
              <w:rPr>
                <w:rFonts w:ascii="Arial" w:cs="Arial" w:eastAsia="Arial" w:hAnsi="Arial"/>
                <w:sz w:val="22"/>
                <w:szCs w:val="22"/>
                <w:b w:val="1"/>
                <w:bCs w:val="1"/>
                <w:color w:val="auto"/>
                <w:w w:val="88"/>
              </w:rPr>
              <w:t>10017</w:t>
            </w:r>
          </w:p>
        </w:tc>
      </w:tr>
      <w:tr>
        <w:trPr>
          <w:trHeight w:val="275"/>
        </w:trPr>
        <w:tc>
          <w:tcPr>
            <w:tcW w:w="4040" w:type="dxa"/>
            <w:vAlign w:val="bottom"/>
          </w:tcPr>
          <w:p>
            <w:pPr>
              <w:jc w:val="center"/>
              <w:ind w:right="392"/>
              <w:spacing w:after="0"/>
              <w:rPr>
                <w:sz w:val="20"/>
                <w:szCs w:val="20"/>
                <w:color w:val="auto"/>
              </w:rPr>
            </w:pPr>
            <w:r>
              <w:rPr>
                <w:rFonts w:ascii="Arial" w:cs="Arial" w:eastAsia="Arial" w:hAnsi="Arial"/>
                <w:sz w:val="22"/>
                <w:szCs w:val="22"/>
                <w:color w:val="auto"/>
                <w:w w:val="91"/>
              </w:rPr>
              <w:t>(Address of Principal Executive Offices)</w:t>
            </w:r>
          </w:p>
        </w:tc>
        <w:tc>
          <w:tcPr>
            <w:tcW w:w="3880" w:type="dxa"/>
            <w:vAlign w:val="bottom"/>
          </w:tcPr>
          <w:p>
            <w:pPr>
              <w:spacing w:after="0"/>
              <w:rPr>
                <w:sz w:val="23"/>
                <w:szCs w:val="23"/>
                <w:color w:val="auto"/>
              </w:rPr>
            </w:pPr>
          </w:p>
        </w:tc>
        <w:tc>
          <w:tcPr>
            <w:tcW w:w="2600" w:type="dxa"/>
            <w:vAlign w:val="bottom"/>
          </w:tcPr>
          <w:p>
            <w:pPr>
              <w:jc w:val="center"/>
              <w:ind w:left="892"/>
              <w:spacing w:after="0"/>
              <w:rPr>
                <w:sz w:val="20"/>
                <w:szCs w:val="20"/>
                <w:color w:val="auto"/>
              </w:rPr>
            </w:pPr>
            <w:r>
              <w:rPr>
                <w:rFonts w:ascii="Arial" w:cs="Arial" w:eastAsia="Arial" w:hAnsi="Arial"/>
                <w:sz w:val="22"/>
                <w:szCs w:val="22"/>
                <w:color w:val="auto"/>
                <w:w w:val="92"/>
              </w:rPr>
              <w:t>(Zip Code)</w:t>
            </w:r>
          </w:p>
        </w:tc>
      </w:tr>
    </w:tbl>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(212) 270-6000</w:t>
      </w:r>
    </w:p>
    <w:p>
      <w:pPr>
        <w:spacing w:after="0" w:line="104"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1000" w:type="dxa"/>
            <w:vAlign w:val="bottom"/>
          </w:tcPr>
          <w:p>
            <w:pPr>
              <w:ind w:left="100"/>
              <w:spacing w:after="0"/>
              <w:rPr>
                <w:sz w:val="20"/>
                <w:szCs w:val="20"/>
                <w:color w:val="auto"/>
              </w:rPr>
            </w:pPr>
            <w:r>
              <w:rPr>
                <w:rFonts w:ascii="Arial" w:cs="Arial" w:eastAsia="Arial" w:hAnsi="Arial"/>
                <w:sz w:val="22"/>
                <w:szCs w:val="22"/>
                <w:color w:val="auto"/>
              </w:rPr>
              <w:t>Written communications pursuant to Rule 425 under the Securities Act (17 CFR 230.425)</w:t>
            </w:r>
          </w:p>
        </w:tc>
      </w:tr>
      <w:tr>
        <w:trPr>
          <w:trHeight w:val="486"/>
        </w:trPr>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1000" w:type="dxa"/>
            <w:vAlign w:val="bottom"/>
          </w:tcPr>
          <w:p>
            <w:pPr>
              <w:ind w:left="100"/>
              <w:spacing w:after="0"/>
              <w:rPr>
                <w:sz w:val="20"/>
                <w:szCs w:val="20"/>
                <w:color w:val="auto"/>
              </w:rPr>
            </w:pPr>
            <w:r>
              <w:rPr>
                <w:rFonts w:ascii="Arial" w:cs="Arial" w:eastAsia="Arial" w:hAnsi="Arial"/>
                <w:sz w:val="22"/>
                <w:szCs w:val="22"/>
                <w:color w:val="auto"/>
              </w:rPr>
              <w:t>Soliciting material pursuant to Rule 14a-12 under the Exchange Act (17 CFR 240.14a-12)</w:t>
            </w:r>
          </w:p>
        </w:tc>
      </w:tr>
      <w:tr>
        <w:trPr>
          <w:trHeight w:val="486"/>
        </w:trPr>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1000" w:type="dxa"/>
            <w:vAlign w:val="bottom"/>
          </w:tcPr>
          <w:p>
            <w:pPr>
              <w:ind w:left="100"/>
              <w:spacing w:after="0"/>
              <w:rPr>
                <w:sz w:val="20"/>
                <w:szCs w:val="20"/>
                <w:color w:val="auto"/>
              </w:rPr>
            </w:pPr>
            <w:r>
              <w:rPr>
                <w:rFonts w:ascii="Arial" w:cs="Arial" w:eastAsia="Arial" w:hAnsi="Arial"/>
                <w:sz w:val="22"/>
                <w:szCs w:val="22"/>
                <w:color w:val="auto"/>
                <w:w w:val="99"/>
              </w:rPr>
              <w:t>Pre-commencement communications pursuant to Rule 14d-2(b) under the Exchange Act (17 CFR 240.14d-2(b))</w:t>
            </w:r>
          </w:p>
        </w:tc>
      </w:tr>
      <w:tr>
        <w:trPr>
          <w:trHeight w:val="486"/>
        </w:trPr>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1000" w:type="dxa"/>
            <w:vAlign w:val="bottom"/>
          </w:tcPr>
          <w:p>
            <w:pPr>
              <w:ind w:left="100"/>
              <w:spacing w:after="0"/>
              <w:rPr>
                <w:sz w:val="20"/>
                <w:szCs w:val="20"/>
                <w:color w:val="auto"/>
              </w:rPr>
            </w:pPr>
            <w:r>
              <w:rPr>
                <w:rFonts w:ascii="Arial" w:cs="Arial" w:eastAsia="Arial" w:hAnsi="Arial"/>
                <w:sz w:val="22"/>
                <w:szCs w:val="22"/>
                <w:color w:val="auto"/>
              </w:rPr>
              <w:t>Pre-commencement communications pursuant to Rule 13e-4(c) under the Exchange Act (17 CFR 240.13e-4(c))</w:t>
            </w:r>
          </w:p>
        </w:tc>
      </w:tr>
      <w:tr>
        <w:trPr>
          <w:trHeight w:val="622"/>
        </w:trPr>
        <w:tc>
          <w:tcPr>
            <w:tcW w:w="1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8.01 — Other Events</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SIGNATURE</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1"/>
          <w:szCs w:val="21"/>
          <w:u w:val="single" w:color="auto"/>
          <w:color w:val="0000EE"/>
        </w:rPr>
        <w:t>EX-99.1: UNAUDITED PRO FORMA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138430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 Other Events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30, 2008, a wholly-owned subsidiary of JPMorgan Chase &amp; Co. merged with and into The Bear Stearns Companies, Inc., with Bear Stearns continuing as the surviving corporation and as a subsidiary of JPMorgan Chase (the “Merger”). As a result of the Merger, each outstanding share of Bear Stearns common stock was converted into the right to receive 0.21753 shares of JPMorgan Chase common stock. The Merger will be accounted for using the purchase method of accounting under U.S. generally accepted accounting principles.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Unaudited pro forma combined financial information for the three months ended March 31, 2008, and the year ended December 31, 2007, is set forth in this Form 8-K.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Exhibit Number</w:t>
            </w: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Description of Exhibit</w:t>
            </w:r>
          </w:p>
        </w:tc>
        <w:tc>
          <w:tcPr>
            <w:tcW w:w="7060" w:type="dxa"/>
            <w:vAlign w:val="bottom"/>
          </w:tcPr>
          <w:p>
            <w:pPr>
              <w:spacing w:after="0"/>
              <w:rPr>
                <w:sz w:val="17"/>
                <w:szCs w:val="17"/>
                <w:color w:val="auto"/>
              </w:rPr>
            </w:pPr>
          </w:p>
        </w:tc>
      </w:tr>
      <w:tr>
        <w:trPr>
          <w:trHeight w:val="438"/>
        </w:trPr>
        <w:tc>
          <w:tcPr>
            <w:tcW w:w="118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9460" w:type="dxa"/>
            <w:vAlign w:val="bottom"/>
            <w:gridSpan w:val="3"/>
          </w:tcPr>
          <w:p>
            <w:pPr>
              <w:ind w:left="780"/>
              <w:spacing w:after="0"/>
              <w:rPr>
                <w:sz w:val="20"/>
                <w:szCs w:val="20"/>
                <w:color w:val="auto"/>
              </w:rPr>
            </w:pPr>
            <w:r>
              <w:rPr>
                <w:rFonts w:ascii="Arial" w:cs="Arial" w:eastAsia="Arial" w:hAnsi="Arial"/>
                <w:sz w:val="18"/>
                <w:szCs w:val="18"/>
                <w:color w:val="auto"/>
                <w:w w:val="93"/>
              </w:rPr>
              <w:t>Unaudited pro forma combined financial information for the three months ended March 31, 2008, and the year ended</w:t>
            </w:r>
          </w:p>
        </w:tc>
      </w:tr>
      <w:tr>
        <w:trPr>
          <w:trHeight w:val="230"/>
        </w:trPr>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60" w:type="dxa"/>
            <w:vAlign w:val="bottom"/>
            <w:gridSpan w:val="3"/>
          </w:tcPr>
          <w:p>
            <w:pPr>
              <w:ind w:left="780"/>
              <w:spacing w:after="0"/>
              <w:rPr>
                <w:sz w:val="20"/>
                <w:szCs w:val="20"/>
                <w:color w:val="auto"/>
              </w:rPr>
            </w:pPr>
            <w:r>
              <w:rPr>
                <w:rFonts w:ascii="Arial" w:cs="Arial" w:eastAsia="Arial" w:hAnsi="Arial"/>
                <w:sz w:val="18"/>
                <w:szCs w:val="18"/>
                <w:color w:val="auto"/>
              </w:rPr>
              <w:t>December 31, 2007</w:t>
            </w:r>
          </w:p>
        </w:tc>
      </w:tr>
      <w:tr>
        <w:trPr>
          <w:trHeight w:val="405"/>
        </w:trPr>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60" w:type="dxa"/>
            <w:vAlign w:val="bottom"/>
            <w:gridSpan w:val="3"/>
          </w:tcPr>
          <w:p>
            <w:pPr>
              <w:jc w:val="right"/>
              <w:ind w:right="5660"/>
              <w:spacing w:after="0"/>
              <w:rPr>
                <w:sz w:val="20"/>
                <w:szCs w:val="20"/>
                <w:color w:val="auto"/>
              </w:rPr>
            </w:pPr>
            <w:r>
              <w:rPr>
                <w:rFonts w:ascii="Arial" w:cs="Arial" w:eastAsia="Arial" w:hAnsi="Arial"/>
                <w:sz w:val="18"/>
                <w:szCs w:val="18"/>
                <w:color w:val="auto"/>
              </w:rPr>
              <w:t>3</w:t>
            </w:r>
          </w:p>
        </w:tc>
      </w:tr>
      <w:tr>
        <w:trPr>
          <w:trHeight w:val="226"/>
        </w:trPr>
        <w:tc>
          <w:tcPr>
            <w:tcW w:w="1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7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jc w:val="center"/>
        <w:ind w:left="6000"/>
        <w:spacing w:after="0"/>
        <w:rPr>
          <w:sz w:val="20"/>
          <w:szCs w:val="20"/>
          <w:color w:val="auto"/>
        </w:rPr>
      </w:pPr>
      <w:r>
        <w:rPr>
          <w:rFonts w:ascii="Arial" w:cs="Arial" w:eastAsia="Arial" w:hAnsi="Arial"/>
          <w:sz w:val="18"/>
          <w:szCs w:val="18"/>
          <w:u w:val="single" w:color="auto"/>
          <w:color w:val="auto"/>
        </w:rPr>
        <w:t>JPMORGAN CHASE &amp; CO.</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Louis Rauchenberger</w:t>
      </w:r>
    </w:p>
    <w:p>
      <w:pPr>
        <w:spacing w:after="0" w:line="2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Louis Rauchenberger</w:t>
      </w:r>
    </w:p>
    <w:p>
      <w:pPr>
        <w:spacing w:after="0" w:line="211"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Managing Director and Controller</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June 5, 2008</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0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840" w:type="dxa"/>
            <w:vAlign w:val="bottom"/>
          </w:tcPr>
          <w:p>
            <w:pPr>
              <w:spacing w:after="0"/>
              <w:rPr>
                <w:sz w:val="17"/>
                <w:szCs w:val="17"/>
                <w:color w:val="auto"/>
              </w:rPr>
            </w:pPr>
          </w:p>
        </w:tc>
      </w:tr>
      <w:tr>
        <w:trPr>
          <w:trHeight w:val="561"/>
        </w:trPr>
        <w:tc>
          <w:tcPr>
            <w:tcW w:w="1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840" w:type="dxa"/>
            <w:vAlign w:val="bottom"/>
          </w:tcPr>
          <w:p>
            <w:pPr>
              <w:jc w:val="center"/>
              <w:ind w:right="4030"/>
              <w:spacing w:after="0"/>
              <w:rPr>
                <w:sz w:val="20"/>
                <w:szCs w:val="20"/>
                <w:color w:val="auto"/>
              </w:rPr>
            </w:pPr>
            <w:r>
              <w:rPr>
                <w:rFonts w:ascii="Arial" w:cs="Arial" w:eastAsia="Arial" w:hAnsi="Arial"/>
                <w:sz w:val="18"/>
                <w:szCs w:val="18"/>
                <w:color w:val="auto"/>
              </w:rPr>
              <w:t>EXHIBIT INDEX</w:t>
            </w:r>
          </w:p>
        </w:tc>
      </w:tr>
      <w:tr>
        <w:trPr>
          <w:trHeight w:val="392"/>
        </w:trPr>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Exhibit Number</w:t>
            </w:r>
          </w:p>
        </w:tc>
        <w:tc>
          <w:tcPr>
            <w:tcW w:w="88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Description of Exhibit</w:t>
            </w:r>
          </w:p>
        </w:tc>
        <w:tc>
          <w:tcPr>
            <w:tcW w:w="6840" w:type="dxa"/>
            <w:vAlign w:val="bottom"/>
          </w:tcPr>
          <w:p>
            <w:pPr>
              <w:spacing w:after="0"/>
              <w:rPr>
                <w:sz w:val="24"/>
                <w:szCs w:val="24"/>
                <w:color w:val="auto"/>
              </w:rPr>
            </w:pPr>
          </w:p>
        </w:tc>
      </w:tr>
      <w:tr>
        <w:trPr>
          <w:trHeight w:val="438"/>
        </w:trPr>
        <w:tc>
          <w:tcPr>
            <w:tcW w:w="1180" w:type="dxa"/>
            <w:vAlign w:val="bottom"/>
          </w:tcPr>
          <w:p>
            <w:pPr>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140" w:type="dxa"/>
            <w:vAlign w:val="bottom"/>
            <w:gridSpan w:val="3"/>
          </w:tcPr>
          <w:p>
            <w:pPr>
              <w:ind w:left="680"/>
              <w:spacing w:after="0"/>
              <w:rPr>
                <w:sz w:val="20"/>
                <w:szCs w:val="20"/>
                <w:color w:val="auto"/>
              </w:rPr>
            </w:pPr>
            <w:r>
              <w:rPr>
                <w:rFonts w:ascii="Arial" w:cs="Arial" w:eastAsia="Arial" w:hAnsi="Arial"/>
                <w:sz w:val="18"/>
                <w:szCs w:val="18"/>
                <w:color w:val="auto"/>
                <w:w w:val="90"/>
              </w:rPr>
              <w:t>Unaudited pro forma combined financial information for the three months ended March 31, 2008, and the year ended</w:t>
            </w:r>
          </w:p>
        </w:tc>
      </w:tr>
      <w:tr>
        <w:trPr>
          <w:trHeight w:val="230"/>
        </w:trPr>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140" w:type="dxa"/>
            <w:vAlign w:val="bottom"/>
            <w:gridSpan w:val="3"/>
          </w:tcPr>
          <w:p>
            <w:pPr>
              <w:ind w:left="680"/>
              <w:spacing w:after="0"/>
              <w:rPr>
                <w:sz w:val="20"/>
                <w:szCs w:val="20"/>
                <w:color w:val="auto"/>
              </w:rPr>
            </w:pPr>
            <w:r>
              <w:rPr>
                <w:rFonts w:ascii="Arial" w:cs="Arial" w:eastAsia="Arial" w:hAnsi="Arial"/>
                <w:sz w:val="18"/>
                <w:szCs w:val="18"/>
                <w:color w:val="auto"/>
              </w:rPr>
              <w:t>December 31, 2007</w:t>
            </w:r>
          </w:p>
        </w:tc>
      </w:tr>
      <w:tr>
        <w:trPr>
          <w:trHeight w:val="405"/>
        </w:trPr>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140" w:type="dxa"/>
            <w:vAlign w:val="bottom"/>
            <w:gridSpan w:val="3"/>
          </w:tcPr>
          <w:p>
            <w:pPr>
              <w:jc w:val="right"/>
              <w:ind w:right="535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00"/>
          </w:cols>
          <w:pgMar w:left="240" w:top="405" w:right="45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333" w:lineRule="exact"/>
        <w:rPr>
          <w:sz w:val="20"/>
          <w:szCs w:val="20"/>
          <w:color w:val="auto"/>
        </w:rPr>
      </w:pPr>
    </w:p>
    <w:p>
      <w:pPr>
        <w:jc w:val="center"/>
        <w:ind w:left="260" w:right="2520"/>
        <w:spacing w:after="0" w:line="266" w:lineRule="auto"/>
        <w:rPr>
          <w:sz w:val="20"/>
          <w:szCs w:val="20"/>
          <w:color w:val="auto"/>
        </w:rPr>
      </w:pPr>
      <w:r>
        <w:rPr>
          <w:rFonts w:ascii="Arial" w:cs="Arial" w:eastAsia="Arial" w:hAnsi="Arial"/>
          <w:sz w:val="18"/>
          <w:szCs w:val="18"/>
          <w:b w:val="1"/>
          <w:bCs w:val="1"/>
          <w:color w:val="auto"/>
        </w:rPr>
        <w:t>JPMORGAN CHASE &amp; CO./THE BEAR STEARNS COMPANIES INC. Unaudited Pro Forma Combined Financial Information for the three months ended March 31, 2008, and the year ended December 31, 2007</w:t>
      </w:r>
    </w:p>
    <w:p>
      <w:pPr>
        <w:spacing w:after="0" w:line="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following unaudited pro forma combined financial information and explanatory notes present how the combined financial statements of JPMorgan Chase and Bear Stearns may have appeared had the companies actually been combined as of the dates indicated. The unaudited pro forma combined income statements for the three months ended March 31, 2008, and the year ended December 31, 2007, give effect to the Merger as if it had been completed on January 1, 2007. The unaudited pro forma combined balance sheet at March 31, 2008, assumes the Merger was completed on that date. The financial statements presented for JPMorgan Chase are as of and for the three months ended March 31, 2008, and for the year ended December 31, 2007, and the financial statements presented for Bear Stearns are as of and for the three months ended February 29, 2008, and for the year ended November 30, 2007. The unaudited pro forma combined financial information shows the impact of the Merger on JPMorgan Chase’s and Bear Stearns’ combined financial position and results of operations under the purchase method of accounting with JPMorgan Chase treated as the acquirer. Under this method of accounting, JPMorgan Chase will record the assets and liabilities of Bear Stearns at their estimated fair values as of the date the Merger is completed.</w:t>
      </w:r>
    </w:p>
    <w:p>
      <w:pPr>
        <w:spacing w:after="0" w:line="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pro forma combined financial information has been derived from and should be read in conjunction with the historical consolidated financial statements and the related notes of both JPMorgan Chase and Bear Stearns.</w:t>
      </w:r>
    </w:p>
    <w:p>
      <w:pPr>
        <w:spacing w:after="0" w:line="6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unaudited pro forma combined financial information is presented for illustrative purposes only and does not indicate the financial results of the combined company had the companies actually been combined at the beginning of the periods presented. In addition, as explained in more detail in the accompanying notes to unaudited pro forma combined financial information, the resulting extraordinary gain reflected in the unaudited pro forma combined financial information is subject to adjustment. Bear Stearns is a broker-dealer, and many of the assets and liabilities on its consolidated balance sheet are financial assets carried at fair value, or are short-term in nature. For those assets and liabilities that are short-term in nature, their carrying value approximates fair value. For purposes of these unaudited pro forma combined financial statements no valuation adjustments were applied to Bear Stearns’ assets and liabilities that are carried at fair value or those which are short-term in nature, except for adjustments to reflect JPMorgan Chase’s credit spreads on trading liabilities and long-term debt. The adjustments included in these unaudited pro forma combined financial statements are preliminary and may be revised. The fair value of Bear Stearns’ pro forma net assets at February 29, 2008, is estimated to be $10.3 billion, which exceeds the estimated $1.5 billion purchase price. This results in negative goodwill. In accordance with accounting principles generally accepted in the United States of America (“U.S. GAAP”), nonfinancial assets that are not to be disposed of by sale, such as Bear Stearns’ premises and equipment and other intangibles, will be written down against the negative goodwill. Upon consummation of the Merger, any negative goodwill remaining after writing down nonfinancial assets will be recognized as an extraordinary gain. For further information, see Note 3 to these unaudited pro forma combined financial statements. The allocation of negative goodwill to nonfinancial assets and the amount of the extraordinary gain will be determined after completion of a fair value analysis of Bear Stearns’ assets and liabilities as of May 30, 2008, the closing date of the Merger. Under U.S. GAAP, the allocation of the purchase price may be modified up to one year after the closing date, as more information is obtained about the fair value of assets acquired and liabilities assumed. This unaudited pro forma combined financial information represents management’s current estimate of the combined financial information based on available financial information of JPMorgan Chase and Bear Stearns as of March 31, 2008. The final purchase accounting adjustments may be materially different from the unaudited pro forma adjustments presented in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365760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left="2880"/>
        <w:spacing w:after="0"/>
        <w:rPr>
          <w:sz w:val="20"/>
          <w:szCs w:val="20"/>
          <w:color w:val="auto"/>
        </w:rPr>
      </w:pPr>
      <w:r>
        <w:rPr>
          <w:rFonts w:ascii="Arial" w:cs="Arial" w:eastAsia="Arial" w:hAnsi="Arial"/>
          <w:sz w:val="18"/>
          <w:szCs w:val="18"/>
          <w:b w:val="1"/>
          <w:bCs w:val="1"/>
          <w:color w:val="auto"/>
        </w:rPr>
        <w:t>JPMORGAN CHASE &amp; CO./THE BEAR STEARNS COMPANIES INC.</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UNAUDITED PRO FORMA COMBINED STATEMENT OF INCOME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2008 and February 29, 2008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 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0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w w:val="93"/>
              </w:rPr>
              <w:t>JPMorgan Chase</w:t>
            </w: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Bear Stearns</w:t>
            </w:r>
          </w:p>
        </w:tc>
        <w:tc>
          <w:tcPr>
            <w:tcW w:w="1560" w:type="dxa"/>
            <w:vAlign w:val="bottom"/>
            <w:gridSpan w:val="2"/>
            <w:vMerge w:val="restart"/>
          </w:tcPr>
          <w:p>
            <w:pPr>
              <w:jc w:val="right"/>
              <w:ind w:right="408"/>
              <w:spacing w:after="0"/>
              <w:rPr>
                <w:sz w:val="20"/>
                <w:szCs w:val="20"/>
                <w:color w:val="auto"/>
              </w:rPr>
            </w:pPr>
            <w:r>
              <w:rPr>
                <w:rFonts w:ascii="Arial" w:cs="Arial" w:eastAsia="Arial" w:hAnsi="Arial"/>
                <w:sz w:val="14"/>
                <w:szCs w:val="14"/>
                <w:b w:val="1"/>
                <w:bCs w:val="1"/>
                <w:color w:val="auto"/>
              </w:rPr>
              <w:t>Reporting</w:t>
            </w:r>
          </w:p>
        </w:tc>
        <w:tc>
          <w:tcPr>
            <w:tcW w:w="1440" w:type="dxa"/>
            <w:vAlign w:val="bottom"/>
            <w:gridSpan w:val="2"/>
            <w:vMerge w:val="restart"/>
          </w:tcPr>
          <w:p>
            <w:pPr>
              <w:jc w:val="right"/>
              <w:ind w:right="368"/>
              <w:spacing w:after="0"/>
              <w:rPr>
                <w:sz w:val="20"/>
                <w:szCs w:val="20"/>
                <w:color w:val="auto"/>
              </w:rPr>
            </w:pPr>
            <w:r>
              <w:rPr>
                <w:rFonts w:ascii="Arial" w:cs="Arial" w:eastAsia="Arial" w:hAnsi="Arial"/>
                <w:sz w:val="14"/>
                <w:szCs w:val="14"/>
                <w:b w:val="1"/>
                <w:bCs w:val="1"/>
                <w:color w:val="auto"/>
              </w:rPr>
              <w:t>Pro forma</w:t>
            </w:r>
          </w:p>
        </w:tc>
        <w:tc>
          <w:tcPr>
            <w:tcW w:w="122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800" w:type="dxa"/>
            <w:vAlign w:val="bottom"/>
            <w:gridSpan w:val="2"/>
          </w:tcPr>
          <w:p>
            <w:pPr>
              <w:jc w:val="center"/>
              <w:ind w:left="108"/>
              <w:spacing w:after="0" w:line="145" w:lineRule="exact"/>
              <w:rPr>
                <w:sz w:val="20"/>
                <w:szCs w:val="20"/>
                <w:color w:val="auto"/>
              </w:rPr>
            </w:pPr>
            <w:r>
              <w:rPr>
                <w:rFonts w:ascii="Arial" w:cs="Arial" w:eastAsia="Arial" w:hAnsi="Arial"/>
                <w:sz w:val="14"/>
                <w:szCs w:val="14"/>
                <w:color w:val="auto"/>
                <w:w w:val="91"/>
              </w:rPr>
              <w:t>Three months ended</w:t>
            </w:r>
          </w:p>
        </w:tc>
        <w:tc>
          <w:tcPr>
            <w:tcW w:w="168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89"/>
              </w:rPr>
              <w:t>Three months ended</w:t>
            </w:r>
          </w:p>
        </w:tc>
        <w:tc>
          <w:tcPr>
            <w:tcW w:w="156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center"/>
              <w:ind w:left="108"/>
              <w:spacing w:after="0"/>
              <w:rPr>
                <w:sz w:val="20"/>
                <w:szCs w:val="20"/>
                <w:color w:val="auto"/>
              </w:rPr>
            </w:pPr>
            <w:r>
              <w:rPr>
                <w:rFonts w:ascii="Arial" w:cs="Arial" w:eastAsia="Arial" w:hAnsi="Arial"/>
                <w:sz w:val="14"/>
                <w:szCs w:val="14"/>
                <w:color w:val="auto"/>
                <w:w w:val="92"/>
              </w:rPr>
              <w:t>March 31, 2008</w:t>
            </w: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February 29, 2008</w:t>
            </w:r>
          </w:p>
        </w:tc>
        <w:tc>
          <w:tcPr>
            <w:tcW w:w="156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b w:val="1"/>
                <w:bCs w:val="1"/>
                <w:color w:val="auto"/>
              </w:rPr>
              <w:t>reclassifications</w:t>
            </w:r>
          </w:p>
        </w:tc>
        <w:tc>
          <w:tcPr>
            <w:tcW w:w="144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rPr>
              <w:t>adjustments</w:t>
            </w:r>
          </w:p>
        </w:tc>
        <w:tc>
          <w:tcPr>
            <w:tcW w:w="122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Revenue</w:t>
            </w:r>
          </w:p>
        </w:tc>
        <w:tc>
          <w:tcPr>
            <w:tcW w:w="8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Investment banking fees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1,216</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230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(78)</w:t>
            </w:r>
            <w:r>
              <w:rPr>
                <w:rFonts w:ascii="Arial" w:cs="Arial" w:eastAsia="Arial" w:hAnsi="Arial"/>
                <w:sz w:val="12"/>
                <w:szCs w:val="12"/>
                <w:color w:val="auto"/>
              </w:rPr>
              <w:t>(1)</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1,354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(14)</w:t>
            </w:r>
            <w:r>
              <w:rPr>
                <w:rFonts w:ascii="Arial" w:cs="Arial" w:eastAsia="Arial" w:hAnsi="Arial"/>
                <w:sz w:val="12"/>
                <w:szCs w:val="12"/>
                <w:color w:val="auto"/>
              </w:rPr>
              <w:t>(2)</w:t>
            </w: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Principal transactions</w:t>
            </w:r>
          </w:p>
        </w:tc>
        <w:tc>
          <w:tcPr>
            <w:tcW w:w="800" w:type="dxa"/>
            <w:vAlign w:val="bottom"/>
          </w:tcPr>
          <w:p>
            <w:pPr>
              <w:spacing w:after="0"/>
              <w:rPr>
                <w:sz w:val="12"/>
                <w:szCs w:val="12"/>
                <w:color w:val="auto"/>
              </w:rPr>
            </w:pPr>
          </w:p>
        </w:tc>
        <w:tc>
          <w:tcPr>
            <w:tcW w:w="100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(803)</w:t>
            </w:r>
          </w:p>
        </w:tc>
        <w:tc>
          <w:tcPr>
            <w:tcW w:w="660" w:type="dxa"/>
            <w:vAlign w:val="bottom"/>
          </w:tcPr>
          <w:p>
            <w:pPr>
              <w:spacing w:after="0"/>
              <w:rPr>
                <w:sz w:val="12"/>
                <w:szCs w:val="12"/>
                <w:color w:val="auto"/>
              </w:rPr>
            </w:pPr>
          </w:p>
        </w:tc>
        <w:tc>
          <w:tcPr>
            <w:tcW w:w="102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515</w:t>
            </w:r>
          </w:p>
        </w:tc>
        <w:tc>
          <w:tcPr>
            <w:tcW w:w="600" w:type="dxa"/>
            <w:vAlign w:val="bottom"/>
          </w:tcPr>
          <w:p>
            <w:pPr>
              <w:spacing w:after="0"/>
              <w:rPr>
                <w:sz w:val="12"/>
                <w:szCs w:val="12"/>
                <w:color w:val="auto"/>
              </w:rPr>
            </w:pPr>
          </w:p>
        </w:tc>
        <w:tc>
          <w:tcPr>
            <w:tcW w:w="96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14</w:t>
            </w:r>
            <w:r>
              <w:rPr>
                <w:rFonts w:ascii="Arial" w:cs="Arial" w:eastAsia="Arial" w:hAnsi="Arial"/>
                <w:sz w:val="12"/>
                <w:szCs w:val="12"/>
                <w:color w:val="auto"/>
              </w:rPr>
              <w:t>(2)</w:t>
            </w:r>
          </w:p>
        </w:tc>
        <w:tc>
          <w:tcPr>
            <w:tcW w:w="560" w:type="dxa"/>
            <w:vAlign w:val="bottom"/>
          </w:tcPr>
          <w:p>
            <w:pPr>
              <w:spacing w:after="0"/>
              <w:rPr>
                <w:sz w:val="12"/>
                <w:szCs w:val="12"/>
                <w:color w:val="auto"/>
              </w:rPr>
            </w:pPr>
          </w:p>
        </w:tc>
        <w:tc>
          <w:tcPr>
            <w:tcW w:w="880" w:type="dxa"/>
            <w:vAlign w:val="bottom"/>
          </w:tcPr>
          <w:p>
            <w:pPr>
              <w:jc w:val="center"/>
              <w:ind w:right="168"/>
              <w:spacing w:after="0" w:line="149" w:lineRule="exact"/>
              <w:rPr>
                <w:sz w:val="20"/>
                <w:szCs w:val="20"/>
                <w:color w:val="auto"/>
              </w:rPr>
            </w:pPr>
            <w:r>
              <w:rPr>
                <w:rFonts w:ascii="Arial" w:cs="Arial" w:eastAsia="Arial" w:hAnsi="Arial"/>
                <w:sz w:val="14"/>
                <w:szCs w:val="14"/>
                <w:color w:val="auto"/>
              </w:rPr>
              <w:t>3</w:t>
            </w:r>
            <w:r>
              <w:rPr>
                <w:rFonts w:ascii="Arial" w:cs="Arial" w:eastAsia="Arial" w:hAnsi="Arial"/>
                <w:sz w:val="12"/>
                <w:szCs w:val="12"/>
                <w:color w:val="auto"/>
              </w:rPr>
              <w:t>(A)</w:t>
            </w:r>
          </w:p>
        </w:tc>
        <w:tc>
          <w:tcPr>
            <w:tcW w:w="500" w:type="dxa"/>
            <w:vAlign w:val="bottom"/>
          </w:tcPr>
          <w:p>
            <w:pPr>
              <w:spacing w:after="0"/>
              <w:rPr>
                <w:sz w:val="12"/>
                <w:szCs w:val="12"/>
                <w:color w:val="auto"/>
              </w:rPr>
            </w:pPr>
          </w:p>
        </w:tc>
        <w:tc>
          <w:tcPr>
            <w:tcW w:w="7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2</w:t>
            </w:r>
            <w:r>
              <w:rPr>
                <w:rFonts w:ascii="Arial" w:cs="Arial" w:eastAsia="Arial" w:hAnsi="Arial"/>
                <w:sz w:val="12"/>
                <w:szCs w:val="12"/>
                <w:color w:val="auto"/>
              </w:rPr>
              <w:t>(3)</w:t>
            </w: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Lending &amp; deposit-related fees</w:t>
            </w:r>
          </w:p>
        </w:tc>
        <w:tc>
          <w:tcPr>
            <w:tcW w:w="800" w:type="dxa"/>
            <w:vAlign w:val="bottom"/>
          </w:tcPr>
          <w:p>
            <w:pPr>
              <w:spacing w:after="0"/>
              <w:rPr>
                <w:sz w:val="12"/>
                <w:szCs w:val="12"/>
                <w:color w:val="auto"/>
              </w:rPr>
            </w:pPr>
          </w:p>
        </w:tc>
        <w:tc>
          <w:tcPr>
            <w:tcW w:w="100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1,039</w:t>
            </w:r>
          </w:p>
        </w:tc>
        <w:tc>
          <w:tcPr>
            <w:tcW w:w="660" w:type="dxa"/>
            <w:vAlign w:val="bottom"/>
          </w:tcPr>
          <w:p>
            <w:pPr>
              <w:spacing w:after="0"/>
              <w:rPr>
                <w:sz w:val="12"/>
                <w:szCs w:val="12"/>
                <w:color w:val="auto"/>
              </w:rPr>
            </w:pPr>
          </w:p>
        </w:tc>
        <w:tc>
          <w:tcPr>
            <w:tcW w:w="102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96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88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72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1,039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 management, administration and commissions</w:t>
            </w:r>
          </w:p>
        </w:tc>
        <w:tc>
          <w:tcPr>
            <w:tcW w:w="8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3,596</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(778)</w:t>
            </w:r>
            <w:r>
              <w:rPr>
                <w:rFonts w:ascii="Arial" w:cs="Arial" w:eastAsia="Arial" w:hAnsi="Arial"/>
                <w:sz w:val="12"/>
                <w:szCs w:val="12"/>
                <w:color w:val="auto"/>
              </w:rPr>
              <w:t>(4)</w:t>
            </w: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2,966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148</w:t>
            </w:r>
            <w:r>
              <w:rPr>
                <w:rFonts w:ascii="Arial" w:cs="Arial" w:eastAsia="Arial" w:hAnsi="Arial"/>
                <w:sz w:val="12"/>
                <w:szCs w:val="12"/>
                <w:color w:val="auto"/>
              </w:rPr>
              <w:t>(5)</w:t>
            </w: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 management and other income</w:t>
            </w:r>
          </w:p>
        </w:tc>
        <w:tc>
          <w:tcPr>
            <w:tcW w:w="8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154</w:t>
            </w:r>
          </w:p>
        </w:tc>
        <w:tc>
          <w:tcPr>
            <w:tcW w:w="6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(154)</w:t>
            </w:r>
            <w:r>
              <w:rPr>
                <w:rFonts w:ascii="Arial" w:cs="Arial" w:eastAsia="Arial" w:hAnsi="Arial"/>
                <w:sz w:val="12"/>
                <w:szCs w:val="12"/>
                <w:color w:val="auto"/>
              </w:rPr>
              <w:t>(5,6)</w:t>
            </w: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Commissions</w:t>
            </w:r>
          </w:p>
        </w:tc>
        <w:tc>
          <w:tcPr>
            <w:tcW w:w="800" w:type="dxa"/>
            <w:vAlign w:val="bottom"/>
          </w:tcPr>
          <w:p>
            <w:pPr>
              <w:spacing w:after="0"/>
              <w:rPr>
                <w:sz w:val="12"/>
                <w:szCs w:val="12"/>
                <w:color w:val="auto"/>
              </w:rPr>
            </w:pPr>
          </w:p>
        </w:tc>
        <w:tc>
          <w:tcPr>
            <w:tcW w:w="100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102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330</w:t>
            </w:r>
          </w:p>
        </w:tc>
        <w:tc>
          <w:tcPr>
            <w:tcW w:w="600" w:type="dxa"/>
            <w:vAlign w:val="bottom"/>
          </w:tcPr>
          <w:p>
            <w:pPr>
              <w:spacing w:after="0"/>
              <w:rPr>
                <w:sz w:val="12"/>
                <w:szCs w:val="12"/>
                <w:color w:val="auto"/>
              </w:rPr>
            </w:pPr>
          </w:p>
        </w:tc>
        <w:tc>
          <w:tcPr>
            <w:tcW w:w="96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(330)</w:t>
            </w:r>
            <w:r>
              <w:rPr>
                <w:rFonts w:ascii="Arial" w:cs="Arial" w:eastAsia="Arial" w:hAnsi="Arial"/>
                <w:sz w:val="12"/>
                <w:szCs w:val="12"/>
                <w:color w:val="auto"/>
              </w:rPr>
              <w:t>(7)</w:t>
            </w:r>
          </w:p>
        </w:tc>
        <w:tc>
          <w:tcPr>
            <w:tcW w:w="560" w:type="dxa"/>
            <w:vAlign w:val="bottom"/>
          </w:tcPr>
          <w:p>
            <w:pPr>
              <w:spacing w:after="0"/>
              <w:rPr>
                <w:sz w:val="12"/>
                <w:szCs w:val="12"/>
                <w:color w:val="auto"/>
              </w:rPr>
            </w:pPr>
          </w:p>
        </w:tc>
        <w:tc>
          <w:tcPr>
            <w:tcW w:w="88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72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Brokerage commissions</w:t>
            </w:r>
          </w:p>
        </w:tc>
        <w:tc>
          <w:tcPr>
            <w:tcW w:w="8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w w:val="90"/>
              </w:rPr>
              <w:t>1,108</w:t>
            </w:r>
            <w:r>
              <w:rPr>
                <w:rFonts w:ascii="Arial" w:cs="Arial" w:eastAsia="Arial" w:hAnsi="Arial"/>
                <w:sz w:val="12"/>
                <w:szCs w:val="12"/>
                <w:color w:val="auto"/>
                <w:w w:val="90"/>
              </w:rPr>
              <w:t>(4,7)</w:t>
            </w: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Securities gains (losses)</w:t>
            </w:r>
          </w:p>
        </w:tc>
        <w:tc>
          <w:tcPr>
            <w:tcW w:w="800" w:type="dxa"/>
            <w:vAlign w:val="bottom"/>
          </w:tcPr>
          <w:p>
            <w:pPr>
              <w:spacing w:after="0"/>
              <w:rPr>
                <w:sz w:val="12"/>
                <w:szCs w:val="12"/>
                <w:color w:val="auto"/>
              </w:rPr>
            </w:pPr>
          </w:p>
        </w:tc>
        <w:tc>
          <w:tcPr>
            <w:tcW w:w="100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33</w:t>
            </w:r>
          </w:p>
        </w:tc>
        <w:tc>
          <w:tcPr>
            <w:tcW w:w="660" w:type="dxa"/>
            <w:vAlign w:val="bottom"/>
          </w:tcPr>
          <w:p>
            <w:pPr>
              <w:spacing w:after="0"/>
              <w:rPr>
                <w:sz w:val="12"/>
                <w:szCs w:val="12"/>
                <w:color w:val="auto"/>
              </w:rPr>
            </w:pPr>
          </w:p>
        </w:tc>
        <w:tc>
          <w:tcPr>
            <w:tcW w:w="102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96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88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72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Mortgage fees and related income</w:t>
            </w:r>
          </w:p>
        </w:tc>
        <w:tc>
          <w:tcPr>
            <w:tcW w:w="8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525</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76</w:t>
            </w:r>
            <w:r>
              <w:rPr>
                <w:rFonts w:ascii="Arial" w:cs="Arial" w:eastAsia="Arial" w:hAnsi="Arial"/>
                <w:sz w:val="12"/>
                <w:szCs w:val="12"/>
                <w:color w:val="auto"/>
              </w:rPr>
              <w:t>(1,3)</w:t>
            </w: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Credit card income</w:t>
            </w:r>
          </w:p>
        </w:tc>
        <w:tc>
          <w:tcPr>
            <w:tcW w:w="800" w:type="dxa"/>
            <w:vAlign w:val="bottom"/>
          </w:tcPr>
          <w:p>
            <w:pPr>
              <w:spacing w:after="0"/>
              <w:rPr>
                <w:sz w:val="12"/>
                <w:szCs w:val="12"/>
                <w:color w:val="auto"/>
              </w:rPr>
            </w:pPr>
          </w:p>
        </w:tc>
        <w:tc>
          <w:tcPr>
            <w:tcW w:w="100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1,796</w:t>
            </w:r>
          </w:p>
        </w:tc>
        <w:tc>
          <w:tcPr>
            <w:tcW w:w="660" w:type="dxa"/>
            <w:vAlign w:val="bottom"/>
          </w:tcPr>
          <w:p>
            <w:pPr>
              <w:spacing w:after="0"/>
              <w:rPr>
                <w:sz w:val="12"/>
                <w:szCs w:val="12"/>
                <w:color w:val="auto"/>
              </w:rPr>
            </w:pPr>
          </w:p>
        </w:tc>
        <w:tc>
          <w:tcPr>
            <w:tcW w:w="102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96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88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72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1,796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8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1,829</w:t>
            </w:r>
          </w:p>
        </w:tc>
        <w:tc>
          <w:tcPr>
            <w:tcW w:w="6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6</w:t>
            </w:r>
            <w:r>
              <w:rPr>
                <w:rFonts w:ascii="Arial" w:cs="Arial" w:eastAsia="Arial" w:hAnsi="Arial"/>
                <w:sz w:val="12"/>
                <w:szCs w:val="12"/>
                <w:color w:val="auto"/>
              </w:rPr>
              <w:t>(6)</w:t>
            </w:r>
          </w:p>
        </w:tc>
        <w:tc>
          <w:tcPr>
            <w:tcW w:w="5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1,835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Noninterest revenue</w:t>
            </w:r>
          </w:p>
        </w:tc>
        <w:tc>
          <w:tcPr>
            <w:tcW w:w="8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28"/>
              <w:spacing w:after="0" w:line="155" w:lineRule="exact"/>
              <w:rPr>
                <w:sz w:val="20"/>
                <w:szCs w:val="20"/>
                <w:color w:val="auto"/>
              </w:rPr>
            </w:pPr>
            <w:r>
              <w:rPr>
                <w:rFonts w:ascii="Arial" w:cs="Arial" w:eastAsia="Arial" w:hAnsi="Arial"/>
                <w:sz w:val="14"/>
                <w:szCs w:val="14"/>
                <w:color w:val="auto"/>
              </w:rPr>
              <w:t>9,231</w:t>
            </w:r>
          </w:p>
        </w:tc>
        <w:tc>
          <w:tcPr>
            <w:tcW w:w="6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28"/>
              <w:spacing w:after="0" w:line="155" w:lineRule="exact"/>
              <w:rPr>
                <w:sz w:val="20"/>
                <w:szCs w:val="20"/>
                <w:color w:val="auto"/>
              </w:rPr>
            </w:pPr>
            <w:r>
              <w:rPr>
                <w:rFonts w:ascii="Arial" w:cs="Arial" w:eastAsia="Arial" w:hAnsi="Arial"/>
                <w:sz w:val="14"/>
                <w:szCs w:val="14"/>
                <w:color w:val="auto"/>
                <w:w w:val="85"/>
              </w:rPr>
              <w:t>1,229</w:t>
            </w:r>
          </w:p>
        </w:tc>
        <w:tc>
          <w:tcPr>
            <w:tcW w:w="6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48"/>
              <w:spacing w:after="0" w:line="155" w:lineRule="exact"/>
              <w:rPr>
                <w:sz w:val="20"/>
                <w:szCs w:val="20"/>
                <w:color w:val="auto"/>
              </w:rPr>
            </w:pPr>
            <w:r>
              <w:rPr>
                <w:rFonts w:ascii="Arial" w:cs="Arial" w:eastAsia="Arial" w:hAnsi="Arial"/>
                <w:sz w:val="14"/>
                <w:szCs w:val="14"/>
                <w:color w:val="auto"/>
              </w:rPr>
              <w:t>3</w:t>
            </w:r>
          </w:p>
        </w:tc>
        <w:tc>
          <w:tcPr>
            <w:tcW w:w="5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w w:val="88"/>
              </w:rPr>
              <w:t>10,463</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8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w w:val="88"/>
              </w:rPr>
              <w:t>17,532</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w w:val="85"/>
              </w:rPr>
              <w:t>2,198</w:t>
            </w:r>
          </w:p>
        </w:tc>
        <w:tc>
          <w:tcPr>
            <w:tcW w:w="6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w w:val="88"/>
              </w:rPr>
              <w:t>19,730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Interest expense</w:t>
            </w:r>
          </w:p>
        </w:tc>
        <w:tc>
          <w:tcPr>
            <w:tcW w:w="8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28"/>
              <w:spacing w:after="0" w:line="149" w:lineRule="exact"/>
              <w:rPr>
                <w:sz w:val="20"/>
                <w:szCs w:val="20"/>
                <w:color w:val="auto"/>
              </w:rPr>
            </w:pPr>
            <w:r>
              <w:rPr>
                <w:rFonts w:ascii="Arial" w:cs="Arial" w:eastAsia="Arial" w:hAnsi="Arial"/>
                <w:sz w:val="14"/>
                <w:szCs w:val="14"/>
                <w:color w:val="auto"/>
              </w:rPr>
              <w:t>9,873</w:t>
            </w:r>
          </w:p>
        </w:tc>
        <w:tc>
          <w:tcPr>
            <w:tcW w:w="6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28"/>
              <w:spacing w:after="0" w:line="149" w:lineRule="exact"/>
              <w:rPr>
                <w:sz w:val="20"/>
                <w:szCs w:val="20"/>
                <w:color w:val="auto"/>
              </w:rPr>
            </w:pPr>
            <w:r>
              <w:rPr>
                <w:rFonts w:ascii="Arial" w:cs="Arial" w:eastAsia="Arial" w:hAnsi="Arial"/>
                <w:sz w:val="14"/>
                <w:szCs w:val="14"/>
                <w:color w:val="auto"/>
                <w:w w:val="85"/>
              </w:rPr>
              <w:t>1,948</w:t>
            </w:r>
          </w:p>
        </w:tc>
        <w:tc>
          <w:tcPr>
            <w:tcW w:w="6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8"/>
              <w:spacing w:after="0" w:line="149" w:lineRule="exact"/>
              <w:rPr>
                <w:sz w:val="20"/>
                <w:szCs w:val="20"/>
                <w:color w:val="auto"/>
              </w:rPr>
            </w:pPr>
            <w:r>
              <w:rPr>
                <w:rFonts w:ascii="Arial" w:cs="Arial" w:eastAsia="Arial" w:hAnsi="Arial"/>
                <w:sz w:val="14"/>
                <w:szCs w:val="14"/>
                <w:color w:val="auto"/>
              </w:rPr>
              <w:t>33</w:t>
            </w:r>
            <w:r>
              <w:rPr>
                <w:rFonts w:ascii="Arial" w:cs="Arial" w:eastAsia="Arial" w:hAnsi="Arial"/>
                <w:sz w:val="12"/>
                <w:szCs w:val="12"/>
                <w:color w:val="auto"/>
              </w:rPr>
              <w:t>(B)</w:t>
            </w:r>
          </w:p>
        </w:tc>
        <w:tc>
          <w:tcPr>
            <w:tcW w:w="5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8"/>
              <w:spacing w:after="0" w:line="149" w:lineRule="exact"/>
              <w:rPr>
                <w:sz w:val="20"/>
                <w:szCs w:val="20"/>
                <w:color w:val="auto"/>
              </w:rPr>
            </w:pPr>
            <w:r>
              <w:rPr>
                <w:rFonts w:ascii="Arial" w:cs="Arial" w:eastAsia="Arial" w:hAnsi="Arial"/>
                <w:sz w:val="14"/>
                <w:szCs w:val="14"/>
                <w:color w:val="auto"/>
                <w:w w:val="88"/>
              </w:rPr>
              <w:t>11,854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income</w:t>
            </w:r>
          </w:p>
        </w:tc>
        <w:tc>
          <w:tcPr>
            <w:tcW w:w="8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7,659</w:t>
            </w:r>
          </w:p>
        </w:tc>
        <w:tc>
          <w:tcPr>
            <w:tcW w:w="6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250</w:t>
            </w:r>
          </w:p>
        </w:tc>
        <w:tc>
          <w:tcPr>
            <w:tcW w:w="6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(33)</w:t>
            </w:r>
          </w:p>
        </w:tc>
        <w:tc>
          <w:tcPr>
            <w:tcW w:w="5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7,876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Total net revenue</w:t>
            </w:r>
          </w:p>
        </w:tc>
        <w:tc>
          <w:tcPr>
            <w:tcW w:w="8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28"/>
              <w:spacing w:after="0" w:line="155" w:lineRule="exact"/>
              <w:rPr>
                <w:sz w:val="20"/>
                <w:szCs w:val="20"/>
                <w:color w:val="auto"/>
              </w:rPr>
            </w:pPr>
            <w:r>
              <w:rPr>
                <w:rFonts w:ascii="Arial" w:cs="Arial" w:eastAsia="Arial" w:hAnsi="Arial"/>
                <w:sz w:val="14"/>
                <w:szCs w:val="14"/>
                <w:color w:val="auto"/>
                <w:w w:val="88"/>
              </w:rPr>
              <w:t>16,890</w:t>
            </w:r>
          </w:p>
        </w:tc>
        <w:tc>
          <w:tcPr>
            <w:tcW w:w="6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28"/>
              <w:spacing w:after="0" w:line="155" w:lineRule="exact"/>
              <w:rPr>
                <w:sz w:val="20"/>
                <w:szCs w:val="20"/>
                <w:color w:val="auto"/>
              </w:rPr>
            </w:pPr>
            <w:r>
              <w:rPr>
                <w:rFonts w:ascii="Arial" w:cs="Arial" w:eastAsia="Arial" w:hAnsi="Arial"/>
                <w:sz w:val="14"/>
                <w:szCs w:val="14"/>
                <w:color w:val="auto"/>
                <w:w w:val="85"/>
              </w:rPr>
              <w:t>1,479</w:t>
            </w:r>
          </w:p>
        </w:tc>
        <w:tc>
          <w:tcPr>
            <w:tcW w:w="6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color w:val="auto"/>
              </w:rPr>
              <w:t>(30)</w:t>
            </w: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w w:val="88"/>
              </w:rPr>
              <w:t>18,339</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credit losses</w:t>
            </w:r>
          </w:p>
        </w:tc>
        <w:tc>
          <w:tcPr>
            <w:tcW w:w="8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4,424</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4,424</w:t>
            </w:r>
          </w:p>
        </w:tc>
        <w:tc>
          <w:tcPr>
            <w:tcW w:w="0" w:type="dxa"/>
            <w:vAlign w:val="bottom"/>
          </w:tcPr>
          <w:p>
            <w:pPr>
              <w:spacing w:after="0"/>
              <w:rPr>
                <w:sz w:val="1"/>
                <w:szCs w:val="1"/>
                <w:color w:val="auto"/>
              </w:rPr>
            </w:pPr>
          </w:p>
        </w:tc>
      </w:tr>
      <w:tr>
        <w:trPr>
          <w:trHeight w:val="297"/>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Noninterest expense</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Compensation expense</w:t>
            </w:r>
          </w:p>
        </w:tc>
        <w:tc>
          <w:tcPr>
            <w:tcW w:w="8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4,951</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754</w:t>
            </w:r>
          </w:p>
        </w:tc>
        <w:tc>
          <w:tcPr>
            <w:tcW w:w="6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5,705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Occupancy expense</w:t>
            </w:r>
          </w:p>
        </w:tc>
        <w:tc>
          <w:tcPr>
            <w:tcW w:w="800" w:type="dxa"/>
            <w:vAlign w:val="bottom"/>
          </w:tcPr>
          <w:p>
            <w:pPr>
              <w:spacing w:after="0"/>
              <w:rPr>
                <w:sz w:val="12"/>
                <w:szCs w:val="12"/>
                <w:color w:val="auto"/>
              </w:rPr>
            </w:pPr>
          </w:p>
        </w:tc>
        <w:tc>
          <w:tcPr>
            <w:tcW w:w="100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648</w:t>
            </w:r>
          </w:p>
        </w:tc>
        <w:tc>
          <w:tcPr>
            <w:tcW w:w="660" w:type="dxa"/>
            <w:vAlign w:val="bottom"/>
          </w:tcPr>
          <w:p>
            <w:pPr>
              <w:spacing w:after="0"/>
              <w:rPr>
                <w:sz w:val="12"/>
                <w:szCs w:val="12"/>
                <w:color w:val="auto"/>
              </w:rPr>
            </w:pPr>
          </w:p>
        </w:tc>
        <w:tc>
          <w:tcPr>
            <w:tcW w:w="102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73</w:t>
            </w:r>
          </w:p>
        </w:tc>
        <w:tc>
          <w:tcPr>
            <w:tcW w:w="600" w:type="dxa"/>
            <w:vAlign w:val="bottom"/>
          </w:tcPr>
          <w:p>
            <w:pPr>
              <w:spacing w:after="0"/>
              <w:rPr>
                <w:sz w:val="12"/>
                <w:szCs w:val="12"/>
                <w:color w:val="auto"/>
              </w:rPr>
            </w:pPr>
          </w:p>
        </w:tc>
        <w:tc>
          <w:tcPr>
            <w:tcW w:w="96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880" w:type="dxa"/>
            <w:vAlign w:val="bottom"/>
          </w:tcPr>
          <w:p>
            <w:pPr>
              <w:jc w:val="center"/>
              <w:ind w:right="188"/>
              <w:spacing w:after="0" w:line="149" w:lineRule="exact"/>
              <w:rPr>
                <w:sz w:val="20"/>
                <w:szCs w:val="20"/>
                <w:color w:val="auto"/>
              </w:rPr>
            </w:pPr>
            <w:r>
              <w:rPr>
                <w:rFonts w:ascii="Arial" w:cs="Arial" w:eastAsia="Arial" w:hAnsi="Arial"/>
                <w:sz w:val="14"/>
                <w:szCs w:val="14"/>
                <w:color w:val="auto"/>
              </w:rPr>
              <w:t>(7)</w:t>
            </w:r>
            <w:r>
              <w:rPr>
                <w:rFonts w:ascii="Arial" w:cs="Arial" w:eastAsia="Arial" w:hAnsi="Arial"/>
                <w:sz w:val="12"/>
                <w:szCs w:val="12"/>
                <w:color w:val="auto"/>
              </w:rPr>
              <w:t>(C)</w:t>
            </w:r>
          </w:p>
        </w:tc>
        <w:tc>
          <w:tcPr>
            <w:tcW w:w="500" w:type="dxa"/>
            <w:vAlign w:val="bottom"/>
          </w:tcPr>
          <w:p>
            <w:pPr>
              <w:spacing w:after="0"/>
              <w:rPr>
                <w:sz w:val="12"/>
                <w:szCs w:val="12"/>
                <w:color w:val="auto"/>
              </w:rPr>
            </w:pPr>
          </w:p>
        </w:tc>
        <w:tc>
          <w:tcPr>
            <w:tcW w:w="72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Technology, communications and equipment expense</w:t>
            </w:r>
          </w:p>
        </w:tc>
        <w:tc>
          <w:tcPr>
            <w:tcW w:w="8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968</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154</w:t>
            </w:r>
          </w:p>
        </w:tc>
        <w:tc>
          <w:tcPr>
            <w:tcW w:w="6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(21)</w:t>
            </w:r>
            <w:r>
              <w:rPr>
                <w:rFonts w:ascii="Arial" w:cs="Arial" w:eastAsia="Arial" w:hAnsi="Arial"/>
                <w:sz w:val="12"/>
                <w:szCs w:val="12"/>
                <w:color w:val="auto"/>
              </w:rPr>
              <w:t>(8)</w:t>
            </w: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(35)</w:t>
            </w:r>
            <w:r>
              <w:rPr>
                <w:rFonts w:ascii="Arial" w:cs="Arial" w:eastAsia="Arial" w:hAnsi="Arial"/>
                <w:sz w:val="12"/>
                <w:szCs w:val="12"/>
                <w:color w:val="auto"/>
              </w:rPr>
              <w:t>(C)</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1,066</w:t>
            </w:r>
          </w:p>
        </w:tc>
        <w:tc>
          <w:tcPr>
            <w:tcW w:w="0" w:type="dxa"/>
            <w:vAlign w:val="bottom"/>
          </w:tcPr>
          <w:p>
            <w:pPr>
              <w:spacing w:after="0"/>
              <w:rPr>
                <w:sz w:val="1"/>
                <w:szCs w:val="1"/>
                <w:color w:val="auto"/>
              </w:rPr>
            </w:pPr>
          </w:p>
        </w:tc>
      </w:tr>
      <w:tr>
        <w:trPr>
          <w:trHeight w:val="297"/>
        </w:trPr>
        <w:tc>
          <w:tcPr>
            <w:tcW w:w="3720" w:type="dxa"/>
            <w:vAlign w:val="bottom"/>
            <w:gridSpan w:val="2"/>
          </w:tcPr>
          <w:p>
            <w:pPr>
              <w:spacing w:after="0"/>
              <w:rPr>
                <w:sz w:val="20"/>
                <w:szCs w:val="20"/>
                <w:color w:val="auto"/>
              </w:rPr>
            </w:pPr>
            <w:r>
              <w:rPr>
                <w:rFonts w:ascii="Arial" w:cs="Arial" w:eastAsia="Arial" w:hAnsi="Arial"/>
                <w:sz w:val="14"/>
                <w:szCs w:val="14"/>
                <w:color w:val="auto"/>
              </w:rPr>
              <w:t>Professional &amp; outside services</w:t>
            </w:r>
          </w:p>
        </w:tc>
        <w:tc>
          <w:tcPr>
            <w:tcW w:w="800" w:type="dxa"/>
            <w:vAlign w:val="bottom"/>
          </w:tcPr>
          <w:p>
            <w:pPr>
              <w:spacing w:after="0"/>
              <w:rPr>
                <w:sz w:val="24"/>
                <w:szCs w:val="24"/>
                <w:color w:val="auto"/>
              </w:rPr>
            </w:pPr>
          </w:p>
        </w:tc>
        <w:tc>
          <w:tcPr>
            <w:tcW w:w="1000" w:type="dxa"/>
            <w:vAlign w:val="bottom"/>
          </w:tcPr>
          <w:p>
            <w:pPr>
              <w:jc w:val="right"/>
              <w:ind w:right="528"/>
              <w:spacing w:after="0"/>
              <w:rPr>
                <w:sz w:val="20"/>
                <w:szCs w:val="20"/>
                <w:color w:val="auto"/>
              </w:rPr>
            </w:pPr>
            <w:r>
              <w:rPr>
                <w:rFonts w:ascii="Arial" w:cs="Arial" w:eastAsia="Arial" w:hAnsi="Arial"/>
                <w:sz w:val="14"/>
                <w:szCs w:val="14"/>
                <w:color w:val="auto"/>
              </w:rPr>
              <w:t>1,333</w:t>
            </w:r>
          </w:p>
        </w:tc>
        <w:tc>
          <w:tcPr>
            <w:tcW w:w="660" w:type="dxa"/>
            <w:vAlign w:val="bottom"/>
          </w:tcPr>
          <w:p>
            <w:pPr>
              <w:spacing w:after="0"/>
              <w:rPr>
                <w:sz w:val="24"/>
                <w:szCs w:val="24"/>
                <w:color w:val="auto"/>
              </w:rPr>
            </w:pPr>
          </w:p>
        </w:tc>
        <w:tc>
          <w:tcPr>
            <w:tcW w:w="1020" w:type="dxa"/>
            <w:vAlign w:val="bottom"/>
          </w:tcPr>
          <w:p>
            <w:pPr>
              <w:jc w:val="right"/>
              <w:ind w:right="628"/>
              <w:spacing w:after="0"/>
              <w:rPr>
                <w:sz w:val="20"/>
                <w:szCs w:val="20"/>
                <w:color w:val="auto"/>
              </w:rPr>
            </w:pPr>
            <w:r>
              <w:rPr>
                <w:rFonts w:ascii="Arial" w:cs="Arial" w:eastAsia="Arial" w:hAnsi="Arial"/>
                <w:sz w:val="14"/>
                <w:szCs w:val="14"/>
                <w:color w:val="auto"/>
              </w:rPr>
              <w:t>100</w:t>
            </w:r>
          </w:p>
        </w:tc>
        <w:tc>
          <w:tcPr>
            <w:tcW w:w="60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(273)</w:t>
            </w:r>
            <w:r>
              <w:rPr>
                <w:rFonts w:ascii="Arial" w:cs="Arial" w:eastAsia="Arial" w:hAnsi="Arial"/>
                <w:sz w:val="12"/>
                <w:szCs w:val="12"/>
                <w:color w:val="auto"/>
              </w:rPr>
              <w:t>(8,9)</w:t>
            </w:r>
          </w:p>
        </w:tc>
        <w:tc>
          <w:tcPr>
            <w:tcW w:w="560" w:type="dxa"/>
            <w:vAlign w:val="bottom"/>
          </w:tcPr>
          <w:p>
            <w:pPr>
              <w:spacing w:after="0"/>
              <w:rPr>
                <w:sz w:val="24"/>
                <w:szCs w:val="24"/>
                <w:color w:val="auto"/>
              </w:rPr>
            </w:pPr>
          </w:p>
        </w:tc>
        <w:tc>
          <w:tcPr>
            <w:tcW w:w="88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1,160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Floor brokerage, exchange and clearance expense</w:t>
            </w:r>
          </w:p>
        </w:tc>
        <w:tc>
          <w:tcPr>
            <w:tcW w:w="8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79</w:t>
            </w:r>
          </w:p>
        </w:tc>
        <w:tc>
          <w:tcPr>
            <w:tcW w:w="6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294</w:t>
            </w:r>
            <w:r>
              <w:rPr>
                <w:rFonts w:ascii="Arial" w:cs="Arial" w:eastAsia="Arial" w:hAnsi="Arial"/>
                <w:sz w:val="12"/>
                <w:szCs w:val="12"/>
                <w:color w:val="auto"/>
              </w:rPr>
              <w:t>(9)</w:t>
            </w: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Marketing</w:t>
            </w:r>
          </w:p>
        </w:tc>
        <w:tc>
          <w:tcPr>
            <w:tcW w:w="800" w:type="dxa"/>
            <w:vAlign w:val="bottom"/>
          </w:tcPr>
          <w:p>
            <w:pPr>
              <w:spacing w:after="0"/>
              <w:rPr>
                <w:sz w:val="12"/>
                <w:szCs w:val="12"/>
                <w:color w:val="auto"/>
              </w:rPr>
            </w:pPr>
          </w:p>
        </w:tc>
        <w:tc>
          <w:tcPr>
            <w:tcW w:w="100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546</w:t>
            </w:r>
          </w:p>
        </w:tc>
        <w:tc>
          <w:tcPr>
            <w:tcW w:w="660" w:type="dxa"/>
            <w:vAlign w:val="bottom"/>
          </w:tcPr>
          <w:p>
            <w:pPr>
              <w:spacing w:after="0"/>
              <w:rPr>
                <w:sz w:val="12"/>
                <w:szCs w:val="12"/>
                <w:color w:val="auto"/>
              </w:rPr>
            </w:pPr>
          </w:p>
        </w:tc>
        <w:tc>
          <w:tcPr>
            <w:tcW w:w="102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40</w:t>
            </w:r>
          </w:p>
        </w:tc>
        <w:tc>
          <w:tcPr>
            <w:tcW w:w="600" w:type="dxa"/>
            <w:vAlign w:val="bottom"/>
          </w:tcPr>
          <w:p>
            <w:pPr>
              <w:spacing w:after="0"/>
              <w:rPr>
                <w:sz w:val="12"/>
                <w:szCs w:val="12"/>
                <w:color w:val="auto"/>
              </w:rPr>
            </w:pPr>
          </w:p>
        </w:tc>
        <w:tc>
          <w:tcPr>
            <w:tcW w:w="96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88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72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expense</w:t>
            </w:r>
          </w:p>
        </w:tc>
        <w:tc>
          <w:tcPr>
            <w:tcW w:w="8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169</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126</w:t>
            </w:r>
          </w:p>
        </w:tc>
        <w:tc>
          <w:tcPr>
            <w:tcW w:w="6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(1)</w:t>
            </w:r>
            <w:r>
              <w:rPr>
                <w:rFonts w:ascii="Arial" w:cs="Arial" w:eastAsia="Arial" w:hAnsi="Arial"/>
                <w:sz w:val="12"/>
                <w:szCs w:val="12"/>
                <w:color w:val="auto"/>
              </w:rPr>
              <w:t>(11)</w:t>
            </w: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jc w:val="center"/>
              <w:ind w:right="168"/>
              <w:spacing w:after="0" w:line="149" w:lineRule="exact"/>
              <w:rPr>
                <w:sz w:val="20"/>
                <w:szCs w:val="20"/>
                <w:color w:val="auto"/>
              </w:rPr>
            </w:pPr>
            <w:r>
              <w:rPr>
                <w:rFonts w:ascii="Arial" w:cs="Arial" w:eastAsia="Arial" w:hAnsi="Arial"/>
                <w:sz w:val="14"/>
                <w:szCs w:val="14"/>
                <w:color w:val="auto"/>
                <w:w w:val="97"/>
              </w:rPr>
              <w:t>5</w:t>
            </w:r>
            <w:r>
              <w:rPr>
                <w:rFonts w:ascii="Arial" w:cs="Arial" w:eastAsia="Arial" w:hAnsi="Arial"/>
                <w:sz w:val="12"/>
                <w:szCs w:val="12"/>
                <w:color w:val="auto"/>
                <w:w w:val="97"/>
              </w:rPr>
              <w:t>(D)</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Amortization of intangibles</w:t>
            </w:r>
          </w:p>
        </w:tc>
        <w:tc>
          <w:tcPr>
            <w:tcW w:w="800" w:type="dxa"/>
            <w:vAlign w:val="bottom"/>
          </w:tcPr>
          <w:p>
            <w:pPr>
              <w:spacing w:after="0"/>
              <w:rPr>
                <w:sz w:val="12"/>
                <w:szCs w:val="12"/>
                <w:color w:val="auto"/>
              </w:rPr>
            </w:pPr>
          </w:p>
        </w:tc>
        <w:tc>
          <w:tcPr>
            <w:tcW w:w="100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316</w:t>
            </w:r>
          </w:p>
        </w:tc>
        <w:tc>
          <w:tcPr>
            <w:tcW w:w="660" w:type="dxa"/>
            <w:vAlign w:val="bottom"/>
          </w:tcPr>
          <w:p>
            <w:pPr>
              <w:spacing w:after="0"/>
              <w:rPr>
                <w:sz w:val="12"/>
                <w:szCs w:val="12"/>
                <w:color w:val="auto"/>
              </w:rPr>
            </w:pPr>
          </w:p>
        </w:tc>
        <w:tc>
          <w:tcPr>
            <w:tcW w:w="102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96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1</w:t>
            </w:r>
            <w:r>
              <w:rPr>
                <w:rFonts w:ascii="Arial" w:cs="Arial" w:eastAsia="Arial" w:hAnsi="Arial"/>
                <w:sz w:val="12"/>
                <w:szCs w:val="12"/>
                <w:color w:val="auto"/>
              </w:rPr>
              <w:t>(11)</w:t>
            </w:r>
          </w:p>
        </w:tc>
        <w:tc>
          <w:tcPr>
            <w:tcW w:w="560" w:type="dxa"/>
            <w:vAlign w:val="bottom"/>
          </w:tcPr>
          <w:p>
            <w:pPr>
              <w:spacing w:after="0"/>
              <w:rPr>
                <w:sz w:val="12"/>
                <w:szCs w:val="12"/>
                <w:color w:val="auto"/>
              </w:rPr>
            </w:pPr>
          </w:p>
        </w:tc>
        <w:tc>
          <w:tcPr>
            <w:tcW w:w="88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72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Merger costs</w:t>
            </w:r>
          </w:p>
        </w:tc>
        <w:tc>
          <w:tcPr>
            <w:tcW w:w="8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Total noninterest expense</w:t>
            </w:r>
          </w:p>
        </w:tc>
        <w:tc>
          <w:tcPr>
            <w:tcW w:w="8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28"/>
              <w:spacing w:after="0" w:line="155" w:lineRule="exact"/>
              <w:rPr>
                <w:sz w:val="20"/>
                <w:szCs w:val="20"/>
                <w:color w:val="auto"/>
              </w:rPr>
            </w:pPr>
            <w:r>
              <w:rPr>
                <w:rFonts w:ascii="Arial" w:cs="Arial" w:eastAsia="Arial" w:hAnsi="Arial"/>
                <w:sz w:val="14"/>
                <w:szCs w:val="14"/>
                <w:color w:val="auto"/>
              </w:rPr>
              <w:t>8,931</w:t>
            </w:r>
          </w:p>
        </w:tc>
        <w:tc>
          <w:tcPr>
            <w:tcW w:w="6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28"/>
              <w:spacing w:after="0" w:line="155" w:lineRule="exact"/>
              <w:rPr>
                <w:sz w:val="20"/>
                <w:szCs w:val="20"/>
                <w:color w:val="auto"/>
              </w:rPr>
            </w:pPr>
            <w:r>
              <w:rPr>
                <w:rFonts w:ascii="Arial" w:cs="Arial" w:eastAsia="Arial" w:hAnsi="Arial"/>
                <w:sz w:val="14"/>
                <w:szCs w:val="14"/>
                <w:color w:val="auto"/>
                <w:w w:val="85"/>
              </w:rPr>
              <w:t>1,326</w:t>
            </w:r>
          </w:p>
        </w:tc>
        <w:tc>
          <w:tcPr>
            <w:tcW w:w="6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color w:val="auto"/>
              </w:rPr>
              <w:t>(37)</w:t>
            </w:r>
          </w:p>
        </w:tc>
        <w:tc>
          <w:tcPr>
            <w:tcW w:w="5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w w:val="88"/>
              </w:rPr>
              <w:t>10,220</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37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Income from continuing operations before income tax</w:t>
            </w:r>
          </w:p>
        </w:tc>
        <w:tc>
          <w:tcPr>
            <w:tcW w:w="8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expense</w:t>
            </w:r>
          </w:p>
        </w:tc>
        <w:tc>
          <w:tcPr>
            <w:tcW w:w="8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3,535</w:t>
            </w:r>
          </w:p>
        </w:tc>
        <w:tc>
          <w:tcPr>
            <w:tcW w:w="66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153</w:t>
            </w:r>
          </w:p>
        </w:tc>
        <w:tc>
          <w:tcPr>
            <w:tcW w:w="6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7</w:t>
            </w: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3,695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Income tax expense</w:t>
            </w:r>
          </w:p>
        </w:tc>
        <w:tc>
          <w:tcPr>
            <w:tcW w:w="8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28"/>
              <w:spacing w:after="0" w:line="149" w:lineRule="exact"/>
              <w:rPr>
                <w:sz w:val="20"/>
                <w:szCs w:val="20"/>
                <w:color w:val="auto"/>
              </w:rPr>
            </w:pPr>
            <w:r>
              <w:rPr>
                <w:rFonts w:ascii="Arial" w:cs="Arial" w:eastAsia="Arial" w:hAnsi="Arial"/>
                <w:sz w:val="14"/>
                <w:szCs w:val="14"/>
                <w:color w:val="auto"/>
              </w:rPr>
              <w:t>1,162</w:t>
            </w:r>
          </w:p>
        </w:tc>
        <w:tc>
          <w:tcPr>
            <w:tcW w:w="6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28"/>
              <w:spacing w:after="0" w:line="149" w:lineRule="exact"/>
              <w:rPr>
                <w:sz w:val="20"/>
                <w:szCs w:val="20"/>
                <w:color w:val="auto"/>
              </w:rPr>
            </w:pPr>
            <w:r>
              <w:rPr>
                <w:rFonts w:ascii="Arial" w:cs="Arial" w:eastAsia="Arial" w:hAnsi="Arial"/>
                <w:sz w:val="14"/>
                <w:szCs w:val="14"/>
                <w:color w:val="auto"/>
              </w:rPr>
              <w:t>38</w:t>
            </w:r>
          </w:p>
        </w:tc>
        <w:tc>
          <w:tcPr>
            <w:tcW w:w="6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88"/>
              <w:spacing w:after="0" w:line="149" w:lineRule="exact"/>
              <w:rPr>
                <w:sz w:val="20"/>
                <w:szCs w:val="20"/>
                <w:color w:val="auto"/>
              </w:rPr>
            </w:pPr>
            <w:r>
              <w:rPr>
                <w:rFonts w:ascii="Arial" w:cs="Arial" w:eastAsia="Arial" w:hAnsi="Arial"/>
                <w:sz w:val="14"/>
                <w:szCs w:val="14"/>
                <w:color w:val="auto"/>
                <w:w w:val="92"/>
              </w:rPr>
              <w:t>4</w:t>
            </w:r>
            <w:r>
              <w:rPr>
                <w:rFonts w:ascii="Arial" w:cs="Arial" w:eastAsia="Arial" w:hAnsi="Arial"/>
                <w:sz w:val="12"/>
                <w:szCs w:val="12"/>
                <w:color w:val="auto"/>
                <w:w w:val="92"/>
              </w:rPr>
              <w:t>(E)</w:t>
            </w:r>
          </w:p>
        </w:tc>
        <w:tc>
          <w:tcPr>
            <w:tcW w:w="5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8"/>
              <w:spacing w:after="0" w:line="149" w:lineRule="exact"/>
              <w:rPr>
                <w:sz w:val="20"/>
                <w:szCs w:val="20"/>
                <w:color w:val="auto"/>
              </w:rPr>
            </w:pPr>
            <w:r>
              <w:rPr>
                <w:rFonts w:ascii="Arial" w:cs="Arial" w:eastAsia="Arial" w:hAnsi="Arial"/>
                <w:sz w:val="14"/>
                <w:szCs w:val="14"/>
                <w:color w:val="auto"/>
              </w:rPr>
              <w:t>1,204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from continuing operations</w:t>
            </w: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2,373</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115</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rPr>
              <w:t>3</w:t>
            </w: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2,491</w:t>
            </w:r>
          </w:p>
        </w:tc>
        <w:tc>
          <w:tcPr>
            <w:tcW w:w="0" w:type="dxa"/>
            <w:vAlign w:val="bottom"/>
          </w:tcPr>
          <w:p>
            <w:pPr>
              <w:spacing w:after="0"/>
              <w:rPr>
                <w:sz w:val="1"/>
                <w:szCs w:val="1"/>
                <w:color w:val="auto"/>
              </w:rPr>
            </w:pPr>
          </w:p>
        </w:tc>
      </w:tr>
      <w:tr>
        <w:trPr>
          <w:trHeight w:val="319"/>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Per common share information</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from continuing operations:</w:t>
            </w:r>
          </w:p>
        </w:tc>
        <w:tc>
          <w:tcPr>
            <w:tcW w:w="8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Basic earnings per share</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0.70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0.89</w:t>
            </w: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0.73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w:t>
            </w:r>
          </w:p>
        </w:tc>
        <w:tc>
          <w:tcPr>
            <w:tcW w:w="8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0.68</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0.86</w:t>
            </w:r>
          </w:p>
        </w:tc>
        <w:tc>
          <w:tcPr>
            <w:tcW w:w="6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0.71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b w:val="1"/>
                <w:bCs w:val="1"/>
                <w:color w:val="auto"/>
              </w:rPr>
              <w:t>Average common shares outstanding</w:t>
            </w:r>
          </w:p>
        </w:tc>
        <w:tc>
          <w:tcPr>
            <w:tcW w:w="800" w:type="dxa"/>
            <w:vAlign w:val="bottom"/>
          </w:tcPr>
          <w:p>
            <w:pPr>
              <w:spacing w:after="0"/>
              <w:rPr>
                <w:sz w:val="12"/>
                <w:szCs w:val="12"/>
                <w:color w:val="auto"/>
              </w:rPr>
            </w:pPr>
          </w:p>
        </w:tc>
        <w:tc>
          <w:tcPr>
            <w:tcW w:w="100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3,396</w:t>
            </w:r>
          </w:p>
        </w:tc>
        <w:tc>
          <w:tcPr>
            <w:tcW w:w="660" w:type="dxa"/>
            <w:vAlign w:val="bottom"/>
          </w:tcPr>
          <w:p>
            <w:pPr>
              <w:spacing w:after="0"/>
              <w:rPr>
                <w:sz w:val="12"/>
                <w:szCs w:val="12"/>
                <w:color w:val="auto"/>
              </w:rPr>
            </w:pPr>
          </w:p>
        </w:tc>
        <w:tc>
          <w:tcPr>
            <w:tcW w:w="102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129</w:t>
            </w: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jc w:val="right"/>
              <w:ind w:right="348"/>
              <w:spacing w:after="0" w:line="149" w:lineRule="exact"/>
              <w:rPr>
                <w:sz w:val="20"/>
                <w:szCs w:val="20"/>
                <w:color w:val="auto"/>
              </w:rPr>
            </w:pPr>
            <w:r>
              <w:rPr>
                <w:rFonts w:ascii="Arial" w:cs="Arial" w:eastAsia="Arial" w:hAnsi="Arial"/>
                <w:sz w:val="14"/>
                <w:szCs w:val="14"/>
                <w:color w:val="auto"/>
                <w:w w:val="91"/>
              </w:rPr>
              <w:t>(102)</w:t>
            </w:r>
            <w:r>
              <w:rPr>
                <w:rFonts w:ascii="Arial" w:cs="Arial" w:eastAsia="Arial" w:hAnsi="Arial"/>
                <w:sz w:val="12"/>
                <w:szCs w:val="12"/>
                <w:color w:val="auto"/>
                <w:w w:val="91"/>
              </w:rPr>
              <w:t>(F)</w:t>
            </w:r>
          </w:p>
        </w:tc>
        <w:tc>
          <w:tcPr>
            <w:tcW w:w="500" w:type="dxa"/>
            <w:vAlign w:val="bottom"/>
          </w:tcPr>
          <w:p>
            <w:pPr>
              <w:spacing w:after="0"/>
              <w:rPr>
                <w:sz w:val="12"/>
                <w:szCs w:val="12"/>
                <w:color w:val="auto"/>
              </w:rPr>
            </w:pPr>
          </w:p>
        </w:tc>
        <w:tc>
          <w:tcPr>
            <w:tcW w:w="72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3,423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Average diluted common shares outstanding</w:t>
            </w:r>
          </w:p>
        </w:tc>
        <w:tc>
          <w:tcPr>
            <w:tcW w:w="8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3,495</w:t>
            </w:r>
          </w:p>
        </w:tc>
        <w:tc>
          <w:tcPr>
            <w:tcW w:w="6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139</w:t>
            </w:r>
          </w:p>
        </w:tc>
        <w:tc>
          <w:tcPr>
            <w:tcW w:w="6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w w:val="91"/>
              </w:rPr>
              <w:t>(112)</w:t>
            </w:r>
            <w:r>
              <w:rPr>
                <w:rFonts w:ascii="Arial" w:cs="Arial" w:eastAsia="Arial" w:hAnsi="Arial"/>
                <w:sz w:val="12"/>
                <w:szCs w:val="12"/>
                <w:color w:val="auto"/>
                <w:w w:val="91"/>
              </w:rPr>
              <w:t>(F)</w:t>
            </w:r>
          </w:p>
        </w:tc>
        <w:tc>
          <w:tcPr>
            <w:tcW w:w="5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3,522</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9" w:name="page10"/>
    <w:bookmarkEnd w:id="9"/>
    <w:p>
      <w:pPr>
        <w:ind w:left="2880"/>
        <w:spacing w:after="0"/>
        <w:rPr>
          <w:sz w:val="20"/>
          <w:szCs w:val="20"/>
          <w:color w:val="auto"/>
        </w:rPr>
      </w:pPr>
      <w:r>
        <w:rPr>
          <w:rFonts w:ascii="Arial" w:cs="Arial" w:eastAsia="Arial" w:hAnsi="Arial"/>
          <w:sz w:val="18"/>
          <w:szCs w:val="18"/>
          <w:b w:val="1"/>
          <w:bCs w:val="1"/>
          <w:color w:val="auto"/>
        </w:rPr>
        <w:t>JPMORGAN CHASE &amp; CO./THE BEAR STEARNS COMPANIES INC.</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UNAUDITED PRO FORMA COMBINED STATEMENT OF INCOME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2007 and November 30, 2007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 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JPMorgan Chase</w:t>
            </w: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Bear Stearns</w:t>
            </w:r>
          </w:p>
        </w:tc>
        <w:tc>
          <w:tcPr>
            <w:tcW w:w="1620" w:type="dxa"/>
            <w:vAlign w:val="bottom"/>
            <w:gridSpan w:val="2"/>
            <w:vMerge w:val="restart"/>
          </w:tcPr>
          <w:p>
            <w:pPr>
              <w:jc w:val="right"/>
              <w:ind w:right="428"/>
              <w:spacing w:after="0"/>
              <w:rPr>
                <w:sz w:val="20"/>
                <w:szCs w:val="20"/>
                <w:color w:val="auto"/>
              </w:rPr>
            </w:pPr>
            <w:r>
              <w:rPr>
                <w:rFonts w:ascii="Arial" w:cs="Arial" w:eastAsia="Arial" w:hAnsi="Arial"/>
                <w:sz w:val="14"/>
                <w:szCs w:val="14"/>
                <w:b w:val="1"/>
                <w:bCs w:val="1"/>
                <w:color w:val="auto"/>
              </w:rPr>
              <w:t>Reporting</w:t>
            </w:r>
          </w:p>
        </w:tc>
        <w:tc>
          <w:tcPr>
            <w:tcW w:w="1400" w:type="dxa"/>
            <w:vAlign w:val="bottom"/>
            <w:gridSpan w:val="2"/>
            <w:vMerge w:val="restart"/>
          </w:tcPr>
          <w:p>
            <w:pPr>
              <w:jc w:val="right"/>
              <w:ind w:right="348"/>
              <w:spacing w:after="0"/>
              <w:rPr>
                <w:sz w:val="20"/>
                <w:szCs w:val="20"/>
                <w:color w:val="auto"/>
              </w:rPr>
            </w:pPr>
            <w:r>
              <w:rPr>
                <w:rFonts w:ascii="Arial" w:cs="Arial" w:eastAsia="Arial" w:hAnsi="Arial"/>
                <w:sz w:val="14"/>
                <w:szCs w:val="14"/>
                <w:b w:val="1"/>
                <w:bCs w:val="1"/>
                <w:color w:val="auto"/>
              </w:rPr>
              <w:t>Pro forma</w:t>
            </w:r>
          </w:p>
        </w:tc>
        <w:tc>
          <w:tcPr>
            <w:tcW w:w="120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78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88"/>
              </w:rPr>
              <w:t>Year ended</w:t>
            </w:r>
          </w:p>
        </w:tc>
        <w:tc>
          <w:tcPr>
            <w:tcW w:w="180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88"/>
              </w:rPr>
              <w:t>Year ended</w:t>
            </w:r>
          </w:p>
        </w:tc>
        <w:tc>
          <w:tcPr>
            <w:tcW w:w="162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December 31, 2007</w:t>
            </w: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November 30, 2007</w:t>
            </w:r>
          </w:p>
        </w:tc>
        <w:tc>
          <w:tcPr>
            <w:tcW w:w="162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b w:val="1"/>
                <w:bCs w:val="1"/>
                <w:color w:val="auto"/>
              </w:rPr>
              <w:t>reclassifications</w:t>
            </w:r>
          </w:p>
        </w:tc>
        <w:tc>
          <w:tcPr>
            <w:tcW w:w="140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b w:val="1"/>
                <w:bCs w:val="1"/>
                <w:color w:val="auto"/>
              </w:rPr>
              <w:t>adjustments</w:t>
            </w:r>
          </w:p>
        </w:tc>
        <w:tc>
          <w:tcPr>
            <w:tcW w:w="120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Revenue</w:t>
            </w:r>
          </w:p>
        </w:tc>
        <w:tc>
          <w:tcPr>
            <w:tcW w:w="7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Investment banking fees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608"/>
              <w:spacing w:after="0" w:line="149" w:lineRule="exact"/>
              <w:rPr>
                <w:sz w:val="20"/>
                <w:szCs w:val="20"/>
                <w:color w:val="auto"/>
              </w:rPr>
            </w:pPr>
            <w:r>
              <w:rPr>
                <w:rFonts w:ascii="Arial" w:cs="Arial" w:eastAsia="Arial" w:hAnsi="Arial"/>
                <w:sz w:val="14"/>
                <w:szCs w:val="14"/>
                <w:color w:val="auto"/>
              </w:rPr>
              <w:t>6,635</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1,380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(286)</w:t>
            </w:r>
            <w:r>
              <w:rPr>
                <w:rFonts w:ascii="Arial" w:cs="Arial" w:eastAsia="Arial" w:hAnsi="Arial"/>
                <w:sz w:val="12"/>
                <w:szCs w:val="12"/>
                <w:color w:val="auto"/>
              </w:rPr>
              <w:t>(1)</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7,706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(23)</w:t>
            </w:r>
            <w:r>
              <w:rPr>
                <w:rFonts w:ascii="Arial" w:cs="Arial" w:eastAsia="Arial" w:hAnsi="Arial"/>
                <w:sz w:val="12"/>
                <w:szCs w:val="12"/>
                <w:color w:val="auto"/>
              </w:rPr>
              <w:t>(2)</w:t>
            </w: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Principal transactions</w:t>
            </w:r>
          </w:p>
        </w:tc>
        <w:tc>
          <w:tcPr>
            <w:tcW w:w="700" w:type="dxa"/>
            <w:vAlign w:val="bottom"/>
          </w:tcPr>
          <w:p>
            <w:pPr>
              <w:spacing w:after="0"/>
              <w:rPr>
                <w:sz w:val="12"/>
                <w:szCs w:val="12"/>
                <w:color w:val="auto"/>
              </w:rPr>
            </w:pPr>
          </w:p>
        </w:tc>
        <w:tc>
          <w:tcPr>
            <w:tcW w:w="1080" w:type="dxa"/>
            <w:vAlign w:val="bottom"/>
          </w:tcPr>
          <w:p>
            <w:pPr>
              <w:jc w:val="right"/>
              <w:ind w:right="608"/>
              <w:spacing w:after="0" w:line="149" w:lineRule="exact"/>
              <w:rPr>
                <w:sz w:val="20"/>
                <w:szCs w:val="20"/>
                <w:color w:val="auto"/>
              </w:rPr>
            </w:pPr>
            <w:r>
              <w:rPr>
                <w:rFonts w:ascii="Arial" w:cs="Arial" w:eastAsia="Arial" w:hAnsi="Arial"/>
                <w:sz w:val="14"/>
                <w:szCs w:val="14"/>
                <w:color w:val="auto"/>
              </w:rPr>
              <w:t>9,015</w:t>
            </w:r>
          </w:p>
        </w:tc>
        <w:tc>
          <w:tcPr>
            <w:tcW w:w="700" w:type="dxa"/>
            <w:vAlign w:val="bottom"/>
          </w:tcPr>
          <w:p>
            <w:pPr>
              <w:spacing w:after="0"/>
              <w:rPr>
                <w:sz w:val="12"/>
                <w:szCs w:val="12"/>
                <w:color w:val="auto"/>
              </w:rPr>
            </w:pPr>
          </w:p>
        </w:tc>
        <w:tc>
          <w:tcPr>
            <w:tcW w:w="110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1,323</w:t>
            </w:r>
          </w:p>
        </w:tc>
        <w:tc>
          <w:tcPr>
            <w:tcW w:w="620" w:type="dxa"/>
            <w:vAlign w:val="bottom"/>
          </w:tcPr>
          <w:p>
            <w:pPr>
              <w:spacing w:after="0"/>
              <w:rPr>
                <w:sz w:val="12"/>
                <w:szCs w:val="12"/>
                <w:color w:val="auto"/>
              </w:rPr>
            </w:pPr>
          </w:p>
        </w:tc>
        <w:tc>
          <w:tcPr>
            <w:tcW w:w="100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23</w:t>
            </w:r>
            <w:r>
              <w:rPr>
                <w:rFonts w:ascii="Arial" w:cs="Arial" w:eastAsia="Arial" w:hAnsi="Arial"/>
                <w:sz w:val="12"/>
                <w:szCs w:val="12"/>
                <w:color w:val="auto"/>
              </w:rPr>
              <w:t>(2)</w:t>
            </w:r>
          </w:p>
        </w:tc>
        <w:tc>
          <w:tcPr>
            <w:tcW w:w="540" w:type="dxa"/>
            <w:vAlign w:val="bottom"/>
          </w:tcPr>
          <w:p>
            <w:pPr>
              <w:spacing w:after="0"/>
              <w:rPr>
                <w:sz w:val="12"/>
                <w:szCs w:val="12"/>
                <w:color w:val="auto"/>
              </w:rPr>
            </w:pPr>
          </w:p>
        </w:tc>
        <w:tc>
          <w:tcPr>
            <w:tcW w:w="860" w:type="dxa"/>
            <w:vAlign w:val="bottom"/>
          </w:tcPr>
          <w:p>
            <w:pPr>
              <w:jc w:val="center"/>
              <w:ind w:right="228"/>
              <w:spacing w:after="0" w:line="149" w:lineRule="exact"/>
              <w:rPr>
                <w:sz w:val="20"/>
                <w:szCs w:val="20"/>
                <w:color w:val="auto"/>
              </w:rPr>
            </w:pPr>
            <w:r>
              <w:rPr>
                <w:rFonts w:ascii="Arial" w:cs="Arial" w:eastAsia="Arial" w:hAnsi="Arial"/>
                <w:sz w:val="14"/>
                <w:szCs w:val="14"/>
                <w:color w:val="auto"/>
              </w:rPr>
              <w:t>12</w:t>
            </w:r>
            <w:r>
              <w:rPr>
                <w:rFonts w:ascii="Arial" w:cs="Arial" w:eastAsia="Arial" w:hAnsi="Arial"/>
                <w:sz w:val="12"/>
                <w:szCs w:val="12"/>
                <w:color w:val="auto"/>
              </w:rPr>
              <w:t>(A)</w:t>
            </w:r>
          </w:p>
        </w:tc>
        <w:tc>
          <w:tcPr>
            <w:tcW w:w="480" w:type="dxa"/>
            <w:vAlign w:val="bottom"/>
          </w:tcPr>
          <w:p>
            <w:pPr>
              <w:spacing w:after="0"/>
              <w:rPr>
                <w:sz w:val="12"/>
                <w:szCs w:val="12"/>
                <w:color w:val="auto"/>
              </w:rPr>
            </w:pPr>
          </w:p>
        </w:tc>
        <w:tc>
          <w:tcPr>
            <w:tcW w:w="720" w:type="dxa"/>
            <w:vAlign w:val="bottom"/>
          </w:tcPr>
          <w:p>
            <w:pPr>
              <w:jc w:val="right"/>
              <w:ind w:right="248"/>
              <w:spacing w:after="0" w:line="149" w:lineRule="exact"/>
              <w:rPr>
                <w:sz w:val="20"/>
                <w:szCs w:val="20"/>
                <w:color w:val="auto"/>
              </w:rPr>
            </w:pPr>
            <w:r>
              <w:rPr>
                <w:rFonts w:ascii="Arial" w:cs="Arial" w:eastAsia="Arial" w:hAnsi="Arial"/>
                <w:sz w:val="14"/>
                <w:szCs w:val="14"/>
                <w:color w:val="auto"/>
                <w:w w:val="88"/>
              </w:rPr>
              <w:t>10,243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(130)</w:t>
            </w:r>
            <w:r>
              <w:rPr>
                <w:rFonts w:ascii="Arial" w:cs="Arial" w:eastAsia="Arial" w:hAnsi="Arial"/>
                <w:sz w:val="12"/>
                <w:szCs w:val="12"/>
                <w:color w:val="auto"/>
              </w:rPr>
              <w:t>(3)</w:t>
            </w: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Lending &amp; deposit-related fees</w:t>
            </w:r>
          </w:p>
        </w:tc>
        <w:tc>
          <w:tcPr>
            <w:tcW w:w="700" w:type="dxa"/>
            <w:vAlign w:val="bottom"/>
          </w:tcPr>
          <w:p>
            <w:pPr>
              <w:spacing w:after="0"/>
              <w:rPr>
                <w:sz w:val="12"/>
                <w:szCs w:val="12"/>
                <w:color w:val="auto"/>
              </w:rPr>
            </w:pPr>
          </w:p>
        </w:tc>
        <w:tc>
          <w:tcPr>
            <w:tcW w:w="1080" w:type="dxa"/>
            <w:vAlign w:val="bottom"/>
          </w:tcPr>
          <w:p>
            <w:pPr>
              <w:jc w:val="right"/>
              <w:ind w:right="608"/>
              <w:spacing w:after="0" w:line="149" w:lineRule="exact"/>
              <w:rPr>
                <w:sz w:val="20"/>
                <w:szCs w:val="20"/>
                <w:color w:val="auto"/>
              </w:rPr>
            </w:pPr>
            <w:r>
              <w:rPr>
                <w:rFonts w:ascii="Arial" w:cs="Arial" w:eastAsia="Arial" w:hAnsi="Arial"/>
                <w:sz w:val="14"/>
                <w:szCs w:val="14"/>
                <w:color w:val="auto"/>
              </w:rPr>
              <w:t>3,938</w:t>
            </w:r>
          </w:p>
        </w:tc>
        <w:tc>
          <w:tcPr>
            <w:tcW w:w="700" w:type="dxa"/>
            <w:vAlign w:val="bottom"/>
          </w:tcPr>
          <w:p>
            <w:pPr>
              <w:spacing w:after="0"/>
              <w:rPr>
                <w:sz w:val="12"/>
                <w:szCs w:val="12"/>
                <w:color w:val="auto"/>
              </w:rPr>
            </w:pPr>
          </w:p>
        </w:tc>
        <w:tc>
          <w:tcPr>
            <w:tcW w:w="110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00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86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72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3,938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 management, administration and commissions</w:t>
            </w:r>
          </w:p>
        </w:tc>
        <w:tc>
          <w:tcPr>
            <w:tcW w:w="7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08"/>
              <w:spacing w:after="0" w:line="149" w:lineRule="exact"/>
              <w:rPr>
                <w:sz w:val="20"/>
                <w:szCs w:val="20"/>
                <w:color w:val="auto"/>
              </w:rPr>
            </w:pPr>
            <w:r>
              <w:rPr>
                <w:rFonts w:ascii="Arial" w:cs="Arial" w:eastAsia="Arial" w:hAnsi="Arial"/>
                <w:sz w:val="14"/>
                <w:szCs w:val="14"/>
                <w:color w:val="auto"/>
                <w:w w:val="88"/>
              </w:rPr>
              <w:t>14,356</w:t>
            </w:r>
          </w:p>
        </w:tc>
        <w:tc>
          <w:tcPr>
            <w:tcW w:w="70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w w:val="91"/>
              </w:rPr>
              <w:t>(2,702)</w:t>
            </w:r>
            <w:r>
              <w:rPr>
                <w:rFonts w:ascii="Arial" w:cs="Arial" w:eastAsia="Arial" w:hAnsi="Arial"/>
                <w:sz w:val="12"/>
                <w:szCs w:val="12"/>
                <w:color w:val="auto"/>
                <w:w w:val="91"/>
              </w:rPr>
              <w:t>(4)</w:t>
            </w: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w w:val="88"/>
              </w:rPr>
              <w:t>12,251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597</w:t>
            </w:r>
            <w:r>
              <w:rPr>
                <w:rFonts w:ascii="Arial" w:cs="Arial" w:eastAsia="Arial" w:hAnsi="Arial"/>
                <w:sz w:val="12"/>
                <w:szCs w:val="12"/>
                <w:color w:val="auto"/>
              </w:rPr>
              <w:t>(5)</w:t>
            </w: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 management and other income</w:t>
            </w:r>
          </w:p>
        </w:tc>
        <w:tc>
          <w:tcPr>
            <w:tcW w:w="7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08"/>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623</w:t>
            </w:r>
          </w:p>
        </w:tc>
        <w:tc>
          <w:tcPr>
            <w:tcW w:w="6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(623)</w:t>
            </w:r>
            <w:r>
              <w:rPr>
                <w:rFonts w:ascii="Arial" w:cs="Arial" w:eastAsia="Arial" w:hAnsi="Arial"/>
                <w:sz w:val="12"/>
                <w:szCs w:val="12"/>
                <w:color w:val="auto"/>
              </w:rPr>
              <w:t>(5,6)</w:t>
            </w: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Commissions</w:t>
            </w:r>
          </w:p>
        </w:tc>
        <w:tc>
          <w:tcPr>
            <w:tcW w:w="700" w:type="dxa"/>
            <w:vAlign w:val="bottom"/>
          </w:tcPr>
          <w:p>
            <w:pPr>
              <w:spacing w:after="0"/>
              <w:rPr>
                <w:sz w:val="12"/>
                <w:szCs w:val="12"/>
                <w:color w:val="auto"/>
              </w:rPr>
            </w:pPr>
          </w:p>
        </w:tc>
        <w:tc>
          <w:tcPr>
            <w:tcW w:w="1080" w:type="dxa"/>
            <w:vAlign w:val="bottom"/>
          </w:tcPr>
          <w:p>
            <w:pPr>
              <w:jc w:val="right"/>
              <w:ind w:right="60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110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1,269</w:t>
            </w:r>
          </w:p>
        </w:tc>
        <w:tc>
          <w:tcPr>
            <w:tcW w:w="620" w:type="dxa"/>
            <w:vAlign w:val="bottom"/>
          </w:tcPr>
          <w:p>
            <w:pPr>
              <w:spacing w:after="0"/>
              <w:rPr>
                <w:sz w:val="12"/>
                <w:szCs w:val="12"/>
                <w:color w:val="auto"/>
              </w:rPr>
            </w:pPr>
          </w:p>
        </w:tc>
        <w:tc>
          <w:tcPr>
            <w:tcW w:w="1000" w:type="dxa"/>
            <w:vAlign w:val="bottom"/>
          </w:tcPr>
          <w:p>
            <w:pPr>
              <w:jc w:val="right"/>
              <w:ind w:right="368"/>
              <w:spacing w:after="0" w:line="149" w:lineRule="exact"/>
              <w:rPr>
                <w:sz w:val="20"/>
                <w:szCs w:val="20"/>
                <w:color w:val="auto"/>
              </w:rPr>
            </w:pPr>
            <w:r>
              <w:rPr>
                <w:rFonts w:ascii="Arial" w:cs="Arial" w:eastAsia="Arial" w:hAnsi="Arial"/>
                <w:sz w:val="14"/>
                <w:szCs w:val="14"/>
                <w:color w:val="auto"/>
                <w:w w:val="91"/>
              </w:rPr>
              <w:t>(1,269)</w:t>
            </w:r>
            <w:r>
              <w:rPr>
                <w:rFonts w:ascii="Arial" w:cs="Arial" w:eastAsia="Arial" w:hAnsi="Arial"/>
                <w:sz w:val="12"/>
                <w:szCs w:val="12"/>
                <w:color w:val="auto"/>
                <w:w w:val="91"/>
              </w:rPr>
              <w:t>(7)</w:t>
            </w:r>
          </w:p>
        </w:tc>
        <w:tc>
          <w:tcPr>
            <w:tcW w:w="540" w:type="dxa"/>
            <w:vAlign w:val="bottom"/>
          </w:tcPr>
          <w:p>
            <w:pPr>
              <w:spacing w:after="0"/>
              <w:rPr>
                <w:sz w:val="12"/>
                <w:szCs w:val="12"/>
                <w:color w:val="auto"/>
              </w:rPr>
            </w:pPr>
          </w:p>
        </w:tc>
        <w:tc>
          <w:tcPr>
            <w:tcW w:w="86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72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Brokerage commissions</w:t>
            </w:r>
          </w:p>
        </w:tc>
        <w:tc>
          <w:tcPr>
            <w:tcW w:w="7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08"/>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w w:val="97"/>
              </w:rPr>
              <w:t>3,971</w:t>
            </w:r>
            <w:r>
              <w:rPr>
                <w:rFonts w:ascii="Arial" w:cs="Arial" w:eastAsia="Arial" w:hAnsi="Arial"/>
                <w:sz w:val="12"/>
                <w:szCs w:val="12"/>
                <w:color w:val="auto"/>
                <w:w w:val="97"/>
              </w:rPr>
              <w:t>(4,7)</w:t>
            </w: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3,971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Securities gains (losses)</w:t>
            </w:r>
          </w:p>
        </w:tc>
        <w:tc>
          <w:tcPr>
            <w:tcW w:w="700" w:type="dxa"/>
            <w:vAlign w:val="bottom"/>
          </w:tcPr>
          <w:p>
            <w:pPr>
              <w:spacing w:after="0"/>
              <w:rPr>
                <w:sz w:val="12"/>
                <w:szCs w:val="12"/>
                <w:color w:val="auto"/>
              </w:rPr>
            </w:pPr>
          </w:p>
        </w:tc>
        <w:tc>
          <w:tcPr>
            <w:tcW w:w="1080" w:type="dxa"/>
            <w:vAlign w:val="bottom"/>
          </w:tcPr>
          <w:p>
            <w:pPr>
              <w:jc w:val="right"/>
              <w:ind w:right="608"/>
              <w:spacing w:after="0" w:line="149" w:lineRule="exact"/>
              <w:rPr>
                <w:sz w:val="20"/>
                <w:szCs w:val="20"/>
                <w:color w:val="auto"/>
              </w:rPr>
            </w:pPr>
            <w:r>
              <w:rPr>
                <w:rFonts w:ascii="Arial" w:cs="Arial" w:eastAsia="Arial" w:hAnsi="Arial"/>
                <w:sz w:val="14"/>
                <w:szCs w:val="14"/>
                <w:color w:val="auto"/>
              </w:rPr>
              <w:t>164</w:t>
            </w:r>
          </w:p>
        </w:tc>
        <w:tc>
          <w:tcPr>
            <w:tcW w:w="700" w:type="dxa"/>
            <w:vAlign w:val="bottom"/>
          </w:tcPr>
          <w:p>
            <w:pPr>
              <w:spacing w:after="0"/>
              <w:rPr>
                <w:sz w:val="12"/>
                <w:szCs w:val="12"/>
                <w:color w:val="auto"/>
              </w:rPr>
            </w:pPr>
          </w:p>
        </w:tc>
        <w:tc>
          <w:tcPr>
            <w:tcW w:w="110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00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86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72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Mortgage fees and related income</w:t>
            </w:r>
          </w:p>
        </w:tc>
        <w:tc>
          <w:tcPr>
            <w:tcW w:w="7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08"/>
              <w:spacing w:after="0" w:line="149" w:lineRule="exact"/>
              <w:rPr>
                <w:sz w:val="20"/>
                <w:szCs w:val="20"/>
                <w:color w:val="auto"/>
              </w:rPr>
            </w:pPr>
            <w:r>
              <w:rPr>
                <w:rFonts w:ascii="Arial" w:cs="Arial" w:eastAsia="Arial" w:hAnsi="Arial"/>
                <w:sz w:val="14"/>
                <w:szCs w:val="14"/>
                <w:color w:val="auto"/>
              </w:rPr>
              <w:t>2,118</w:t>
            </w:r>
          </w:p>
        </w:tc>
        <w:tc>
          <w:tcPr>
            <w:tcW w:w="70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416</w:t>
            </w:r>
            <w:r>
              <w:rPr>
                <w:rFonts w:ascii="Arial" w:cs="Arial" w:eastAsia="Arial" w:hAnsi="Arial"/>
                <w:sz w:val="12"/>
                <w:szCs w:val="12"/>
                <w:color w:val="auto"/>
              </w:rPr>
              <w:t>(1,3)</w:t>
            </w: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2,534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Credit card income</w:t>
            </w:r>
          </w:p>
        </w:tc>
        <w:tc>
          <w:tcPr>
            <w:tcW w:w="700" w:type="dxa"/>
            <w:vAlign w:val="bottom"/>
          </w:tcPr>
          <w:p>
            <w:pPr>
              <w:spacing w:after="0"/>
              <w:rPr>
                <w:sz w:val="12"/>
                <w:szCs w:val="12"/>
                <w:color w:val="auto"/>
              </w:rPr>
            </w:pPr>
          </w:p>
        </w:tc>
        <w:tc>
          <w:tcPr>
            <w:tcW w:w="1080" w:type="dxa"/>
            <w:vAlign w:val="bottom"/>
          </w:tcPr>
          <w:p>
            <w:pPr>
              <w:jc w:val="right"/>
              <w:ind w:right="608"/>
              <w:spacing w:after="0" w:line="149" w:lineRule="exact"/>
              <w:rPr>
                <w:sz w:val="20"/>
                <w:szCs w:val="20"/>
                <w:color w:val="auto"/>
              </w:rPr>
            </w:pPr>
            <w:r>
              <w:rPr>
                <w:rFonts w:ascii="Arial" w:cs="Arial" w:eastAsia="Arial" w:hAnsi="Arial"/>
                <w:sz w:val="14"/>
                <w:szCs w:val="14"/>
                <w:color w:val="auto"/>
              </w:rPr>
              <w:t>6,911</w:t>
            </w:r>
          </w:p>
        </w:tc>
        <w:tc>
          <w:tcPr>
            <w:tcW w:w="700" w:type="dxa"/>
            <w:vAlign w:val="bottom"/>
          </w:tcPr>
          <w:p>
            <w:pPr>
              <w:spacing w:after="0"/>
              <w:rPr>
                <w:sz w:val="12"/>
                <w:szCs w:val="12"/>
                <w:color w:val="auto"/>
              </w:rPr>
            </w:pPr>
          </w:p>
        </w:tc>
        <w:tc>
          <w:tcPr>
            <w:tcW w:w="110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00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86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72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6,911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7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608"/>
              <w:spacing w:after="0" w:line="149" w:lineRule="exact"/>
              <w:rPr>
                <w:sz w:val="20"/>
                <w:szCs w:val="20"/>
                <w:color w:val="auto"/>
              </w:rPr>
            </w:pPr>
            <w:r>
              <w:rPr>
                <w:rFonts w:ascii="Arial" w:cs="Arial" w:eastAsia="Arial" w:hAnsi="Arial"/>
                <w:sz w:val="14"/>
                <w:szCs w:val="14"/>
                <w:color w:val="auto"/>
              </w:rPr>
              <w:t>1,829</w:t>
            </w:r>
          </w:p>
        </w:tc>
        <w:tc>
          <w:tcPr>
            <w:tcW w:w="7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26</w:t>
            </w:r>
            <w:r>
              <w:rPr>
                <w:rFonts w:ascii="Arial" w:cs="Arial" w:eastAsia="Arial" w:hAnsi="Arial"/>
                <w:sz w:val="12"/>
                <w:szCs w:val="12"/>
                <w:color w:val="auto"/>
              </w:rPr>
              <w:t>(6)</w:t>
            </w:r>
          </w:p>
        </w:tc>
        <w:tc>
          <w:tcPr>
            <w:tcW w:w="5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1,855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Noninterest revenue</w:t>
            </w:r>
          </w:p>
        </w:tc>
        <w:tc>
          <w:tcPr>
            <w:tcW w:w="7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08"/>
              <w:spacing w:after="0" w:line="155" w:lineRule="exact"/>
              <w:rPr>
                <w:sz w:val="20"/>
                <w:szCs w:val="20"/>
                <w:color w:val="auto"/>
              </w:rPr>
            </w:pPr>
            <w:r>
              <w:rPr>
                <w:rFonts w:ascii="Arial" w:cs="Arial" w:eastAsia="Arial" w:hAnsi="Arial"/>
                <w:sz w:val="14"/>
                <w:szCs w:val="14"/>
                <w:color w:val="auto"/>
                <w:w w:val="88"/>
              </w:rPr>
              <w:t>44,966</w:t>
            </w:r>
          </w:p>
        </w:tc>
        <w:tc>
          <w:tcPr>
            <w:tcW w:w="7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28"/>
              <w:spacing w:after="0" w:line="155" w:lineRule="exact"/>
              <w:rPr>
                <w:sz w:val="20"/>
                <w:szCs w:val="20"/>
                <w:color w:val="auto"/>
              </w:rPr>
            </w:pPr>
            <w:r>
              <w:rPr>
                <w:rFonts w:ascii="Arial" w:cs="Arial" w:eastAsia="Arial" w:hAnsi="Arial"/>
                <w:sz w:val="14"/>
                <w:szCs w:val="14"/>
                <w:color w:val="auto"/>
              </w:rPr>
              <w:t>4,595</w:t>
            </w:r>
          </w:p>
        </w:tc>
        <w:tc>
          <w:tcPr>
            <w:tcW w:w="6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48"/>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28"/>
              <w:spacing w:after="0" w:line="155" w:lineRule="exact"/>
              <w:rPr>
                <w:sz w:val="20"/>
                <w:szCs w:val="20"/>
                <w:color w:val="auto"/>
              </w:rPr>
            </w:pPr>
            <w:r>
              <w:rPr>
                <w:rFonts w:ascii="Arial" w:cs="Arial" w:eastAsia="Arial" w:hAnsi="Arial"/>
                <w:sz w:val="14"/>
                <w:szCs w:val="14"/>
                <w:color w:val="auto"/>
              </w:rPr>
              <w:t>12</w:t>
            </w:r>
          </w:p>
        </w:tc>
        <w:tc>
          <w:tcPr>
            <w:tcW w:w="4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w w:val="88"/>
              </w:rPr>
              <w:t>49,573</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7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08"/>
              <w:spacing w:after="0" w:line="149" w:lineRule="exact"/>
              <w:rPr>
                <w:sz w:val="20"/>
                <w:szCs w:val="20"/>
                <w:color w:val="auto"/>
              </w:rPr>
            </w:pPr>
            <w:r>
              <w:rPr>
                <w:rFonts w:ascii="Arial" w:cs="Arial" w:eastAsia="Arial" w:hAnsi="Arial"/>
                <w:sz w:val="14"/>
                <w:szCs w:val="14"/>
                <w:color w:val="auto"/>
                <w:w w:val="88"/>
              </w:rPr>
              <w:t>71,387</w:t>
            </w:r>
          </w:p>
        </w:tc>
        <w:tc>
          <w:tcPr>
            <w:tcW w:w="70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w w:val="88"/>
              </w:rPr>
              <w:t>11,556</w:t>
            </w:r>
          </w:p>
        </w:tc>
        <w:tc>
          <w:tcPr>
            <w:tcW w:w="6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w w:val="88"/>
              </w:rPr>
              <w:t>82,943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Interest expense</w:t>
            </w:r>
          </w:p>
        </w:tc>
        <w:tc>
          <w:tcPr>
            <w:tcW w:w="7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08"/>
              <w:spacing w:after="0" w:line="149" w:lineRule="exact"/>
              <w:rPr>
                <w:sz w:val="20"/>
                <w:szCs w:val="20"/>
                <w:color w:val="auto"/>
              </w:rPr>
            </w:pPr>
            <w:r>
              <w:rPr>
                <w:rFonts w:ascii="Arial" w:cs="Arial" w:eastAsia="Arial" w:hAnsi="Arial"/>
                <w:sz w:val="14"/>
                <w:szCs w:val="14"/>
                <w:color w:val="auto"/>
                <w:w w:val="88"/>
              </w:rPr>
              <w:t>44,981</w:t>
            </w:r>
          </w:p>
        </w:tc>
        <w:tc>
          <w:tcPr>
            <w:tcW w:w="7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28"/>
              <w:spacing w:after="0" w:line="149" w:lineRule="exact"/>
              <w:rPr>
                <w:sz w:val="20"/>
                <w:szCs w:val="20"/>
                <w:color w:val="auto"/>
              </w:rPr>
            </w:pPr>
            <w:r>
              <w:rPr>
                <w:rFonts w:ascii="Arial" w:cs="Arial" w:eastAsia="Arial" w:hAnsi="Arial"/>
                <w:sz w:val="14"/>
                <w:szCs w:val="14"/>
                <w:color w:val="auto"/>
                <w:w w:val="88"/>
              </w:rPr>
              <w:t>10,206</w:t>
            </w:r>
          </w:p>
        </w:tc>
        <w:tc>
          <w:tcPr>
            <w:tcW w:w="6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328"/>
              <w:spacing w:after="0" w:line="149" w:lineRule="exact"/>
              <w:rPr>
                <w:sz w:val="20"/>
                <w:szCs w:val="20"/>
                <w:color w:val="auto"/>
              </w:rPr>
            </w:pPr>
            <w:r>
              <w:rPr>
                <w:rFonts w:ascii="Arial" w:cs="Arial" w:eastAsia="Arial" w:hAnsi="Arial"/>
                <w:sz w:val="14"/>
                <w:szCs w:val="14"/>
                <w:color w:val="auto"/>
                <w:w w:val="96"/>
              </w:rPr>
              <w:t>132</w:t>
            </w:r>
            <w:r>
              <w:rPr>
                <w:rFonts w:ascii="Arial" w:cs="Arial" w:eastAsia="Arial" w:hAnsi="Arial"/>
                <w:sz w:val="12"/>
                <w:szCs w:val="12"/>
                <w:color w:val="auto"/>
                <w:w w:val="96"/>
              </w:rPr>
              <w:t>(B)</w:t>
            </w:r>
          </w:p>
        </w:tc>
        <w:tc>
          <w:tcPr>
            <w:tcW w:w="4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8"/>
              <w:spacing w:after="0" w:line="149" w:lineRule="exact"/>
              <w:rPr>
                <w:sz w:val="20"/>
                <w:szCs w:val="20"/>
                <w:color w:val="auto"/>
              </w:rPr>
            </w:pPr>
            <w:r>
              <w:rPr>
                <w:rFonts w:ascii="Arial" w:cs="Arial" w:eastAsia="Arial" w:hAnsi="Arial"/>
                <w:sz w:val="14"/>
                <w:szCs w:val="14"/>
                <w:color w:val="auto"/>
                <w:w w:val="88"/>
              </w:rPr>
              <w:t>55,319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income</w:t>
            </w:r>
          </w:p>
        </w:tc>
        <w:tc>
          <w:tcPr>
            <w:tcW w:w="7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608"/>
              <w:spacing w:after="0" w:line="149" w:lineRule="exact"/>
              <w:rPr>
                <w:sz w:val="20"/>
                <w:szCs w:val="20"/>
                <w:color w:val="auto"/>
              </w:rPr>
            </w:pPr>
            <w:r>
              <w:rPr>
                <w:rFonts w:ascii="Arial" w:cs="Arial" w:eastAsia="Arial" w:hAnsi="Arial"/>
                <w:sz w:val="14"/>
                <w:szCs w:val="14"/>
                <w:color w:val="auto"/>
                <w:w w:val="88"/>
              </w:rPr>
              <w:t>26,406</w:t>
            </w:r>
          </w:p>
        </w:tc>
        <w:tc>
          <w:tcPr>
            <w:tcW w:w="7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1,350</w:t>
            </w:r>
          </w:p>
        </w:tc>
        <w:tc>
          <w:tcPr>
            <w:tcW w:w="6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w w:val="91"/>
              </w:rPr>
              <w:t>(132)</w:t>
            </w:r>
          </w:p>
        </w:tc>
        <w:tc>
          <w:tcPr>
            <w:tcW w:w="4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w w:val="88"/>
              </w:rPr>
              <w:t>27,624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Total net revenue</w:t>
            </w:r>
          </w:p>
        </w:tc>
        <w:tc>
          <w:tcPr>
            <w:tcW w:w="7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08"/>
              <w:spacing w:after="0" w:line="155" w:lineRule="exact"/>
              <w:rPr>
                <w:sz w:val="20"/>
                <w:szCs w:val="20"/>
                <w:color w:val="auto"/>
              </w:rPr>
            </w:pPr>
            <w:r>
              <w:rPr>
                <w:rFonts w:ascii="Arial" w:cs="Arial" w:eastAsia="Arial" w:hAnsi="Arial"/>
                <w:sz w:val="14"/>
                <w:szCs w:val="14"/>
                <w:color w:val="auto"/>
                <w:w w:val="88"/>
              </w:rPr>
              <w:t>71,372</w:t>
            </w:r>
          </w:p>
        </w:tc>
        <w:tc>
          <w:tcPr>
            <w:tcW w:w="7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28"/>
              <w:spacing w:after="0" w:line="155" w:lineRule="exact"/>
              <w:rPr>
                <w:sz w:val="20"/>
                <w:szCs w:val="20"/>
                <w:color w:val="auto"/>
              </w:rPr>
            </w:pPr>
            <w:r>
              <w:rPr>
                <w:rFonts w:ascii="Arial" w:cs="Arial" w:eastAsia="Arial" w:hAnsi="Arial"/>
                <w:sz w:val="14"/>
                <w:szCs w:val="14"/>
                <w:color w:val="auto"/>
              </w:rPr>
              <w:t>5,945</w:t>
            </w:r>
          </w:p>
        </w:tc>
        <w:tc>
          <w:tcPr>
            <w:tcW w:w="6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48"/>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color w:val="auto"/>
                <w:w w:val="91"/>
              </w:rPr>
              <w:t>(120)</w:t>
            </w:r>
          </w:p>
        </w:tc>
        <w:tc>
          <w:tcPr>
            <w:tcW w:w="4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w w:val="88"/>
              </w:rPr>
              <w:t>77,197</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credit losses</w:t>
            </w:r>
          </w:p>
        </w:tc>
        <w:tc>
          <w:tcPr>
            <w:tcW w:w="7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08"/>
              <w:spacing w:after="0" w:line="149" w:lineRule="exact"/>
              <w:rPr>
                <w:sz w:val="20"/>
                <w:szCs w:val="20"/>
                <w:color w:val="auto"/>
              </w:rPr>
            </w:pPr>
            <w:r>
              <w:rPr>
                <w:rFonts w:ascii="Arial" w:cs="Arial" w:eastAsia="Arial" w:hAnsi="Arial"/>
                <w:sz w:val="14"/>
                <w:szCs w:val="14"/>
                <w:color w:val="auto"/>
              </w:rPr>
              <w:t>6,864</w:t>
            </w:r>
          </w:p>
        </w:tc>
        <w:tc>
          <w:tcPr>
            <w:tcW w:w="70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6,864</w:t>
            </w:r>
          </w:p>
        </w:tc>
        <w:tc>
          <w:tcPr>
            <w:tcW w:w="0" w:type="dxa"/>
            <w:vAlign w:val="bottom"/>
          </w:tcPr>
          <w:p>
            <w:pPr>
              <w:spacing w:after="0"/>
              <w:rPr>
                <w:sz w:val="1"/>
                <w:szCs w:val="1"/>
                <w:color w:val="auto"/>
              </w:rPr>
            </w:pPr>
          </w:p>
        </w:tc>
      </w:tr>
      <w:tr>
        <w:trPr>
          <w:trHeight w:val="297"/>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Noninterest expense</w:t>
            </w: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Compensation expense</w:t>
            </w:r>
          </w:p>
        </w:tc>
        <w:tc>
          <w:tcPr>
            <w:tcW w:w="7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08"/>
              <w:spacing w:after="0" w:line="149" w:lineRule="exact"/>
              <w:rPr>
                <w:sz w:val="20"/>
                <w:szCs w:val="20"/>
                <w:color w:val="auto"/>
              </w:rPr>
            </w:pPr>
            <w:r>
              <w:rPr>
                <w:rFonts w:ascii="Arial" w:cs="Arial" w:eastAsia="Arial" w:hAnsi="Arial"/>
                <w:sz w:val="14"/>
                <w:szCs w:val="14"/>
                <w:color w:val="auto"/>
                <w:w w:val="88"/>
              </w:rPr>
              <w:t>22,689</w:t>
            </w:r>
          </w:p>
        </w:tc>
        <w:tc>
          <w:tcPr>
            <w:tcW w:w="70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3,425</w:t>
            </w:r>
          </w:p>
        </w:tc>
        <w:tc>
          <w:tcPr>
            <w:tcW w:w="6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w w:val="88"/>
              </w:rPr>
              <w:t>26,114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Occupancy expense</w:t>
            </w:r>
          </w:p>
        </w:tc>
        <w:tc>
          <w:tcPr>
            <w:tcW w:w="700" w:type="dxa"/>
            <w:vAlign w:val="bottom"/>
          </w:tcPr>
          <w:p>
            <w:pPr>
              <w:spacing w:after="0"/>
              <w:rPr>
                <w:sz w:val="12"/>
                <w:szCs w:val="12"/>
                <w:color w:val="auto"/>
              </w:rPr>
            </w:pPr>
          </w:p>
        </w:tc>
        <w:tc>
          <w:tcPr>
            <w:tcW w:w="1080" w:type="dxa"/>
            <w:vAlign w:val="bottom"/>
          </w:tcPr>
          <w:p>
            <w:pPr>
              <w:jc w:val="right"/>
              <w:ind w:right="608"/>
              <w:spacing w:after="0" w:line="149" w:lineRule="exact"/>
              <w:rPr>
                <w:sz w:val="20"/>
                <w:szCs w:val="20"/>
                <w:color w:val="auto"/>
              </w:rPr>
            </w:pPr>
            <w:r>
              <w:rPr>
                <w:rFonts w:ascii="Arial" w:cs="Arial" w:eastAsia="Arial" w:hAnsi="Arial"/>
                <w:sz w:val="14"/>
                <w:szCs w:val="14"/>
                <w:color w:val="auto"/>
              </w:rPr>
              <w:t>2,608</w:t>
            </w:r>
          </w:p>
        </w:tc>
        <w:tc>
          <w:tcPr>
            <w:tcW w:w="700" w:type="dxa"/>
            <w:vAlign w:val="bottom"/>
          </w:tcPr>
          <w:p>
            <w:pPr>
              <w:spacing w:after="0"/>
              <w:rPr>
                <w:sz w:val="12"/>
                <w:szCs w:val="12"/>
                <w:color w:val="auto"/>
              </w:rPr>
            </w:pPr>
          </w:p>
        </w:tc>
        <w:tc>
          <w:tcPr>
            <w:tcW w:w="110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264</w:t>
            </w:r>
          </w:p>
        </w:tc>
        <w:tc>
          <w:tcPr>
            <w:tcW w:w="620" w:type="dxa"/>
            <w:vAlign w:val="bottom"/>
          </w:tcPr>
          <w:p>
            <w:pPr>
              <w:spacing w:after="0"/>
              <w:rPr>
                <w:sz w:val="12"/>
                <w:szCs w:val="12"/>
                <w:color w:val="auto"/>
              </w:rPr>
            </w:pPr>
          </w:p>
        </w:tc>
        <w:tc>
          <w:tcPr>
            <w:tcW w:w="100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86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96"/>
              </w:rPr>
              <w:t>(23)</w:t>
            </w:r>
            <w:r>
              <w:rPr>
                <w:rFonts w:ascii="Arial" w:cs="Arial" w:eastAsia="Arial" w:hAnsi="Arial"/>
                <w:sz w:val="12"/>
                <w:szCs w:val="12"/>
                <w:color w:val="auto"/>
                <w:w w:val="96"/>
              </w:rPr>
              <w:t>(C)</w:t>
            </w:r>
          </w:p>
        </w:tc>
        <w:tc>
          <w:tcPr>
            <w:tcW w:w="480" w:type="dxa"/>
            <w:vAlign w:val="bottom"/>
          </w:tcPr>
          <w:p>
            <w:pPr>
              <w:spacing w:after="0"/>
              <w:rPr>
                <w:sz w:val="12"/>
                <w:szCs w:val="12"/>
                <w:color w:val="auto"/>
              </w:rPr>
            </w:pPr>
          </w:p>
        </w:tc>
        <w:tc>
          <w:tcPr>
            <w:tcW w:w="72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2,849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Technology, communications and equipment expense</w:t>
            </w:r>
          </w:p>
        </w:tc>
        <w:tc>
          <w:tcPr>
            <w:tcW w:w="7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08"/>
              <w:spacing w:after="0" w:line="149" w:lineRule="exact"/>
              <w:rPr>
                <w:sz w:val="20"/>
                <w:szCs w:val="20"/>
                <w:color w:val="auto"/>
              </w:rPr>
            </w:pPr>
            <w:r>
              <w:rPr>
                <w:rFonts w:ascii="Arial" w:cs="Arial" w:eastAsia="Arial" w:hAnsi="Arial"/>
                <w:sz w:val="14"/>
                <w:szCs w:val="14"/>
                <w:color w:val="auto"/>
              </w:rPr>
              <w:t>3,779</w:t>
            </w:r>
          </w:p>
        </w:tc>
        <w:tc>
          <w:tcPr>
            <w:tcW w:w="70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578</w:t>
            </w:r>
          </w:p>
        </w:tc>
        <w:tc>
          <w:tcPr>
            <w:tcW w:w="6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(85)</w:t>
            </w:r>
            <w:r>
              <w:rPr>
                <w:rFonts w:ascii="Arial" w:cs="Arial" w:eastAsia="Arial" w:hAnsi="Arial"/>
                <w:sz w:val="12"/>
                <w:szCs w:val="12"/>
                <w:color w:val="auto"/>
              </w:rPr>
              <w:t>(8)</w:t>
            </w: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jc w:val="center"/>
              <w:ind w:right="308"/>
              <w:spacing w:after="0" w:line="149" w:lineRule="exact"/>
              <w:rPr>
                <w:sz w:val="20"/>
                <w:szCs w:val="20"/>
                <w:color w:val="auto"/>
              </w:rPr>
            </w:pPr>
            <w:r>
              <w:rPr>
                <w:rFonts w:ascii="Arial" w:cs="Arial" w:eastAsia="Arial" w:hAnsi="Arial"/>
                <w:sz w:val="14"/>
                <w:szCs w:val="14"/>
                <w:color w:val="auto"/>
                <w:w w:val="97"/>
              </w:rPr>
              <w:t>(131)</w:t>
            </w:r>
            <w:r>
              <w:rPr>
                <w:rFonts w:ascii="Arial" w:cs="Arial" w:eastAsia="Arial" w:hAnsi="Arial"/>
                <w:sz w:val="12"/>
                <w:szCs w:val="12"/>
                <w:color w:val="auto"/>
                <w:w w:val="97"/>
              </w:rPr>
              <w:t>(C)</w:t>
            </w: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4,141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Professional &amp; outside services</w:t>
            </w:r>
          </w:p>
        </w:tc>
        <w:tc>
          <w:tcPr>
            <w:tcW w:w="700" w:type="dxa"/>
            <w:vAlign w:val="bottom"/>
          </w:tcPr>
          <w:p>
            <w:pPr>
              <w:spacing w:after="0"/>
              <w:rPr>
                <w:sz w:val="12"/>
                <w:szCs w:val="12"/>
                <w:color w:val="auto"/>
              </w:rPr>
            </w:pPr>
          </w:p>
        </w:tc>
        <w:tc>
          <w:tcPr>
            <w:tcW w:w="1080" w:type="dxa"/>
            <w:vAlign w:val="bottom"/>
          </w:tcPr>
          <w:p>
            <w:pPr>
              <w:jc w:val="right"/>
              <w:ind w:right="608"/>
              <w:spacing w:after="0" w:line="149" w:lineRule="exact"/>
              <w:rPr>
                <w:sz w:val="20"/>
                <w:szCs w:val="20"/>
                <w:color w:val="auto"/>
              </w:rPr>
            </w:pPr>
            <w:r>
              <w:rPr>
                <w:rFonts w:ascii="Arial" w:cs="Arial" w:eastAsia="Arial" w:hAnsi="Arial"/>
                <w:sz w:val="14"/>
                <w:szCs w:val="14"/>
                <w:color w:val="auto"/>
              </w:rPr>
              <w:t>5,140</w:t>
            </w:r>
          </w:p>
        </w:tc>
        <w:tc>
          <w:tcPr>
            <w:tcW w:w="700" w:type="dxa"/>
            <w:vAlign w:val="bottom"/>
          </w:tcPr>
          <w:p>
            <w:pPr>
              <w:spacing w:after="0"/>
              <w:rPr>
                <w:sz w:val="12"/>
                <w:szCs w:val="12"/>
                <w:color w:val="auto"/>
              </w:rPr>
            </w:pPr>
          </w:p>
        </w:tc>
        <w:tc>
          <w:tcPr>
            <w:tcW w:w="110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362</w:t>
            </w:r>
          </w:p>
        </w:tc>
        <w:tc>
          <w:tcPr>
            <w:tcW w:w="620" w:type="dxa"/>
            <w:vAlign w:val="bottom"/>
          </w:tcPr>
          <w:p>
            <w:pPr>
              <w:spacing w:after="0"/>
              <w:rPr>
                <w:sz w:val="12"/>
                <w:szCs w:val="12"/>
                <w:color w:val="auto"/>
              </w:rPr>
            </w:pPr>
          </w:p>
        </w:tc>
        <w:tc>
          <w:tcPr>
            <w:tcW w:w="100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(929)</w:t>
            </w:r>
            <w:r>
              <w:rPr>
                <w:rFonts w:ascii="Arial" w:cs="Arial" w:eastAsia="Arial" w:hAnsi="Arial"/>
                <w:sz w:val="12"/>
                <w:szCs w:val="12"/>
                <w:color w:val="auto"/>
              </w:rPr>
              <w:t>(8,9)</w:t>
            </w:r>
          </w:p>
        </w:tc>
        <w:tc>
          <w:tcPr>
            <w:tcW w:w="540" w:type="dxa"/>
            <w:vAlign w:val="bottom"/>
          </w:tcPr>
          <w:p>
            <w:pPr>
              <w:spacing w:after="0"/>
              <w:rPr>
                <w:sz w:val="12"/>
                <w:szCs w:val="12"/>
                <w:color w:val="auto"/>
              </w:rPr>
            </w:pPr>
          </w:p>
        </w:tc>
        <w:tc>
          <w:tcPr>
            <w:tcW w:w="86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72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4,573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Floor brokerage, exchange and clearance expense</w:t>
            </w:r>
          </w:p>
        </w:tc>
        <w:tc>
          <w:tcPr>
            <w:tcW w:w="7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08"/>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279</w:t>
            </w:r>
          </w:p>
        </w:tc>
        <w:tc>
          <w:tcPr>
            <w:tcW w:w="6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1,014</w:t>
            </w:r>
            <w:r>
              <w:rPr>
                <w:rFonts w:ascii="Arial" w:cs="Arial" w:eastAsia="Arial" w:hAnsi="Arial"/>
                <w:sz w:val="12"/>
                <w:szCs w:val="12"/>
                <w:color w:val="auto"/>
              </w:rPr>
              <w:t>(9)</w:t>
            </w: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1,293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Marketing</w:t>
            </w:r>
          </w:p>
        </w:tc>
        <w:tc>
          <w:tcPr>
            <w:tcW w:w="700" w:type="dxa"/>
            <w:vAlign w:val="bottom"/>
          </w:tcPr>
          <w:p>
            <w:pPr>
              <w:spacing w:after="0"/>
              <w:rPr>
                <w:sz w:val="12"/>
                <w:szCs w:val="12"/>
                <w:color w:val="auto"/>
              </w:rPr>
            </w:pPr>
          </w:p>
        </w:tc>
        <w:tc>
          <w:tcPr>
            <w:tcW w:w="1080" w:type="dxa"/>
            <w:vAlign w:val="bottom"/>
          </w:tcPr>
          <w:p>
            <w:pPr>
              <w:jc w:val="right"/>
              <w:ind w:right="608"/>
              <w:spacing w:after="0" w:line="149" w:lineRule="exact"/>
              <w:rPr>
                <w:sz w:val="20"/>
                <w:szCs w:val="20"/>
                <w:color w:val="auto"/>
              </w:rPr>
            </w:pPr>
            <w:r>
              <w:rPr>
                <w:rFonts w:ascii="Arial" w:cs="Arial" w:eastAsia="Arial" w:hAnsi="Arial"/>
                <w:sz w:val="14"/>
                <w:szCs w:val="14"/>
                <w:color w:val="auto"/>
              </w:rPr>
              <w:t>2,070</w:t>
            </w:r>
          </w:p>
        </w:tc>
        <w:tc>
          <w:tcPr>
            <w:tcW w:w="700" w:type="dxa"/>
            <w:vAlign w:val="bottom"/>
          </w:tcPr>
          <w:p>
            <w:pPr>
              <w:spacing w:after="0"/>
              <w:rPr>
                <w:sz w:val="12"/>
                <w:szCs w:val="12"/>
                <w:color w:val="auto"/>
              </w:rPr>
            </w:pPr>
          </w:p>
        </w:tc>
        <w:tc>
          <w:tcPr>
            <w:tcW w:w="110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179</w:t>
            </w:r>
          </w:p>
        </w:tc>
        <w:tc>
          <w:tcPr>
            <w:tcW w:w="620" w:type="dxa"/>
            <w:vAlign w:val="bottom"/>
          </w:tcPr>
          <w:p>
            <w:pPr>
              <w:spacing w:after="0"/>
              <w:rPr>
                <w:sz w:val="12"/>
                <w:szCs w:val="12"/>
                <w:color w:val="auto"/>
              </w:rPr>
            </w:pPr>
          </w:p>
        </w:tc>
        <w:tc>
          <w:tcPr>
            <w:tcW w:w="100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86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72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2,249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expense</w:t>
            </w:r>
          </w:p>
        </w:tc>
        <w:tc>
          <w:tcPr>
            <w:tcW w:w="7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08"/>
              <w:spacing w:after="0" w:line="149" w:lineRule="exact"/>
              <w:rPr>
                <w:sz w:val="20"/>
                <w:szCs w:val="20"/>
                <w:color w:val="auto"/>
              </w:rPr>
            </w:pPr>
            <w:r>
              <w:rPr>
                <w:rFonts w:ascii="Arial" w:cs="Arial" w:eastAsia="Arial" w:hAnsi="Arial"/>
                <w:sz w:val="14"/>
                <w:szCs w:val="14"/>
                <w:color w:val="auto"/>
              </w:rPr>
              <w:t>3,814</w:t>
            </w:r>
          </w:p>
        </w:tc>
        <w:tc>
          <w:tcPr>
            <w:tcW w:w="70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438</w:t>
            </w:r>
          </w:p>
        </w:tc>
        <w:tc>
          <w:tcPr>
            <w:tcW w:w="6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221</w:t>
            </w:r>
            <w:r>
              <w:rPr>
                <w:rFonts w:ascii="Arial" w:cs="Arial" w:eastAsia="Arial" w:hAnsi="Arial"/>
                <w:sz w:val="12"/>
                <w:szCs w:val="12"/>
                <w:color w:val="auto"/>
              </w:rPr>
              <w:t>(10,11)</w:t>
            </w: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jc w:val="center"/>
              <w:ind w:right="308"/>
              <w:spacing w:after="0" w:line="149" w:lineRule="exact"/>
              <w:rPr>
                <w:sz w:val="20"/>
                <w:szCs w:val="20"/>
                <w:color w:val="auto"/>
              </w:rPr>
            </w:pPr>
            <w:r>
              <w:rPr>
                <w:rFonts w:ascii="Arial" w:cs="Arial" w:eastAsia="Arial" w:hAnsi="Arial"/>
                <w:sz w:val="14"/>
                <w:szCs w:val="14"/>
                <w:color w:val="auto"/>
                <w:w w:val="95"/>
              </w:rPr>
              <w:t>(227)</w:t>
            </w:r>
            <w:r>
              <w:rPr>
                <w:rFonts w:ascii="Arial" w:cs="Arial" w:eastAsia="Arial" w:hAnsi="Arial"/>
                <w:sz w:val="12"/>
                <w:szCs w:val="12"/>
                <w:color w:val="auto"/>
                <w:w w:val="95"/>
              </w:rPr>
              <w:t>(G)</w:t>
            </w: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4,267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99"/>
              </w:rPr>
              <w:t>21</w:t>
            </w:r>
            <w:r>
              <w:rPr>
                <w:rFonts w:ascii="Arial" w:cs="Arial" w:eastAsia="Arial" w:hAnsi="Arial"/>
                <w:sz w:val="12"/>
                <w:szCs w:val="12"/>
                <w:color w:val="auto"/>
                <w:w w:val="99"/>
              </w:rPr>
              <w:t>(D)</w:t>
            </w: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Impairment of goodwill and specialist rights</w:t>
            </w:r>
          </w:p>
        </w:tc>
        <w:tc>
          <w:tcPr>
            <w:tcW w:w="7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08"/>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227</w:t>
            </w:r>
          </w:p>
        </w:tc>
        <w:tc>
          <w:tcPr>
            <w:tcW w:w="6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(227)</w:t>
            </w:r>
            <w:r>
              <w:rPr>
                <w:rFonts w:ascii="Arial" w:cs="Arial" w:eastAsia="Arial" w:hAnsi="Arial"/>
                <w:sz w:val="12"/>
                <w:szCs w:val="12"/>
                <w:color w:val="auto"/>
              </w:rPr>
              <w:t>(10)</w:t>
            </w: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Amortization of intangibles</w:t>
            </w:r>
          </w:p>
        </w:tc>
        <w:tc>
          <w:tcPr>
            <w:tcW w:w="700" w:type="dxa"/>
            <w:vAlign w:val="bottom"/>
          </w:tcPr>
          <w:p>
            <w:pPr>
              <w:spacing w:after="0"/>
              <w:rPr>
                <w:sz w:val="12"/>
                <w:szCs w:val="12"/>
                <w:color w:val="auto"/>
              </w:rPr>
            </w:pPr>
          </w:p>
        </w:tc>
        <w:tc>
          <w:tcPr>
            <w:tcW w:w="1080" w:type="dxa"/>
            <w:vAlign w:val="bottom"/>
          </w:tcPr>
          <w:p>
            <w:pPr>
              <w:jc w:val="right"/>
              <w:ind w:right="608"/>
              <w:spacing w:after="0" w:line="149" w:lineRule="exact"/>
              <w:rPr>
                <w:sz w:val="20"/>
                <w:szCs w:val="20"/>
                <w:color w:val="auto"/>
              </w:rPr>
            </w:pPr>
            <w:r>
              <w:rPr>
                <w:rFonts w:ascii="Arial" w:cs="Arial" w:eastAsia="Arial" w:hAnsi="Arial"/>
                <w:sz w:val="14"/>
                <w:szCs w:val="14"/>
                <w:color w:val="auto"/>
              </w:rPr>
              <w:t>1,394</w:t>
            </w:r>
          </w:p>
        </w:tc>
        <w:tc>
          <w:tcPr>
            <w:tcW w:w="700" w:type="dxa"/>
            <w:vAlign w:val="bottom"/>
          </w:tcPr>
          <w:p>
            <w:pPr>
              <w:spacing w:after="0"/>
              <w:rPr>
                <w:sz w:val="12"/>
                <w:szCs w:val="12"/>
                <w:color w:val="auto"/>
              </w:rPr>
            </w:pPr>
          </w:p>
        </w:tc>
        <w:tc>
          <w:tcPr>
            <w:tcW w:w="110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00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6</w:t>
            </w:r>
            <w:r>
              <w:rPr>
                <w:rFonts w:ascii="Arial" w:cs="Arial" w:eastAsia="Arial" w:hAnsi="Arial"/>
                <w:sz w:val="12"/>
                <w:szCs w:val="12"/>
                <w:color w:val="auto"/>
              </w:rPr>
              <w:t>(11)</w:t>
            </w:r>
          </w:p>
        </w:tc>
        <w:tc>
          <w:tcPr>
            <w:tcW w:w="540" w:type="dxa"/>
            <w:vAlign w:val="bottom"/>
          </w:tcPr>
          <w:p>
            <w:pPr>
              <w:spacing w:after="0"/>
              <w:rPr>
                <w:sz w:val="12"/>
                <w:szCs w:val="12"/>
                <w:color w:val="auto"/>
              </w:rPr>
            </w:pPr>
          </w:p>
        </w:tc>
        <w:tc>
          <w:tcPr>
            <w:tcW w:w="86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72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Merger costs</w:t>
            </w:r>
          </w:p>
        </w:tc>
        <w:tc>
          <w:tcPr>
            <w:tcW w:w="7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608"/>
              <w:spacing w:after="0" w:line="149" w:lineRule="exact"/>
              <w:rPr>
                <w:sz w:val="20"/>
                <w:szCs w:val="20"/>
                <w:color w:val="auto"/>
              </w:rPr>
            </w:pPr>
            <w:r>
              <w:rPr>
                <w:rFonts w:ascii="Arial" w:cs="Arial" w:eastAsia="Arial" w:hAnsi="Arial"/>
                <w:sz w:val="14"/>
                <w:szCs w:val="14"/>
                <w:color w:val="auto"/>
              </w:rPr>
              <w:t>209</w:t>
            </w:r>
          </w:p>
        </w:tc>
        <w:tc>
          <w:tcPr>
            <w:tcW w:w="7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Total noninterest expense</w:t>
            </w:r>
          </w:p>
        </w:tc>
        <w:tc>
          <w:tcPr>
            <w:tcW w:w="7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08"/>
              <w:spacing w:after="0" w:line="155" w:lineRule="exact"/>
              <w:rPr>
                <w:sz w:val="20"/>
                <w:szCs w:val="20"/>
                <w:color w:val="auto"/>
              </w:rPr>
            </w:pPr>
            <w:r>
              <w:rPr>
                <w:rFonts w:ascii="Arial" w:cs="Arial" w:eastAsia="Arial" w:hAnsi="Arial"/>
                <w:sz w:val="14"/>
                <w:szCs w:val="14"/>
                <w:color w:val="auto"/>
                <w:w w:val="88"/>
              </w:rPr>
              <w:t>41,703</w:t>
            </w:r>
          </w:p>
        </w:tc>
        <w:tc>
          <w:tcPr>
            <w:tcW w:w="7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28"/>
              <w:spacing w:after="0" w:line="155" w:lineRule="exact"/>
              <w:rPr>
                <w:sz w:val="20"/>
                <w:szCs w:val="20"/>
                <w:color w:val="auto"/>
              </w:rPr>
            </w:pPr>
            <w:r>
              <w:rPr>
                <w:rFonts w:ascii="Arial" w:cs="Arial" w:eastAsia="Arial" w:hAnsi="Arial"/>
                <w:sz w:val="14"/>
                <w:szCs w:val="14"/>
                <w:color w:val="auto"/>
              </w:rPr>
              <w:t>5,752</w:t>
            </w:r>
          </w:p>
        </w:tc>
        <w:tc>
          <w:tcPr>
            <w:tcW w:w="6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48"/>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color w:val="auto"/>
                <w:w w:val="91"/>
              </w:rPr>
              <w:t>(360)</w:t>
            </w:r>
          </w:p>
        </w:tc>
        <w:tc>
          <w:tcPr>
            <w:tcW w:w="4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w w:val="88"/>
              </w:rPr>
              <w:t>47,095</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36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9"/>
              </w:rPr>
              <w:t>Income from continuing operations before income tax</w:t>
            </w:r>
          </w:p>
        </w:tc>
        <w:tc>
          <w:tcPr>
            <w:tcW w:w="7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expense</w:t>
            </w:r>
          </w:p>
        </w:tc>
        <w:tc>
          <w:tcPr>
            <w:tcW w:w="7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w w:val="88"/>
              </w:rPr>
              <w:t>22,805</w:t>
            </w:r>
          </w:p>
        </w:tc>
        <w:tc>
          <w:tcPr>
            <w:tcW w:w="7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193</w:t>
            </w:r>
          </w:p>
        </w:tc>
        <w:tc>
          <w:tcPr>
            <w:tcW w:w="6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240</w:t>
            </w:r>
          </w:p>
        </w:tc>
        <w:tc>
          <w:tcPr>
            <w:tcW w:w="4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88"/>
              </w:rPr>
              <w:t>23,238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Income tax expense (benefit)</w:t>
            </w:r>
          </w:p>
        </w:tc>
        <w:tc>
          <w:tcPr>
            <w:tcW w:w="7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08"/>
              <w:spacing w:after="0" w:line="149" w:lineRule="exact"/>
              <w:rPr>
                <w:sz w:val="20"/>
                <w:szCs w:val="20"/>
                <w:color w:val="auto"/>
              </w:rPr>
            </w:pPr>
            <w:r>
              <w:rPr>
                <w:rFonts w:ascii="Arial" w:cs="Arial" w:eastAsia="Arial" w:hAnsi="Arial"/>
                <w:sz w:val="14"/>
                <w:szCs w:val="14"/>
                <w:color w:val="auto"/>
              </w:rPr>
              <w:t>7,440</w:t>
            </w:r>
          </w:p>
        </w:tc>
        <w:tc>
          <w:tcPr>
            <w:tcW w:w="7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68"/>
              <w:spacing w:after="0" w:line="149" w:lineRule="exact"/>
              <w:rPr>
                <w:sz w:val="20"/>
                <w:szCs w:val="20"/>
                <w:color w:val="auto"/>
              </w:rPr>
            </w:pPr>
            <w:r>
              <w:rPr>
                <w:rFonts w:ascii="Arial" w:cs="Arial" w:eastAsia="Arial" w:hAnsi="Arial"/>
                <w:sz w:val="14"/>
                <w:szCs w:val="14"/>
                <w:color w:val="auto"/>
              </w:rPr>
              <w:t>(40)</w:t>
            </w:r>
          </w:p>
        </w:tc>
        <w:tc>
          <w:tcPr>
            <w:tcW w:w="6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248"/>
              <w:spacing w:after="0" w:line="149" w:lineRule="exact"/>
              <w:rPr>
                <w:sz w:val="20"/>
                <w:szCs w:val="20"/>
                <w:color w:val="auto"/>
              </w:rPr>
            </w:pPr>
            <w:r>
              <w:rPr>
                <w:rFonts w:ascii="Arial" w:cs="Arial" w:eastAsia="Arial" w:hAnsi="Arial"/>
                <w:sz w:val="14"/>
                <w:szCs w:val="14"/>
                <w:color w:val="auto"/>
                <w:w w:val="94"/>
              </w:rPr>
              <w:t>84</w:t>
            </w:r>
            <w:r>
              <w:rPr>
                <w:rFonts w:ascii="Arial" w:cs="Arial" w:eastAsia="Arial" w:hAnsi="Arial"/>
                <w:sz w:val="12"/>
                <w:szCs w:val="12"/>
                <w:color w:val="auto"/>
                <w:w w:val="94"/>
              </w:rPr>
              <w:t>(E)</w:t>
            </w:r>
          </w:p>
        </w:tc>
        <w:tc>
          <w:tcPr>
            <w:tcW w:w="4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8"/>
              <w:spacing w:after="0" w:line="149" w:lineRule="exact"/>
              <w:rPr>
                <w:sz w:val="20"/>
                <w:szCs w:val="20"/>
                <w:color w:val="auto"/>
              </w:rPr>
            </w:pPr>
            <w:r>
              <w:rPr>
                <w:rFonts w:ascii="Arial" w:cs="Arial" w:eastAsia="Arial" w:hAnsi="Arial"/>
                <w:sz w:val="14"/>
                <w:szCs w:val="14"/>
                <w:color w:val="auto"/>
              </w:rPr>
              <w:t>7,484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from continuing operations</w:t>
            </w: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608"/>
              <w:spacing w:after="0" w:line="149" w:lineRule="exact"/>
              <w:rPr>
                <w:sz w:val="20"/>
                <w:szCs w:val="20"/>
                <w:color w:val="auto"/>
              </w:rPr>
            </w:pPr>
            <w:r>
              <w:rPr>
                <w:rFonts w:ascii="Arial" w:cs="Arial" w:eastAsia="Arial" w:hAnsi="Arial"/>
                <w:sz w:val="14"/>
                <w:szCs w:val="14"/>
                <w:color w:val="auto"/>
                <w:w w:val="88"/>
              </w:rPr>
              <w:t>15,365</w:t>
            </w: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233</w:t>
            </w: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548"/>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156</w:t>
            </w: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w w:val="88"/>
              </w:rPr>
              <w:t>15,754</w:t>
            </w:r>
          </w:p>
        </w:tc>
        <w:tc>
          <w:tcPr>
            <w:tcW w:w="0" w:type="dxa"/>
            <w:vAlign w:val="bottom"/>
          </w:tcPr>
          <w:p>
            <w:pPr>
              <w:spacing w:after="0"/>
              <w:rPr>
                <w:sz w:val="1"/>
                <w:szCs w:val="1"/>
                <w:color w:val="auto"/>
              </w:rPr>
            </w:pPr>
          </w:p>
        </w:tc>
      </w:tr>
      <w:tr>
        <w:trPr>
          <w:trHeight w:val="319"/>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Per common share information</w:t>
            </w: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from continuing operations:</w:t>
            </w:r>
          </w:p>
        </w:tc>
        <w:tc>
          <w:tcPr>
            <w:tcW w:w="7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Basic earnings per share</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608"/>
              <w:spacing w:after="0" w:line="149" w:lineRule="exact"/>
              <w:rPr>
                <w:sz w:val="20"/>
                <w:szCs w:val="20"/>
                <w:color w:val="auto"/>
              </w:rPr>
            </w:pPr>
            <w:r>
              <w:rPr>
                <w:rFonts w:ascii="Arial" w:cs="Arial" w:eastAsia="Arial" w:hAnsi="Arial"/>
                <w:sz w:val="14"/>
                <w:szCs w:val="14"/>
                <w:color w:val="auto"/>
              </w:rPr>
              <w:t>4.51</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1.68</w:t>
            </w: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w:t>
            </w:r>
          </w:p>
        </w:tc>
        <w:tc>
          <w:tcPr>
            <w:tcW w:w="7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08"/>
              <w:spacing w:after="0" w:line="149" w:lineRule="exact"/>
              <w:rPr>
                <w:sz w:val="20"/>
                <w:szCs w:val="20"/>
                <w:color w:val="auto"/>
              </w:rPr>
            </w:pPr>
            <w:r>
              <w:rPr>
                <w:rFonts w:ascii="Arial" w:cs="Arial" w:eastAsia="Arial" w:hAnsi="Arial"/>
                <w:sz w:val="14"/>
                <w:szCs w:val="14"/>
                <w:color w:val="auto"/>
              </w:rPr>
              <w:t>4.38</w:t>
            </w:r>
          </w:p>
        </w:tc>
        <w:tc>
          <w:tcPr>
            <w:tcW w:w="70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1.52</w:t>
            </w:r>
          </w:p>
        </w:tc>
        <w:tc>
          <w:tcPr>
            <w:tcW w:w="6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b w:val="1"/>
                <w:bCs w:val="1"/>
                <w:color w:val="auto"/>
              </w:rPr>
              <w:t>Average common shares outstanding</w:t>
            </w:r>
          </w:p>
        </w:tc>
        <w:tc>
          <w:tcPr>
            <w:tcW w:w="700" w:type="dxa"/>
            <w:vAlign w:val="bottom"/>
          </w:tcPr>
          <w:p>
            <w:pPr>
              <w:spacing w:after="0"/>
              <w:rPr>
                <w:sz w:val="12"/>
                <w:szCs w:val="12"/>
                <w:color w:val="auto"/>
              </w:rPr>
            </w:pPr>
          </w:p>
        </w:tc>
        <w:tc>
          <w:tcPr>
            <w:tcW w:w="1080" w:type="dxa"/>
            <w:vAlign w:val="bottom"/>
          </w:tcPr>
          <w:p>
            <w:pPr>
              <w:jc w:val="right"/>
              <w:ind w:right="608"/>
              <w:spacing w:after="0" w:line="149" w:lineRule="exact"/>
              <w:rPr>
                <w:sz w:val="20"/>
                <w:szCs w:val="20"/>
                <w:color w:val="auto"/>
              </w:rPr>
            </w:pPr>
            <w:r>
              <w:rPr>
                <w:rFonts w:ascii="Arial" w:cs="Arial" w:eastAsia="Arial" w:hAnsi="Arial"/>
                <w:sz w:val="14"/>
                <w:szCs w:val="14"/>
                <w:color w:val="auto"/>
              </w:rPr>
              <w:t>3,404</w:t>
            </w:r>
          </w:p>
        </w:tc>
        <w:tc>
          <w:tcPr>
            <w:tcW w:w="700" w:type="dxa"/>
            <w:vAlign w:val="bottom"/>
          </w:tcPr>
          <w:p>
            <w:pPr>
              <w:spacing w:after="0"/>
              <w:rPr>
                <w:sz w:val="12"/>
                <w:szCs w:val="12"/>
                <w:color w:val="auto"/>
              </w:rPr>
            </w:pPr>
          </w:p>
        </w:tc>
        <w:tc>
          <w:tcPr>
            <w:tcW w:w="110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130</w:t>
            </w: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jc w:val="center"/>
              <w:ind w:right="328"/>
              <w:spacing w:after="0" w:line="149" w:lineRule="exact"/>
              <w:rPr>
                <w:sz w:val="20"/>
                <w:szCs w:val="20"/>
                <w:color w:val="auto"/>
              </w:rPr>
            </w:pPr>
            <w:r>
              <w:rPr>
                <w:rFonts w:ascii="Arial" w:cs="Arial" w:eastAsia="Arial" w:hAnsi="Arial"/>
                <w:sz w:val="14"/>
                <w:szCs w:val="14"/>
                <w:color w:val="auto"/>
                <w:w w:val="95"/>
              </w:rPr>
              <w:t>(102)</w:t>
            </w:r>
            <w:r>
              <w:rPr>
                <w:rFonts w:ascii="Arial" w:cs="Arial" w:eastAsia="Arial" w:hAnsi="Arial"/>
                <w:sz w:val="12"/>
                <w:szCs w:val="12"/>
                <w:color w:val="auto"/>
                <w:w w:val="95"/>
              </w:rPr>
              <w:t>(F)</w:t>
            </w:r>
          </w:p>
        </w:tc>
        <w:tc>
          <w:tcPr>
            <w:tcW w:w="480" w:type="dxa"/>
            <w:vAlign w:val="bottom"/>
          </w:tcPr>
          <w:p>
            <w:pPr>
              <w:spacing w:after="0"/>
              <w:rPr>
                <w:sz w:val="12"/>
                <w:szCs w:val="12"/>
                <w:color w:val="auto"/>
              </w:rPr>
            </w:pPr>
          </w:p>
        </w:tc>
        <w:tc>
          <w:tcPr>
            <w:tcW w:w="72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3,432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Average diluted common shares outstanding</w:t>
            </w:r>
          </w:p>
        </w:tc>
        <w:tc>
          <w:tcPr>
            <w:tcW w:w="7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608"/>
              <w:spacing w:after="0" w:line="149" w:lineRule="exact"/>
              <w:rPr>
                <w:sz w:val="20"/>
                <w:szCs w:val="20"/>
                <w:color w:val="auto"/>
              </w:rPr>
            </w:pPr>
            <w:r>
              <w:rPr>
                <w:rFonts w:ascii="Arial" w:cs="Arial" w:eastAsia="Arial" w:hAnsi="Arial"/>
                <w:sz w:val="14"/>
                <w:szCs w:val="14"/>
                <w:color w:val="auto"/>
              </w:rPr>
              <w:t>3,508</w:t>
            </w:r>
          </w:p>
        </w:tc>
        <w:tc>
          <w:tcPr>
            <w:tcW w:w="7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146</w:t>
            </w:r>
          </w:p>
        </w:tc>
        <w:tc>
          <w:tcPr>
            <w:tcW w:w="6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center"/>
              <w:ind w:right="328"/>
              <w:spacing w:after="0" w:line="149" w:lineRule="exact"/>
              <w:rPr>
                <w:sz w:val="20"/>
                <w:szCs w:val="20"/>
                <w:color w:val="auto"/>
              </w:rPr>
            </w:pPr>
            <w:r>
              <w:rPr>
                <w:rFonts w:ascii="Arial" w:cs="Arial" w:eastAsia="Arial" w:hAnsi="Arial"/>
                <w:sz w:val="14"/>
                <w:szCs w:val="14"/>
                <w:color w:val="auto"/>
                <w:w w:val="95"/>
              </w:rPr>
              <w:t>(107)</w:t>
            </w:r>
            <w:r>
              <w:rPr>
                <w:rFonts w:ascii="Arial" w:cs="Arial" w:eastAsia="Arial" w:hAnsi="Arial"/>
                <w:sz w:val="12"/>
                <w:szCs w:val="12"/>
                <w:color w:val="auto"/>
                <w:w w:val="95"/>
              </w:rPr>
              <w:t>(F)</w:t>
            </w:r>
          </w:p>
        </w:tc>
        <w:tc>
          <w:tcPr>
            <w:tcW w:w="4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3,547</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JPMORGAN CHASE &amp; CO./THE BEAR STEARNS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BALANCE SHEET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2008 and February 29, 2008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66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JPMorgan Chase</w:t>
            </w:r>
          </w:p>
        </w:tc>
        <w:tc>
          <w:tcPr>
            <w:tcW w:w="174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Bear Stearns</w:t>
            </w:r>
          </w:p>
        </w:tc>
        <w:tc>
          <w:tcPr>
            <w:tcW w:w="420" w:type="dxa"/>
            <w:vAlign w:val="bottom"/>
          </w:tcPr>
          <w:p>
            <w:pPr>
              <w:spacing w:after="0"/>
              <w:rPr>
                <w:sz w:val="14"/>
                <w:szCs w:val="14"/>
                <w:color w:val="auto"/>
              </w:rPr>
            </w:pPr>
          </w:p>
        </w:tc>
        <w:tc>
          <w:tcPr>
            <w:tcW w:w="1540" w:type="dxa"/>
            <w:vAlign w:val="bottom"/>
          </w:tcPr>
          <w:p>
            <w:pPr>
              <w:jc w:val="right"/>
              <w:ind w:right="628"/>
              <w:spacing w:after="0"/>
              <w:rPr>
                <w:sz w:val="20"/>
                <w:szCs w:val="20"/>
                <w:color w:val="auto"/>
              </w:rPr>
            </w:pPr>
            <w:r>
              <w:rPr>
                <w:rFonts w:ascii="Arial" w:cs="Arial" w:eastAsia="Arial" w:hAnsi="Arial"/>
                <w:sz w:val="14"/>
                <w:szCs w:val="14"/>
                <w:b w:val="1"/>
                <w:bCs w:val="1"/>
                <w:color w:val="auto"/>
              </w:rPr>
              <w:t>Reporting</w:t>
            </w:r>
          </w:p>
        </w:tc>
        <w:tc>
          <w:tcPr>
            <w:tcW w:w="136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Pro forma</w:t>
            </w:r>
          </w:p>
        </w:tc>
        <w:tc>
          <w:tcPr>
            <w:tcW w:w="12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color w:val="auto"/>
              </w:rPr>
              <w:t>March 31, 2008</w:t>
            </w:r>
          </w:p>
        </w:tc>
        <w:tc>
          <w:tcPr>
            <w:tcW w:w="174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color w:val="auto"/>
              </w:rPr>
              <w:t>February 29, 2008</w:t>
            </w:r>
          </w:p>
        </w:tc>
        <w:tc>
          <w:tcPr>
            <w:tcW w:w="4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reclassifications</w:t>
            </w:r>
          </w:p>
        </w:tc>
        <w:tc>
          <w:tcPr>
            <w:tcW w:w="136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b w:val="1"/>
                <w:bCs w:val="1"/>
                <w:color w:val="auto"/>
              </w:rPr>
              <w:t>adjustments</w:t>
            </w:r>
          </w:p>
        </w:tc>
        <w:tc>
          <w:tcPr>
            <w:tcW w:w="120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5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508"/>
              <w:spacing w:after="0" w:line="149" w:lineRule="exact"/>
              <w:rPr>
                <w:sz w:val="20"/>
                <w:szCs w:val="20"/>
                <w:color w:val="auto"/>
              </w:rPr>
            </w:pPr>
            <w:r>
              <w:rPr>
                <w:rFonts w:ascii="Arial" w:cs="Arial" w:eastAsia="Arial" w:hAnsi="Arial"/>
                <w:sz w:val="14"/>
                <w:szCs w:val="14"/>
                <w:color w:val="auto"/>
              </w:rPr>
              <w:t>46,888</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20,786</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40" w:type="dxa"/>
            <w:vAlign w:val="bottom"/>
          </w:tcPr>
          <w:p>
            <w:pPr>
              <w:jc w:val="right"/>
              <w:ind w:right="968"/>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(1,117)</w:t>
            </w:r>
            <w:r>
              <w:rPr>
                <w:rFonts w:ascii="Arial" w:cs="Arial" w:eastAsia="Arial" w:hAnsi="Arial"/>
                <w:sz w:val="12"/>
                <w:szCs w:val="12"/>
                <w:color w:val="auto"/>
              </w:rPr>
              <w:t>(H)</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95,136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w w:val="99"/>
              </w:rPr>
              <w:t>29,000</w:t>
            </w:r>
            <w:r>
              <w:rPr>
                <w:rFonts w:ascii="Arial" w:cs="Arial" w:eastAsia="Arial" w:hAnsi="Arial"/>
                <w:sz w:val="12"/>
                <w:szCs w:val="12"/>
                <w:color w:val="auto"/>
                <w:w w:val="99"/>
              </w:rPr>
              <w:t>(I)</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(421)</w:t>
            </w:r>
            <w:r>
              <w:rPr>
                <w:rFonts w:ascii="Arial" w:cs="Arial" w:eastAsia="Arial" w:hAnsi="Arial"/>
                <w:sz w:val="12"/>
                <w:szCs w:val="12"/>
                <w:color w:val="auto"/>
              </w:rPr>
              <w:t>(J)</w:t>
            </w: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Deposits with banks</w:t>
            </w:r>
          </w:p>
        </w:tc>
        <w:tc>
          <w:tcPr>
            <w:tcW w:w="50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08"/>
              <w:spacing w:after="0" w:line="149" w:lineRule="exact"/>
              <w:rPr>
                <w:sz w:val="20"/>
                <w:szCs w:val="20"/>
                <w:color w:val="auto"/>
              </w:rPr>
            </w:pPr>
            <w:r>
              <w:rPr>
                <w:rFonts w:ascii="Arial" w:cs="Arial" w:eastAsia="Arial" w:hAnsi="Arial"/>
                <w:sz w:val="14"/>
                <w:szCs w:val="14"/>
                <w:color w:val="auto"/>
              </w:rPr>
              <w:t>12,414</w:t>
            </w:r>
          </w:p>
        </w:tc>
        <w:tc>
          <w:tcPr>
            <w:tcW w:w="6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968"/>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12,414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80" w:type="dxa"/>
            <w:vAlign w:val="bottom"/>
          </w:tcPr>
          <w:p>
            <w:pPr>
              <w:spacing w:after="0" w:line="130" w:lineRule="exact"/>
              <w:rPr>
                <w:sz w:val="20"/>
                <w:szCs w:val="20"/>
                <w:color w:val="auto"/>
              </w:rPr>
            </w:pPr>
            <w:r>
              <w:rPr>
                <w:rFonts w:ascii="Arial" w:cs="Arial" w:eastAsia="Arial" w:hAnsi="Arial"/>
                <w:sz w:val="14"/>
                <w:szCs w:val="14"/>
                <w:color w:val="auto"/>
              </w:rPr>
              <w:t>Cash and securities deposited with clearing</w:t>
            </w:r>
          </w:p>
        </w:tc>
        <w:tc>
          <w:tcPr>
            <w:tcW w:w="5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ind w:left="200"/>
              <w:spacing w:after="0" w:line="149" w:lineRule="exact"/>
              <w:rPr>
                <w:sz w:val="20"/>
                <w:szCs w:val="20"/>
                <w:color w:val="auto"/>
              </w:rPr>
            </w:pPr>
            <w:r>
              <w:rPr>
                <w:rFonts w:ascii="Arial" w:cs="Arial" w:eastAsia="Arial" w:hAnsi="Arial"/>
                <w:sz w:val="14"/>
                <w:szCs w:val="14"/>
                <w:color w:val="auto"/>
              </w:rPr>
              <w:t>organizations or segregated in compliance with</w:t>
            </w:r>
          </w:p>
        </w:tc>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80" w:type="dxa"/>
            <w:vAlign w:val="bottom"/>
          </w:tcPr>
          <w:p>
            <w:pPr>
              <w:ind w:left="200"/>
              <w:spacing w:after="0"/>
              <w:rPr>
                <w:sz w:val="20"/>
                <w:szCs w:val="20"/>
                <w:color w:val="auto"/>
              </w:rPr>
            </w:pPr>
            <w:r>
              <w:rPr>
                <w:rFonts w:ascii="Arial" w:cs="Arial" w:eastAsia="Arial" w:hAnsi="Arial"/>
                <w:sz w:val="14"/>
                <w:szCs w:val="14"/>
                <w:color w:val="auto"/>
              </w:rPr>
              <w:t>federal regulations</w:t>
            </w:r>
          </w:p>
        </w:tc>
        <w:tc>
          <w:tcPr>
            <w:tcW w:w="500" w:type="dxa"/>
            <w:vAlign w:val="bottom"/>
          </w:tcPr>
          <w:p>
            <w:pPr>
              <w:spacing w:after="0"/>
              <w:rPr>
                <w:sz w:val="15"/>
                <w:szCs w:val="15"/>
                <w:color w:val="auto"/>
              </w:rPr>
            </w:pPr>
          </w:p>
        </w:tc>
        <w:tc>
          <w:tcPr>
            <w:tcW w:w="116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1100" w:type="dxa"/>
            <w:vAlign w:val="bottom"/>
          </w:tcPr>
          <w:p>
            <w:pPr>
              <w:jc w:val="right"/>
              <w:ind w:right="568"/>
              <w:spacing w:after="0"/>
              <w:rPr>
                <w:sz w:val="20"/>
                <w:szCs w:val="20"/>
                <w:color w:val="auto"/>
              </w:rPr>
            </w:pPr>
            <w:r>
              <w:rPr>
                <w:rFonts w:ascii="Arial" w:cs="Arial" w:eastAsia="Arial" w:hAnsi="Arial"/>
                <w:sz w:val="14"/>
                <w:szCs w:val="14"/>
                <w:color w:val="auto"/>
              </w:rPr>
              <w:t>14,910</w:t>
            </w:r>
          </w:p>
        </w:tc>
        <w:tc>
          <w:tcPr>
            <w:tcW w:w="420" w:type="dxa"/>
            <w:vAlign w:val="bottom"/>
          </w:tcPr>
          <w:p>
            <w:pPr>
              <w:spacing w:after="0"/>
              <w:rPr>
                <w:sz w:val="15"/>
                <w:szCs w:val="15"/>
                <w:color w:val="auto"/>
              </w:rPr>
            </w:pPr>
          </w:p>
        </w:tc>
        <w:tc>
          <w:tcPr>
            <w:tcW w:w="1540" w:type="dxa"/>
            <w:vAlign w:val="bottom"/>
          </w:tcPr>
          <w:p>
            <w:pPr>
              <w:jc w:val="right"/>
              <w:ind w:right="768"/>
              <w:spacing w:after="0"/>
              <w:rPr>
                <w:sz w:val="20"/>
                <w:szCs w:val="20"/>
                <w:color w:val="auto"/>
              </w:rPr>
            </w:pPr>
            <w:r>
              <w:rPr>
                <w:rFonts w:ascii="Arial" w:cs="Arial" w:eastAsia="Arial" w:hAnsi="Arial"/>
                <w:sz w:val="14"/>
                <w:szCs w:val="14"/>
                <w:color w:val="auto"/>
              </w:rPr>
              <w:t>(14,910)</w:t>
            </w:r>
            <w:r>
              <w:rPr>
                <w:rFonts w:ascii="Arial" w:cs="Arial" w:eastAsia="Arial" w:hAnsi="Arial"/>
                <w:sz w:val="12"/>
                <w:szCs w:val="12"/>
                <w:color w:val="auto"/>
              </w:rPr>
              <w:t>(1)</w:t>
            </w:r>
          </w:p>
        </w:tc>
        <w:tc>
          <w:tcPr>
            <w:tcW w:w="360" w:type="dxa"/>
            <w:vAlign w:val="bottom"/>
          </w:tcPr>
          <w:p>
            <w:pPr>
              <w:spacing w:after="0"/>
              <w:rPr>
                <w:sz w:val="15"/>
                <w:szCs w:val="15"/>
                <w:color w:val="auto"/>
              </w:rPr>
            </w:pPr>
          </w:p>
        </w:tc>
        <w:tc>
          <w:tcPr>
            <w:tcW w:w="100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4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Federal funds sold and securities purchased under resale</w:t>
            </w:r>
          </w:p>
        </w:tc>
        <w:tc>
          <w:tcPr>
            <w:tcW w:w="5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agreements</w:t>
            </w:r>
          </w:p>
        </w:tc>
        <w:tc>
          <w:tcPr>
            <w:tcW w:w="5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203,176</w:t>
            </w:r>
          </w:p>
        </w:tc>
        <w:tc>
          <w:tcPr>
            <w:tcW w:w="6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26,888</w:t>
            </w:r>
            <w:r>
              <w:rPr>
                <w:rFonts w:ascii="Arial" w:cs="Arial" w:eastAsia="Arial" w:hAnsi="Arial"/>
                <w:sz w:val="12"/>
                <w:szCs w:val="12"/>
                <w:color w:val="auto"/>
              </w:rPr>
              <w:t>(2)</w:t>
            </w: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93"/>
              </w:rPr>
              <w:t>(12,900)</w:t>
            </w:r>
            <w:r>
              <w:rPr>
                <w:rFonts w:ascii="Arial" w:cs="Arial" w:eastAsia="Arial" w:hAnsi="Arial"/>
                <w:sz w:val="12"/>
                <w:szCs w:val="12"/>
                <w:color w:val="auto"/>
                <w:w w:val="93"/>
              </w:rPr>
              <w:t>(K)</w:t>
            </w: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217,164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Collateralized agreements:</w:t>
            </w:r>
          </w:p>
        </w:tc>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Securities purchased under agreements to resell</w:t>
            </w:r>
          </w:p>
        </w:tc>
        <w:tc>
          <w:tcPr>
            <w:tcW w:w="50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08"/>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26,888</w:t>
            </w:r>
          </w:p>
        </w:tc>
        <w:tc>
          <w:tcPr>
            <w:tcW w:w="42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768"/>
              <w:spacing w:after="0" w:line="149" w:lineRule="exact"/>
              <w:rPr>
                <w:sz w:val="20"/>
                <w:szCs w:val="20"/>
                <w:color w:val="auto"/>
              </w:rPr>
            </w:pPr>
            <w:r>
              <w:rPr>
                <w:rFonts w:ascii="Arial" w:cs="Arial" w:eastAsia="Arial" w:hAnsi="Arial"/>
                <w:sz w:val="14"/>
                <w:szCs w:val="14"/>
                <w:color w:val="auto"/>
              </w:rPr>
              <w:t>(26,888)</w:t>
            </w:r>
            <w:r>
              <w:rPr>
                <w:rFonts w:ascii="Arial" w:cs="Arial" w:eastAsia="Arial" w:hAnsi="Arial"/>
                <w:sz w:val="12"/>
                <w:szCs w:val="12"/>
                <w:color w:val="auto"/>
              </w:rPr>
              <w:t>(2)</w:t>
            </w:r>
          </w:p>
        </w:tc>
        <w:tc>
          <w:tcPr>
            <w:tcW w:w="3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Securities borrowed</w:t>
            </w:r>
          </w:p>
        </w:tc>
        <w:tc>
          <w:tcPr>
            <w:tcW w:w="500" w:type="dxa"/>
            <w:vAlign w:val="bottom"/>
          </w:tcPr>
          <w:p>
            <w:pPr>
              <w:spacing w:after="0"/>
              <w:rPr>
                <w:sz w:val="12"/>
                <w:szCs w:val="12"/>
                <w:color w:val="auto"/>
              </w:rPr>
            </w:pPr>
          </w:p>
        </w:tc>
        <w:tc>
          <w:tcPr>
            <w:tcW w:w="1160" w:type="dxa"/>
            <w:vAlign w:val="bottom"/>
          </w:tcPr>
          <w:p>
            <w:pPr>
              <w:jc w:val="right"/>
              <w:ind w:right="508"/>
              <w:spacing w:after="0" w:line="149" w:lineRule="exact"/>
              <w:rPr>
                <w:sz w:val="20"/>
                <w:szCs w:val="20"/>
                <w:color w:val="auto"/>
              </w:rPr>
            </w:pPr>
            <w:r>
              <w:rPr>
                <w:rFonts w:ascii="Arial" w:cs="Arial" w:eastAsia="Arial" w:hAnsi="Arial"/>
                <w:sz w:val="14"/>
                <w:szCs w:val="14"/>
                <w:color w:val="auto"/>
              </w:rPr>
              <w:t>81,014</w:t>
            </w:r>
          </w:p>
        </w:tc>
        <w:tc>
          <w:tcPr>
            <w:tcW w:w="640" w:type="dxa"/>
            <w:vAlign w:val="bottom"/>
          </w:tcPr>
          <w:p>
            <w:pPr>
              <w:spacing w:after="0"/>
              <w:rPr>
                <w:sz w:val="12"/>
                <w:szCs w:val="12"/>
                <w:color w:val="auto"/>
              </w:rPr>
            </w:pPr>
          </w:p>
        </w:tc>
        <w:tc>
          <w:tcPr>
            <w:tcW w:w="110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87,143</w:t>
            </w:r>
          </w:p>
        </w:tc>
        <w:tc>
          <w:tcPr>
            <w:tcW w:w="420" w:type="dxa"/>
            <w:vAlign w:val="bottom"/>
          </w:tcPr>
          <w:p>
            <w:pPr>
              <w:spacing w:after="0"/>
              <w:rPr>
                <w:sz w:val="12"/>
                <w:szCs w:val="12"/>
                <w:color w:val="auto"/>
              </w:rPr>
            </w:pPr>
          </w:p>
        </w:tc>
        <w:tc>
          <w:tcPr>
            <w:tcW w:w="1540" w:type="dxa"/>
            <w:vAlign w:val="bottom"/>
          </w:tcPr>
          <w:p>
            <w:pPr>
              <w:jc w:val="right"/>
              <w:ind w:right="968"/>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(6,538)</w:t>
            </w:r>
            <w:r>
              <w:rPr>
                <w:rFonts w:ascii="Arial" w:cs="Arial" w:eastAsia="Arial" w:hAnsi="Arial"/>
                <w:sz w:val="12"/>
                <w:szCs w:val="12"/>
                <w:color w:val="auto"/>
              </w:rPr>
              <w:t>(L)</w:t>
            </w:r>
          </w:p>
        </w:tc>
        <w:tc>
          <w:tcPr>
            <w:tcW w:w="380" w:type="dxa"/>
            <w:vAlign w:val="bottom"/>
          </w:tcPr>
          <w:p>
            <w:pPr>
              <w:spacing w:after="0"/>
              <w:rPr>
                <w:sz w:val="12"/>
                <w:szCs w:val="12"/>
                <w:color w:val="auto"/>
              </w:rPr>
            </w:pPr>
          </w:p>
        </w:tc>
        <w:tc>
          <w:tcPr>
            <w:tcW w:w="8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161,619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Securities received as collateral</w:t>
            </w:r>
          </w:p>
        </w:tc>
        <w:tc>
          <w:tcPr>
            <w:tcW w:w="50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08"/>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15,371</w:t>
            </w:r>
          </w:p>
        </w:tc>
        <w:tc>
          <w:tcPr>
            <w:tcW w:w="42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968"/>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15,371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Trading assets</w:t>
            </w:r>
          </w:p>
        </w:tc>
        <w:tc>
          <w:tcPr>
            <w:tcW w:w="500" w:type="dxa"/>
            <w:vAlign w:val="bottom"/>
          </w:tcPr>
          <w:p>
            <w:pPr>
              <w:spacing w:after="0"/>
              <w:rPr>
                <w:sz w:val="12"/>
                <w:szCs w:val="12"/>
                <w:color w:val="auto"/>
              </w:rPr>
            </w:pPr>
          </w:p>
        </w:tc>
        <w:tc>
          <w:tcPr>
            <w:tcW w:w="1160" w:type="dxa"/>
            <w:vAlign w:val="bottom"/>
          </w:tcPr>
          <w:p>
            <w:pPr>
              <w:jc w:val="right"/>
              <w:ind w:right="508"/>
              <w:spacing w:after="0" w:line="149" w:lineRule="exact"/>
              <w:rPr>
                <w:sz w:val="20"/>
                <w:szCs w:val="20"/>
                <w:color w:val="auto"/>
              </w:rPr>
            </w:pPr>
            <w:r>
              <w:rPr>
                <w:rFonts w:ascii="Arial" w:cs="Arial" w:eastAsia="Arial" w:hAnsi="Arial"/>
                <w:sz w:val="14"/>
                <w:szCs w:val="14"/>
                <w:color w:val="auto"/>
              </w:rPr>
              <w:t>485,280</w:t>
            </w:r>
          </w:p>
        </w:tc>
        <w:tc>
          <w:tcPr>
            <w:tcW w:w="640" w:type="dxa"/>
            <w:vAlign w:val="bottom"/>
          </w:tcPr>
          <w:p>
            <w:pPr>
              <w:spacing w:after="0"/>
              <w:rPr>
                <w:sz w:val="12"/>
                <w:szCs w:val="12"/>
                <w:color w:val="auto"/>
              </w:rPr>
            </w:pPr>
          </w:p>
        </w:tc>
        <w:tc>
          <w:tcPr>
            <w:tcW w:w="110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540" w:type="dxa"/>
            <w:vAlign w:val="bottom"/>
          </w:tcPr>
          <w:p>
            <w:pPr>
              <w:ind w:left="40"/>
              <w:spacing w:after="0" w:line="149" w:lineRule="exact"/>
              <w:rPr>
                <w:sz w:val="20"/>
                <w:szCs w:val="20"/>
                <w:color w:val="auto"/>
              </w:rPr>
            </w:pPr>
            <w:r>
              <w:rPr>
                <w:rFonts w:ascii="Arial" w:cs="Arial" w:eastAsia="Arial" w:hAnsi="Arial"/>
                <w:sz w:val="14"/>
                <w:szCs w:val="14"/>
                <w:color w:val="auto"/>
              </w:rPr>
              <w:t>170,065</w:t>
            </w:r>
            <w:r>
              <w:rPr>
                <w:rFonts w:ascii="Arial" w:cs="Arial" w:eastAsia="Arial" w:hAnsi="Arial"/>
                <w:sz w:val="12"/>
                <w:szCs w:val="12"/>
                <w:color w:val="auto"/>
              </w:rPr>
              <w:t>(3,4,12)</w:t>
            </w:r>
          </w:p>
        </w:tc>
        <w:tc>
          <w:tcPr>
            <w:tcW w:w="360" w:type="dxa"/>
            <w:vAlign w:val="bottom"/>
          </w:tcPr>
          <w:p>
            <w:pPr>
              <w:spacing w:after="0"/>
              <w:rPr>
                <w:sz w:val="12"/>
                <w:szCs w:val="12"/>
                <w:color w:val="auto"/>
              </w:rPr>
            </w:pPr>
          </w:p>
        </w:tc>
        <w:tc>
          <w:tcPr>
            <w:tcW w:w="10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(1,851)</w:t>
            </w:r>
            <w:r>
              <w:rPr>
                <w:rFonts w:ascii="Arial" w:cs="Arial" w:eastAsia="Arial" w:hAnsi="Arial"/>
                <w:sz w:val="12"/>
                <w:szCs w:val="12"/>
                <w:color w:val="auto"/>
              </w:rPr>
              <w:t>(M)</w:t>
            </w:r>
          </w:p>
        </w:tc>
        <w:tc>
          <w:tcPr>
            <w:tcW w:w="380" w:type="dxa"/>
            <w:vAlign w:val="bottom"/>
          </w:tcPr>
          <w:p>
            <w:pPr>
              <w:spacing w:after="0"/>
              <w:rPr>
                <w:sz w:val="12"/>
                <w:szCs w:val="12"/>
                <w:color w:val="auto"/>
              </w:rPr>
            </w:pPr>
          </w:p>
        </w:tc>
        <w:tc>
          <w:tcPr>
            <w:tcW w:w="8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624,829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(150)</w:t>
            </w:r>
            <w:r>
              <w:rPr>
                <w:rFonts w:ascii="Arial" w:cs="Arial" w:eastAsia="Arial" w:hAnsi="Arial"/>
                <w:sz w:val="12"/>
                <w:szCs w:val="12"/>
                <w:color w:val="auto"/>
              </w:rPr>
              <w:t>(N)</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jc w:val="right"/>
              <w:ind w:right="308"/>
              <w:spacing w:after="0" w:line="149" w:lineRule="exact"/>
              <w:rPr>
                <w:sz w:val="20"/>
                <w:szCs w:val="20"/>
                <w:color w:val="auto"/>
              </w:rPr>
            </w:pPr>
            <w:r>
              <w:rPr>
                <w:rFonts w:ascii="Arial" w:cs="Arial" w:eastAsia="Arial" w:hAnsi="Arial"/>
                <w:sz w:val="14"/>
                <w:szCs w:val="14"/>
                <w:color w:val="auto"/>
                <w:w w:val="94"/>
              </w:rPr>
              <w:t>(29,000)</w:t>
            </w:r>
            <w:r>
              <w:rPr>
                <w:rFonts w:ascii="Arial" w:cs="Arial" w:eastAsia="Arial" w:hAnsi="Arial"/>
                <w:sz w:val="12"/>
                <w:szCs w:val="12"/>
                <w:color w:val="auto"/>
                <w:w w:val="94"/>
              </w:rPr>
              <w:t>(I)</w:t>
            </w: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485</w:t>
            </w:r>
            <w:r>
              <w:rPr>
                <w:rFonts w:ascii="Arial" w:cs="Arial" w:eastAsia="Arial" w:hAnsi="Arial"/>
                <w:sz w:val="12"/>
                <w:szCs w:val="12"/>
                <w:color w:val="auto"/>
              </w:rPr>
              <w:t>(J)</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14"/>
                <w:szCs w:val="14"/>
                <w:color w:val="auto"/>
              </w:rPr>
              <w:t>Financial instruments owned, at fair value</w:t>
            </w:r>
          </w:p>
        </w:tc>
        <w:tc>
          <w:tcPr>
            <w:tcW w:w="500" w:type="dxa"/>
            <w:vAlign w:val="bottom"/>
          </w:tcPr>
          <w:p>
            <w:pPr>
              <w:spacing w:after="0"/>
              <w:rPr>
                <w:sz w:val="24"/>
                <w:szCs w:val="24"/>
                <w:color w:val="auto"/>
              </w:rPr>
            </w:pPr>
          </w:p>
        </w:tc>
        <w:tc>
          <w:tcPr>
            <w:tcW w:w="116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4"/>
                <w:szCs w:val="24"/>
                <w:color w:val="auto"/>
              </w:rPr>
            </w:pPr>
          </w:p>
        </w:tc>
        <w:tc>
          <w:tcPr>
            <w:tcW w:w="1100" w:type="dxa"/>
            <w:vAlign w:val="bottom"/>
          </w:tcPr>
          <w:p>
            <w:pPr>
              <w:jc w:val="right"/>
              <w:ind w:right="568"/>
              <w:spacing w:after="0"/>
              <w:rPr>
                <w:sz w:val="20"/>
                <w:szCs w:val="20"/>
                <w:color w:val="auto"/>
              </w:rPr>
            </w:pPr>
            <w:r>
              <w:rPr>
                <w:rFonts w:ascii="Arial" w:cs="Arial" w:eastAsia="Arial" w:hAnsi="Arial"/>
                <w:sz w:val="14"/>
                <w:szCs w:val="14"/>
                <w:color w:val="auto"/>
                <w:w w:val="86"/>
              </w:rPr>
              <w:t>118,201</w:t>
            </w:r>
          </w:p>
        </w:tc>
        <w:tc>
          <w:tcPr>
            <w:tcW w:w="420" w:type="dxa"/>
            <w:vAlign w:val="bottom"/>
          </w:tcPr>
          <w:p>
            <w:pPr>
              <w:spacing w:after="0"/>
              <w:rPr>
                <w:sz w:val="24"/>
                <w:szCs w:val="24"/>
                <w:color w:val="auto"/>
              </w:rPr>
            </w:pPr>
          </w:p>
        </w:tc>
        <w:tc>
          <w:tcPr>
            <w:tcW w:w="1540" w:type="dxa"/>
            <w:vAlign w:val="bottom"/>
          </w:tcPr>
          <w:p>
            <w:pPr>
              <w:jc w:val="right"/>
              <w:ind w:right="768"/>
              <w:spacing w:after="0"/>
              <w:rPr>
                <w:sz w:val="20"/>
                <w:szCs w:val="20"/>
                <w:color w:val="auto"/>
              </w:rPr>
            </w:pPr>
            <w:r>
              <w:rPr>
                <w:rFonts w:ascii="Arial" w:cs="Arial" w:eastAsia="Arial" w:hAnsi="Arial"/>
                <w:sz w:val="14"/>
                <w:szCs w:val="14"/>
                <w:color w:val="auto"/>
                <w:w w:val="91"/>
              </w:rPr>
              <w:t>(118,201)</w:t>
            </w:r>
            <w:r>
              <w:rPr>
                <w:rFonts w:ascii="Arial" w:cs="Arial" w:eastAsia="Arial" w:hAnsi="Arial"/>
                <w:sz w:val="12"/>
                <w:szCs w:val="12"/>
                <w:color w:val="auto"/>
                <w:w w:val="91"/>
              </w:rPr>
              <w:t>(3)</w:t>
            </w:r>
          </w:p>
        </w:tc>
        <w:tc>
          <w:tcPr>
            <w:tcW w:w="360" w:type="dxa"/>
            <w:vAlign w:val="bottom"/>
          </w:tcPr>
          <w:p>
            <w:pPr>
              <w:spacing w:after="0"/>
              <w:rPr>
                <w:sz w:val="24"/>
                <w:szCs w:val="24"/>
                <w:color w:val="auto"/>
              </w:rPr>
            </w:pPr>
          </w:p>
        </w:tc>
        <w:tc>
          <w:tcPr>
            <w:tcW w:w="100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Financial instruments owned and pledged as collateral,</w:t>
            </w:r>
          </w:p>
        </w:tc>
        <w:tc>
          <w:tcPr>
            <w:tcW w:w="5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at fair value</w:t>
            </w:r>
          </w:p>
        </w:tc>
        <w:tc>
          <w:tcPr>
            <w:tcW w:w="5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22,903</w:t>
            </w:r>
          </w:p>
        </w:tc>
        <w:tc>
          <w:tcPr>
            <w:tcW w:w="4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(22,903)</w:t>
            </w:r>
            <w:r>
              <w:rPr>
                <w:rFonts w:ascii="Arial" w:cs="Arial" w:eastAsia="Arial" w:hAnsi="Arial"/>
                <w:sz w:val="12"/>
                <w:szCs w:val="12"/>
                <w:color w:val="auto"/>
              </w:rPr>
              <w:t>(4)</w:t>
            </w: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Securities</w:t>
            </w:r>
          </w:p>
        </w:tc>
        <w:tc>
          <w:tcPr>
            <w:tcW w:w="500" w:type="dxa"/>
            <w:vAlign w:val="bottom"/>
          </w:tcPr>
          <w:p>
            <w:pPr>
              <w:spacing w:after="0"/>
              <w:rPr>
                <w:sz w:val="12"/>
                <w:szCs w:val="12"/>
                <w:color w:val="auto"/>
              </w:rPr>
            </w:pPr>
          </w:p>
        </w:tc>
        <w:tc>
          <w:tcPr>
            <w:tcW w:w="1160" w:type="dxa"/>
            <w:vAlign w:val="bottom"/>
          </w:tcPr>
          <w:p>
            <w:pPr>
              <w:jc w:val="right"/>
              <w:ind w:right="508"/>
              <w:spacing w:after="0" w:line="149" w:lineRule="exact"/>
              <w:rPr>
                <w:sz w:val="20"/>
                <w:szCs w:val="20"/>
                <w:color w:val="auto"/>
              </w:rPr>
            </w:pPr>
            <w:r>
              <w:rPr>
                <w:rFonts w:ascii="Arial" w:cs="Arial" w:eastAsia="Arial" w:hAnsi="Arial"/>
                <w:sz w:val="14"/>
                <w:szCs w:val="14"/>
                <w:color w:val="auto"/>
              </w:rPr>
              <w:t>101,647</w:t>
            </w:r>
          </w:p>
        </w:tc>
        <w:tc>
          <w:tcPr>
            <w:tcW w:w="640" w:type="dxa"/>
            <w:vAlign w:val="bottom"/>
          </w:tcPr>
          <w:p>
            <w:pPr>
              <w:spacing w:after="0"/>
              <w:rPr>
                <w:sz w:val="12"/>
                <w:szCs w:val="12"/>
                <w:color w:val="auto"/>
              </w:rPr>
            </w:pPr>
          </w:p>
        </w:tc>
        <w:tc>
          <w:tcPr>
            <w:tcW w:w="110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540" w:type="dxa"/>
            <w:vAlign w:val="bottom"/>
          </w:tcPr>
          <w:p>
            <w:pPr>
              <w:jc w:val="right"/>
              <w:ind w:right="968"/>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101,647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Loans</w:t>
            </w:r>
          </w:p>
        </w:tc>
        <w:tc>
          <w:tcPr>
            <w:tcW w:w="50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08"/>
              <w:spacing w:after="0" w:line="149" w:lineRule="exact"/>
              <w:rPr>
                <w:sz w:val="20"/>
                <w:szCs w:val="20"/>
                <w:color w:val="auto"/>
              </w:rPr>
            </w:pPr>
            <w:r>
              <w:rPr>
                <w:rFonts w:ascii="Arial" w:cs="Arial" w:eastAsia="Arial" w:hAnsi="Arial"/>
                <w:sz w:val="14"/>
                <w:szCs w:val="14"/>
                <w:color w:val="auto"/>
              </w:rPr>
              <w:t>537,056</w:t>
            </w:r>
          </w:p>
        </w:tc>
        <w:tc>
          <w:tcPr>
            <w:tcW w:w="6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968"/>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(5,850)</w:t>
            </w:r>
            <w:r>
              <w:rPr>
                <w:rFonts w:ascii="Arial" w:cs="Arial" w:eastAsia="Arial" w:hAnsi="Arial"/>
                <w:sz w:val="12"/>
                <w:szCs w:val="12"/>
                <w:color w:val="auto"/>
              </w:rPr>
              <w:t>(O)</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531,206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Allowance for loan losses</w:t>
            </w:r>
          </w:p>
        </w:tc>
        <w:tc>
          <w:tcPr>
            <w:tcW w:w="5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48"/>
              <w:spacing w:after="0" w:line="149" w:lineRule="exact"/>
              <w:rPr>
                <w:sz w:val="20"/>
                <w:szCs w:val="20"/>
                <w:color w:val="auto"/>
              </w:rPr>
            </w:pPr>
            <w:r>
              <w:rPr>
                <w:rFonts w:ascii="Arial" w:cs="Arial" w:eastAsia="Arial" w:hAnsi="Arial"/>
                <w:sz w:val="14"/>
                <w:szCs w:val="14"/>
                <w:color w:val="auto"/>
              </w:rPr>
              <w:t>(11,746)</w:t>
            </w:r>
          </w:p>
        </w:tc>
        <w:tc>
          <w:tcPr>
            <w:tcW w:w="6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968"/>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color w:val="auto"/>
              </w:rPr>
              <w:t>(11,746)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Loans, net of Allowance for loan losses</w:t>
            </w:r>
          </w:p>
        </w:tc>
        <w:tc>
          <w:tcPr>
            <w:tcW w:w="50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08"/>
              <w:spacing w:after="0" w:line="149" w:lineRule="exact"/>
              <w:rPr>
                <w:sz w:val="20"/>
                <w:szCs w:val="20"/>
                <w:color w:val="auto"/>
              </w:rPr>
            </w:pPr>
            <w:r>
              <w:rPr>
                <w:rFonts w:ascii="Arial" w:cs="Arial" w:eastAsia="Arial" w:hAnsi="Arial"/>
                <w:sz w:val="14"/>
                <w:szCs w:val="14"/>
                <w:color w:val="auto"/>
              </w:rPr>
              <w:t>525,310</w:t>
            </w:r>
          </w:p>
        </w:tc>
        <w:tc>
          <w:tcPr>
            <w:tcW w:w="6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968"/>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(5,850)</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519,460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Accrued interest and accounts receivable</w:t>
            </w:r>
          </w:p>
        </w:tc>
        <w:tc>
          <w:tcPr>
            <w:tcW w:w="500" w:type="dxa"/>
            <w:vAlign w:val="bottom"/>
          </w:tcPr>
          <w:p>
            <w:pPr>
              <w:spacing w:after="0"/>
              <w:rPr>
                <w:sz w:val="12"/>
                <w:szCs w:val="12"/>
                <w:color w:val="auto"/>
              </w:rPr>
            </w:pPr>
          </w:p>
        </w:tc>
        <w:tc>
          <w:tcPr>
            <w:tcW w:w="1160" w:type="dxa"/>
            <w:vAlign w:val="bottom"/>
          </w:tcPr>
          <w:p>
            <w:pPr>
              <w:jc w:val="right"/>
              <w:ind w:right="508"/>
              <w:spacing w:after="0" w:line="149" w:lineRule="exact"/>
              <w:rPr>
                <w:sz w:val="20"/>
                <w:szCs w:val="20"/>
                <w:color w:val="auto"/>
              </w:rPr>
            </w:pPr>
            <w:r>
              <w:rPr>
                <w:rFonts w:ascii="Arial" w:cs="Arial" w:eastAsia="Arial" w:hAnsi="Arial"/>
                <w:sz w:val="14"/>
                <w:szCs w:val="14"/>
                <w:color w:val="auto"/>
              </w:rPr>
              <w:t>50,989</w:t>
            </w:r>
          </w:p>
        </w:tc>
        <w:tc>
          <w:tcPr>
            <w:tcW w:w="640" w:type="dxa"/>
            <w:vAlign w:val="bottom"/>
          </w:tcPr>
          <w:p>
            <w:pPr>
              <w:spacing w:after="0"/>
              <w:rPr>
                <w:sz w:val="12"/>
                <w:szCs w:val="12"/>
                <w:color w:val="auto"/>
              </w:rPr>
            </w:pPr>
          </w:p>
        </w:tc>
        <w:tc>
          <w:tcPr>
            <w:tcW w:w="110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540" w:type="dxa"/>
            <w:vAlign w:val="bottom"/>
          </w:tcPr>
          <w:p>
            <w:pPr>
              <w:jc w:val="right"/>
              <w:ind w:right="808"/>
              <w:spacing w:after="0" w:line="149" w:lineRule="exact"/>
              <w:rPr>
                <w:sz w:val="20"/>
                <w:szCs w:val="20"/>
                <w:color w:val="auto"/>
              </w:rPr>
            </w:pPr>
            <w:r>
              <w:rPr>
                <w:rFonts w:ascii="Arial" w:cs="Arial" w:eastAsia="Arial" w:hAnsi="Arial"/>
                <w:sz w:val="14"/>
                <w:szCs w:val="14"/>
                <w:color w:val="auto"/>
              </w:rPr>
              <w:t>488</w:t>
            </w:r>
            <w:r>
              <w:rPr>
                <w:rFonts w:ascii="Arial" w:cs="Arial" w:eastAsia="Arial" w:hAnsi="Arial"/>
                <w:sz w:val="12"/>
                <w:szCs w:val="12"/>
                <w:color w:val="auto"/>
              </w:rPr>
              <w:t>(5)</w:t>
            </w:r>
          </w:p>
        </w:tc>
        <w:tc>
          <w:tcPr>
            <w:tcW w:w="360" w:type="dxa"/>
            <w:vAlign w:val="bottom"/>
          </w:tcPr>
          <w:p>
            <w:pPr>
              <w:spacing w:after="0"/>
              <w:rPr>
                <w:sz w:val="12"/>
                <w:szCs w:val="12"/>
                <w:color w:val="auto"/>
              </w:rPr>
            </w:pPr>
          </w:p>
        </w:tc>
        <w:tc>
          <w:tcPr>
            <w:tcW w:w="100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28,791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247</w:t>
            </w:r>
            <w:r>
              <w:rPr>
                <w:rFonts w:ascii="Arial" w:cs="Arial" w:eastAsia="Arial" w:hAnsi="Arial"/>
                <w:sz w:val="12"/>
                <w:szCs w:val="12"/>
                <w:color w:val="auto"/>
              </w:rPr>
              <w:t>(6)</w:t>
            </w:r>
          </w:p>
        </w:tc>
        <w:tc>
          <w:tcPr>
            <w:tcW w:w="3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40" w:type="dxa"/>
            <w:vAlign w:val="bottom"/>
          </w:tcPr>
          <w:p>
            <w:pPr>
              <w:jc w:val="right"/>
              <w:ind w:right="768"/>
              <w:spacing w:after="0" w:line="149" w:lineRule="exact"/>
              <w:rPr>
                <w:sz w:val="20"/>
                <w:szCs w:val="20"/>
                <w:color w:val="auto"/>
              </w:rPr>
            </w:pPr>
            <w:r>
              <w:rPr>
                <w:rFonts w:ascii="Arial" w:cs="Arial" w:eastAsia="Arial" w:hAnsi="Arial"/>
                <w:sz w:val="14"/>
                <w:szCs w:val="14"/>
                <w:color w:val="auto"/>
              </w:rPr>
              <w:t>(22,933)</w:t>
            </w:r>
            <w:r>
              <w:rPr>
                <w:rFonts w:ascii="Arial" w:cs="Arial" w:eastAsia="Arial" w:hAnsi="Arial"/>
                <w:sz w:val="12"/>
                <w:szCs w:val="12"/>
                <w:color w:val="auto"/>
              </w:rPr>
              <w:t>(7)</w:t>
            </w: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Receivables:</w:t>
            </w:r>
          </w:p>
        </w:tc>
        <w:tc>
          <w:tcPr>
            <w:tcW w:w="5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ind w:left="200"/>
              <w:spacing w:after="0" w:line="149" w:lineRule="exact"/>
              <w:rPr>
                <w:sz w:val="20"/>
                <w:szCs w:val="20"/>
                <w:color w:val="auto"/>
              </w:rPr>
            </w:pPr>
            <w:r>
              <w:rPr>
                <w:rFonts w:ascii="Arial" w:cs="Arial" w:eastAsia="Arial" w:hAnsi="Arial"/>
                <w:sz w:val="14"/>
                <w:szCs w:val="14"/>
                <w:color w:val="auto"/>
              </w:rPr>
              <w:t>Customers</w:t>
            </w:r>
          </w:p>
        </w:tc>
        <w:tc>
          <w:tcPr>
            <w:tcW w:w="500" w:type="dxa"/>
            <w:vAlign w:val="bottom"/>
          </w:tcPr>
          <w:p>
            <w:pPr>
              <w:spacing w:after="0"/>
              <w:rPr>
                <w:sz w:val="12"/>
                <w:szCs w:val="12"/>
                <w:color w:val="auto"/>
              </w:rPr>
            </w:pPr>
          </w:p>
        </w:tc>
        <w:tc>
          <w:tcPr>
            <w:tcW w:w="1160" w:type="dxa"/>
            <w:vAlign w:val="bottom"/>
          </w:tcPr>
          <w:p>
            <w:pPr>
              <w:jc w:val="right"/>
              <w:ind w:right="508"/>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spacing w:after="0"/>
              <w:rPr>
                <w:sz w:val="12"/>
                <w:szCs w:val="12"/>
                <w:color w:val="auto"/>
              </w:rPr>
            </w:pPr>
          </w:p>
        </w:tc>
        <w:tc>
          <w:tcPr>
            <w:tcW w:w="110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41,990</w:t>
            </w:r>
          </w:p>
        </w:tc>
        <w:tc>
          <w:tcPr>
            <w:tcW w:w="420" w:type="dxa"/>
            <w:vAlign w:val="bottom"/>
          </w:tcPr>
          <w:p>
            <w:pPr>
              <w:spacing w:after="0"/>
              <w:rPr>
                <w:sz w:val="12"/>
                <w:szCs w:val="12"/>
                <w:color w:val="auto"/>
              </w:rPr>
            </w:pPr>
          </w:p>
        </w:tc>
        <w:tc>
          <w:tcPr>
            <w:tcW w:w="1540" w:type="dxa"/>
            <w:vAlign w:val="bottom"/>
          </w:tcPr>
          <w:p>
            <w:pPr>
              <w:jc w:val="right"/>
              <w:ind w:right="768"/>
              <w:spacing w:after="0" w:line="149" w:lineRule="exact"/>
              <w:rPr>
                <w:sz w:val="20"/>
                <w:szCs w:val="20"/>
                <w:color w:val="auto"/>
              </w:rPr>
            </w:pPr>
            <w:r>
              <w:rPr>
                <w:rFonts w:ascii="Arial" w:cs="Arial" w:eastAsia="Arial" w:hAnsi="Arial"/>
                <w:sz w:val="14"/>
                <w:szCs w:val="14"/>
                <w:color w:val="auto"/>
              </w:rPr>
              <w:t>(41,990)</w:t>
            </w:r>
            <w:r>
              <w:rPr>
                <w:rFonts w:ascii="Arial" w:cs="Arial" w:eastAsia="Arial" w:hAnsi="Arial"/>
                <w:sz w:val="12"/>
                <w:szCs w:val="12"/>
                <w:color w:val="auto"/>
              </w:rPr>
              <w:t>(8)</w:t>
            </w:r>
          </w:p>
        </w:tc>
        <w:tc>
          <w:tcPr>
            <w:tcW w:w="360" w:type="dxa"/>
            <w:vAlign w:val="bottom"/>
          </w:tcPr>
          <w:p>
            <w:pPr>
              <w:spacing w:after="0"/>
              <w:rPr>
                <w:sz w:val="12"/>
                <w:szCs w:val="12"/>
                <w:color w:val="auto"/>
              </w:rPr>
            </w:pPr>
          </w:p>
        </w:tc>
        <w:tc>
          <w:tcPr>
            <w:tcW w:w="100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Brokers, dealers and others</w:t>
            </w:r>
          </w:p>
        </w:tc>
        <w:tc>
          <w:tcPr>
            <w:tcW w:w="50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08"/>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10,854</w:t>
            </w:r>
          </w:p>
        </w:tc>
        <w:tc>
          <w:tcPr>
            <w:tcW w:w="42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768"/>
              <w:spacing w:after="0" w:line="149" w:lineRule="exact"/>
              <w:rPr>
                <w:sz w:val="20"/>
                <w:szCs w:val="20"/>
                <w:color w:val="auto"/>
              </w:rPr>
            </w:pPr>
            <w:r>
              <w:rPr>
                <w:rFonts w:ascii="Arial" w:cs="Arial" w:eastAsia="Arial" w:hAnsi="Arial"/>
                <w:sz w:val="14"/>
                <w:szCs w:val="14"/>
                <w:color w:val="auto"/>
              </w:rPr>
              <w:t>(10,854)</w:t>
            </w:r>
            <w:r>
              <w:rPr>
                <w:rFonts w:ascii="Arial" w:cs="Arial" w:eastAsia="Arial" w:hAnsi="Arial"/>
                <w:sz w:val="12"/>
                <w:szCs w:val="12"/>
                <w:color w:val="auto"/>
              </w:rPr>
              <w:t>(8)</w:t>
            </w:r>
          </w:p>
        </w:tc>
        <w:tc>
          <w:tcPr>
            <w:tcW w:w="3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ind w:left="200"/>
              <w:spacing w:after="0" w:line="149" w:lineRule="exact"/>
              <w:rPr>
                <w:sz w:val="20"/>
                <w:szCs w:val="20"/>
                <w:color w:val="auto"/>
              </w:rPr>
            </w:pPr>
            <w:r>
              <w:rPr>
                <w:rFonts w:ascii="Arial" w:cs="Arial" w:eastAsia="Arial" w:hAnsi="Arial"/>
                <w:sz w:val="14"/>
                <w:szCs w:val="14"/>
                <w:color w:val="auto"/>
              </w:rPr>
              <w:t>Interest and dividends</w:t>
            </w:r>
          </w:p>
        </w:tc>
        <w:tc>
          <w:tcPr>
            <w:tcW w:w="500" w:type="dxa"/>
            <w:vAlign w:val="bottom"/>
          </w:tcPr>
          <w:p>
            <w:pPr>
              <w:spacing w:after="0"/>
              <w:rPr>
                <w:sz w:val="12"/>
                <w:szCs w:val="12"/>
                <w:color w:val="auto"/>
              </w:rPr>
            </w:pPr>
          </w:p>
        </w:tc>
        <w:tc>
          <w:tcPr>
            <w:tcW w:w="1160" w:type="dxa"/>
            <w:vAlign w:val="bottom"/>
          </w:tcPr>
          <w:p>
            <w:pPr>
              <w:jc w:val="right"/>
              <w:ind w:right="508"/>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spacing w:after="0"/>
              <w:rPr>
                <w:sz w:val="12"/>
                <w:szCs w:val="12"/>
                <w:color w:val="auto"/>
              </w:rPr>
            </w:pPr>
          </w:p>
        </w:tc>
        <w:tc>
          <w:tcPr>
            <w:tcW w:w="110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488</w:t>
            </w:r>
          </w:p>
        </w:tc>
        <w:tc>
          <w:tcPr>
            <w:tcW w:w="420" w:type="dxa"/>
            <w:vAlign w:val="bottom"/>
          </w:tcPr>
          <w:p>
            <w:pPr>
              <w:spacing w:after="0"/>
              <w:rPr>
                <w:sz w:val="12"/>
                <w:szCs w:val="12"/>
                <w:color w:val="auto"/>
              </w:rPr>
            </w:pPr>
          </w:p>
        </w:tc>
        <w:tc>
          <w:tcPr>
            <w:tcW w:w="1540" w:type="dxa"/>
            <w:vAlign w:val="bottom"/>
          </w:tcPr>
          <w:p>
            <w:pPr>
              <w:jc w:val="right"/>
              <w:ind w:right="768"/>
              <w:spacing w:after="0" w:line="149" w:lineRule="exact"/>
              <w:rPr>
                <w:sz w:val="20"/>
                <w:szCs w:val="20"/>
                <w:color w:val="auto"/>
              </w:rPr>
            </w:pPr>
            <w:r>
              <w:rPr>
                <w:rFonts w:ascii="Arial" w:cs="Arial" w:eastAsia="Arial" w:hAnsi="Arial"/>
                <w:sz w:val="14"/>
                <w:szCs w:val="14"/>
                <w:color w:val="auto"/>
              </w:rPr>
              <w:t>(488)</w:t>
            </w:r>
            <w:r>
              <w:rPr>
                <w:rFonts w:ascii="Arial" w:cs="Arial" w:eastAsia="Arial" w:hAnsi="Arial"/>
                <w:sz w:val="12"/>
                <w:szCs w:val="12"/>
                <w:color w:val="auto"/>
              </w:rPr>
              <w:t>(5)</w:t>
            </w:r>
          </w:p>
        </w:tc>
        <w:tc>
          <w:tcPr>
            <w:tcW w:w="360" w:type="dxa"/>
            <w:vAlign w:val="bottom"/>
          </w:tcPr>
          <w:p>
            <w:pPr>
              <w:spacing w:after="0"/>
              <w:rPr>
                <w:sz w:val="12"/>
                <w:szCs w:val="12"/>
                <w:color w:val="auto"/>
              </w:rPr>
            </w:pPr>
          </w:p>
        </w:tc>
        <w:tc>
          <w:tcPr>
            <w:tcW w:w="100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Brokerage receivables</w:t>
            </w:r>
          </w:p>
        </w:tc>
        <w:tc>
          <w:tcPr>
            <w:tcW w:w="50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08"/>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808"/>
              <w:spacing w:after="0" w:line="149" w:lineRule="exact"/>
              <w:rPr>
                <w:sz w:val="20"/>
                <w:szCs w:val="20"/>
                <w:color w:val="auto"/>
              </w:rPr>
            </w:pPr>
            <w:r>
              <w:rPr>
                <w:rFonts w:ascii="Arial" w:cs="Arial" w:eastAsia="Arial" w:hAnsi="Arial"/>
                <w:sz w:val="14"/>
                <w:szCs w:val="14"/>
                <w:color w:val="auto"/>
              </w:rPr>
              <w:t>52,844</w:t>
            </w:r>
            <w:r>
              <w:rPr>
                <w:rFonts w:ascii="Arial" w:cs="Arial" w:eastAsia="Arial" w:hAnsi="Arial"/>
                <w:sz w:val="12"/>
                <w:szCs w:val="12"/>
                <w:color w:val="auto"/>
              </w:rPr>
              <w:t>(8)</w:t>
            </w:r>
          </w:p>
        </w:tc>
        <w:tc>
          <w:tcPr>
            <w:tcW w:w="3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(5,051)</w:t>
            </w:r>
            <w:r>
              <w:rPr>
                <w:rFonts w:ascii="Arial" w:cs="Arial" w:eastAsia="Arial" w:hAnsi="Arial"/>
                <w:sz w:val="12"/>
                <w:szCs w:val="12"/>
                <w:color w:val="auto"/>
              </w:rPr>
              <w:t>(P)</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70,726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40" w:type="dxa"/>
            <w:vAlign w:val="bottom"/>
          </w:tcPr>
          <w:p>
            <w:pPr>
              <w:jc w:val="right"/>
              <w:ind w:right="808"/>
              <w:spacing w:after="0" w:line="149" w:lineRule="exact"/>
              <w:rPr>
                <w:sz w:val="20"/>
                <w:szCs w:val="20"/>
                <w:color w:val="auto"/>
              </w:rPr>
            </w:pPr>
            <w:r>
              <w:rPr>
                <w:rFonts w:ascii="Arial" w:cs="Arial" w:eastAsia="Arial" w:hAnsi="Arial"/>
                <w:sz w:val="14"/>
                <w:szCs w:val="14"/>
                <w:color w:val="auto"/>
              </w:rPr>
              <w:t>22,933</w:t>
            </w:r>
            <w:r>
              <w:rPr>
                <w:rFonts w:ascii="Arial" w:cs="Arial" w:eastAsia="Arial" w:hAnsi="Arial"/>
                <w:sz w:val="12"/>
                <w:szCs w:val="12"/>
                <w:color w:val="auto"/>
              </w:rPr>
              <w:t>(7)</w:t>
            </w: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Premises and equipment</w:t>
            </w:r>
          </w:p>
        </w:tc>
        <w:tc>
          <w:tcPr>
            <w:tcW w:w="50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08"/>
              <w:spacing w:after="0" w:line="149" w:lineRule="exact"/>
              <w:rPr>
                <w:sz w:val="20"/>
                <w:szCs w:val="20"/>
                <w:color w:val="auto"/>
              </w:rPr>
            </w:pPr>
            <w:r>
              <w:rPr>
                <w:rFonts w:ascii="Arial" w:cs="Arial" w:eastAsia="Arial" w:hAnsi="Arial"/>
                <w:sz w:val="14"/>
                <w:szCs w:val="14"/>
                <w:color w:val="auto"/>
              </w:rPr>
              <w:t>9,457</w:t>
            </w:r>
          </w:p>
        </w:tc>
        <w:tc>
          <w:tcPr>
            <w:tcW w:w="6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608</w:t>
            </w:r>
          </w:p>
        </w:tc>
        <w:tc>
          <w:tcPr>
            <w:tcW w:w="42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968"/>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(608)</w:t>
            </w:r>
            <w:r>
              <w:rPr>
                <w:rFonts w:ascii="Arial" w:cs="Arial" w:eastAsia="Arial" w:hAnsi="Arial"/>
                <w:sz w:val="12"/>
                <w:szCs w:val="12"/>
                <w:color w:val="auto"/>
              </w:rPr>
              <w:t>(Q)</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9,457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500" w:type="dxa"/>
            <w:vAlign w:val="bottom"/>
          </w:tcPr>
          <w:p>
            <w:pPr>
              <w:spacing w:after="0"/>
              <w:rPr>
                <w:sz w:val="12"/>
                <w:szCs w:val="12"/>
                <w:color w:val="auto"/>
              </w:rPr>
            </w:pPr>
          </w:p>
        </w:tc>
        <w:tc>
          <w:tcPr>
            <w:tcW w:w="1160" w:type="dxa"/>
            <w:vAlign w:val="bottom"/>
          </w:tcPr>
          <w:p>
            <w:pPr>
              <w:jc w:val="right"/>
              <w:ind w:right="508"/>
              <w:spacing w:after="0" w:line="149" w:lineRule="exact"/>
              <w:rPr>
                <w:sz w:val="20"/>
                <w:szCs w:val="20"/>
                <w:color w:val="auto"/>
              </w:rPr>
            </w:pPr>
            <w:r>
              <w:rPr>
                <w:rFonts w:ascii="Arial" w:cs="Arial" w:eastAsia="Arial" w:hAnsi="Arial"/>
                <w:sz w:val="14"/>
                <w:szCs w:val="14"/>
                <w:color w:val="auto"/>
              </w:rPr>
              <w:t>45,695</w:t>
            </w:r>
          </w:p>
        </w:tc>
        <w:tc>
          <w:tcPr>
            <w:tcW w:w="640" w:type="dxa"/>
            <w:vAlign w:val="bottom"/>
          </w:tcPr>
          <w:p>
            <w:pPr>
              <w:spacing w:after="0"/>
              <w:rPr>
                <w:sz w:val="12"/>
                <w:szCs w:val="12"/>
                <w:color w:val="auto"/>
              </w:rPr>
            </w:pPr>
          </w:p>
        </w:tc>
        <w:tc>
          <w:tcPr>
            <w:tcW w:w="110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540" w:type="dxa"/>
            <w:vAlign w:val="bottom"/>
          </w:tcPr>
          <w:p>
            <w:pPr>
              <w:jc w:val="right"/>
              <w:ind w:right="808"/>
              <w:spacing w:after="0" w:line="149" w:lineRule="exact"/>
              <w:rPr>
                <w:sz w:val="20"/>
                <w:szCs w:val="20"/>
                <w:color w:val="auto"/>
              </w:rPr>
            </w:pPr>
            <w:r>
              <w:rPr>
                <w:rFonts w:ascii="Arial" w:cs="Arial" w:eastAsia="Arial" w:hAnsi="Arial"/>
                <w:sz w:val="14"/>
                <w:szCs w:val="14"/>
                <w:color w:val="auto"/>
              </w:rPr>
              <w:t>81</w:t>
            </w:r>
            <w:r>
              <w:rPr>
                <w:rFonts w:ascii="Arial" w:cs="Arial" w:eastAsia="Arial" w:hAnsi="Arial"/>
                <w:sz w:val="12"/>
                <w:szCs w:val="12"/>
                <w:color w:val="auto"/>
              </w:rPr>
              <w:t>(9)</w:t>
            </w:r>
          </w:p>
        </w:tc>
        <w:tc>
          <w:tcPr>
            <w:tcW w:w="360" w:type="dxa"/>
            <w:vAlign w:val="bottom"/>
          </w:tcPr>
          <w:p>
            <w:pPr>
              <w:spacing w:after="0"/>
              <w:rPr>
                <w:sz w:val="12"/>
                <w:szCs w:val="12"/>
                <w:color w:val="auto"/>
              </w:rPr>
            </w:pPr>
          </w:p>
        </w:tc>
        <w:tc>
          <w:tcPr>
            <w:tcW w:w="100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(81)</w:t>
            </w:r>
            <w:r>
              <w:rPr>
                <w:rFonts w:ascii="Arial" w:cs="Arial" w:eastAsia="Arial" w:hAnsi="Arial"/>
                <w:sz w:val="12"/>
                <w:szCs w:val="12"/>
                <w:color w:val="auto"/>
              </w:rPr>
              <w:t>(R)</w:t>
            </w:r>
          </w:p>
        </w:tc>
        <w:tc>
          <w:tcPr>
            <w:tcW w:w="380" w:type="dxa"/>
            <w:vAlign w:val="bottom"/>
          </w:tcPr>
          <w:p>
            <w:pPr>
              <w:spacing w:after="0"/>
              <w:rPr>
                <w:sz w:val="12"/>
                <w:szCs w:val="12"/>
                <w:color w:val="auto"/>
              </w:rPr>
            </w:pPr>
          </w:p>
        </w:tc>
        <w:tc>
          <w:tcPr>
            <w:tcW w:w="8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45,695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intangible assets:</w:t>
            </w:r>
          </w:p>
        </w:tc>
        <w:tc>
          <w:tcPr>
            <w:tcW w:w="5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ind w:left="200"/>
              <w:spacing w:after="0" w:line="149" w:lineRule="exact"/>
              <w:rPr>
                <w:sz w:val="20"/>
                <w:szCs w:val="20"/>
                <w:color w:val="auto"/>
              </w:rPr>
            </w:pPr>
            <w:r>
              <w:rPr>
                <w:rFonts w:ascii="Arial" w:cs="Arial" w:eastAsia="Arial" w:hAnsi="Arial"/>
                <w:sz w:val="14"/>
                <w:szCs w:val="14"/>
                <w:color w:val="auto"/>
              </w:rPr>
              <w:t>Mortgage servicing rights</w:t>
            </w:r>
          </w:p>
        </w:tc>
        <w:tc>
          <w:tcPr>
            <w:tcW w:w="500" w:type="dxa"/>
            <w:vAlign w:val="bottom"/>
          </w:tcPr>
          <w:p>
            <w:pPr>
              <w:spacing w:after="0"/>
              <w:rPr>
                <w:sz w:val="12"/>
                <w:szCs w:val="12"/>
                <w:color w:val="auto"/>
              </w:rPr>
            </w:pPr>
          </w:p>
        </w:tc>
        <w:tc>
          <w:tcPr>
            <w:tcW w:w="1160" w:type="dxa"/>
            <w:vAlign w:val="bottom"/>
          </w:tcPr>
          <w:p>
            <w:pPr>
              <w:jc w:val="right"/>
              <w:ind w:right="508"/>
              <w:spacing w:after="0" w:line="149" w:lineRule="exact"/>
              <w:rPr>
                <w:sz w:val="20"/>
                <w:szCs w:val="20"/>
                <w:color w:val="auto"/>
              </w:rPr>
            </w:pPr>
            <w:r>
              <w:rPr>
                <w:rFonts w:ascii="Arial" w:cs="Arial" w:eastAsia="Arial" w:hAnsi="Arial"/>
                <w:sz w:val="14"/>
                <w:szCs w:val="14"/>
                <w:color w:val="auto"/>
              </w:rPr>
              <w:t>8,419</w:t>
            </w:r>
          </w:p>
        </w:tc>
        <w:tc>
          <w:tcPr>
            <w:tcW w:w="640" w:type="dxa"/>
            <w:vAlign w:val="bottom"/>
          </w:tcPr>
          <w:p>
            <w:pPr>
              <w:spacing w:after="0"/>
              <w:rPr>
                <w:sz w:val="12"/>
                <w:szCs w:val="12"/>
                <w:color w:val="auto"/>
              </w:rPr>
            </w:pPr>
          </w:p>
        </w:tc>
        <w:tc>
          <w:tcPr>
            <w:tcW w:w="110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540" w:type="dxa"/>
            <w:vAlign w:val="bottom"/>
          </w:tcPr>
          <w:p>
            <w:pPr>
              <w:jc w:val="right"/>
              <w:ind w:right="748"/>
              <w:spacing w:after="0" w:line="149" w:lineRule="exact"/>
              <w:rPr>
                <w:sz w:val="20"/>
                <w:szCs w:val="20"/>
                <w:color w:val="auto"/>
              </w:rPr>
            </w:pPr>
            <w:r>
              <w:rPr>
                <w:rFonts w:ascii="Arial" w:cs="Arial" w:eastAsia="Arial" w:hAnsi="Arial"/>
                <w:sz w:val="14"/>
                <w:szCs w:val="14"/>
                <w:color w:val="auto"/>
              </w:rPr>
              <w:t>771</w:t>
            </w:r>
            <w:r>
              <w:rPr>
                <w:rFonts w:ascii="Arial" w:cs="Arial" w:eastAsia="Arial" w:hAnsi="Arial"/>
                <w:sz w:val="12"/>
                <w:szCs w:val="12"/>
                <w:color w:val="auto"/>
              </w:rPr>
              <w:t>(10)</w:t>
            </w:r>
          </w:p>
        </w:tc>
        <w:tc>
          <w:tcPr>
            <w:tcW w:w="360" w:type="dxa"/>
            <w:vAlign w:val="bottom"/>
          </w:tcPr>
          <w:p>
            <w:pPr>
              <w:spacing w:after="0"/>
              <w:rPr>
                <w:sz w:val="12"/>
                <w:szCs w:val="12"/>
                <w:color w:val="auto"/>
              </w:rPr>
            </w:pPr>
          </w:p>
        </w:tc>
        <w:tc>
          <w:tcPr>
            <w:tcW w:w="100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9,190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Purchased credit card relationships</w:t>
            </w:r>
          </w:p>
        </w:tc>
        <w:tc>
          <w:tcPr>
            <w:tcW w:w="50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08"/>
              <w:spacing w:after="0" w:line="149" w:lineRule="exact"/>
              <w:rPr>
                <w:sz w:val="20"/>
                <w:szCs w:val="20"/>
                <w:color w:val="auto"/>
              </w:rPr>
            </w:pPr>
            <w:r>
              <w:rPr>
                <w:rFonts w:ascii="Arial" w:cs="Arial" w:eastAsia="Arial" w:hAnsi="Arial"/>
                <w:sz w:val="14"/>
                <w:szCs w:val="14"/>
                <w:color w:val="auto"/>
              </w:rPr>
              <w:t>2,140</w:t>
            </w:r>
          </w:p>
        </w:tc>
        <w:tc>
          <w:tcPr>
            <w:tcW w:w="6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968"/>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2,140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ind w:left="200"/>
              <w:spacing w:after="0" w:line="149" w:lineRule="exact"/>
              <w:rPr>
                <w:sz w:val="20"/>
                <w:szCs w:val="20"/>
                <w:color w:val="auto"/>
              </w:rPr>
            </w:pPr>
            <w:r>
              <w:rPr>
                <w:rFonts w:ascii="Arial" w:cs="Arial" w:eastAsia="Arial" w:hAnsi="Arial"/>
                <w:sz w:val="14"/>
                <w:szCs w:val="14"/>
                <w:color w:val="auto"/>
              </w:rPr>
              <w:t>All other intangibles</w:t>
            </w:r>
          </w:p>
        </w:tc>
        <w:tc>
          <w:tcPr>
            <w:tcW w:w="500" w:type="dxa"/>
            <w:vAlign w:val="bottom"/>
          </w:tcPr>
          <w:p>
            <w:pPr>
              <w:spacing w:after="0"/>
              <w:rPr>
                <w:sz w:val="12"/>
                <w:szCs w:val="12"/>
                <w:color w:val="auto"/>
              </w:rPr>
            </w:pPr>
          </w:p>
        </w:tc>
        <w:tc>
          <w:tcPr>
            <w:tcW w:w="1160" w:type="dxa"/>
            <w:vAlign w:val="bottom"/>
          </w:tcPr>
          <w:p>
            <w:pPr>
              <w:jc w:val="right"/>
              <w:ind w:right="508"/>
              <w:spacing w:after="0" w:line="149" w:lineRule="exact"/>
              <w:rPr>
                <w:sz w:val="20"/>
                <w:szCs w:val="20"/>
                <w:color w:val="auto"/>
              </w:rPr>
            </w:pPr>
            <w:r>
              <w:rPr>
                <w:rFonts w:ascii="Arial" w:cs="Arial" w:eastAsia="Arial" w:hAnsi="Arial"/>
                <w:sz w:val="14"/>
                <w:szCs w:val="14"/>
                <w:color w:val="auto"/>
              </w:rPr>
              <w:t>3,815</w:t>
            </w:r>
          </w:p>
        </w:tc>
        <w:tc>
          <w:tcPr>
            <w:tcW w:w="640" w:type="dxa"/>
            <w:vAlign w:val="bottom"/>
          </w:tcPr>
          <w:p>
            <w:pPr>
              <w:spacing w:after="0"/>
              <w:rPr>
                <w:sz w:val="12"/>
                <w:szCs w:val="12"/>
                <w:color w:val="auto"/>
              </w:rPr>
            </w:pPr>
          </w:p>
        </w:tc>
        <w:tc>
          <w:tcPr>
            <w:tcW w:w="110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540" w:type="dxa"/>
            <w:vAlign w:val="bottom"/>
          </w:tcPr>
          <w:p>
            <w:pPr>
              <w:jc w:val="right"/>
              <w:ind w:right="768"/>
              <w:spacing w:after="0" w:line="149" w:lineRule="exact"/>
              <w:rPr>
                <w:sz w:val="20"/>
                <w:szCs w:val="20"/>
                <w:color w:val="auto"/>
              </w:rPr>
            </w:pPr>
            <w:r>
              <w:rPr>
                <w:rFonts w:ascii="Arial" w:cs="Arial" w:eastAsia="Arial" w:hAnsi="Arial"/>
                <w:sz w:val="14"/>
                <w:szCs w:val="14"/>
                <w:color w:val="auto"/>
              </w:rPr>
              <w:t>8</w:t>
            </w:r>
            <w:r>
              <w:rPr>
                <w:rFonts w:ascii="Arial" w:cs="Arial" w:eastAsia="Arial" w:hAnsi="Arial"/>
                <w:sz w:val="12"/>
                <w:szCs w:val="12"/>
                <w:color w:val="auto"/>
              </w:rPr>
              <w:t>(11)</w:t>
            </w:r>
          </w:p>
        </w:tc>
        <w:tc>
          <w:tcPr>
            <w:tcW w:w="360" w:type="dxa"/>
            <w:vAlign w:val="bottom"/>
          </w:tcPr>
          <w:p>
            <w:pPr>
              <w:spacing w:after="0"/>
              <w:rPr>
                <w:sz w:val="12"/>
                <w:szCs w:val="12"/>
                <w:color w:val="auto"/>
              </w:rPr>
            </w:pPr>
          </w:p>
        </w:tc>
        <w:tc>
          <w:tcPr>
            <w:tcW w:w="100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(8)</w:t>
            </w:r>
            <w:r>
              <w:rPr>
                <w:rFonts w:ascii="Arial" w:cs="Arial" w:eastAsia="Arial" w:hAnsi="Arial"/>
                <w:sz w:val="12"/>
                <w:szCs w:val="12"/>
                <w:color w:val="auto"/>
              </w:rPr>
              <w:t>(R)</w:t>
            </w:r>
          </w:p>
        </w:tc>
        <w:tc>
          <w:tcPr>
            <w:tcW w:w="380" w:type="dxa"/>
            <w:vAlign w:val="bottom"/>
          </w:tcPr>
          <w:p>
            <w:pPr>
              <w:spacing w:after="0"/>
              <w:rPr>
                <w:sz w:val="12"/>
                <w:szCs w:val="12"/>
                <w:color w:val="auto"/>
              </w:rPr>
            </w:pPr>
          </w:p>
        </w:tc>
        <w:tc>
          <w:tcPr>
            <w:tcW w:w="8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3,815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50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08"/>
              <w:spacing w:after="0" w:line="149" w:lineRule="exact"/>
              <w:rPr>
                <w:sz w:val="20"/>
                <w:szCs w:val="20"/>
                <w:color w:val="auto"/>
              </w:rPr>
            </w:pPr>
            <w:r>
              <w:rPr>
                <w:rFonts w:ascii="Arial" w:cs="Arial" w:eastAsia="Arial" w:hAnsi="Arial"/>
                <w:sz w:val="14"/>
                <w:szCs w:val="14"/>
                <w:color w:val="auto"/>
              </w:rPr>
              <w:t>66,618</w:t>
            </w:r>
          </w:p>
        </w:tc>
        <w:tc>
          <w:tcPr>
            <w:tcW w:w="6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8,862</w:t>
            </w:r>
          </w:p>
        </w:tc>
        <w:tc>
          <w:tcPr>
            <w:tcW w:w="42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98"/>
              </w:rPr>
              <w:t>14,833</w:t>
            </w:r>
            <w:r>
              <w:rPr>
                <w:rFonts w:ascii="Arial" w:cs="Arial" w:eastAsia="Arial" w:hAnsi="Arial"/>
                <w:sz w:val="12"/>
                <w:szCs w:val="12"/>
                <w:color w:val="auto"/>
                <w:w w:val="98"/>
              </w:rPr>
              <w:t>(1,6,9,10,11,13)</w:t>
            </w:r>
          </w:p>
        </w:tc>
        <w:tc>
          <w:tcPr>
            <w:tcW w:w="3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(669)</w:t>
            </w:r>
            <w:r>
              <w:rPr>
                <w:rFonts w:ascii="Arial" w:cs="Arial" w:eastAsia="Arial" w:hAnsi="Arial"/>
                <w:sz w:val="12"/>
                <w:szCs w:val="12"/>
                <w:color w:val="auto"/>
              </w:rPr>
              <w:t>(S)</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88,857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24</w:t>
            </w:r>
            <w:r>
              <w:rPr>
                <w:rFonts w:ascii="Arial" w:cs="Arial" w:eastAsia="Arial" w:hAnsi="Arial"/>
                <w:sz w:val="12"/>
                <w:szCs w:val="12"/>
                <w:color w:val="auto"/>
              </w:rPr>
              <w:t>(T)</w:t>
            </w: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(1,097)</w:t>
            </w:r>
            <w:r>
              <w:rPr>
                <w:rFonts w:ascii="Arial" w:cs="Arial" w:eastAsia="Arial" w:hAnsi="Arial"/>
                <w:sz w:val="12"/>
                <w:szCs w:val="12"/>
                <w:color w:val="auto"/>
              </w:rPr>
              <w:t>(U)</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286</w:t>
            </w:r>
            <w:r>
              <w:rPr>
                <w:rFonts w:ascii="Arial" w:cs="Arial" w:eastAsia="Arial" w:hAnsi="Arial"/>
                <w:sz w:val="12"/>
                <w:szCs w:val="12"/>
                <w:color w:val="auto"/>
              </w:rPr>
              <w:t>(A)</w:t>
            </w: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Assets of variable interest entities and mortgage loan</w:t>
            </w:r>
          </w:p>
        </w:tc>
        <w:tc>
          <w:tcPr>
            <w:tcW w:w="5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special purpose entities</w:t>
            </w:r>
          </w:p>
        </w:tc>
        <w:tc>
          <w:tcPr>
            <w:tcW w:w="5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29,991</w:t>
            </w:r>
          </w:p>
        </w:tc>
        <w:tc>
          <w:tcPr>
            <w:tcW w:w="4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(28,961)</w:t>
            </w:r>
            <w:r>
              <w:rPr>
                <w:rFonts w:ascii="Arial" w:cs="Arial" w:eastAsia="Arial" w:hAnsi="Arial"/>
                <w:sz w:val="12"/>
                <w:szCs w:val="12"/>
                <w:color w:val="auto"/>
              </w:rPr>
              <w:t>(12)</w:t>
            </w: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708"/>
              <w:spacing w:after="0" w:line="149" w:lineRule="exact"/>
              <w:rPr>
                <w:sz w:val="20"/>
                <w:szCs w:val="20"/>
                <w:color w:val="auto"/>
              </w:rPr>
            </w:pPr>
            <w:r>
              <w:rPr>
                <w:rFonts w:ascii="Arial" w:cs="Arial" w:eastAsia="Arial" w:hAnsi="Arial"/>
                <w:sz w:val="14"/>
                <w:szCs w:val="14"/>
                <w:color w:val="auto"/>
              </w:rPr>
              <w:t>(1,030)</w:t>
            </w:r>
            <w:r>
              <w:rPr>
                <w:rFonts w:ascii="Arial" w:cs="Arial" w:eastAsia="Arial" w:hAnsi="Arial"/>
                <w:sz w:val="12"/>
                <w:szCs w:val="12"/>
                <w:color w:val="auto"/>
              </w:rPr>
              <w:t>(13)</w:t>
            </w: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508"/>
              <w:spacing w:after="0" w:line="149" w:lineRule="exact"/>
              <w:rPr>
                <w:sz w:val="20"/>
                <w:szCs w:val="20"/>
                <w:color w:val="auto"/>
              </w:rPr>
            </w:pPr>
            <w:r>
              <w:rPr>
                <w:rFonts w:ascii="Arial" w:cs="Arial" w:eastAsia="Arial" w:hAnsi="Arial"/>
                <w:sz w:val="14"/>
                <w:szCs w:val="14"/>
                <w:color w:val="auto"/>
                <w:w w:val="89"/>
              </w:rPr>
              <w:t>1,642,862</w:t>
            </w: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w w:val="86"/>
              </w:rPr>
              <w:t>398,995</w:t>
            </w: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968"/>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w w:val="91"/>
              </w:rPr>
              <w:t>(35,546)</w:t>
            </w: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89"/>
              </w:rPr>
              <w:t>2,006,311</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JPMORGAN CHASE &amp; CO./THE BEAR STEARNS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BALANCE SHEET (Continued)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2008 and February 29, 2008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8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JPMorgan Chase</w:t>
            </w:r>
          </w:p>
        </w:tc>
        <w:tc>
          <w:tcPr>
            <w:tcW w:w="174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Bear Stearns</w:t>
            </w:r>
          </w:p>
        </w:tc>
        <w:tc>
          <w:tcPr>
            <w:tcW w:w="440" w:type="dxa"/>
            <w:vAlign w:val="bottom"/>
          </w:tcPr>
          <w:p>
            <w:pPr>
              <w:spacing w:after="0"/>
              <w:rPr>
                <w:sz w:val="14"/>
                <w:szCs w:val="14"/>
                <w:color w:val="auto"/>
              </w:rPr>
            </w:pPr>
          </w:p>
        </w:tc>
        <w:tc>
          <w:tcPr>
            <w:tcW w:w="1360" w:type="dxa"/>
            <w:vAlign w:val="bottom"/>
          </w:tcPr>
          <w:p>
            <w:pPr>
              <w:jc w:val="right"/>
              <w:ind w:right="548"/>
              <w:spacing w:after="0"/>
              <w:rPr>
                <w:sz w:val="20"/>
                <w:szCs w:val="20"/>
                <w:color w:val="auto"/>
              </w:rPr>
            </w:pPr>
            <w:r>
              <w:rPr>
                <w:rFonts w:ascii="Arial" w:cs="Arial" w:eastAsia="Arial" w:hAnsi="Arial"/>
                <w:sz w:val="14"/>
                <w:szCs w:val="14"/>
                <w:b w:val="1"/>
                <w:bCs w:val="1"/>
                <w:color w:val="auto"/>
              </w:rPr>
              <w:t>Reporting</w:t>
            </w:r>
          </w:p>
        </w:tc>
        <w:tc>
          <w:tcPr>
            <w:tcW w:w="1400" w:type="dxa"/>
            <w:vAlign w:val="bottom"/>
            <w:gridSpan w:val="2"/>
          </w:tcPr>
          <w:p>
            <w:pPr>
              <w:ind w:left="320"/>
              <w:spacing w:after="0"/>
              <w:rPr>
                <w:sz w:val="20"/>
                <w:szCs w:val="20"/>
                <w:color w:val="auto"/>
              </w:rPr>
            </w:pPr>
            <w:r>
              <w:rPr>
                <w:rFonts w:ascii="Arial" w:cs="Arial" w:eastAsia="Arial" w:hAnsi="Arial"/>
                <w:sz w:val="14"/>
                <w:szCs w:val="14"/>
                <w:b w:val="1"/>
                <w:bCs w:val="1"/>
                <w:color w:val="auto"/>
              </w:rPr>
              <w:t>Pro forma</w:t>
            </w:r>
          </w:p>
        </w:tc>
        <w:tc>
          <w:tcPr>
            <w:tcW w:w="12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Pro forma</w:t>
            </w:r>
          </w:p>
        </w:tc>
      </w:tr>
      <w:tr>
        <w:trPr>
          <w:trHeight w:val="178"/>
        </w:trPr>
        <w:tc>
          <w:tcPr>
            <w:tcW w:w="20" w:type="dxa"/>
            <w:vAlign w:val="bottom"/>
          </w:tcPr>
          <w:p>
            <w:pPr>
              <w:spacing w:after="0"/>
              <w:rPr>
                <w:sz w:val="15"/>
                <w:szCs w:val="15"/>
                <w:color w:val="auto"/>
              </w:rPr>
            </w:pPr>
          </w:p>
        </w:tc>
        <w:tc>
          <w:tcPr>
            <w:tcW w:w="35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color w:val="auto"/>
              </w:rPr>
              <w:t>March 31, 2008</w:t>
            </w:r>
          </w:p>
        </w:tc>
        <w:tc>
          <w:tcPr>
            <w:tcW w:w="174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color w:val="auto"/>
              </w:rPr>
              <w:t>February 29, 2008</w:t>
            </w:r>
          </w:p>
        </w:tc>
        <w:tc>
          <w:tcPr>
            <w:tcW w:w="180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reclassifications</w:t>
            </w:r>
          </w:p>
        </w:tc>
        <w:tc>
          <w:tcPr>
            <w:tcW w:w="140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rPr>
              <w:t>adjustments</w:t>
            </w:r>
          </w:p>
        </w:tc>
        <w:tc>
          <w:tcPr>
            <w:tcW w:w="122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combined</w:t>
            </w: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5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Deposits</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761,626</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ind w:left="360"/>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tcPr>
          <w:p>
            <w:pPr>
              <w:jc w:val="right"/>
              <w:ind w:right="848"/>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ind w:left="32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ind w:left="80"/>
              <w:spacing w:after="0" w:line="149" w:lineRule="exact"/>
              <w:rPr>
                <w:sz w:val="20"/>
                <w:szCs w:val="20"/>
                <w:color w:val="auto"/>
              </w:rPr>
            </w:pPr>
            <w:r>
              <w:rPr>
                <w:rFonts w:ascii="Arial" w:cs="Arial" w:eastAsia="Arial" w:hAnsi="Arial"/>
                <w:sz w:val="14"/>
                <w:szCs w:val="14"/>
                <w:color w:val="auto"/>
              </w:rPr>
              <w:t>(1,117)</w:t>
            </w:r>
            <w:r>
              <w:rPr>
                <w:rFonts w:ascii="Arial" w:cs="Arial" w:eastAsia="Arial" w:hAnsi="Arial"/>
                <w:sz w:val="12"/>
                <w:szCs w:val="12"/>
                <w:color w:val="auto"/>
              </w:rPr>
              <w:t>(H)</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760,509</w:t>
            </w:r>
          </w:p>
        </w:tc>
      </w:tr>
      <w:tr>
        <w:trPr>
          <w:trHeight w:val="130"/>
        </w:trPr>
        <w:tc>
          <w:tcPr>
            <w:tcW w:w="20" w:type="dxa"/>
            <w:vAlign w:val="bottom"/>
          </w:tcPr>
          <w:p>
            <w:pPr>
              <w:spacing w:after="0"/>
              <w:rPr>
                <w:sz w:val="11"/>
                <w:szCs w:val="11"/>
                <w:color w:val="auto"/>
              </w:rPr>
            </w:pPr>
          </w:p>
        </w:tc>
        <w:tc>
          <w:tcPr>
            <w:tcW w:w="3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Federal funds purchased and securities sold under</w:t>
            </w:r>
          </w:p>
        </w:tc>
        <w:tc>
          <w:tcPr>
            <w:tcW w:w="5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repurchase agreements</w:t>
            </w: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192,633</w:t>
            </w:r>
          </w:p>
        </w:tc>
        <w:tc>
          <w:tcPr>
            <w:tcW w:w="6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w w:val="96"/>
              </w:rPr>
              <w:t>98,272</w:t>
            </w:r>
            <w:r>
              <w:rPr>
                <w:rFonts w:ascii="Arial" w:cs="Arial" w:eastAsia="Arial" w:hAnsi="Arial"/>
                <w:sz w:val="12"/>
                <w:szCs w:val="12"/>
                <w:color w:val="auto"/>
                <w:w w:val="96"/>
              </w:rPr>
              <w:t>(14)</w:t>
            </w: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w w:val="94"/>
              </w:rPr>
              <w:t>12,900</w:t>
            </w:r>
            <w:r>
              <w:rPr>
                <w:rFonts w:ascii="Arial" w:cs="Arial" w:eastAsia="Arial" w:hAnsi="Arial"/>
                <w:sz w:val="12"/>
                <w:szCs w:val="12"/>
                <w:color w:val="auto"/>
                <w:w w:val="94"/>
              </w:rPr>
              <w:t>(J)</w:t>
            </w: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271,491</w:t>
            </w: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jc w:val="right"/>
              <w:ind w:right="588"/>
              <w:spacing w:after="0" w:line="149" w:lineRule="exact"/>
              <w:rPr>
                <w:sz w:val="20"/>
                <w:szCs w:val="20"/>
                <w:color w:val="auto"/>
              </w:rPr>
            </w:pPr>
            <w:r>
              <w:rPr>
                <w:rFonts w:ascii="Arial" w:cs="Arial" w:eastAsia="Arial" w:hAnsi="Arial"/>
                <w:sz w:val="14"/>
                <w:szCs w:val="14"/>
                <w:color w:val="auto"/>
                <w:w w:val="92"/>
              </w:rPr>
              <w:t>(19,514)</w:t>
            </w:r>
            <w:r>
              <w:rPr>
                <w:rFonts w:ascii="Arial" w:cs="Arial" w:eastAsia="Arial" w:hAnsi="Arial"/>
                <w:sz w:val="12"/>
                <w:szCs w:val="12"/>
                <w:color w:val="auto"/>
                <w:w w:val="92"/>
              </w:rPr>
              <w:t>(15)</w:t>
            </w:r>
          </w:p>
        </w:tc>
        <w:tc>
          <w:tcPr>
            <w:tcW w:w="400" w:type="dxa"/>
            <w:vAlign w:val="bottom"/>
          </w:tcPr>
          <w:p>
            <w:pPr>
              <w:spacing w:after="0"/>
              <w:rPr>
                <w:sz w:val="12"/>
                <w:szCs w:val="12"/>
                <w:color w:val="auto"/>
              </w:rPr>
            </w:pPr>
          </w:p>
        </w:tc>
        <w:tc>
          <w:tcPr>
            <w:tcW w:w="1000" w:type="dxa"/>
            <w:vAlign w:val="bottom"/>
          </w:tcPr>
          <w:p>
            <w:pPr>
              <w:spacing w:after="0" w:line="149" w:lineRule="exact"/>
              <w:rPr>
                <w:sz w:val="20"/>
                <w:szCs w:val="20"/>
                <w:color w:val="auto"/>
              </w:rPr>
            </w:pPr>
            <w:r>
              <w:rPr>
                <w:rFonts w:ascii="Arial" w:cs="Arial" w:eastAsia="Arial" w:hAnsi="Arial"/>
                <w:sz w:val="14"/>
                <w:szCs w:val="14"/>
                <w:color w:val="auto"/>
              </w:rPr>
              <w:t>(12,900)</w:t>
            </w:r>
            <w:r>
              <w:rPr>
                <w:rFonts w:ascii="Arial" w:cs="Arial" w:eastAsia="Arial" w:hAnsi="Arial"/>
                <w:sz w:val="12"/>
                <w:szCs w:val="12"/>
                <w:color w:val="auto"/>
              </w:rPr>
              <w:t>(K)</w:t>
            </w: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648"/>
              <w:spacing w:after="0" w:line="149" w:lineRule="exact"/>
              <w:rPr>
                <w:sz w:val="20"/>
                <w:szCs w:val="20"/>
                <w:color w:val="auto"/>
              </w:rPr>
            </w:pPr>
            <w:r>
              <w:rPr>
                <w:rFonts w:ascii="Arial" w:cs="Arial" w:eastAsia="Arial" w:hAnsi="Arial"/>
                <w:sz w:val="14"/>
                <w:szCs w:val="14"/>
                <w:color w:val="auto"/>
              </w:rPr>
              <w:t>100</w:t>
            </w:r>
            <w:r>
              <w:rPr>
                <w:rFonts w:ascii="Arial" w:cs="Arial" w:eastAsia="Arial" w:hAnsi="Arial"/>
                <w:sz w:val="12"/>
                <w:szCs w:val="12"/>
                <w:color w:val="auto"/>
              </w:rPr>
              <w:t>(16)</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Collateralized financings:</w:t>
            </w:r>
          </w:p>
        </w:tc>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Securities sold under agreements to repurchase</w:t>
            </w:r>
          </w:p>
        </w:tc>
        <w:tc>
          <w:tcPr>
            <w:tcW w:w="5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98,272</w:t>
            </w:r>
          </w:p>
        </w:tc>
        <w:tc>
          <w:tcPr>
            <w:tcW w:w="44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588"/>
              <w:spacing w:after="0" w:line="149" w:lineRule="exact"/>
              <w:rPr>
                <w:sz w:val="20"/>
                <w:szCs w:val="20"/>
                <w:color w:val="auto"/>
              </w:rPr>
            </w:pPr>
            <w:r>
              <w:rPr>
                <w:rFonts w:ascii="Arial" w:cs="Arial" w:eastAsia="Arial" w:hAnsi="Arial"/>
                <w:sz w:val="14"/>
                <w:szCs w:val="14"/>
                <w:color w:val="auto"/>
                <w:w w:val="92"/>
              </w:rPr>
              <w:t>(98,272)</w:t>
            </w:r>
            <w:r>
              <w:rPr>
                <w:rFonts w:ascii="Arial" w:cs="Arial" w:eastAsia="Arial" w:hAnsi="Arial"/>
                <w:sz w:val="12"/>
                <w:szCs w:val="12"/>
                <w:color w:val="auto"/>
                <w:w w:val="92"/>
              </w:rPr>
              <w:t>(14)</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560" w:type="dxa"/>
            <w:vAlign w:val="bottom"/>
          </w:tcPr>
          <w:p>
            <w:pPr>
              <w:ind w:left="200"/>
              <w:spacing w:after="0" w:line="149" w:lineRule="exact"/>
              <w:rPr>
                <w:sz w:val="20"/>
                <w:szCs w:val="20"/>
                <w:color w:val="auto"/>
              </w:rPr>
            </w:pPr>
            <w:r>
              <w:rPr>
                <w:rFonts w:ascii="Arial" w:cs="Arial" w:eastAsia="Arial" w:hAnsi="Arial"/>
                <w:sz w:val="14"/>
                <w:szCs w:val="14"/>
                <w:color w:val="auto"/>
              </w:rPr>
              <w:t>Securities loaned</w:t>
            </w:r>
          </w:p>
        </w:tc>
        <w:tc>
          <w:tcPr>
            <w:tcW w:w="500" w:type="dxa"/>
            <w:vAlign w:val="bottom"/>
          </w:tcPr>
          <w:p>
            <w:pPr>
              <w:spacing w:after="0"/>
              <w:rPr>
                <w:sz w:val="12"/>
                <w:szCs w:val="12"/>
                <w:color w:val="auto"/>
              </w:rPr>
            </w:pPr>
          </w:p>
        </w:tc>
        <w:tc>
          <w:tcPr>
            <w:tcW w:w="118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1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4,874</w:t>
            </w:r>
          </w:p>
        </w:tc>
        <w:tc>
          <w:tcPr>
            <w:tcW w:w="440" w:type="dxa"/>
            <w:vAlign w:val="bottom"/>
          </w:tcPr>
          <w:p>
            <w:pPr>
              <w:spacing w:after="0"/>
              <w:rPr>
                <w:sz w:val="12"/>
                <w:szCs w:val="12"/>
                <w:color w:val="auto"/>
              </w:rPr>
            </w:pPr>
          </w:p>
        </w:tc>
        <w:tc>
          <w:tcPr>
            <w:tcW w:w="1360" w:type="dxa"/>
            <w:vAlign w:val="bottom"/>
          </w:tcPr>
          <w:p>
            <w:pPr>
              <w:jc w:val="right"/>
              <w:ind w:right="588"/>
              <w:spacing w:after="0" w:line="149" w:lineRule="exact"/>
              <w:rPr>
                <w:sz w:val="20"/>
                <w:szCs w:val="20"/>
                <w:color w:val="auto"/>
              </w:rPr>
            </w:pPr>
            <w:r>
              <w:rPr>
                <w:rFonts w:ascii="Arial" w:cs="Arial" w:eastAsia="Arial" w:hAnsi="Arial"/>
                <w:sz w:val="14"/>
                <w:szCs w:val="14"/>
                <w:color w:val="auto"/>
              </w:rPr>
              <w:t>(4,874)</w:t>
            </w:r>
            <w:r>
              <w:rPr>
                <w:rFonts w:ascii="Arial" w:cs="Arial" w:eastAsia="Arial" w:hAnsi="Arial"/>
                <w:sz w:val="12"/>
                <w:szCs w:val="12"/>
                <w:color w:val="auto"/>
              </w:rPr>
              <w:t>(17)</w:t>
            </w:r>
          </w:p>
        </w:tc>
        <w:tc>
          <w:tcPr>
            <w:tcW w:w="400" w:type="dxa"/>
            <w:vAlign w:val="bottom"/>
          </w:tcPr>
          <w:p>
            <w:pPr>
              <w:spacing w:after="0"/>
              <w:rPr>
                <w:sz w:val="12"/>
                <w:szCs w:val="12"/>
                <w:color w:val="auto"/>
              </w:rPr>
            </w:pPr>
          </w:p>
        </w:tc>
        <w:tc>
          <w:tcPr>
            <w:tcW w:w="100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secured borrowings</w:t>
            </w:r>
          </w:p>
        </w:tc>
        <w:tc>
          <w:tcPr>
            <w:tcW w:w="5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7,778</w:t>
            </w:r>
          </w:p>
        </w:tc>
        <w:tc>
          <w:tcPr>
            <w:tcW w:w="44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588"/>
              <w:spacing w:after="0" w:line="149" w:lineRule="exact"/>
              <w:rPr>
                <w:sz w:val="20"/>
                <w:szCs w:val="20"/>
                <w:color w:val="auto"/>
              </w:rPr>
            </w:pPr>
            <w:r>
              <w:rPr>
                <w:rFonts w:ascii="Arial" w:cs="Arial" w:eastAsia="Arial" w:hAnsi="Arial"/>
                <w:sz w:val="14"/>
                <w:szCs w:val="14"/>
                <w:color w:val="auto"/>
              </w:rPr>
              <w:t>(7,778)</w:t>
            </w:r>
            <w:r>
              <w:rPr>
                <w:rFonts w:ascii="Arial" w:cs="Arial" w:eastAsia="Arial" w:hAnsi="Arial"/>
                <w:sz w:val="12"/>
                <w:szCs w:val="12"/>
                <w:color w:val="auto"/>
              </w:rPr>
              <w:t>(18)</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Securities loaned</w:t>
            </w:r>
          </w:p>
        </w:tc>
        <w:tc>
          <w:tcPr>
            <w:tcW w:w="500" w:type="dxa"/>
            <w:vAlign w:val="bottom"/>
          </w:tcPr>
          <w:p>
            <w:pPr>
              <w:spacing w:after="0"/>
              <w:rPr>
                <w:sz w:val="12"/>
                <w:szCs w:val="12"/>
                <w:color w:val="auto"/>
              </w:rPr>
            </w:pPr>
          </w:p>
        </w:tc>
        <w:tc>
          <w:tcPr>
            <w:tcW w:w="118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1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1360" w:type="dxa"/>
            <w:vAlign w:val="bottom"/>
          </w:tcPr>
          <w:p>
            <w:pPr>
              <w:ind w:left="40"/>
              <w:spacing w:after="0" w:line="149" w:lineRule="exact"/>
              <w:rPr>
                <w:sz w:val="20"/>
                <w:szCs w:val="20"/>
                <w:color w:val="auto"/>
              </w:rPr>
            </w:pPr>
            <w:r>
              <w:rPr>
                <w:rFonts w:ascii="Arial" w:cs="Arial" w:eastAsia="Arial" w:hAnsi="Arial"/>
                <w:sz w:val="14"/>
                <w:szCs w:val="14"/>
                <w:color w:val="auto"/>
              </w:rPr>
              <w:t>24,388</w:t>
            </w:r>
            <w:r>
              <w:rPr>
                <w:rFonts w:ascii="Arial" w:cs="Arial" w:eastAsia="Arial" w:hAnsi="Arial"/>
                <w:sz w:val="12"/>
                <w:szCs w:val="12"/>
                <w:color w:val="auto"/>
              </w:rPr>
              <w:t>(15,17)</w:t>
            </w:r>
          </w:p>
        </w:tc>
        <w:tc>
          <w:tcPr>
            <w:tcW w:w="400" w:type="dxa"/>
            <w:vAlign w:val="bottom"/>
          </w:tcPr>
          <w:p>
            <w:pPr>
              <w:spacing w:after="0"/>
              <w:rPr>
                <w:sz w:val="12"/>
                <w:szCs w:val="12"/>
                <w:color w:val="auto"/>
              </w:rPr>
            </w:pPr>
          </w:p>
        </w:tc>
        <w:tc>
          <w:tcPr>
            <w:tcW w:w="1000" w:type="dxa"/>
            <w:vAlign w:val="bottom"/>
          </w:tcPr>
          <w:p>
            <w:pPr>
              <w:ind w:left="120"/>
              <w:spacing w:after="0" w:line="149" w:lineRule="exact"/>
              <w:rPr>
                <w:sz w:val="20"/>
                <w:szCs w:val="20"/>
                <w:color w:val="auto"/>
              </w:rPr>
            </w:pPr>
            <w:r>
              <w:rPr>
                <w:rFonts w:ascii="Arial" w:cs="Arial" w:eastAsia="Arial" w:hAnsi="Arial"/>
                <w:sz w:val="14"/>
                <w:szCs w:val="14"/>
                <w:color w:val="auto"/>
              </w:rPr>
              <w:t>6,533</w:t>
            </w:r>
            <w:r>
              <w:rPr>
                <w:rFonts w:ascii="Arial" w:cs="Arial" w:eastAsia="Arial" w:hAnsi="Arial"/>
                <w:sz w:val="12"/>
                <w:szCs w:val="12"/>
                <w:color w:val="auto"/>
              </w:rPr>
              <w:t>(J)</w:t>
            </w:r>
          </w:p>
        </w:tc>
        <w:tc>
          <w:tcPr>
            <w:tcW w:w="400" w:type="dxa"/>
            <w:vAlign w:val="bottom"/>
          </w:tcPr>
          <w:p>
            <w:pPr>
              <w:spacing w:after="0"/>
              <w:rPr>
                <w:sz w:val="12"/>
                <w:szCs w:val="12"/>
                <w:color w:val="auto"/>
              </w:rPr>
            </w:pPr>
          </w:p>
        </w:tc>
        <w:tc>
          <w:tcPr>
            <w:tcW w:w="8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24,383</w:t>
            </w: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(6,538)</w:t>
            </w:r>
            <w:r>
              <w:rPr>
                <w:rFonts w:ascii="Arial" w:cs="Arial" w:eastAsia="Arial" w:hAnsi="Arial"/>
                <w:sz w:val="12"/>
                <w:szCs w:val="12"/>
                <w:color w:val="auto"/>
              </w:rPr>
              <w:t>(L)</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Commercial paper</w:t>
            </w:r>
          </w:p>
        </w:tc>
        <w:tc>
          <w:tcPr>
            <w:tcW w:w="500" w:type="dxa"/>
            <w:vAlign w:val="bottom"/>
          </w:tcPr>
          <w:p>
            <w:pPr>
              <w:spacing w:after="0"/>
              <w:rPr>
                <w:sz w:val="12"/>
                <w:szCs w:val="12"/>
                <w:color w:val="auto"/>
              </w:rPr>
            </w:pPr>
          </w:p>
        </w:tc>
        <w:tc>
          <w:tcPr>
            <w:tcW w:w="118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50,602</w:t>
            </w:r>
          </w:p>
        </w:tc>
        <w:tc>
          <w:tcPr>
            <w:tcW w:w="620" w:type="dxa"/>
            <w:vAlign w:val="bottom"/>
          </w:tcPr>
          <w:p>
            <w:pPr>
              <w:spacing w:after="0"/>
              <w:rPr>
                <w:sz w:val="12"/>
                <w:szCs w:val="12"/>
                <w:color w:val="auto"/>
              </w:rPr>
            </w:pPr>
          </w:p>
        </w:tc>
        <w:tc>
          <w:tcPr>
            <w:tcW w:w="11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1360" w:type="dxa"/>
            <w:vAlign w:val="bottom"/>
          </w:tcPr>
          <w:p>
            <w:pPr>
              <w:jc w:val="right"/>
              <w:ind w:right="648"/>
              <w:spacing w:after="0" w:line="149" w:lineRule="exact"/>
              <w:rPr>
                <w:sz w:val="20"/>
                <w:szCs w:val="20"/>
                <w:color w:val="auto"/>
              </w:rPr>
            </w:pPr>
            <w:r>
              <w:rPr>
                <w:rFonts w:ascii="Arial" w:cs="Arial" w:eastAsia="Arial" w:hAnsi="Arial"/>
                <w:sz w:val="14"/>
                <w:szCs w:val="14"/>
                <w:color w:val="auto"/>
              </w:rPr>
              <w:t>3,907</w:t>
            </w:r>
            <w:r>
              <w:rPr>
                <w:rFonts w:ascii="Arial" w:cs="Arial" w:eastAsia="Arial" w:hAnsi="Arial"/>
                <w:sz w:val="12"/>
                <w:szCs w:val="12"/>
                <w:color w:val="auto"/>
              </w:rPr>
              <w:t>(19)</w:t>
            </w:r>
          </w:p>
        </w:tc>
        <w:tc>
          <w:tcPr>
            <w:tcW w:w="400" w:type="dxa"/>
            <w:vAlign w:val="bottom"/>
          </w:tcPr>
          <w:p>
            <w:pPr>
              <w:spacing w:after="0"/>
              <w:rPr>
                <w:sz w:val="12"/>
                <w:szCs w:val="12"/>
                <w:color w:val="auto"/>
              </w:rPr>
            </w:pPr>
          </w:p>
        </w:tc>
        <w:tc>
          <w:tcPr>
            <w:tcW w:w="100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54,509</w:t>
            </w: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Unsecured short-term borrowings</w:t>
            </w:r>
          </w:p>
        </w:tc>
        <w:tc>
          <w:tcPr>
            <w:tcW w:w="5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8,538</w:t>
            </w:r>
          </w:p>
        </w:tc>
        <w:tc>
          <w:tcPr>
            <w:tcW w:w="44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w w:val="99"/>
              </w:rPr>
              <w:t>(4,007)</w:t>
            </w:r>
            <w:r>
              <w:rPr>
                <w:rFonts w:ascii="Arial" w:cs="Arial" w:eastAsia="Arial" w:hAnsi="Arial"/>
                <w:sz w:val="12"/>
                <w:szCs w:val="12"/>
                <w:color w:val="auto"/>
                <w:w w:val="99"/>
              </w:rPr>
              <w:t>(16,19)</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jc w:val="right"/>
              <w:ind w:right="588"/>
              <w:spacing w:after="0" w:line="149" w:lineRule="exact"/>
              <w:rPr>
                <w:sz w:val="20"/>
                <w:szCs w:val="20"/>
                <w:color w:val="auto"/>
              </w:rPr>
            </w:pPr>
            <w:r>
              <w:rPr>
                <w:rFonts w:ascii="Arial" w:cs="Arial" w:eastAsia="Arial" w:hAnsi="Arial"/>
                <w:sz w:val="14"/>
                <w:szCs w:val="14"/>
                <w:color w:val="auto"/>
              </w:rPr>
              <w:t>(4,531)</w:t>
            </w:r>
            <w:r>
              <w:rPr>
                <w:rFonts w:ascii="Arial" w:cs="Arial" w:eastAsia="Arial" w:hAnsi="Arial"/>
                <w:sz w:val="12"/>
                <w:szCs w:val="12"/>
                <w:color w:val="auto"/>
              </w:rPr>
              <w:t>(20)</w:t>
            </w: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Obligation to return securities received as collateral</w:t>
            </w:r>
          </w:p>
        </w:tc>
        <w:tc>
          <w:tcPr>
            <w:tcW w:w="5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15,371</w:t>
            </w:r>
          </w:p>
        </w:tc>
        <w:tc>
          <w:tcPr>
            <w:tcW w:w="44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848"/>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15,371</w:t>
            </w: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Other borrowed funds</w:t>
            </w:r>
          </w:p>
        </w:tc>
        <w:tc>
          <w:tcPr>
            <w:tcW w:w="500" w:type="dxa"/>
            <w:vAlign w:val="bottom"/>
          </w:tcPr>
          <w:p>
            <w:pPr>
              <w:spacing w:after="0"/>
              <w:rPr>
                <w:sz w:val="12"/>
                <w:szCs w:val="12"/>
                <w:color w:val="auto"/>
              </w:rPr>
            </w:pPr>
          </w:p>
        </w:tc>
        <w:tc>
          <w:tcPr>
            <w:tcW w:w="118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28,430</w:t>
            </w:r>
          </w:p>
        </w:tc>
        <w:tc>
          <w:tcPr>
            <w:tcW w:w="620" w:type="dxa"/>
            <w:vAlign w:val="bottom"/>
          </w:tcPr>
          <w:p>
            <w:pPr>
              <w:spacing w:after="0"/>
              <w:rPr>
                <w:sz w:val="12"/>
                <w:szCs w:val="12"/>
                <w:color w:val="auto"/>
              </w:rPr>
            </w:pPr>
          </w:p>
        </w:tc>
        <w:tc>
          <w:tcPr>
            <w:tcW w:w="11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1360" w:type="dxa"/>
            <w:vAlign w:val="bottom"/>
          </w:tcPr>
          <w:p>
            <w:pPr>
              <w:ind w:left="40"/>
              <w:spacing w:after="0" w:line="149" w:lineRule="exact"/>
              <w:rPr>
                <w:sz w:val="20"/>
                <w:szCs w:val="20"/>
                <w:color w:val="auto"/>
              </w:rPr>
            </w:pPr>
            <w:r>
              <w:rPr>
                <w:rFonts w:ascii="Arial" w:cs="Arial" w:eastAsia="Arial" w:hAnsi="Arial"/>
                <w:sz w:val="14"/>
                <w:szCs w:val="14"/>
                <w:color w:val="auto"/>
              </w:rPr>
              <w:t>12,309</w:t>
            </w:r>
            <w:r>
              <w:rPr>
                <w:rFonts w:ascii="Arial" w:cs="Arial" w:eastAsia="Arial" w:hAnsi="Arial"/>
                <w:sz w:val="12"/>
                <w:szCs w:val="12"/>
                <w:color w:val="auto"/>
              </w:rPr>
              <w:t>(18,20)</w:t>
            </w:r>
          </w:p>
        </w:tc>
        <w:tc>
          <w:tcPr>
            <w:tcW w:w="400" w:type="dxa"/>
            <w:vAlign w:val="bottom"/>
          </w:tcPr>
          <w:p>
            <w:pPr>
              <w:spacing w:after="0"/>
              <w:rPr>
                <w:sz w:val="12"/>
                <w:szCs w:val="12"/>
                <w:color w:val="auto"/>
              </w:rPr>
            </w:pPr>
          </w:p>
        </w:tc>
        <w:tc>
          <w:tcPr>
            <w:tcW w:w="1000" w:type="dxa"/>
            <w:vAlign w:val="bottom"/>
          </w:tcPr>
          <w:p>
            <w:pPr>
              <w:ind w:left="120"/>
              <w:spacing w:after="0" w:line="149" w:lineRule="exact"/>
              <w:rPr>
                <w:sz w:val="20"/>
                <w:szCs w:val="20"/>
                <w:color w:val="auto"/>
              </w:rPr>
            </w:pPr>
            <w:r>
              <w:rPr>
                <w:rFonts w:ascii="Arial" w:cs="Arial" w:eastAsia="Arial" w:hAnsi="Arial"/>
                <w:sz w:val="14"/>
                <w:szCs w:val="14"/>
                <w:color w:val="auto"/>
              </w:rPr>
              <w:t>5,850</w:t>
            </w:r>
            <w:r>
              <w:rPr>
                <w:rFonts w:ascii="Arial" w:cs="Arial" w:eastAsia="Arial" w:hAnsi="Arial"/>
                <w:sz w:val="12"/>
                <w:szCs w:val="12"/>
                <w:color w:val="auto"/>
              </w:rPr>
              <w:t>(J)</w:t>
            </w:r>
          </w:p>
        </w:tc>
        <w:tc>
          <w:tcPr>
            <w:tcW w:w="400" w:type="dxa"/>
            <w:vAlign w:val="bottom"/>
          </w:tcPr>
          <w:p>
            <w:pPr>
              <w:spacing w:after="0"/>
              <w:rPr>
                <w:sz w:val="12"/>
                <w:szCs w:val="12"/>
                <w:color w:val="auto"/>
              </w:rPr>
            </w:pPr>
          </w:p>
        </w:tc>
        <w:tc>
          <w:tcPr>
            <w:tcW w:w="8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40,739</w:t>
            </w: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(5,850)</w:t>
            </w:r>
            <w:r>
              <w:rPr>
                <w:rFonts w:ascii="Arial" w:cs="Arial" w:eastAsia="Arial" w:hAnsi="Arial"/>
                <w:sz w:val="12"/>
                <w:szCs w:val="12"/>
                <w:color w:val="auto"/>
              </w:rPr>
              <w:t>(O)</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Trading liabilities</w:t>
            </w:r>
          </w:p>
        </w:tc>
        <w:tc>
          <w:tcPr>
            <w:tcW w:w="500" w:type="dxa"/>
            <w:vAlign w:val="bottom"/>
          </w:tcPr>
          <w:p>
            <w:pPr>
              <w:spacing w:after="0"/>
              <w:rPr>
                <w:sz w:val="12"/>
                <w:szCs w:val="12"/>
                <w:color w:val="auto"/>
              </w:rPr>
            </w:pPr>
          </w:p>
        </w:tc>
        <w:tc>
          <w:tcPr>
            <w:tcW w:w="118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157,965</w:t>
            </w:r>
          </w:p>
        </w:tc>
        <w:tc>
          <w:tcPr>
            <w:tcW w:w="620" w:type="dxa"/>
            <w:vAlign w:val="bottom"/>
          </w:tcPr>
          <w:p>
            <w:pPr>
              <w:spacing w:after="0"/>
              <w:rPr>
                <w:sz w:val="12"/>
                <w:szCs w:val="12"/>
                <w:color w:val="auto"/>
              </w:rPr>
            </w:pPr>
          </w:p>
        </w:tc>
        <w:tc>
          <w:tcPr>
            <w:tcW w:w="11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1360" w:type="dxa"/>
            <w:vAlign w:val="bottom"/>
          </w:tcPr>
          <w:p>
            <w:pPr>
              <w:jc w:val="right"/>
              <w:ind w:right="648"/>
              <w:spacing w:after="0" w:line="149" w:lineRule="exact"/>
              <w:rPr>
                <w:sz w:val="20"/>
                <w:szCs w:val="20"/>
                <w:color w:val="auto"/>
              </w:rPr>
            </w:pPr>
            <w:r>
              <w:rPr>
                <w:rFonts w:ascii="Arial" w:cs="Arial" w:eastAsia="Arial" w:hAnsi="Arial"/>
                <w:sz w:val="14"/>
                <w:szCs w:val="14"/>
                <w:color w:val="auto"/>
                <w:w w:val="96"/>
              </w:rPr>
              <w:t>51,544</w:t>
            </w:r>
            <w:r>
              <w:rPr>
                <w:rFonts w:ascii="Arial" w:cs="Arial" w:eastAsia="Arial" w:hAnsi="Arial"/>
                <w:sz w:val="12"/>
                <w:szCs w:val="12"/>
                <w:color w:val="auto"/>
                <w:w w:val="96"/>
              </w:rPr>
              <w:t>(21)</w:t>
            </w:r>
          </w:p>
        </w:tc>
        <w:tc>
          <w:tcPr>
            <w:tcW w:w="400" w:type="dxa"/>
            <w:vAlign w:val="bottom"/>
          </w:tcPr>
          <w:p>
            <w:pPr>
              <w:spacing w:after="0"/>
              <w:rPr>
                <w:sz w:val="12"/>
                <w:szCs w:val="12"/>
                <w:color w:val="auto"/>
              </w:rPr>
            </w:pPr>
          </w:p>
        </w:tc>
        <w:tc>
          <w:tcPr>
            <w:tcW w:w="10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6"/>
              </w:rPr>
              <w:t>164</w:t>
            </w:r>
            <w:r>
              <w:rPr>
                <w:rFonts w:ascii="Arial" w:cs="Arial" w:eastAsia="Arial" w:hAnsi="Arial"/>
                <w:sz w:val="12"/>
                <w:szCs w:val="12"/>
                <w:color w:val="auto"/>
                <w:w w:val="96"/>
              </w:rPr>
              <w:t>(V)</w:t>
            </w:r>
          </w:p>
        </w:tc>
        <w:tc>
          <w:tcPr>
            <w:tcW w:w="400" w:type="dxa"/>
            <w:vAlign w:val="bottom"/>
          </w:tcPr>
          <w:p>
            <w:pPr>
              <w:spacing w:after="0"/>
              <w:rPr>
                <w:sz w:val="12"/>
                <w:szCs w:val="12"/>
                <w:color w:val="auto"/>
              </w:rPr>
            </w:pPr>
          </w:p>
        </w:tc>
        <w:tc>
          <w:tcPr>
            <w:tcW w:w="8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207,872</w:t>
            </w: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center"/>
              <w:ind w:right="68"/>
              <w:spacing w:after="0" w:line="149" w:lineRule="exact"/>
              <w:rPr>
                <w:sz w:val="20"/>
                <w:szCs w:val="20"/>
                <w:color w:val="auto"/>
              </w:rPr>
            </w:pPr>
            <w:r>
              <w:rPr>
                <w:rFonts w:ascii="Arial" w:cs="Arial" w:eastAsia="Arial" w:hAnsi="Arial"/>
                <w:sz w:val="14"/>
                <w:szCs w:val="14"/>
                <w:color w:val="auto"/>
                <w:w w:val="87"/>
              </w:rPr>
              <w:t>50</w:t>
            </w:r>
            <w:r>
              <w:rPr>
                <w:rFonts w:ascii="Arial" w:cs="Arial" w:eastAsia="Arial" w:hAnsi="Arial"/>
                <w:sz w:val="12"/>
                <w:szCs w:val="12"/>
                <w:color w:val="auto"/>
                <w:w w:val="87"/>
              </w:rPr>
              <w:t>(J)</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ind w:left="60"/>
              <w:spacing w:after="0" w:line="149" w:lineRule="exact"/>
              <w:rPr>
                <w:sz w:val="20"/>
                <w:szCs w:val="20"/>
                <w:color w:val="auto"/>
              </w:rPr>
            </w:pPr>
            <w:r>
              <w:rPr>
                <w:rFonts w:ascii="Arial" w:cs="Arial" w:eastAsia="Arial" w:hAnsi="Arial"/>
                <w:sz w:val="14"/>
                <w:szCs w:val="14"/>
                <w:color w:val="auto"/>
              </w:rPr>
              <w:t>(1,851)</w:t>
            </w:r>
            <w:r>
              <w:rPr>
                <w:rFonts w:ascii="Arial" w:cs="Arial" w:eastAsia="Arial" w:hAnsi="Arial"/>
                <w:sz w:val="12"/>
                <w:szCs w:val="12"/>
                <w:color w:val="auto"/>
              </w:rPr>
              <w:t>(M)</w:t>
            </w: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3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Financial instruments sold, but not yet purchased, at fair</w:t>
            </w:r>
          </w:p>
        </w:tc>
        <w:tc>
          <w:tcPr>
            <w:tcW w:w="5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value</w:t>
            </w: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51,544</w:t>
            </w:r>
          </w:p>
        </w:tc>
        <w:tc>
          <w:tcPr>
            <w:tcW w:w="4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w w:val="92"/>
              </w:rPr>
              <w:t>(51,544)</w:t>
            </w:r>
            <w:r>
              <w:rPr>
                <w:rFonts w:ascii="Arial" w:cs="Arial" w:eastAsia="Arial" w:hAnsi="Arial"/>
                <w:sz w:val="12"/>
                <w:szCs w:val="12"/>
                <w:color w:val="auto"/>
                <w:w w:val="92"/>
              </w:rPr>
              <w:t>(21)</w:t>
            </w: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r>
      <w:tr>
        <w:trPr>
          <w:trHeight w:val="297"/>
        </w:trPr>
        <w:tc>
          <w:tcPr>
            <w:tcW w:w="3580" w:type="dxa"/>
            <w:vAlign w:val="bottom"/>
            <w:gridSpan w:val="2"/>
          </w:tcPr>
          <w:p>
            <w:pPr>
              <w:spacing w:after="0"/>
              <w:rPr>
                <w:sz w:val="20"/>
                <w:szCs w:val="20"/>
                <w:color w:val="auto"/>
              </w:rPr>
            </w:pPr>
            <w:r>
              <w:rPr>
                <w:rFonts w:ascii="Arial" w:cs="Arial" w:eastAsia="Arial" w:hAnsi="Arial"/>
                <w:sz w:val="14"/>
                <w:szCs w:val="14"/>
                <w:color w:val="auto"/>
              </w:rPr>
              <w:t>Accounts payable, accrued expense and other liabilities</w:t>
            </w:r>
          </w:p>
        </w:tc>
        <w:tc>
          <w:tcPr>
            <w:tcW w:w="500" w:type="dxa"/>
            <w:vAlign w:val="bottom"/>
          </w:tcPr>
          <w:p>
            <w:pPr>
              <w:spacing w:after="0"/>
              <w:rPr>
                <w:sz w:val="24"/>
                <w:szCs w:val="24"/>
                <w:color w:val="auto"/>
              </w:rPr>
            </w:pPr>
          </w:p>
        </w:tc>
        <w:tc>
          <w:tcPr>
            <w:tcW w:w="1180" w:type="dxa"/>
            <w:vAlign w:val="bottom"/>
          </w:tcPr>
          <w:p>
            <w:pPr>
              <w:jc w:val="right"/>
              <w:ind w:right="528"/>
              <w:spacing w:after="0"/>
              <w:rPr>
                <w:sz w:val="20"/>
                <w:szCs w:val="20"/>
                <w:color w:val="auto"/>
              </w:rPr>
            </w:pPr>
            <w:r>
              <w:rPr>
                <w:rFonts w:ascii="Arial" w:cs="Arial" w:eastAsia="Arial" w:hAnsi="Arial"/>
                <w:sz w:val="14"/>
                <w:szCs w:val="14"/>
                <w:color w:val="auto"/>
              </w:rPr>
              <w:t>106,088</w:t>
            </w:r>
          </w:p>
        </w:tc>
        <w:tc>
          <w:tcPr>
            <w:tcW w:w="620" w:type="dxa"/>
            <w:vAlign w:val="bottom"/>
          </w:tcPr>
          <w:p>
            <w:pPr>
              <w:spacing w:after="0"/>
              <w:rPr>
                <w:sz w:val="24"/>
                <w:szCs w:val="24"/>
                <w:color w:val="auto"/>
              </w:rPr>
            </w:pPr>
          </w:p>
        </w:tc>
        <w:tc>
          <w:tcPr>
            <w:tcW w:w="112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1360" w:type="dxa"/>
            <w:vAlign w:val="bottom"/>
          </w:tcPr>
          <w:p>
            <w:pPr>
              <w:ind w:left="40"/>
              <w:spacing w:after="0"/>
              <w:rPr>
                <w:sz w:val="20"/>
                <w:szCs w:val="20"/>
                <w:color w:val="auto"/>
              </w:rPr>
            </w:pPr>
            <w:r>
              <w:rPr>
                <w:rFonts w:ascii="Arial" w:cs="Arial" w:eastAsia="Arial" w:hAnsi="Arial"/>
                <w:sz w:val="14"/>
                <w:szCs w:val="14"/>
                <w:color w:val="auto"/>
              </w:rPr>
              <w:t>69,421</w:t>
            </w:r>
            <w:r>
              <w:rPr>
                <w:rFonts w:ascii="Arial" w:cs="Arial" w:eastAsia="Arial" w:hAnsi="Arial"/>
                <w:sz w:val="12"/>
                <w:szCs w:val="12"/>
                <w:color w:val="auto"/>
              </w:rPr>
              <w:t>(22,24,25,26)</w:t>
            </w:r>
          </w:p>
        </w:tc>
        <w:tc>
          <w:tcPr>
            <w:tcW w:w="400" w:type="dxa"/>
            <w:vAlign w:val="bottom"/>
          </w:tcPr>
          <w:p>
            <w:pPr>
              <w:spacing w:after="0"/>
              <w:rPr>
                <w:sz w:val="24"/>
                <w:szCs w:val="24"/>
                <w:color w:val="auto"/>
              </w:rPr>
            </w:pPr>
          </w:p>
        </w:tc>
        <w:tc>
          <w:tcPr>
            <w:tcW w:w="1000" w:type="dxa"/>
            <w:vAlign w:val="bottom"/>
          </w:tcPr>
          <w:p>
            <w:pPr>
              <w:jc w:val="center"/>
              <w:ind w:right="108"/>
              <w:spacing w:after="0"/>
              <w:rPr>
                <w:sz w:val="20"/>
                <w:szCs w:val="20"/>
                <w:color w:val="auto"/>
              </w:rPr>
            </w:pPr>
            <w:r>
              <w:rPr>
                <w:rFonts w:ascii="Arial" w:cs="Arial" w:eastAsia="Arial" w:hAnsi="Arial"/>
                <w:sz w:val="14"/>
                <w:szCs w:val="14"/>
                <w:color w:val="auto"/>
                <w:w w:val="94"/>
              </w:rPr>
              <w:t>352</w:t>
            </w:r>
            <w:r>
              <w:rPr>
                <w:rFonts w:ascii="Arial" w:cs="Arial" w:eastAsia="Arial" w:hAnsi="Arial"/>
                <w:sz w:val="12"/>
                <w:szCs w:val="12"/>
                <w:color w:val="auto"/>
                <w:w w:val="94"/>
              </w:rPr>
              <w:t>(D)</w:t>
            </w:r>
          </w:p>
        </w:tc>
        <w:tc>
          <w:tcPr>
            <w:tcW w:w="400" w:type="dxa"/>
            <w:vAlign w:val="bottom"/>
          </w:tcPr>
          <w:p>
            <w:pPr>
              <w:spacing w:after="0"/>
              <w:rPr>
                <w:sz w:val="24"/>
                <w:szCs w:val="24"/>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149,923</w:t>
            </w: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(25,269)</w:t>
            </w:r>
            <w:r>
              <w:rPr>
                <w:rFonts w:ascii="Arial" w:cs="Arial" w:eastAsia="Arial" w:hAnsi="Arial"/>
                <w:sz w:val="12"/>
                <w:szCs w:val="12"/>
                <w:color w:val="auto"/>
              </w:rPr>
              <w:t>(J)</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4"/>
              </w:rPr>
              <w:t>(669)</w:t>
            </w:r>
            <w:r>
              <w:rPr>
                <w:rFonts w:ascii="Arial" w:cs="Arial" w:eastAsia="Arial" w:hAnsi="Arial"/>
                <w:sz w:val="12"/>
                <w:szCs w:val="12"/>
                <w:color w:val="auto"/>
                <w:w w:val="94"/>
              </w:rPr>
              <w:t>(S)</w:t>
            </w: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Payables:</w:t>
            </w:r>
          </w:p>
        </w:tc>
        <w:tc>
          <w:tcPr>
            <w:tcW w:w="5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60" w:type="dxa"/>
            <w:vAlign w:val="bottom"/>
          </w:tcPr>
          <w:p>
            <w:pPr>
              <w:ind w:left="200"/>
              <w:spacing w:after="0" w:line="149" w:lineRule="exact"/>
              <w:rPr>
                <w:sz w:val="20"/>
                <w:szCs w:val="20"/>
                <w:color w:val="auto"/>
              </w:rPr>
            </w:pPr>
            <w:r>
              <w:rPr>
                <w:rFonts w:ascii="Arial" w:cs="Arial" w:eastAsia="Arial" w:hAnsi="Arial"/>
                <w:sz w:val="14"/>
                <w:szCs w:val="14"/>
                <w:color w:val="auto"/>
              </w:rPr>
              <w:t>Customers</w:t>
            </w:r>
          </w:p>
        </w:tc>
        <w:tc>
          <w:tcPr>
            <w:tcW w:w="500" w:type="dxa"/>
            <w:vAlign w:val="bottom"/>
          </w:tcPr>
          <w:p>
            <w:pPr>
              <w:spacing w:after="0"/>
              <w:rPr>
                <w:sz w:val="12"/>
                <w:szCs w:val="12"/>
                <w:color w:val="auto"/>
              </w:rPr>
            </w:pPr>
          </w:p>
        </w:tc>
        <w:tc>
          <w:tcPr>
            <w:tcW w:w="118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1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91,632</w:t>
            </w:r>
          </w:p>
        </w:tc>
        <w:tc>
          <w:tcPr>
            <w:tcW w:w="440" w:type="dxa"/>
            <w:vAlign w:val="bottom"/>
          </w:tcPr>
          <w:p>
            <w:pPr>
              <w:spacing w:after="0"/>
              <w:rPr>
                <w:sz w:val="12"/>
                <w:szCs w:val="12"/>
                <w:color w:val="auto"/>
              </w:rPr>
            </w:pPr>
          </w:p>
        </w:tc>
        <w:tc>
          <w:tcPr>
            <w:tcW w:w="1360" w:type="dxa"/>
            <w:vAlign w:val="bottom"/>
          </w:tcPr>
          <w:p>
            <w:pPr>
              <w:jc w:val="right"/>
              <w:ind w:right="588"/>
              <w:spacing w:after="0" w:line="149" w:lineRule="exact"/>
              <w:rPr>
                <w:sz w:val="20"/>
                <w:szCs w:val="20"/>
                <w:color w:val="auto"/>
              </w:rPr>
            </w:pPr>
            <w:r>
              <w:rPr>
                <w:rFonts w:ascii="Arial" w:cs="Arial" w:eastAsia="Arial" w:hAnsi="Arial"/>
                <w:sz w:val="14"/>
                <w:szCs w:val="14"/>
                <w:color w:val="auto"/>
                <w:w w:val="92"/>
              </w:rPr>
              <w:t>(91,632)</w:t>
            </w:r>
            <w:r>
              <w:rPr>
                <w:rFonts w:ascii="Arial" w:cs="Arial" w:eastAsia="Arial" w:hAnsi="Arial"/>
                <w:sz w:val="12"/>
                <w:szCs w:val="12"/>
                <w:color w:val="auto"/>
                <w:w w:val="92"/>
              </w:rPr>
              <w:t>(22)</w:t>
            </w:r>
          </w:p>
        </w:tc>
        <w:tc>
          <w:tcPr>
            <w:tcW w:w="400" w:type="dxa"/>
            <w:vAlign w:val="bottom"/>
          </w:tcPr>
          <w:p>
            <w:pPr>
              <w:spacing w:after="0"/>
              <w:rPr>
                <w:sz w:val="12"/>
                <w:szCs w:val="12"/>
                <w:color w:val="auto"/>
              </w:rPr>
            </w:pPr>
          </w:p>
        </w:tc>
        <w:tc>
          <w:tcPr>
            <w:tcW w:w="100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Brokers, dealers and others</w:t>
            </w:r>
          </w:p>
        </w:tc>
        <w:tc>
          <w:tcPr>
            <w:tcW w:w="5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5,642</w:t>
            </w:r>
          </w:p>
        </w:tc>
        <w:tc>
          <w:tcPr>
            <w:tcW w:w="44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588"/>
              <w:spacing w:after="0" w:line="149" w:lineRule="exact"/>
              <w:rPr>
                <w:sz w:val="20"/>
                <w:szCs w:val="20"/>
                <w:color w:val="auto"/>
              </w:rPr>
            </w:pPr>
            <w:r>
              <w:rPr>
                <w:rFonts w:ascii="Arial" w:cs="Arial" w:eastAsia="Arial" w:hAnsi="Arial"/>
                <w:sz w:val="14"/>
                <w:szCs w:val="14"/>
                <w:color w:val="auto"/>
              </w:rPr>
              <w:t>(5,642)</w:t>
            </w:r>
            <w:r>
              <w:rPr>
                <w:rFonts w:ascii="Arial" w:cs="Arial" w:eastAsia="Arial" w:hAnsi="Arial"/>
                <w:sz w:val="12"/>
                <w:szCs w:val="12"/>
                <w:color w:val="auto"/>
              </w:rPr>
              <w:t>(23)</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560" w:type="dxa"/>
            <w:vAlign w:val="bottom"/>
          </w:tcPr>
          <w:p>
            <w:pPr>
              <w:ind w:left="200"/>
              <w:spacing w:after="0" w:line="149" w:lineRule="exact"/>
              <w:rPr>
                <w:sz w:val="20"/>
                <w:szCs w:val="20"/>
                <w:color w:val="auto"/>
              </w:rPr>
            </w:pPr>
            <w:r>
              <w:rPr>
                <w:rFonts w:ascii="Arial" w:cs="Arial" w:eastAsia="Arial" w:hAnsi="Arial"/>
                <w:sz w:val="14"/>
                <w:szCs w:val="14"/>
                <w:color w:val="auto"/>
              </w:rPr>
              <w:t>Interest and dividends</w:t>
            </w:r>
          </w:p>
        </w:tc>
        <w:tc>
          <w:tcPr>
            <w:tcW w:w="500" w:type="dxa"/>
            <w:vAlign w:val="bottom"/>
          </w:tcPr>
          <w:p>
            <w:pPr>
              <w:spacing w:after="0"/>
              <w:rPr>
                <w:sz w:val="12"/>
                <w:szCs w:val="12"/>
                <w:color w:val="auto"/>
              </w:rPr>
            </w:pPr>
          </w:p>
        </w:tc>
        <w:tc>
          <w:tcPr>
            <w:tcW w:w="118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1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853</w:t>
            </w:r>
          </w:p>
        </w:tc>
        <w:tc>
          <w:tcPr>
            <w:tcW w:w="440" w:type="dxa"/>
            <w:vAlign w:val="bottom"/>
          </w:tcPr>
          <w:p>
            <w:pPr>
              <w:spacing w:after="0"/>
              <w:rPr>
                <w:sz w:val="12"/>
                <w:szCs w:val="12"/>
                <w:color w:val="auto"/>
              </w:rPr>
            </w:pPr>
          </w:p>
        </w:tc>
        <w:tc>
          <w:tcPr>
            <w:tcW w:w="1360" w:type="dxa"/>
            <w:vAlign w:val="bottom"/>
          </w:tcPr>
          <w:p>
            <w:pPr>
              <w:jc w:val="right"/>
              <w:ind w:right="588"/>
              <w:spacing w:after="0" w:line="149" w:lineRule="exact"/>
              <w:rPr>
                <w:sz w:val="20"/>
                <w:szCs w:val="20"/>
                <w:color w:val="auto"/>
              </w:rPr>
            </w:pPr>
            <w:r>
              <w:rPr>
                <w:rFonts w:ascii="Arial" w:cs="Arial" w:eastAsia="Arial" w:hAnsi="Arial"/>
                <w:sz w:val="14"/>
                <w:szCs w:val="14"/>
                <w:color w:val="auto"/>
              </w:rPr>
              <w:t>(853)</w:t>
            </w:r>
            <w:r>
              <w:rPr>
                <w:rFonts w:ascii="Arial" w:cs="Arial" w:eastAsia="Arial" w:hAnsi="Arial"/>
                <w:sz w:val="12"/>
                <w:szCs w:val="12"/>
                <w:color w:val="auto"/>
              </w:rPr>
              <w:t>(22)</w:t>
            </w:r>
          </w:p>
        </w:tc>
        <w:tc>
          <w:tcPr>
            <w:tcW w:w="400" w:type="dxa"/>
            <w:vAlign w:val="bottom"/>
          </w:tcPr>
          <w:p>
            <w:pPr>
              <w:spacing w:after="0"/>
              <w:rPr>
                <w:sz w:val="12"/>
                <w:szCs w:val="12"/>
                <w:color w:val="auto"/>
              </w:rPr>
            </w:pPr>
          </w:p>
        </w:tc>
        <w:tc>
          <w:tcPr>
            <w:tcW w:w="100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Brokerage payables</w:t>
            </w:r>
          </w:p>
        </w:tc>
        <w:tc>
          <w:tcPr>
            <w:tcW w:w="5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648"/>
              <w:spacing w:after="0" w:line="149" w:lineRule="exact"/>
              <w:rPr>
                <w:sz w:val="20"/>
                <w:szCs w:val="20"/>
                <w:color w:val="auto"/>
              </w:rPr>
            </w:pPr>
            <w:r>
              <w:rPr>
                <w:rFonts w:ascii="Arial" w:cs="Arial" w:eastAsia="Arial" w:hAnsi="Arial"/>
                <w:sz w:val="14"/>
                <w:szCs w:val="14"/>
                <w:color w:val="auto"/>
              </w:rPr>
              <w:t>5,642</w:t>
            </w:r>
            <w:r>
              <w:rPr>
                <w:rFonts w:ascii="Arial" w:cs="Arial" w:eastAsia="Arial" w:hAnsi="Arial"/>
                <w:sz w:val="12"/>
                <w:szCs w:val="12"/>
                <w:color w:val="auto"/>
              </w:rPr>
              <w:t>(23)</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(5,051)</w:t>
            </w:r>
            <w:r>
              <w:rPr>
                <w:rFonts w:ascii="Arial" w:cs="Arial" w:eastAsia="Arial" w:hAnsi="Arial"/>
                <w:sz w:val="12"/>
                <w:szCs w:val="12"/>
                <w:color w:val="auto"/>
              </w:rPr>
              <w:t>(P)</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27,758</w:t>
            </w: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jc w:val="right"/>
              <w:ind w:right="648"/>
              <w:spacing w:after="0" w:line="149" w:lineRule="exact"/>
              <w:rPr>
                <w:sz w:val="20"/>
                <w:szCs w:val="20"/>
                <w:color w:val="auto"/>
              </w:rPr>
            </w:pPr>
            <w:r>
              <w:rPr>
                <w:rFonts w:ascii="Arial" w:cs="Arial" w:eastAsia="Arial" w:hAnsi="Arial"/>
                <w:sz w:val="14"/>
                <w:szCs w:val="14"/>
                <w:color w:val="auto"/>
                <w:w w:val="96"/>
              </w:rPr>
              <w:t>27,167</w:t>
            </w:r>
            <w:r>
              <w:rPr>
                <w:rFonts w:ascii="Arial" w:cs="Arial" w:eastAsia="Arial" w:hAnsi="Arial"/>
                <w:sz w:val="12"/>
                <w:szCs w:val="12"/>
                <w:color w:val="auto"/>
                <w:w w:val="96"/>
              </w:rPr>
              <w:t>(24)</w:t>
            </w: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employee compensation and benefits</w:t>
            </w:r>
          </w:p>
        </w:tc>
        <w:tc>
          <w:tcPr>
            <w:tcW w:w="5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360</w:t>
            </w:r>
          </w:p>
        </w:tc>
        <w:tc>
          <w:tcPr>
            <w:tcW w:w="44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588"/>
              <w:spacing w:after="0" w:line="149" w:lineRule="exact"/>
              <w:rPr>
                <w:sz w:val="20"/>
                <w:szCs w:val="20"/>
                <w:color w:val="auto"/>
              </w:rPr>
            </w:pPr>
            <w:r>
              <w:rPr>
                <w:rFonts w:ascii="Arial" w:cs="Arial" w:eastAsia="Arial" w:hAnsi="Arial"/>
                <w:sz w:val="14"/>
                <w:szCs w:val="14"/>
                <w:color w:val="auto"/>
              </w:rPr>
              <w:t>(360)</w:t>
            </w:r>
            <w:r>
              <w:rPr>
                <w:rFonts w:ascii="Arial" w:cs="Arial" w:eastAsia="Arial" w:hAnsi="Arial"/>
                <w:sz w:val="12"/>
                <w:szCs w:val="12"/>
                <w:color w:val="auto"/>
              </w:rPr>
              <w:t>(25)</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Other liabilities and accrued expenses</w:t>
            </w:r>
          </w:p>
        </w:tc>
        <w:tc>
          <w:tcPr>
            <w:tcW w:w="500" w:type="dxa"/>
            <w:vAlign w:val="bottom"/>
          </w:tcPr>
          <w:p>
            <w:pPr>
              <w:spacing w:after="0"/>
              <w:rPr>
                <w:sz w:val="12"/>
                <w:szCs w:val="12"/>
                <w:color w:val="auto"/>
              </w:rPr>
            </w:pPr>
          </w:p>
        </w:tc>
        <w:tc>
          <w:tcPr>
            <w:tcW w:w="118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1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3,743</w:t>
            </w:r>
          </w:p>
        </w:tc>
        <w:tc>
          <w:tcPr>
            <w:tcW w:w="440" w:type="dxa"/>
            <w:vAlign w:val="bottom"/>
          </w:tcPr>
          <w:p>
            <w:pPr>
              <w:spacing w:after="0"/>
              <w:rPr>
                <w:sz w:val="12"/>
                <w:szCs w:val="12"/>
                <w:color w:val="auto"/>
              </w:rPr>
            </w:pPr>
          </w:p>
        </w:tc>
        <w:tc>
          <w:tcPr>
            <w:tcW w:w="1360" w:type="dxa"/>
            <w:vAlign w:val="bottom"/>
          </w:tcPr>
          <w:p>
            <w:pPr>
              <w:jc w:val="right"/>
              <w:ind w:right="588"/>
              <w:spacing w:after="0" w:line="149" w:lineRule="exact"/>
              <w:rPr>
                <w:sz w:val="20"/>
                <w:szCs w:val="20"/>
                <w:color w:val="auto"/>
              </w:rPr>
            </w:pPr>
            <w:r>
              <w:rPr>
                <w:rFonts w:ascii="Arial" w:cs="Arial" w:eastAsia="Arial" w:hAnsi="Arial"/>
                <w:sz w:val="14"/>
                <w:szCs w:val="14"/>
                <w:color w:val="auto"/>
              </w:rPr>
              <w:t>(3,743)</w:t>
            </w:r>
            <w:r>
              <w:rPr>
                <w:rFonts w:ascii="Arial" w:cs="Arial" w:eastAsia="Arial" w:hAnsi="Arial"/>
                <w:sz w:val="12"/>
                <w:szCs w:val="12"/>
                <w:color w:val="auto"/>
              </w:rPr>
              <w:t>(26)</w:t>
            </w:r>
          </w:p>
        </w:tc>
        <w:tc>
          <w:tcPr>
            <w:tcW w:w="400" w:type="dxa"/>
            <w:vAlign w:val="bottom"/>
          </w:tcPr>
          <w:p>
            <w:pPr>
              <w:spacing w:after="0"/>
              <w:rPr>
                <w:sz w:val="12"/>
                <w:szCs w:val="12"/>
                <w:color w:val="auto"/>
              </w:rPr>
            </w:pPr>
          </w:p>
        </w:tc>
        <w:tc>
          <w:tcPr>
            <w:tcW w:w="100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3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Beneficial interests issued by consolidated variable</w:t>
            </w:r>
          </w:p>
        </w:tc>
        <w:tc>
          <w:tcPr>
            <w:tcW w:w="5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entities</w:t>
            </w: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14,524</w:t>
            </w:r>
          </w:p>
        </w:tc>
        <w:tc>
          <w:tcPr>
            <w:tcW w:w="6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w w:val="96"/>
              </w:rPr>
              <w:t>26,739</w:t>
            </w:r>
            <w:r>
              <w:rPr>
                <w:rFonts w:ascii="Arial" w:cs="Arial" w:eastAsia="Arial" w:hAnsi="Arial"/>
                <w:sz w:val="12"/>
                <w:szCs w:val="12"/>
                <w:color w:val="auto"/>
                <w:w w:val="96"/>
              </w:rPr>
              <w:t>(27)</w:t>
            </w: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41,263</w:t>
            </w:r>
          </w:p>
        </w:tc>
      </w:tr>
      <w:tr>
        <w:trPr>
          <w:trHeight w:val="130"/>
        </w:trPr>
        <w:tc>
          <w:tcPr>
            <w:tcW w:w="20" w:type="dxa"/>
            <w:vAlign w:val="bottom"/>
          </w:tcPr>
          <w:p>
            <w:pPr>
              <w:spacing w:after="0"/>
              <w:rPr>
                <w:sz w:val="11"/>
                <w:szCs w:val="11"/>
                <w:color w:val="auto"/>
              </w:rPr>
            </w:pPr>
          </w:p>
        </w:tc>
        <w:tc>
          <w:tcPr>
            <w:tcW w:w="3560" w:type="dxa"/>
            <w:vAlign w:val="bottom"/>
          </w:tcPr>
          <w:p>
            <w:pPr>
              <w:spacing w:after="0" w:line="130" w:lineRule="exact"/>
              <w:rPr>
                <w:sz w:val="20"/>
                <w:szCs w:val="20"/>
                <w:color w:val="auto"/>
              </w:rPr>
            </w:pPr>
            <w:r>
              <w:rPr>
                <w:rFonts w:ascii="Arial" w:cs="Arial" w:eastAsia="Arial" w:hAnsi="Arial"/>
                <w:sz w:val="14"/>
                <w:szCs w:val="14"/>
                <w:color w:val="auto"/>
              </w:rPr>
              <w:t>Liabilities of variable interest entities and mortgage loan</w:t>
            </w:r>
          </w:p>
        </w:tc>
        <w:tc>
          <w:tcPr>
            <w:tcW w:w="5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3560" w:type="dxa"/>
            <w:vAlign w:val="bottom"/>
          </w:tcPr>
          <w:p>
            <w:pPr>
              <w:ind w:left="200"/>
              <w:spacing w:after="0"/>
              <w:rPr>
                <w:sz w:val="20"/>
                <w:szCs w:val="20"/>
                <w:color w:val="auto"/>
              </w:rPr>
            </w:pPr>
            <w:r>
              <w:rPr>
                <w:rFonts w:ascii="Arial" w:cs="Arial" w:eastAsia="Arial" w:hAnsi="Arial"/>
                <w:sz w:val="14"/>
                <w:szCs w:val="14"/>
                <w:color w:val="auto"/>
              </w:rPr>
              <w:t>special purpose entities</w:t>
            </w:r>
          </w:p>
        </w:tc>
        <w:tc>
          <w:tcPr>
            <w:tcW w:w="500" w:type="dxa"/>
            <w:vAlign w:val="bottom"/>
          </w:tcPr>
          <w:p>
            <w:pPr>
              <w:spacing w:after="0"/>
              <w:rPr>
                <w:sz w:val="14"/>
                <w:szCs w:val="14"/>
                <w:color w:val="auto"/>
              </w:rPr>
            </w:pPr>
          </w:p>
        </w:tc>
        <w:tc>
          <w:tcPr>
            <w:tcW w:w="118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1120" w:type="dxa"/>
            <w:vAlign w:val="bottom"/>
          </w:tcPr>
          <w:p>
            <w:pPr>
              <w:jc w:val="right"/>
              <w:ind w:right="568"/>
              <w:spacing w:after="0"/>
              <w:rPr>
                <w:sz w:val="20"/>
                <w:szCs w:val="20"/>
                <w:color w:val="auto"/>
              </w:rPr>
            </w:pPr>
            <w:r>
              <w:rPr>
                <w:rFonts w:ascii="Arial" w:cs="Arial" w:eastAsia="Arial" w:hAnsi="Arial"/>
                <w:sz w:val="14"/>
                <w:szCs w:val="14"/>
                <w:color w:val="auto"/>
              </w:rPr>
              <w:t>26,739</w:t>
            </w:r>
          </w:p>
        </w:tc>
        <w:tc>
          <w:tcPr>
            <w:tcW w:w="440" w:type="dxa"/>
            <w:vAlign w:val="bottom"/>
          </w:tcPr>
          <w:p>
            <w:pPr>
              <w:spacing w:after="0"/>
              <w:rPr>
                <w:sz w:val="14"/>
                <w:szCs w:val="14"/>
                <w:color w:val="auto"/>
              </w:rPr>
            </w:pPr>
          </w:p>
        </w:tc>
        <w:tc>
          <w:tcPr>
            <w:tcW w:w="1360" w:type="dxa"/>
            <w:vAlign w:val="bottom"/>
          </w:tcPr>
          <w:p>
            <w:pPr>
              <w:jc w:val="right"/>
              <w:ind w:right="588"/>
              <w:spacing w:after="0"/>
              <w:rPr>
                <w:sz w:val="20"/>
                <w:szCs w:val="20"/>
                <w:color w:val="auto"/>
              </w:rPr>
            </w:pPr>
            <w:r>
              <w:rPr>
                <w:rFonts w:ascii="Arial" w:cs="Arial" w:eastAsia="Arial" w:hAnsi="Arial"/>
                <w:sz w:val="14"/>
                <w:szCs w:val="14"/>
                <w:color w:val="auto"/>
                <w:w w:val="92"/>
              </w:rPr>
              <w:t>(26,739)</w:t>
            </w:r>
            <w:r>
              <w:rPr>
                <w:rFonts w:ascii="Arial" w:cs="Arial" w:eastAsia="Arial" w:hAnsi="Arial"/>
                <w:sz w:val="12"/>
                <w:szCs w:val="12"/>
                <w:color w:val="auto"/>
                <w:w w:val="92"/>
              </w:rPr>
              <w:t>(27)</w:t>
            </w:r>
          </w:p>
        </w:tc>
        <w:tc>
          <w:tcPr>
            <w:tcW w:w="4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5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189,995</w:t>
            </w:r>
          </w:p>
        </w:tc>
        <w:tc>
          <w:tcPr>
            <w:tcW w:w="6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71,753</w:t>
            </w:r>
          </w:p>
        </w:tc>
        <w:tc>
          <w:tcPr>
            <w:tcW w:w="44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588"/>
              <w:spacing w:after="0" w:line="149" w:lineRule="exact"/>
              <w:rPr>
                <w:sz w:val="20"/>
                <w:szCs w:val="20"/>
                <w:color w:val="auto"/>
              </w:rPr>
            </w:pPr>
            <w:r>
              <w:rPr>
                <w:rFonts w:ascii="Arial" w:cs="Arial" w:eastAsia="Arial" w:hAnsi="Arial"/>
                <w:sz w:val="14"/>
                <w:szCs w:val="14"/>
                <w:color w:val="auto"/>
              </w:rPr>
              <w:t>(263)</w:t>
            </w:r>
            <w:r>
              <w:rPr>
                <w:rFonts w:ascii="Arial" w:cs="Arial" w:eastAsia="Arial" w:hAnsi="Arial"/>
                <w:sz w:val="12"/>
                <w:szCs w:val="12"/>
                <w:color w:val="auto"/>
              </w:rPr>
              <w:t>(28)</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center"/>
              <w:ind w:right="108"/>
              <w:spacing w:after="0" w:line="149" w:lineRule="exact"/>
              <w:rPr>
                <w:sz w:val="20"/>
                <w:szCs w:val="20"/>
                <w:color w:val="auto"/>
              </w:rPr>
            </w:pPr>
            <w:r>
              <w:rPr>
                <w:rFonts w:ascii="Arial" w:cs="Arial" w:eastAsia="Arial" w:hAnsi="Arial"/>
                <w:sz w:val="14"/>
                <w:szCs w:val="14"/>
                <w:color w:val="auto"/>
                <w:w w:val="94"/>
              </w:rPr>
              <w:t>(618)</w:t>
            </w:r>
            <w:r>
              <w:rPr>
                <w:rFonts w:ascii="Arial" w:cs="Arial" w:eastAsia="Arial" w:hAnsi="Arial"/>
                <w:sz w:val="12"/>
                <w:szCs w:val="12"/>
                <w:color w:val="auto"/>
                <w:w w:val="94"/>
              </w:rPr>
              <w:t>(B)</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261,655</w:t>
            </w: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6"/>
              </w:rPr>
              <w:t>788</w:t>
            </w:r>
            <w:r>
              <w:rPr>
                <w:rFonts w:ascii="Arial" w:cs="Arial" w:eastAsia="Arial" w:hAnsi="Arial"/>
                <w:sz w:val="12"/>
                <w:szCs w:val="12"/>
                <w:color w:val="auto"/>
                <w:w w:val="96"/>
              </w:rPr>
              <w:t>(V)</w:t>
            </w: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3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Junior subordinated deferrable interest debentures held</w:t>
            </w:r>
          </w:p>
        </w:tc>
        <w:tc>
          <w:tcPr>
            <w:tcW w:w="5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35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w w:val="98"/>
              </w:rPr>
              <w:t>by trusts that issued guaranteed capital debt securities</w:t>
            </w:r>
          </w:p>
        </w:tc>
        <w:tc>
          <w:tcPr>
            <w:tcW w:w="5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15,372</w:t>
            </w:r>
          </w:p>
        </w:tc>
        <w:tc>
          <w:tcPr>
            <w:tcW w:w="6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263</w:t>
            </w:r>
            <w:r>
              <w:rPr>
                <w:rFonts w:ascii="Arial" w:cs="Arial" w:eastAsia="Arial" w:hAnsi="Arial"/>
                <w:sz w:val="12"/>
                <w:szCs w:val="12"/>
                <w:color w:val="auto"/>
              </w:rPr>
              <w:t>(28)</w:t>
            </w:r>
          </w:p>
        </w:tc>
        <w:tc>
          <w:tcPr>
            <w:tcW w:w="4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15,635</w:t>
            </w:r>
          </w:p>
        </w:tc>
      </w:tr>
      <w:tr>
        <w:trPr>
          <w:trHeight w:val="163"/>
        </w:trPr>
        <w:tc>
          <w:tcPr>
            <w:tcW w:w="20" w:type="dxa"/>
            <w:vAlign w:val="bottom"/>
          </w:tcPr>
          <w:p>
            <w:pPr>
              <w:spacing w:after="0"/>
              <w:rPr>
                <w:sz w:val="14"/>
                <w:szCs w:val="14"/>
                <w:color w:val="auto"/>
              </w:rPr>
            </w:pPr>
          </w:p>
        </w:tc>
        <w:tc>
          <w:tcPr>
            <w:tcW w:w="35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Total liabilities</w:t>
            </w:r>
          </w:p>
        </w:tc>
        <w:tc>
          <w:tcPr>
            <w:tcW w:w="5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28"/>
              <w:spacing w:after="0" w:line="155" w:lineRule="exact"/>
              <w:rPr>
                <w:sz w:val="20"/>
                <w:szCs w:val="20"/>
                <w:color w:val="auto"/>
              </w:rPr>
            </w:pPr>
            <w:r>
              <w:rPr>
                <w:rFonts w:ascii="Arial" w:cs="Arial" w:eastAsia="Arial" w:hAnsi="Arial"/>
                <w:sz w:val="14"/>
                <w:szCs w:val="14"/>
                <w:color w:val="auto"/>
                <w:w w:val="89"/>
              </w:rPr>
              <w:t>1,517,235</w:t>
            </w:r>
          </w:p>
        </w:tc>
        <w:tc>
          <w:tcPr>
            <w:tcW w:w="6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color w:val="auto"/>
                <w:w w:val="90"/>
              </w:rPr>
              <w:t>387,099</w:t>
            </w: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48"/>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color w:val="auto"/>
                <w:w w:val="88"/>
              </w:rPr>
              <w:t>(33,226)</w:t>
            </w: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89"/>
              </w:rPr>
              <w:t>1,871,108</w:t>
            </w: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Stockholders’ equity</w:t>
            </w:r>
          </w:p>
        </w:tc>
        <w:tc>
          <w:tcPr>
            <w:tcW w:w="5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Preferred stock</w:t>
            </w:r>
          </w:p>
        </w:tc>
        <w:tc>
          <w:tcPr>
            <w:tcW w:w="500" w:type="dxa"/>
            <w:vAlign w:val="bottom"/>
          </w:tcPr>
          <w:p>
            <w:pPr>
              <w:spacing w:after="0"/>
              <w:rPr>
                <w:sz w:val="12"/>
                <w:szCs w:val="12"/>
                <w:color w:val="auto"/>
              </w:rPr>
            </w:pPr>
          </w:p>
        </w:tc>
        <w:tc>
          <w:tcPr>
            <w:tcW w:w="118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1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352</w:t>
            </w:r>
          </w:p>
        </w:tc>
        <w:tc>
          <w:tcPr>
            <w:tcW w:w="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7"/>
              </w:rPr>
              <w:t>(352)</w:t>
            </w:r>
            <w:r>
              <w:rPr>
                <w:rFonts w:ascii="Arial" w:cs="Arial" w:eastAsia="Arial" w:hAnsi="Arial"/>
                <w:sz w:val="12"/>
                <w:szCs w:val="12"/>
                <w:color w:val="auto"/>
                <w:w w:val="97"/>
              </w:rPr>
              <w:t>(D)</w:t>
            </w:r>
          </w:p>
        </w:tc>
        <w:tc>
          <w:tcPr>
            <w:tcW w:w="400" w:type="dxa"/>
            <w:vAlign w:val="bottom"/>
          </w:tcPr>
          <w:p>
            <w:pPr>
              <w:spacing w:after="0"/>
              <w:rPr>
                <w:sz w:val="12"/>
                <w:szCs w:val="12"/>
                <w:color w:val="auto"/>
              </w:rPr>
            </w:pPr>
          </w:p>
        </w:tc>
        <w:tc>
          <w:tcPr>
            <w:tcW w:w="8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5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3,658</w:t>
            </w:r>
          </w:p>
        </w:tc>
        <w:tc>
          <w:tcPr>
            <w:tcW w:w="6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185</w:t>
            </w:r>
          </w:p>
        </w:tc>
        <w:tc>
          <w:tcPr>
            <w:tcW w:w="4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center"/>
              <w:ind w:right="68"/>
              <w:spacing w:after="0" w:line="149" w:lineRule="exact"/>
              <w:rPr>
                <w:sz w:val="20"/>
                <w:szCs w:val="20"/>
                <w:color w:val="auto"/>
              </w:rPr>
            </w:pPr>
            <w:r>
              <w:rPr>
                <w:rFonts w:ascii="Arial" w:cs="Arial" w:eastAsia="Arial" w:hAnsi="Arial"/>
                <w:sz w:val="14"/>
                <w:szCs w:val="14"/>
                <w:color w:val="auto"/>
                <w:w w:val="96"/>
              </w:rPr>
              <w:t>(185)</w:t>
            </w:r>
            <w:r>
              <w:rPr>
                <w:rFonts w:ascii="Arial" w:cs="Arial" w:eastAsia="Arial" w:hAnsi="Arial"/>
                <w:sz w:val="12"/>
                <w:szCs w:val="12"/>
                <w:color w:val="auto"/>
                <w:w w:val="96"/>
              </w:rPr>
              <w:t>(W)</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3,658</w:t>
            </w: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Capital surplus</w:t>
            </w:r>
          </w:p>
        </w:tc>
        <w:tc>
          <w:tcPr>
            <w:tcW w:w="500" w:type="dxa"/>
            <w:vAlign w:val="bottom"/>
          </w:tcPr>
          <w:p>
            <w:pPr>
              <w:spacing w:after="0"/>
              <w:rPr>
                <w:sz w:val="12"/>
                <w:szCs w:val="12"/>
                <w:color w:val="auto"/>
              </w:rPr>
            </w:pPr>
          </w:p>
        </w:tc>
        <w:tc>
          <w:tcPr>
            <w:tcW w:w="118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78,072</w:t>
            </w:r>
          </w:p>
        </w:tc>
        <w:tc>
          <w:tcPr>
            <w:tcW w:w="620" w:type="dxa"/>
            <w:vAlign w:val="bottom"/>
          </w:tcPr>
          <w:p>
            <w:pPr>
              <w:spacing w:after="0"/>
              <w:rPr>
                <w:sz w:val="12"/>
                <w:szCs w:val="12"/>
                <w:color w:val="auto"/>
              </w:rPr>
            </w:pPr>
          </w:p>
        </w:tc>
        <w:tc>
          <w:tcPr>
            <w:tcW w:w="11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6"/>
              </w:rPr>
              <w:t>303</w:t>
            </w:r>
            <w:r>
              <w:rPr>
                <w:rFonts w:ascii="Arial" w:cs="Arial" w:eastAsia="Arial" w:hAnsi="Arial"/>
                <w:sz w:val="12"/>
                <w:szCs w:val="12"/>
                <w:color w:val="auto"/>
                <w:w w:val="96"/>
              </w:rPr>
              <w:t>(X)</w:t>
            </w:r>
          </w:p>
        </w:tc>
        <w:tc>
          <w:tcPr>
            <w:tcW w:w="400" w:type="dxa"/>
            <w:vAlign w:val="bottom"/>
          </w:tcPr>
          <w:p>
            <w:pPr>
              <w:spacing w:after="0"/>
              <w:rPr>
                <w:sz w:val="12"/>
                <w:szCs w:val="12"/>
                <w:color w:val="auto"/>
              </w:rPr>
            </w:pPr>
          </w:p>
        </w:tc>
        <w:tc>
          <w:tcPr>
            <w:tcW w:w="8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78,375</w:t>
            </w: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Paid-in capital</w:t>
            </w:r>
          </w:p>
        </w:tc>
        <w:tc>
          <w:tcPr>
            <w:tcW w:w="5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5,619</w:t>
            </w:r>
          </w:p>
        </w:tc>
        <w:tc>
          <w:tcPr>
            <w:tcW w:w="4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(5,619)</w:t>
            </w:r>
            <w:r>
              <w:rPr>
                <w:rFonts w:ascii="Arial" w:cs="Arial" w:eastAsia="Arial" w:hAnsi="Arial"/>
                <w:sz w:val="12"/>
                <w:szCs w:val="12"/>
                <w:color w:val="auto"/>
              </w:rPr>
              <w:t>(W)</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Employee stock compensation plans</w:t>
            </w:r>
          </w:p>
        </w:tc>
        <w:tc>
          <w:tcPr>
            <w:tcW w:w="500" w:type="dxa"/>
            <w:vAlign w:val="bottom"/>
          </w:tcPr>
          <w:p>
            <w:pPr>
              <w:spacing w:after="0"/>
              <w:rPr>
                <w:sz w:val="12"/>
                <w:szCs w:val="12"/>
                <w:color w:val="auto"/>
              </w:rPr>
            </w:pPr>
          </w:p>
        </w:tc>
        <w:tc>
          <w:tcPr>
            <w:tcW w:w="118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1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2,164</w:t>
            </w:r>
          </w:p>
        </w:tc>
        <w:tc>
          <w:tcPr>
            <w:tcW w:w="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ind w:left="60"/>
              <w:spacing w:after="0" w:line="149" w:lineRule="exact"/>
              <w:rPr>
                <w:sz w:val="20"/>
                <w:szCs w:val="20"/>
                <w:color w:val="auto"/>
              </w:rPr>
            </w:pPr>
            <w:r>
              <w:rPr>
                <w:rFonts w:ascii="Arial" w:cs="Arial" w:eastAsia="Arial" w:hAnsi="Arial"/>
                <w:sz w:val="14"/>
                <w:szCs w:val="14"/>
                <w:color w:val="auto"/>
              </w:rPr>
              <w:t>(2,164)</w:t>
            </w:r>
            <w:r>
              <w:rPr>
                <w:rFonts w:ascii="Arial" w:cs="Arial" w:eastAsia="Arial" w:hAnsi="Arial"/>
                <w:sz w:val="12"/>
                <w:szCs w:val="12"/>
                <w:color w:val="auto"/>
              </w:rPr>
              <w:t>(W)</w:t>
            </w:r>
          </w:p>
        </w:tc>
        <w:tc>
          <w:tcPr>
            <w:tcW w:w="400" w:type="dxa"/>
            <w:vAlign w:val="bottom"/>
          </w:tcPr>
          <w:p>
            <w:pPr>
              <w:spacing w:after="0"/>
              <w:rPr>
                <w:sz w:val="12"/>
                <w:szCs w:val="12"/>
                <w:color w:val="auto"/>
              </w:rPr>
            </w:pPr>
          </w:p>
        </w:tc>
        <w:tc>
          <w:tcPr>
            <w:tcW w:w="8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Retained earnings</w:t>
            </w:r>
          </w:p>
        </w:tc>
        <w:tc>
          <w:tcPr>
            <w:tcW w:w="5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55,762</w:t>
            </w:r>
          </w:p>
        </w:tc>
        <w:tc>
          <w:tcPr>
            <w:tcW w:w="6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9,419</w:t>
            </w:r>
          </w:p>
        </w:tc>
        <w:tc>
          <w:tcPr>
            <w:tcW w:w="4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8,259</w:t>
            </w:r>
            <w:r>
              <w:rPr>
                <w:rFonts w:ascii="Arial" w:cs="Arial" w:eastAsia="Arial" w:hAnsi="Arial"/>
                <w:sz w:val="12"/>
                <w:szCs w:val="12"/>
                <w:color w:val="auto"/>
              </w:rPr>
              <w:t>(Y)</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64,021</w:t>
            </w: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ind w:left="60"/>
              <w:spacing w:after="0" w:line="149" w:lineRule="exact"/>
              <w:rPr>
                <w:sz w:val="20"/>
                <w:szCs w:val="20"/>
                <w:color w:val="auto"/>
              </w:rPr>
            </w:pPr>
            <w:r>
              <w:rPr>
                <w:rFonts w:ascii="Arial" w:cs="Arial" w:eastAsia="Arial" w:hAnsi="Arial"/>
                <w:sz w:val="14"/>
                <w:szCs w:val="14"/>
                <w:color w:val="auto"/>
              </w:rPr>
              <w:t>(9,419)</w:t>
            </w:r>
            <w:r>
              <w:rPr>
                <w:rFonts w:ascii="Arial" w:cs="Arial" w:eastAsia="Arial" w:hAnsi="Arial"/>
                <w:sz w:val="12"/>
                <w:szCs w:val="12"/>
                <w:color w:val="auto"/>
              </w:rPr>
              <w:t>(W)</w:t>
            </w: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5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rPr>
              <w:t>(512)</w:t>
            </w:r>
          </w:p>
        </w:tc>
        <w:tc>
          <w:tcPr>
            <w:tcW w:w="6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25</w:t>
            </w:r>
          </w:p>
        </w:tc>
        <w:tc>
          <w:tcPr>
            <w:tcW w:w="4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(25)</w:t>
            </w:r>
            <w:r>
              <w:rPr>
                <w:rFonts w:ascii="Arial" w:cs="Arial" w:eastAsia="Arial" w:hAnsi="Arial"/>
                <w:sz w:val="12"/>
                <w:szCs w:val="12"/>
                <w:color w:val="auto"/>
              </w:rPr>
              <w:t>(W)</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(512)</w:t>
            </w: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Shares held in RSU Trust</w:t>
            </w:r>
          </w:p>
        </w:tc>
        <w:tc>
          <w:tcPr>
            <w:tcW w:w="500" w:type="dxa"/>
            <w:vAlign w:val="bottom"/>
          </w:tcPr>
          <w:p>
            <w:pPr>
              <w:spacing w:after="0"/>
              <w:rPr>
                <w:sz w:val="12"/>
                <w:szCs w:val="12"/>
                <w:color w:val="auto"/>
              </w:rPr>
            </w:pPr>
          </w:p>
        </w:tc>
        <w:tc>
          <w:tcPr>
            <w:tcW w:w="118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12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(2,955)</w:t>
            </w:r>
          </w:p>
        </w:tc>
        <w:tc>
          <w:tcPr>
            <w:tcW w:w="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5"/>
              </w:rPr>
              <w:t>(269)</w:t>
            </w:r>
            <w:r>
              <w:rPr>
                <w:rFonts w:ascii="Arial" w:cs="Arial" w:eastAsia="Arial" w:hAnsi="Arial"/>
                <w:sz w:val="12"/>
                <w:szCs w:val="12"/>
                <w:color w:val="auto"/>
                <w:w w:val="95"/>
              </w:rPr>
              <w:t>(Z)</w:t>
            </w:r>
          </w:p>
        </w:tc>
        <w:tc>
          <w:tcPr>
            <w:tcW w:w="400" w:type="dxa"/>
            <w:vAlign w:val="bottom"/>
          </w:tcPr>
          <w:p>
            <w:pPr>
              <w:spacing w:after="0"/>
              <w:rPr>
                <w:sz w:val="12"/>
                <w:szCs w:val="12"/>
                <w:color w:val="auto"/>
              </w:rPr>
            </w:pP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(269)</w:t>
            </w: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2,955</w:t>
            </w:r>
            <w:r>
              <w:rPr>
                <w:rFonts w:ascii="Arial" w:cs="Arial" w:eastAsia="Arial" w:hAnsi="Arial"/>
                <w:sz w:val="12"/>
                <w:szCs w:val="12"/>
                <w:color w:val="auto"/>
              </w:rPr>
              <w:t>(W)</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Treasury stock, at cost</w:t>
            </w:r>
          </w:p>
        </w:tc>
        <w:tc>
          <w:tcPr>
            <w:tcW w:w="500" w:type="dxa"/>
            <w:vAlign w:val="bottom"/>
          </w:tcPr>
          <w:p>
            <w:pPr>
              <w:spacing w:after="0"/>
              <w:rPr>
                <w:sz w:val="12"/>
                <w:szCs w:val="12"/>
                <w:color w:val="auto"/>
              </w:rPr>
            </w:pPr>
          </w:p>
        </w:tc>
        <w:tc>
          <w:tcPr>
            <w:tcW w:w="1180" w:type="dxa"/>
            <w:vAlign w:val="bottom"/>
          </w:tcPr>
          <w:p>
            <w:pPr>
              <w:jc w:val="right"/>
              <w:ind w:right="468"/>
              <w:spacing w:after="0" w:line="149" w:lineRule="exact"/>
              <w:rPr>
                <w:sz w:val="20"/>
                <w:szCs w:val="20"/>
                <w:color w:val="auto"/>
              </w:rPr>
            </w:pPr>
            <w:r>
              <w:rPr>
                <w:rFonts w:ascii="Arial" w:cs="Arial" w:eastAsia="Arial" w:hAnsi="Arial"/>
                <w:sz w:val="14"/>
                <w:szCs w:val="14"/>
                <w:color w:val="auto"/>
              </w:rPr>
              <w:t>(11,353)</w:t>
            </w:r>
          </w:p>
        </w:tc>
        <w:tc>
          <w:tcPr>
            <w:tcW w:w="620" w:type="dxa"/>
            <w:vAlign w:val="bottom"/>
          </w:tcPr>
          <w:p>
            <w:pPr>
              <w:spacing w:after="0"/>
              <w:rPr>
                <w:sz w:val="12"/>
                <w:szCs w:val="12"/>
                <w:color w:val="auto"/>
              </w:rPr>
            </w:pPr>
          </w:p>
        </w:tc>
        <w:tc>
          <w:tcPr>
            <w:tcW w:w="112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(2,913)</w:t>
            </w:r>
          </w:p>
        </w:tc>
        <w:tc>
          <w:tcPr>
            <w:tcW w:w="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ind w:left="120"/>
              <w:spacing w:after="0" w:line="149" w:lineRule="exact"/>
              <w:rPr>
                <w:sz w:val="20"/>
                <w:szCs w:val="20"/>
                <w:color w:val="auto"/>
              </w:rPr>
            </w:pPr>
            <w:r>
              <w:rPr>
                <w:rFonts w:ascii="Arial" w:cs="Arial" w:eastAsia="Arial" w:hAnsi="Arial"/>
                <w:sz w:val="14"/>
                <w:szCs w:val="14"/>
                <w:color w:val="auto"/>
              </w:rPr>
              <w:t>2,913</w:t>
            </w:r>
            <w:r>
              <w:rPr>
                <w:rFonts w:ascii="Arial" w:cs="Arial" w:eastAsia="Arial" w:hAnsi="Arial"/>
                <w:sz w:val="12"/>
                <w:szCs w:val="12"/>
                <w:color w:val="auto"/>
              </w:rPr>
              <w:t>(W)</w:t>
            </w:r>
          </w:p>
        </w:tc>
        <w:tc>
          <w:tcPr>
            <w:tcW w:w="400" w:type="dxa"/>
            <w:vAlign w:val="bottom"/>
          </w:tcPr>
          <w:p>
            <w:pPr>
              <w:spacing w:after="0"/>
              <w:rPr>
                <w:sz w:val="12"/>
                <w:szCs w:val="12"/>
                <w:color w:val="auto"/>
              </w:rPr>
            </w:pP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(10,070)</w:t>
            </w:r>
          </w:p>
        </w:tc>
      </w:tr>
      <w:tr>
        <w:trPr>
          <w:trHeight w:val="149"/>
        </w:trPr>
        <w:tc>
          <w:tcPr>
            <w:tcW w:w="20" w:type="dxa"/>
            <w:vAlign w:val="bottom"/>
          </w:tcPr>
          <w:p>
            <w:pPr>
              <w:spacing w:after="0"/>
              <w:rPr>
                <w:sz w:val="12"/>
                <w:szCs w:val="12"/>
                <w:color w:val="auto"/>
              </w:rPr>
            </w:pPr>
          </w:p>
        </w:tc>
        <w:tc>
          <w:tcPr>
            <w:tcW w:w="35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1,283</w:t>
            </w:r>
            <w:r>
              <w:rPr>
                <w:rFonts w:ascii="Arial" w:cs="Arial" w:eastAsia="Arial" w:hAnsi="Arial"/>
                <w:sz w:val="12"/>
                <w:szCs w:val="12"/>
                <w:color w:val="auto"/>
              </w:rPr>
              <w:t>(X)</w:t>
            </w:r>
          </w:p>
        </w:tc>
        <w:tc>
          <w:tcPr>
            <w:tcW w:w="4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35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Total stockholders’ equity</w:t>
            </w:r>
          </w:p>
        </w:tc>
        <w:tc>
          <w:tcPr>
            <w:tcW w:w="5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28"/>
              <w:spacing w:after="0" w:line="155" w:lineRule="exact"/>
              <w:rPr>
                <w:sz w:val="20"/>
                <w:szCs w:val="20"/>
                <w:color w:val="auto"/>
              </w:rPr>
            </w:pPr>
            <w:r>
              <w:rPr>
                <w:rFonts w:ascii="Arial" w:cs="Arial" w:eastAsia="Arial" w:hAnsi="Arial"/>
                <w:sz w:val="14"/>
                <w:szCs w:val="14"/>
                <w:color w:val="auto"/>
              </w:rPr>
              <w:t>125,627</w:t>
            </w:r>
          </w:p>
        </w:tc>
        <w:tc>
          <w:tcPr>
            <w:tcW w:w="6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color w:val="auto"/>
              </w:rPr>
              <w:t>11,896</w:t>
            </w: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color w:val="auto"/>
              </w:rPr>
              <w:t>(2,320)</w:t>
            </w: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135,203</w:t>
            </w:r>
          </w:p>
        </w:tc>
      </w:tr>
      <w:tr>
        <w:trPr>
          <w:trHeight w:val="149"/>
        </w:trPr>
        <w:tc>
          <w:tcPr>
            <w:tcW w:w="20" w:type="dxa"/>
            <w:vAlign w:val="bottom"/>
          </w:tcPr>
          <w:p>
            <w:pPr>
              <w:spacing w:after="0"/>
              <w:rPr>
                <w:sz w:val="12"/>
                <w:szCs w:val="12"/>
                <w:color w:val="auto"/>
              </w:rPr>
            </w:pPr>
          </w:p>
        </w:tc>
        <w:tc>
          <w:tcPr>
            <w:tcW w:w="35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 and stockholders’ equity</w:t>
            </w: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w w:val="89"/>
              </w:rPr>
              <w:t>1,642,862</w:t>
            </w: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w w:val="90"/>
              </w:rPr>
              <w:t>398,995</w:t>
            </w:r>
          </w:p>
        </w:tc>
        <w:tc>
          <w:tcPr>
            <w:tcW w:w="440" w:type="dxa"/>
            <w:vAlign w:val="bottom"/>
            <w:tcBorders>
              <w:bottom w:val="single" w:sz="8" w:color="auto"/>
            </w:tcBorders>
            <w:shd w:val="clear" w:color="auto" w:fill="CCEEFF"/>
          </w:tcPr>
          <w:p>
            <w:pPr>
              <w:ind w:left="360"/>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ind w:right="848"/>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w w:val="88"/>
              </w:rPr>
              <w:t>(35,546)</w:t>
            </w: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89"/>
              </w:rPr>
              <w:t>2,006,311</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p>
      <w:pPr>
        <w:ind w:left="2360"/>
        <w:spacing w:after="0"/>
        <w:rPr>
          <w:sz w:val="20"/>
          <w:szCs w:val="20"/>
          <w:color w:val="auto"/>
        </w:rPr>
      </w:pPr>
      <w:r>
        <w:rPr>
          <w:rFonts w:ascii="Arial" w:cs="Arial" w:eastAsia="Arial" w:hAnsi="Arial"/>
          <w:sz w:val="18"/>
          <w:szCs w:val="18"/>
          <w:b w:val="1"/>
          <w:bCs w:val="1"/>
          <w:color w:val="auto"/>
        </w:rPr>
        <w:t>NOTES TO UNAUDITED PRO FORMA COMBINED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Pro Forma Presentation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pro forma combined financial information relating to the Merger of JPMorgan Chase with Bear Stearns is presented as of and for the three months ended March 31, 2008, for JPMorgan Chase, and as of and for the three months ended February 29, 2008, for Bear Stearns, and for the year ended December 31, 2007, for JPMorgan Chase, and for the year ended November 30, 2007, for Bear Stearns.</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reporting reclassifications column represents the change in presentation of the historical consolidated financial statements of Bear Stearns and JPMorgan Chase to conform to the preliminary presentation of such information for the combined entity as discussed in Note 2. For purposes of identifying the reclassification between line items on the financial statements, numerical references are provided to reflect where balances have been reclassified.</w:t>
      </w:r>
    </w:p>
    <w:p>
      <w:pPr>
        <w:spacing w:after="0" w:line="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JPMorgan Chase and Bear Stearns are in the process of reviewing their accounting and reporting policies and, as a result of this review, it may be necessary to adjust either JPMorgan Chase’s or Bear Stearns’ financial statements to conform to those accounting policies that are determined by the combined company to be most appropriate. While some reclassifications have been included in the unaudited pro forma combined financial information included in this document, further reclassifications may be necessary upon the completion of this review. Final determination of financial statement presentation will be completed following consummation of the Merger.</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Material intercompany transactions have been eliminated from the accompanying unaudited pro forma combined financial information. However the information does not reflect the elimination of hedge accounting results. Management believes this presentation is more reflective of the pro forma results of the combined entity, as derivatives that have qualified for hedge accounting in the periods presented will continue to qualify as hedges until the date the Merger is completed, and it is management’s intent to replace derivatives currently used for hedging purposes that will become intercompany with new third-party derivative contracts.</w:t>
      </w:r>
    </w:p>
    <w:p>
      <w:pPr>
        <w:spacing w:after="0" w:line="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pro forma adjustments reflect the conversion of 133,301,834 shares of Bear Stearns common stock into JPMorgan Chase common stock using an exchange ratio of 0.21753 multiplied by the JPMorgan Chase average common share price of $45.26 (which represents the average of the closing prices of JPMorgan Chase common stock for the four trading days during the period March 19, 2008, through March 25, 2008). As of February 29, 2008, Bear Stearns had 184,805,847 shares of common stock outstanding, of which 39,135,671 shares were held as treasury shares and will be cancelled at the merger date. In addition, through March 31, 2008, JPMorgan Chase held 12,368,342 shares of Bear Stearns common stock acquired with cash in the open market, which it intends to cancel on the merger date (along with the 95,000,000 newly-issued shares it acquired on April 8, 2008, pursuant to the Share Exchange Agreement). Bear Stearns common stock outstanding includes 27,316,339 shares held in an irrevocable grantor trust (the “RSU Trust”) for settlement of stock awards granted to selected employees and certain key executives under certain share-based payment arrangements. Also included in the purchase price of the Merger is the estimated fair value of the outstanding Bear Stearns employee stock awards, substantially all of which are expected to be fully vested immediately after the merger date under provisions that provide for accelerated vesting upon a change of control. The estimated fair value of Bear Stearns employee stock awards that will be vested as of the merger date (which includes the shares held by the RSU Trust) is $274 million. The total estimated purchase price of the Merger for purposes of this pro forma financial information is $1.5 billion.</w:t>
      </w:r>
    </w:p>
    <w:p>
      <w:pPr>
        <w:spacing w:after="0" w:line="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Merger will be accounted for using the purchase method of accounting, which requires that the assets and liabilities of Bear Stearns be recorded at their estimated fair values as of the date of acquisition.</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unaudited pro forma combined financial information is presented for illustrative purposes only and does not indicate the financial results of the combined company had the companies actually been combined at the beginning of the period presented, nor is it indicative of the results of operations in future periods or the future financial position of the combined company. In addition, as explained in more detail in the accompanying notes to the unaudited pro forma combined financial information, the resulting extraordinary gain reflected in the unaudited pro forma combined financial information is subject to adjustment. Bear Stearns is a broker-dealer, and many of the assets and liabilities on its consolidated balance sheet are financial assets carried at fair value, or are short-term in nature. For those that are short term in nature, the carrying value approximates fair value. For purposes of these unaudited pro forma combined financial statements no valuation adjustments were applied to Bear Stearns’ assets and liabilities carried at fair value or those which are short-term in nature, except for adjustments to reflect JPMorgan Chase’s credit spreads on trading liabilities and long-term debt. The adjustments included in these unaudited pro forma combined financial statements are preliminary and may be revised. The fair value of Bear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jc w:val="both"/>
        <w:spacing w:after="0" w:line="272" w:lineRule="auto"/>
        <w:rPr>
          <w:sz w:val="20"/>
          <w:szCs w:val="20"/>
          <w:color w:val="auto"/>
        </w:rPr>
      </w:pPr>
      <w:r>
        <w:rPr>
          <w:rFonts w:ascii="Arial" w:cs="Arial" w:eastAsia="Arial" w:hAnsi="Arial"/>
          <w:sz w:val="17"/>
          <w:szCs w:val="17"/>
          <w:color w:val="auto"/>
        </w:rPr>
        <w:t>Stearns’ pro forma net assets at February 29, 2008, is estimated to be $10.3 billion, which exceeds the estimated $1.5 billion purchase price. This results in negative goodwill. In accordance with U.S. GAAP, nonfinancial assets that are not held for sale, such as Bear Stearns’ premises and equipment, and other intangibles, will be written down against the negative goodwill. Upon consummation of the Merger, any negative goodwill remaining after writing down nonfinancial assets will be recognized as an extraordinary gain. For further information, see Note 3 to these unaudited pro forma combined financial statements. The allocation of negative goodwill to nonfinancial assets and the amount of the extraordinary gain will be determined after completion of a fair value analysis of Bear Stearns’ assets and liabilities as of May 30, 2008, the closing date of the Merger. The final purchase accounting adjustments may be materially different from the unaudited pro forma adjustments presented in this document.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Reporting Reclassifications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Statement</w:t>
      </w:r>
    </w:p>
    <w:p>
      <w:pPr>
        <w:spacing w:after="0" w:line="117" w:lineRule="exact"/>
        <w:rPr>
          <w:sz w:val="20"/>
          <w:szCs w:val="20"/>
          <w:color w:val="auto"/>
        </w:rPr>
      </w:pPr>
    </w:p>
    <w:p>
      <w:pPr>
        <w:jc w:val="both"/>
        <w:ind w:left="380" w:right="20" w:hanging="379"/>
        <w:spacing w:after="0" w:line="277" w:lineRule="auto"/>
        <w:tabs>
          <w:tab w:leader="none" w:pos="360" w:val="left"/>
        </w:tabs>
        <w:rPr>
          <w:sz w:val="20"/>
          <w:szCs w:val="20"/>
          <w:color w:val="auto"/>
        </w:rPr>
      </w:pPr>
      <w:r>
        <w:rPr>
          <w:rFonts w:ascii="Arial" w:cs="Arial" w:eastAsia="Arial" w:hAnsi="Arial"/>
          <w:sz w:val="18"/>
          <w:szCs w:val="18"/>
          <w:color w:val="auto"/>
        </w:rPr>
        <w:t>1–</w:t>
        <w:tab/>
        <w:t>Adjustment to reclassify Bear Stearns’ mortgage servicing fees and advances from investment banking fees into mortgage fees and related income to conform to JPMorgan Chase’s classification.</w:t>
      </w:r>
    </w:p>
    <w:p>
      <w:pPr>
        <w:spacing w:after="0" w:line="76" w:lineRule="exact"/>
        <w:rPr>
          <w:sz w:val="20"/>
          <w:szCs w:val="20"/>
          <w:color w:val="auto"/>
        </w:rPr>
      </w:pPr>
    </w:p>
    <w:p>
      <w:pPr>
        <w:jc w:val="both"/>
        <w:ind w:left="380" w:hanging="379"/>
        <w:spacing w:after="0" w:line="277" w:lineRule="auto"/>
        <w:tabs>
          <w:tab w:leader="none" w:pos="360" w:val="left"/>
        </w:tabs>
        <w:rPr>
          <w:sz w:val="20"/>
          <w:szCs w:val="20"/>
          <w:color w:val="auto"/>
        </w:rPr>
      </w:pPr>
      <w:r>
        <w:rPr>
          <w:rFonts w:ascii="Arial" w:cs="Arial" w:eastAsia="Arial" w:hAnsi="Arial"/>
          <w:sz w:val="18"/>
          <w:szCs w:val="18"/>
          <w:color w:val="auto"/>
        </w:rPr>
        <w:t>2–</w:t>
        <w:tab/>
        <w:t>Adjustment to reclassify Bear Stearns’ merchant banking revenue from investment banking fees into principal transactions revenue to conform to JPMorgan Chase’s classification.</w:t>
      </w:r>
    </w:p>
    <w:p>
      <w:pPr>
        <w:spacing w:after="0" w:line="76" w:lineRule="exact"/>
        <w:rPr>
          <w:sz w:val="20"/>
          <w:szCs w:val="20"/>
          <w:color w:val="auto"/>
        </w:rPr>
      </w:pPr>
    </w:p>
    <w:p>
      <w:pPr>
        <w:jc w:val="both"/>
        <w:ind w:left="380" w:hanging="379"/>
        <w:spacing w:after="0" w:line="277" w:lineRule="auto"/>
        <w:tabs>
          <w:tab w:leader="none" w:pos="360" w:val="left"/>
        </w:tabs>
        <w:rPr>
          <w:sz w:val="20"/>
          <w:szCs w:val="20"/>
          <w:color w:val="auto"/>
        </w:rPr>
      </w:pPr>
      <w:r>
        <w:rPr>
          <w:rFonts w:ascii="Arial" w:cs="Arial" w:eastAsia="Arial" w:hAnsi="Arial"/>
          <w:sz w:val="18"/>
          <w:szCs w:val="18"/>
          <w:color w:val="auto"/>
        </w:rPr>
        <w:t>3–</w:t>
        <w:tab/>
        <w:t>Adjustment to reclassify Bear Stearns’ changes in the fair value of mortgage servicing rights from principal transactions revenue into mortgage fees and related income to conform to JPMorgan Chase’s classification.</w:t>
      </w:r>
    </w:p>
    <w:p>
      <w:pPr>
        <w:spacing w:after="0" w:line="76" w:lineRule="exact"/>
        <w:rPr>
          <w:sz w:val="20"/>
          <w:szCs w:val="20"/>
          <w:color w:val="auto"/>
        </w:rPr>
      </w:pPr>
    </w:p>
    <w:p>
      <w:pPr>
        <w:jc w:val="both"/>
        <w:ind w:left="380" w:hanging="379"/>
        <w:spacing w:after="0" w:line="277" w:lineRule="auto"/>
        <w:tabs>
          <w:tab w:leader="none" w:pos="360" w:val="left"/>
        </w:tabs>
        <w:rPr>
          <w:sz w:val="20"/>
          <w:szCs w:val="20"/>
          <w:color w:val="auto"/>
        </w:rPr>
      </w:pPr>
      <w:r>
        <w:rPr>
          <w:rFonts w:ascii="Arial" w:cs="Arial" w:eastAsia="Arial" w:hAnsi="Arial"/>
          <w:sz w:val="18"/>
          <w:szCs w:val="18"/>
          <w:color w:val="auto"/>
        </w:rPr>
        <w:t>4–</w:t>
        <w:tab/>
        <w:t>Adjustment to reclassify JPMorgan Chase’s brokerage commissions from asset management, administration and commissions into brokerage commissions to conform to the combined JPMorgan Chase classification.</w:t>
      </w:r>
    </w:p>
    <w:p>
      <w:pPr>
        <w:spacing w:after="0" w:line="76" w:lineRule="exact"/>
        <w:rPr>
          <w:sz w:val="20"/>
          <w:szCs w:val="20"/>
          <w:color w:val="auto"/>
        </w:rPr>
      </w:pPr>
    </w:p>
    <w:p>
      <w:pPr>
        <w:jc w:val="both"/>
        <w:ind w:left="380" w:hanging="379"/>
        <w:spacing w:after="0" w:line="277" w:lineRule="auto"/>
        <w:tabs>
          <w:tab w:leader="none" w:pos="360" w:val="left"/>
        </w:tabs>
        <w:rPr>
          <w:sz w:val="20"/>
          <w:szCs w:val="20"/>
          <w:color w:val="auto"/>
        </w:rPr>
      </w:pPr>
      <w:r>
        <w:rPr>
          <w:rFonts w:ascii="Arial" w:cs="Arial" w:eastAsia="Arial" w:hAnsi="Arial"/>
          <w:sz w:val="18"/>
          <w:szCs w:val="18"/>
          <w:color w:val="auto"/>
        </w:rPr>
        <w:t>5–</w:t>
        <w:tab/>
        <w:t>Adjustment to reclassify Bear Stearns’ asset management income from asset management and other income into asset management, administration and commissions to conform to JPMorgan Chase’s classification.</w:t>
      </w:r>
    </w:p>
    <w:p>
      <w:pPr>
        <w:spacing w:after="0" w:line="76" w:lineRule="exact"/>
        <w:rPr>
          <w:sz w:val="20"/>
          <w:szCs w:val="20"/>
          <w:color w:val="auto"/>
        </w:rPr>
      </w:pPr>
    </w:p>
    <w:p>
      <w:pPr>
        <w:jc w:val="both"/>
        <w:ind w:left="380" w:hanging="379"/>
        <w:spacing w:after="0" w:line="277" w:lineRule="auto"/>
        <w:tabs>
          <w:tab w:leader="none" w:pos="360" w:val="left"/>
        </w:tabs>
        <w:rPr>
          <w:sz w:val="20"/>
          <w:szCs w:val="20"/>
          <w:color w:val="auto"/>
        </w:rPr>
      </w:pPr>
      <w:r>
        <w:rPr>
          <w:rFonts w:ascii="Arial" w:cs="Arial" w:eastAsia="Arial" w:hAnsi="Arial"/>
          <w:sz w:val="18"/>
          <w:szCs w:val="18"/>
          <w:color w:val="auto"/>
        </w:rPr>
        <w:t>6–</w:t>
        <w:tab/>
        <w:t>Adjustment to reclassify Bear Stearns’ other income from asset management and other income into other income to conform to JPMorgan Chase’s classification.</w:t>
      </w:r>
    </w:p>
    <w:p>
      <w:pPr>
        <w:spacing w:after="0" w:line="76" w:lineRule="exact"/>
        <w:rPr>
          <w:sz w:val="20"/>
          <w:szCs w:val="20"/>
          <w:color w:val="auto"/>
        </w:rPr>
      </w:pPr>
    </w:p>
    <w:p>
      <w:pPr>
        <w:jc w:val="both"/>
        <w:ind w:left="380" w:hanging="379"/>
        <w:spacing w:after="0" w:line="277" w:lineRule="auto"/>
        <w:tabs>
          <w:tab w:leader="none" w:pos="360" w:val="left"/>
        </w:tabs>
        <w:rPr>
          <w:sz w:val="20"/>
          <w:szCs w:val="20"/>
          <w:color w:val="auto"/>
        </w:rPr>
      </w:pPr>
      <w:r>
        <w:rPr>
          <w:rFonts w:ascii="Arial" w:cs="Arial" w:eastAsia="Arial" w:hAnsi="Arial"/>
          <w:sz w:val="18"/>
          <w:szCs w:val="18"/>
          <w:color w:val="auto"/>
        </w:rPr>
        <w:t>7–</w:t>
        <w:tab/>
        <w:t>Adjustment to reclassify Bear Stearns’ commissions income into brokerage commissions income to conform to the combined JPMorgan Chase classification.</w:t>
      </w:r>
    </w:p>
    <w:p>
      <w:pPr>
        <w:spacing w:after="0" w:line="76" w:lineRule="exact"/>
        <w:rPr>
          <w:sz w:val="20"/>
          <w:szCs w:val="20"/>
          <w:color w:val="auto"/>
        </w:rPr>
      </w:pPr>
    </w:p>
    <w:p>
      <w:pPr>
        <w:jc w:val="both"/>
        <w:ind w:left="380" w:right="20" w:hanging="379"/>
        <w:spacing w:after="0" w:line="277" w:lineRule="auto"/>
        <w:tabs>
          <w:tab w:leader="none" w:pos="360" w:val="left"/>
        </w:tabs>
        <w:rPr>
          <w:sz w:val="20"/>
          <w:szCs w:val="20"/>
          <w:color w:val="auto"/>
        </w:rPr>
      </w:pPr>
      <w:r>
        <w:rPr>
          <w:rFonts w:ascii="Arial" w:cs="Arial" w:eastAsia="Arial" w:hAnsi="Arial"/>
          <w:sz w:val="18"/>
          <w:szCs w:val="18"/>
          <w:color w:val="auto"/>
        </w:rPr>
        <w:t>8–</w:t>
        <w:tab/>
        <w:t>Adjustment to reclassify Bear Stearns’ information technology consultant expense from technology, communications and equipment expense into professional &amp; outside services to conform to JPMorgan Chase’s classification.</w:t>
      </w:r>
    </w:p>
    <w:p>
      <w:pPr>
        <w:spacing w:after="0" w:line="76" w:lineRule="exact"/>
        <w:rPr>
          <w:sz w:val="20"/>
          <w:szCs w:val="20"/>
          <w:color w:val="auto"/>
        </w:rPr>
      </w:pPr>
    </w:p>
    <w:p>
      <w:pPr>
        <w:jc w:val="both"/>
        <w:ind w:left="380" w:hanging="379"/>
        <w:spacing w:after="0" w:line="277" w:lineRule="auto"/>
        <w:tabs>
          <w:tab w:leader="none" w:pos="360" w:val="left"/>
        </w:tabs>
        <w:rPr>
          <w:sz w:val="20"/>
          <w:szCs w:val="20"/>
          <w:color w:val="auto"/>
        </w:rPr>
      </w:pPr>
      <w:r>
        <w:rPr>
          <w:rFonts w:ascii="Arial" w:cs="Arial" w:eastAsia="Arial" w:hAnsi="Arial"/>
          <w:sz w:val="18"/>
          <w:szCs w:val="18"/>
          <w:color w:val="auto"/>
        </w:rPr>
        <w:t>9–</w:t>
        <w:tab/>
        <w:t>Adjustment to reclassify JPMorgan Chase’s brokerage commission expense from professional &amp; outside services into floor brokerage, exchange and clearance expense to conform to the combined JPMorgan Chase classification.</w:t>
      </w:r>
    </w:p>
    <w:p>
      <w:pPr>
        <w:spacing w:after="0" w:line="76" w:lineRule="exact"/>
        <w:rPr>
          <w:sz w:val="20"/>
          <w:szCs w:val="20"/>
          <w:color w:val="auto"/>
        </w:rPr>
      </w:pPr>
    </w:p>
    <w:p>
      <w:pPr>
        <w:jc w:val="both"/>
        <w:ind w:left="380" w:hanging="379"/>
        <w:spacing w:after="0" w:line="277" w:lineRule="auto"/>
        <w:tabs>
          <w:tab w:leader="none" w:pos="360" w:val="left"/>
        </w:tabs>
        <w:rPr>
          <w:sz w:val="20"/>
          <w:szCs w:val="20"/>
          <w:color w:val="auto"/>
        </w:rPr>
      </w:pPr>
      <w:r>
        <w:rPr>
          <w:rFonts w:ascii="Arial" w:cs="Arial" w:eastAsia="Arial" w:hAnsi="Arial"/>
          <w:sz w:val="18"/>
          <w:szCs w:val="18"/>
          <w:color w:val="auto"/>
        </w:rPr>
        <w:t>10–</w:t>
        <w:tab/>
        <w:t>Adjustment to reclassify Bear Stearns’ impairment of goodwill and specialist rights recognized during the year ended November 30, 2007, into other expense to conform to JPMorgan Chase’s classification.</w:t>
      </w:r>
    </w:p>
    <w:p>
      <w:pPr>
        <w:spacing w:after="0" w:line="76" w:lineRule="exact"/>
        <w:rPr>
          <w:sz w:val="20"/>
          <w:szCs w:val="20"/>
          <w:color w:val="auto"/>
        </w:rPr>
      </w:pPr>
    </w:p>
    <w:p>
      <w:pPr>
        <w:jc w:val="both"/>
        <w:ind w:left="380" w:hanging="379"/>
        <w:spacing w:after="0" w:line="277" w:lineRule="auto"/>
        <w:tabs>
          <w:tab w:leader="none" w:pos="360" w:val="left"/>
        </w:tabs>
        <w:rPr>
          <w:sz w:val="20"/>
          <w:szCs w:val="20"/>
          <w:color w:val="auto"/>
        </w:rPr>
      </w:pPr>
      <w:r>
        <w:rPr>
          <w:rFonts w:ascii="Arial" w:cs="Arial" w:eastAsia="Arial" w:hAnsi="Arial"/>
          <w:sz w:val="18"/>
          <w:szCs w:val="18"/>
          <w:color w:val="auto"/>
        </w:rPr>
        <w:t>11–</w:t>
        <w:tab/>
        <w:t>Adjustment to reclassify Bear Stearns’ amortization of intangibles from other expense into amortization of intangibles to conform to JPMorgan Chase’s classification.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w:t>
      </w:r>
    </w:p>
    <w:p>
      <w:pPr>
        <w:spacing w:after="0" w:line="117" w:lineRule="exact"/>
        <w:rPr>
          <w:sz w:val="20"/>
          <w:szCs w:val="20"/>
          <w:color w:val="auto"/>
        </w:rPr>
      </w:pPr>
    </w:p>
    <w:p>
      <w:pPr>
        <w:jc w:val="both"/>
        <w:ind w:left="460" w:hanging="459"/>
        <w:spacing w:after="0" w:line="308" w:lineRule="auto"/>
        <w:tabs>
          <w:tab w:leader="none" w:pos="44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color w:val="auto"/>
        </w:rPr>
        <w:t>Adjustment to reclassify Bear Stearns’ cash and securities deposited with clearing organizations from cash and securities deposited with clearing organizations or segregated in compliance with federal regulations into other assets to conform to JPMorgan Chase’s classification.</w:t>
      </w:r>
    </w:p>
    <w:p>
      <w:pPr>
        <w:spacing w:after="0" w:line="52" w:lineRule="exact"/>
        <w:rPr>
          <w:sz w:val="20"/>
          <w:szCs w:val="20"/>
          <w:color w:val="auto"/>
        </w:rPr>
      </w:pPr>
    </w:p>
    <w:p>
      <w:pPr>
        <w:jc w:val="both"/>
        <w:ind w:left="460" w:hanging="459"/>
        <w:spacing w:after="0" w:line="277" w:lineRule="auto"/>
        <w:tabs>
          <w:tab w:leader="none" w:pos="440" w:val="left"/>
        </w:tabs>
        <w:rPr>
          <w:sz w:val="20"/>
          <w:szCs w:val="20"/>
          <w:color w:val="auto"/>
        </w:rPr>
      </w:pPr>
      <w:r>
        <w:rPr>
          <w:rFonts w:ascii="Arial" w:cs="Arial" w:eastAsia="Arial" w:hAnsi="Arial"/>
          <w:sz w:val="18"/>
          <w:szCs w:val="18"/>
          <w:color w:val="auto"/>
        </w:rPr>
        <w:t>2–</w:t>
        <w:tab/>
        <w:t>Adjustment to reclassify Bear Stearns’ collateralized agreements: securities purchased under agreements to resell into federal funds sold and securities purchased under resale agreements to conform to JPMorgan Chase’s classification.</w:t>
      </w:r>
    </w:p>
    <w:p>
      <w:pPr>
        <w:spacing w:after="0" w:line="76" w:lineRule="exact"/>
        <w:rPr>
          <w:sz w:val="20"/>
          <w:szCs w:val="20"/>
          <w:color w:val="auto"/>
        </w:rPr>
      </w:pPr>
    </w:p>
    <w:p>
      <w:pPr>
        <w:jc w:val="center"/>
        <w:ind w:right="360"/>
        <w:spacing w:after="0"/>
        <w:tabs>
          <w:tab w:leader="none" w:pos="260" w:val="left"/>
        </w:tabs>
        <w:rPr>
          <w:sz w:val="20"/>
          <w:szCs w:val="20"/>
          <w:color w:val="auto"/>
        </w:rPr>
      </w:pPr>
      <w:r>
        <w:rPr>
          <w:rFonts w:ascii="Arial" w:cs="Arial" w:eastAsia="Arial" w:hAnsi="Arial"/>
          <w:sz w:val="1"/>
          <w:szCs w:val="1"/>
          <w:color w:val="auto"/>
        </w:rPr>
        <w:t>3–</w:t>
      </w:r>
      <w:r>
        <w:rPr>
          <w:sz w:val="20"/>
          <w:szCs w:val="20"/>
          <w:color w:val="auto"/>
        </w:rPr>
        <w:tab/>
      </w:r>
      <w:r>
        <w:rPr>
          <w:rFonts w:ascii="Arial" w:cs="Arial" w:eastAsia="Arial" w:hAnsi="Arial"/>
          <w:sz w:val="1"/>
          <w:szCs w:val="1"/>
          <w:color w:val="auto"/>
        </w:rPr>
        <w:t>Adjustment to reclassify Bear Stearns’ financial instruments owned, at fair value into trading assets to conform to JPMorgan Chase’s classification.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ind w:left="460" w:right="20" w:hanging="459"/>
        <w:spacing w:after="0" w:line="277" w:lineRule="auto"/>
        <w:tabs>
          <w:tab w:leader="none" w:pos="440" w:val="left"/>
        </w:tabs>
        <w:rPr>
          <w:sz w:val="20"/>
          <w:szCs w:val="20"/>
          <w:color w:val="auto"/>
        </w:rPr>
      </w:pPr>
      <w:r>
        <w:rPr>
          <w:rFonts w:ascii="Arial" w:cs="Arial" w:eastAsia="Arial" w:hAnsi="Arial"/>
          <w:sz w:val="18"/>
          <w:szCs w:val="18"/>
          <w:color w:val="auto"/>
        </w:rPr>
        <w:t>4–</w:t>
        <w:tab/>
        <w:t>Adjustment to reclassify Bear Stearns’ financial instruments owned and pledged as collateral, at fair value into trading assets to conform to JPMorgan Chase’s classification.</w:t>
      </w:r>
    </w:p>
    <w:p>
      <w:pPr>
        <w:spacing w:after="0" w:line="76" w:lineRule="exact"/>
        <w:rPr>
          <w:sz w:val="20"/>
          <w:szCs w:val="20"/>
          <w:color w:val="auto"/>
        </w:rPr>
      </w:pPr>
    </w:p>
    <w:p>
      <w:pPr>
        <w:ind w:left="460" w:hanging="459"/>
        <w:spacing w:after="0" w:line="277" w:lineRule="auto"/>
        <w:tabs>
          <w:tab w:leader="none" w:pos="440" w:val="left"/>
        </w:tabs>
        <w:rPr>
          <w:sz w:val="20"/>
          <w:szCs w:val="20"/>
          <w:color w:val="auto"/>
        </w:rPr>
      </w:pPr>
      <w:r>
        <w:rPr>
          <w:rFonts w:ascii="Arial" w:cs="Arial" w:eastAsia="Arial" w:hAnsi="Arial"/>
          <w:sz w:val="18"/>
          <w:szCs w:val="18"/>
          <w:color w:val="auto"/>
        </w:rPr>
        <w:t>5–</w:t>
        <w:tab/>
        <w:t>Adjustment to reclassify Bear Stearns’ receivables, interest and dividends into accrued interest and accounts receivable to conform to JPMorgan Chase’s classification.</w:t>
      </w:r>
    </w:p>
    <w:p>
      <w:pPr>
        <w:spacing w:after="0" w:line="76" w:lineRule="exact"/>
        <w:rPr>
          <w:sz w:val="20"/>
          <w:szCs w:val="20"/>
          <w:color w:val="auto"/>
        </w:rPr>
      </w:pPr>
    </w:p>
    <w:p>
      <w:pPr>
        <w:ind w:left="460" w:hanging="459"/>
        <w:spacing w:after="0" w:line="277" w:lineRule="auto"/>
        <w:tabs>
          <w:tab w:leader="none" w:pos="440" w:val="left"/>
        </w:tabs>
        <w:rPr>
          <w:sz w:val="20"/>
          <w:szCs w:val="20"/>
          <w:color w:val="auto"/>
        </w:rPr>
      </w:pPr>
      <w:r>
        <w:rPr>
          <w:rFonts w:ascii="Arial" w:cs="Arial" w:eastAsia="Arial" w:hAnsi="Arial"/>
          <w:sz w:val="18"/>
          <w:szCs w:val="18"/>
          <w:color w:val="auto"/>
        </w:rPr>
        <w:t>6–</w:t>
        <w:tab/>
        <w:t>Adjustment to reclassify Bear Stearns’ accounts receivable and fees receivable from other assets into accrued interest and accounts receivable to conform to JPMorgan Chase’s classification.</w:t>
      </w:r>
    </w:p>
    <w:p>
      <w:pPr>
        <w:spacing w:after="0" w:line="76" w:lineRule="exact"/>
        <w:rPr>
          <w:sz w:val="20"/>
          <w:szCs w:val="20"/>
          <w:color w:val="auto"/>
        </w:rPr>
      </w:pPr>
    </w:p>
    <w:p>
      <w:pPr>
        <w:ind w:left="460" w:hanging="459"/>
        <w:spacing w:after="0" w:line="277" w:lineRule="auto"/>
        <w:tabs>
          <w:tab w:leader="none" w:pos="440" w:val="left"/>
        </w:tabs>
        <w:rPr>
          <w:sz w:val="20"/>
          <w:szCs w:val="20"/>
          <w:color w:val="auto"/>
        </w:rPr>
      </w:pPr>
      <w:r>
        <w:rPr>
          <w:rFonts w:ascii="Arial" w:cs="Arial" w:eastAsia="Arial" w:hAnsi="Arial"/>
          <w:sz w:val="18"/>
          <w:szCs w:val="18"/>
          <w:color w:val="auto"/>
        </w:rPr>
        <w:t>7–</w:t>
        <w:tab/>
        <w:t>Adjustment to reclassify JPMorgan Chase’s brokerage-related receivables from accrued interest and accounts receivable into brokerage receivables to conform to the combined JPMorgan Chase classification.</w:t>
      </w:r>
    </w:p>
    <w:p>
      <w:pPr>
        <w:spacing w:after="0" w:line="76" w:lineRule="exact"/>
        <w:rPr>
          <w:sz w:val="20"/>
          <w:szCs w:val="20"/>
          <w:color w:val="auto"/>
        </w:rPr>
      </w:pPr>
    </w:p>
    <w:p>
      <w:pPr>
        <w:ind w:left="460" w:right="20" w:hanging="459"/>
        <w:spacing w:after="0" w:line="277" w:lineRule="auto"/>
        <w:tabs>
          <w:tab w:leader="none" w:pos="440" w:val="left"/>
        </w:tabs>
        <w:rPr>
          <w:sz w:val="20"/>
          <w:szCs w:val="20"/>
          <w:color w:val="auto"/>
        </w:rPr>
      </w:pPr>
      <w:r>
        <w:rPr>
          <w:rFonts w:ascii="Arial" w:cs="Arial" w:eastAsia="Arial" w:hAnsi="Arial"/>
          <w:sz w:val="18"/>
          <w:szCs w:val="18"/>
          <w:color w:val="auto"/>
        </w:rPr>
        <w:t>8–</w:t>
        <w:tab/>
        <w:t>Adjustment to reclassify Bear Stearns’ receivables from brokerage customers, brokers, dealers and others into brokerage receivables to conform to the combined JPMorgan Chase classification.</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w:t>
        <w:tab/>
        <w:t>Adjustment to reclassify Bear Stearns’ goodwill from other assets into goodwill to conform to JPMorgan Chase’s classification.</w:t>
      </w:r>
    </w:p>
    <w:p>
      <w:pPr>
        <w:spacing w:after="0" w:line="131" w:lineRule="exact"/>
        <w:rPr>
          <w:sz w:val="20"/>
          <w:szCs w:val="20"/>
          <w:color w:val="auto"/>
        </w:rPr>
      </w:pPr>
    </w:p>
    <w:p>
      <w:pPr>
        <w:ind w:left="460" w:hanging="459"/>
        <w:spacing w:after="0" w:line="277" w:lineRule="auto"/>
        <w:tabs>
          <w:tab w:leader="none" w:pos="440" w:val="left"/>
        </w:tabs>
        <w:rPr>
          <w:sz w:val="20"/>
          <w:szCs w:val="20"/>
          <w:color w:val="auto"/>
        </w:rPr>
      </w:pPr>
      <w:r>
        <w:rPr>
          <w:rFonts w:ascii="Arial" w:cs="Arial" w:eastAsia="Arial" w:hAnsi="Arial"/>
          <w:sz w:val="18"/>
          <w:szCs w:val="18"/>
          <w:color w:val="auto"/>
        </w:rPr>
        <w:t>10–</w:t>
        <w:tab/>
        <w:t>Adjustment to reclassify Bear Stearns’ mortgage servicing rights from other assets into mortgage servicing rights to conform to JPMorgan Chase’s classification.</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Adjustment to reclassify Bear Stearns’ intangibles from other assets into all other intangibles to conform to JPMorgan Chase’s classification.</w:t>
      </w:r>
    </w:p>
    <w:p>
      <w:pPr>
        <w:spacing w:after="0" w:line="131" w:lineRule="exact"/>
        <w:rPr>
          <w:sz w:val="20"/>
          <w:szCs w:val="20"/>
          <w:color w:val="auto"/>
        </w:rPr>
      </w:pPr>
    </w:p>
    <w:p>
      <w:pPr>
        <w:ind w:left="460" w:hanging="459"/>
        <w:spacing w:after="0" w:line="308" w:lineRule="auto"/>
        <w:tabs>
          <w:tab w:leader="none" w:pos="440" w:val="left"/>
        </w:tabs>
        <w:rPr>
          <w:sz w:val="20"/>
          <w:szCs w:val="20"/>
          <w:color w:val="auto"/>
        </w:rPr>
      </w:pPr>
      <w:r>
        <w:rPr>
          <w:rFonts w:ascii="Arial" w:cs="Arial" w:eastAsia="Arial" w:hAnsi="Arial"/>
          <w:sz w:val="17"/>
          <w:szCs w:val="17"/>
          <w:color w:val="auto"/>
        </w:rPr>
        <w:t>12–</w:t>
        <w:tab/>
        <w:t>Adjustment to reclassify Bear Stearns’ assets of variable interest entities and mortgage loan special purpose entities’ instruments related to mortgage securitizations; and collateralized debt and loan obligations into trading assets to conform to JPMorgan Chase’s classification.</w:t>
      </w:r>
    </w:p>
    <w:p>
      <w:pPr>
        <w:spacing w:after="0" w:line="52" w:lineRule="exact"/>
        <w:rPr>
          <w:sz w:val="20"/>
          <w:szCs w:val="20"/>
          <w:color w:val="auto"/>
        </w:rPr>
      </w:pPr>
    </w:p>
    <w:p>
      <w:pPr>
        <w:ind w:left="460" w:hanging="459"/>
        <w:spacing w:after="0" w:line="277" w:lineRule="auto"/>
        <w:tabs>
          <w:tab w:leader="none" w:pos="440" w:val="left"/>
        </w:tabs>
        <w:rPr>
          <w:sz w:val="20"/>
          <w:szCs w:val="20"/>
          <w:color w:val="auto"/>
        </w:rPr>
      </w:pPr>
      <w:r>
        <w:rPr>
          <w:rFonts w:ascii="Arial" w:cs="Arial" w:eastAsia="Arial" w:hAnsi="Arial"/>
          <w:sz w:val="18"/>
          <w:szCs w:val="18"/>
          <w:color w:val="auto"/>
        </w:rPr>
        <w:t>13–</w:t>
        <w:tab/>
        <w:t>Adjustment to reclassify Bear Stearns’ assets of variable interest entities and mortgage loan special purpose entities related to employee funds and energy investments into other assets to conform to JPMorgan Chase’s classification.</w:t>
      </w:r>
    </w:p>
    <w:p>
      <w:pPr>
        <w:spacing w:after="0" w:line="76" w:lineRule="exact"/>
        <w:rPr>
          <w:sz w:val="20"/>
          <w:szCs w:val="20"/>
          <w:color w:val="auto"/>
        </w:rPr>
      </w:pPr>
    </w:p>
    <w:p>
      <w:pPr>
        <w:ind w:left="460" w:hanging="459"/>
        <w:spacing w:after="0" w:line="277" w:lineRule="auto"/>
        <w:tabs>
          <w:tab w:leader="none" w:pos="440" w:val="left"/>
        </w:tabs>
        <w:rPr>
          <w:sz w:val="20"/>
          <w:szCs w:val="20"/>
          <w:color w:val="auto"/>
        </w:rPr>
      </w:pPr>
      <w:r>
        <w:rPr>
          <w:rFonts w:ascii="Arial" w:cs="Arial" w:eastAsia="Arial" w:hAnsi="Arial"/>
          <w:sz w:val="18"/>
          <w:szCs w:val="18"/>
          <w:color w:val="auto"/>
        </w:rPr>
        <w:t>14–</w:t>
        <w:tab/>
        <w:t>Adjustment to reclassify Bear Stearns’ collateralized financings related to securities sold under agreements to repurchase into federal funds purchased and securities sold under repurchase agreements to conform to JPMorgan Chase’s classification.</w:t>
      </w:r>
    </w:p>
    <w:p>
      <w:pPr>
        <w:spacing w:after="0" w:line="76" w:lineRule="exact"/>
        <w:rPr>
          <w:sz w:val="20"/>
          <w:szCs w:val="20"/>
          <w:color w:val="auto"/>
        </w:rPr>
      </w:pPr>
    </w:p>
    <w:p>
      <w:pPr>
        <w:ind w:left="460" w:hanging="459"/>
        <w:spacing w:after="0" w:line="277" w:lineRule="auto"/>
        <w:tabs>
          <w:tab w:leader="none" w:pos="440" w:val="left"/>
        </w:tabs>
        <w:rPr>
          <w:sz w:val="20"/>
          <w:szCs w:val="20"/>
          <w:color w:val="auto"/>
        </w:rPr>
      </w:pPr>
      <w:r>
        <w:rPr>
          <w:rFonts w:ascii="Arial" w:cs="Arial" w:eastAsia="Arial" w:hAnsi="Arial"/>
          <w:sz w:val="18"/>
          <w:szCs w:val="18"/>
          <w:color w:val="auto"/>
        </w:rPr>
        <w:t>15–</w:t>
        <w:tab/>
        <w:t>Adjustment to reclassify JPMorgan Chase’s securities loaned from federal funds purchased and securities sold under repurchase agreements into securities loaned to conform to the combined JPMorgan Chase classification.</w:t>
      </w:r>
    </w:p>
    <w:p>
      <w:pPr>
        <w:spacing w:after="0" w:line="76" w:lineRule="exact"/>
        <w:rPr>
          <w:sz w:val="20"/>
          <w:szCs w:val="20"/>
          <w:color w:val="auto"/>
        </w:rPr>
      </w:pPr>
    </w:p>
    <w:p>
      <w:pPr>
        <w:ind w:left="460" w:hanging="459"/>
        <w:spacing w:after="0" w:line="277" w:lineRule="auto"/>
        <w:tabs>
          <w:tab w:leader="none" w:pos="440" w:val="left"/>
        </w:tabs>
        <w:rPr>
          <w:sz w:val="20"/>
          <w:szCs w:val="20"/>
          <w:color w:val="auto"/>
        </w:rPr>
      </w:pPr>
      <w:r>
        <w:rPr>
          <w:rFonts w:ascii="Arial" w:cs="Arial" w:eastAsia="Arial" w:hAnsi="Arial"/>
          <w:sz w:val="18"/>
          <w:szCs w:val="18"/>
          <w:color w:val="auto"/>
        </w:rPr>
        <w:t>16–</w:t>
        <w:tab/>
        <w:t>Adjustment to reclassify Bear Stearns’ unsecured borrowings related to federal funds purchased from unsecured short-term borrowings into federal funds purchased and securities sold under repurchase agreements to conform with JPMorgan Chase’s classification.</w:t>
      </w:r>
    </w:p>
    <w:p>
      <w:pPr>
        <w:spacing w:after="0" w:line="76" w:lineRule="exact"/>
        <w:rPr>
          <w:sz w:val="20"/>
          <w:szCs w:val="20"/>
          <w:color w:val="auto"/>
        </w:rPr>
      </w:pPr>
    </w:p>
    <w:p>
      <w:pPr>
        <w:ind w:left="460" w:hanging="459"/>
        <w:spacing w:after="0" w:line="277" w:lineRule="auto"/>
        <w:tabs>
          <w:tab w:leader="none" w:pos="440" w:val="left"/>
        </w:tabs>
        <w:rPr>
          <w:sz w:val="20"/>
          <w:szCs w:val="20"/>
          <w:color w:val="auto"/>
        </w:rPr>
      </w:pPr>
      <w:r>
        <w:rPr>
          <w:rFonts w:ascii="Arial" w:cs="Arial" w:eastAsia="Arial" w:hAnsi="Arial"/>
          <w:sz w:val="18"/>
          <w:szCs w:val="18"/>
          <w:color w:val="auto"/>
        </w:rPr>
        <w:t>17–</w:t>
        <w:tab/>
        <w:t>Adjustment to reclassify Bear Stearns’ collateralized financings related to securities loaned into securities loaned to conform to the combined JPMorgan Chase classification.</w:t>
      </w:r>
    </w:p>
    <w:p>
      <w:pPr>
        <w:spacing w:after="0" w:line="76" w:lineRule="exact"/>
        <w:rPr>
          <w:sz w:val="20"/>
          <w:szCs w:val="20"/>
          <w:color w:val="auto"/>
        </w:rPr>
      </w:pPr>
    </w:p>
    <w:p>
      <w:pPr>
        <w:ind w:left="460" w:hanging="459"/>
        <w:spacing w:after="0" w:line="277" w:lineRule="auto"/>
        <w:tabs>
          <w:tab w:leader="none" w:pos="440" w:val="left"/>
        </w:tabs>
        <w:rPr>
          <w:sz w:val="20"/>
          <w:szCs w:val="20"/>
          <w:color w:val="auto"/>
        </w:rPr>
      </w:pPr>
      <w:r>
        <w:rPr>
          <w:rFonts w:ascii="Arial" w:cs="Arial" w:eastAsia="Arial" w:hAnsi="Arial"/>
          <w:sz w:val="18"/>
          <w:szCs w:val="18"/>
          <w:color w:val="auto"/>
        </w:rPr>
        <w:t>18–</w:t>
        <w:tab/>
        <w:t>Adjustment to reclassify Bear Stearns’ collateralized financings related to other secured borrowings into other borrowed funds to conform to JPMorgan Chase’s classification.</w:t>
      </w:r>
    </w:p>
    <w:p>
      <w:pPr>
        <w:spacing w:after="0" w:line="76" w:lineRule="exact"/>
        <w:rPr>
          <w:sz w:val="20"/>
          <w:szCs w:val="20"/>
          <w:color w:val="auto"/>
        </w:rPr>
      </w:pPr>
    </w:p>
    <w:p>
      <w:pPr>
        <w:ind w:left="460" w:hanging="459"/>
        <w:spacing w:after="0" w:line="277" w:lineRule="auto"/>
        <w:tabs>
          <w:tab w:leader="none" w:pos="440" w:val="left"/>
        </w:tabs>
        <w:rPr>
          <w:sz w:val="20"/>
          <w:szCs w:val="20"/>
          <w:color w:val="auto"/>
        </w:rPr>
      </w:pPr>
      <w:r>
        <w:rPr>
          <w:rFonts w:ascii="Arial" w:cs="Arial" w:eastAsia="Arial" w:hAnsi="Arial"/>
          <w:sz w:val="18"/>
          <w:szCs w:val="18"/>
          <w:color w:val="auto"/>
        </w:rPr>
        <w:t>19–</w:t>
        <w:tab/>
        <w:t>Adjustment to reclassify Bear Stearns’ unsecured borrowings related to commercial paper from unsecured short-term borrowings into commercial paper to conform to JPMorgan Chase’s classification.</w:t>
      </w:r>
    </w:p>
    <w:p>
      <w:pPr>
        <w:spacing w:after="0" w:line="76" w:lineRule="exact"/>
        <w:rPr>
          <w:sz w:val="20"/>
          <w:szCs w:val="20"/>
          <w:color w:val="auto"/>
        </w:rPr>
      </w:pPr>
    </w:p>
    <w:p>
      <w:pPr>
        <w:ind w:left="460" w:hanging="459"/>
        <w:spacing w:after="0" w:line="277" w:lineRule="auto"/>
        <w:tabs>
          <w:tab w:leader="none" w:pos="440" w:val="left"/>
        </w:tabs>
        <w:rPr>
          <w:sz w:val="20"/>
          <w:szCs w:val="20"/>
          <w:color w:val="auto"/>
        </w:rPr>
      </w:pPr>
      <w:r>
        <w:rPr>
          <w:rFonts w:ascii="Arial" w:cs="Arial" w:eastAsia="Arial" w:hAnsi="Arial"/>
          <w:sz w:val="18"/>
          <w:szCs w:val="18"/>
          <w:color w:val="auto"/>
        </w:rPr>
        <w:t>20–</w:t>
        <w:tab/>
        <w:t>Adjustment to reclassify Bear Stearns’ unsecured borrowings related to bank loans; medium term notes; and other unsecured borrowings from unsecured short-term borrowings into other borrowed funds to conform to JPMorgan Chase’s classification.</w:t>
      </w:r>
    </w:p>
    <w:p>
      <w:pPr>
        <w:spacing w:after="0" w:line="76" w:lineRule="exact"/>
        <w:rPr>
          <w:sz w:val="20"/>
          <w:szCs w:val="20"/>
          <w:color w:val="auto"/>
        </w:rPr>
      </w:pPr>
    </w:p>
    <w:p>
      <w:pPr>
        <w:ind w:left="460" w:right="20" w:hanging="459"/>
        <w:spacing w:after="0" w:line="277" w:lineRule="auto"/>
        <w:tabs>
          <w:tab w:leader="none" w:pos="440" w:val="left"/>
        </w:tabs>
        <w:rPr>
          <w:sz w:val="20"/>
          <w:szCs w:val="20"/>
          <w:color w:val="auto"/>
        </w:rPr>
      </w:pPr>
      <w:r>
        <w:rPr>
          <w:rFonts w:ascii="Arial" w:cs="Arial" w:eastAsia="Arial" w:hAnsi="Arial"/>
          <w:sz w:val="18"/>
          <w:szCs w:val="18"/>
          <w:color w:val="auto"/>
        </w:rPr>
        <w:t>21–</w:t>
        <w:tab/>
        <w:t>Adjustment to reclassify Bear Stearns’ financial instruments sold, but not yet purchased, at fair value into trading liabilities to conform to JPMorgan Chase’s classification.</w:t>
      </w:r>
    </w:p>
    <w:p>
      <w:pPr>
        <w:spacing w:after="0" w:line="76" w:lineRule="exact"/>
        <w:rPr>
          <w:sz w:val="20"/>
          <w:szCs w:val="20"/>
          <w:color w:val="auto"/>
        </w:rPr>
      </w:pPr>
    </w:p>
    <w:p>
      <w:pPr>
        <w:ind w:left="460" w:right="20" w:hanging="459"/>
        <w:spacing w:after="0" w:line="277" w:lineRule="auto"/>
        <w:tabs>
          <w:tab w:leader="none" w:pos="440" w:val="left"/>
        </w:tabs>
        <w:rPr>
          <w:sz w:val="20"/>
          <w:szCs w:val="20"/>
          <w:color w:val="auto"/>
        </w:rPr>
      </w:pPr>
      <w:r>
        <w:rPr>
          <w:rFonts w:ascii="Arial" w:cs="Arial" w:eastAsia="Arial" w:hAnsi="Arial"/>
          <w:sz w:val="18"/>
          <w:szCs w:val="18"/>
          <w:color w:val="auto"/>
        </w:rPr>
        <w:t>22–</w:t>
        <w:tab/>
        <w:t>Adjustment to reclassify Bear Stearns’ payables related to customers, and interest and dividends into accounts payable, accrued expense and other liabilities to conform to JPMorgan Chase’s classification.</w:t>
      </w:r>
    </w:p>
    <w:p>
      <w:pPr>
        <w:spacing w:after="0" w:line="76" w:lineRule="exact"/>
        <w:rPr>
          <w:sz w:val="20"/>
          <w:szCs w:val="20"/>
          <w:color w:val="auto"/>
        </w:rPr>
      </w:pPr>
    </w:p>
    <w:p>
      <w:pPr>
        <w:ind w:left="460" w:right="20" w:hanging="459"/>
        <w:spacing w:after="0" w:line="277" w:lineRule="auto"/>
        <w:tabs>
          <w:tab w:leader="none" w:pos="440" w:val="left"/>
        </w:tabs>
        <w:rPr>
          <w:sz w:val="20"/>
          <w:szCs w:val="20"/>
          <w:color w:val="auto"/>
        </w:rPr>
      </w:pPr>
      <w:r>
        <w:rPr>
          <w:rFonts w:ascii="Arial" w:cs="Arial" w:eastAsia="Arial" w:hAnsi="Arial"/>
          <w:sz w:val="18"/>
          <w:szCs w:val="18"/>
          <w:color w:val="auto"/>
        </w:rPr>
        <w:t>23–</w:t>
        <w:tab/>
        <w:t>Adjustment to reclassify Bear Stearns’ payables related to brokers, dealers and others into brokerage payables to conform to the combined JPMorgan Chase classification.</w:t>
      </w:r>
    </w:p>
    <w:p>
      <w:pPr>
        <w:spacing w:after="0" w:line="76" w:lineRule="exact"/>
        <w:rPr>
          <w:sz w:val="20"/>
          <w:szCs w:val="20"/>
          <w:color w:val="auto"/>
        </w:rPr>
      </w:pPr>
    </w:p>
    <w:p>
      <w:pPr>
        <w:ind w:left="460" w:hanging="459"/>
        <w:spacing w:after="0" w:line="277" w:lineRule="auto"/>
        <w:tabs>
          <w:tab w:leader="none" w:pos="440" w:val="left"/>
        </w:tabs>
        <w:rPr>
          <w:sz w:val="20"/>
          <w:szCs w:val="20"/>
          <w:color w:val="auto"/>
        </w:rPr>
      </w:pPr>
      <w:r>
        <w:rPr>
          <w:rFonts w:ascii="Arial" w:cs="Arial" w:eastAsia="Arial" w:hAnsi="Arial"/>
          <w:sz w:val="18"/>
          <w:szCs w:val="18"/>
          <w:color w:val="auto"/>
        </w:rPr>
        <w:t>24–</w:t>
        <w:tab/>
        <w:t>Adjustment to reclassify JPMorgan Chase’s brokerage-related payables from accounts payable, accrued expense and other liabilities into brokerage payables to conform to the combined JPMorgan Chase classification.</w:t>
      </w:r>
    </w:p>
    <w:p>
      <w:pPr>
        <w:spacing w:after="0" w:line="76" w:lineRule="exact"/>
        <w:rPr>
          <w:sz w:val="20"/>
          <w:szCs w:val="20"/>
          <w:color w:val="auto"/>
        </w:rPr>
      </w:pPr>
    </w:p>
    <w:p>
      <w:pPr>
        <w:ind w:left="460" w:right="20" w:hanging="459"/>
        <w:spacing w:after="0" w:line="277" w:lineRule="auto"/>
        <w:tabs>
          <w:tab w:leader="none" w:pos="440" w:val="left"/>
        </w:tabs>
        <w:rPr>
          <w:sz w:val="20"/>
          <w:szCs w:val="20"/>
          <w:color w:val="auto"/>
        </w:rPr>
      </w:pPr>
      <w:r>
        <w:rPr>
          <w:rFonts w:ascii="Arial" w:cs="Arial" w:eastAsia="Arial" w:hAnsi="Arial"/>
          <w:sz w:val="18"/>
          <w:szCs w:val="18"/>
          <w:color w:val="auto"/>
        </w:rPr>
        <w:t>25–</w:t>
        <w:tab/>
        <w:t>Adjustment to reclassify Bear Stearns’ accrued employee compensation and benefits into accounts payable, accrued expense and other liabilities to conform to JPMorgan Chase’s classification.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jc w:val="both"/>
        <w:ind w:left="460" w:hanging="459"/>
        <w:spacing w:after="0" w:line="277" w:lineRule="auto"/>
        <w:tabs>
          <w:tab w:leader="none" w:pos="440" w:val="left"/>
        </w:tabs>
        <w:rPr>
          <w:sz w:val="20"/>
          <w:szCs w:val="20"/>
          <w:color w:val="auto"/>
        </w:rPr>
      </w:pPr>
      <w:r>
        <w:rPr>
          <w:rFonts w:ascii="Arial" w:cs="Arial" w:eastAsia="Arial" w:hAnsi="Arial"/>
          <w:sz w:val="18"/>
          <w:szCs w:val="18"/>
          <w:color w:val="auto"/>
        </w:rPr>
        <w:t>26–</w:t>
        <w:tab/>
        <w:t>Adjustment to reclassify Bear Stearns’ other liabilities and accrued expenses into accounts payable, accrued expense and other liabilities to conform to JPMorgan Chase’s classification.</w:t>
      </w:r>
    </w:p>
    <w:p>
      <w:pPr>
        <w:spacing w:after="0" w:line="76" w:lineRule="exact"/>
        <w:rPr>
          <w:sz w:val="20"/>
          <w:szCs w:val="20"/>
          <w:color w:val="auto"/>
        </w:rPr>
      </w:pPr>
    </w:p>
    <w:p>
      <w:pPr>
        <w:jc w:val="both"/>
        <w:ind w:left="460" w:hanging="459"/>
        <w:spacing w:after="0" w:line="277" w:lineRule="auto"/>
        <w:tabs>
          <w:tab w:leader="none" w:pos="440" w:val="left"/>
        </w:tabs>
        <w:rPr>
          <w:sz w:val="20"/>
          <w:szCs w:val="20"/>
          <w:color w:val="auto"/>
        </w:rPr>
      </w:pPr>
      <w:r>
        <w:rPr>
          <w:rFonts w:ascii="Arial" w:cs="Arial" w:eastAsia="Arial" w:hAnsi="Arial"/>
          <w:sz w:val="18"/>
          <w:szCs w:val="18"/>
          <w:color w:val="auto"/>
        </w:rPr>
        <w:t>27–</w:t>
        <w:tab/>
        <w:t>Adjustment to reclassify Bear Stearns’ liabilities of variable interest entities and mortgage loan special purpose entities into beneficial interests issued by consolidated variable interest entities to conform to JPMorgan Chase’s classification.</w:t>
      </w:r>
    </w:p>
    <w:p>
      <w:pPr>
        <w:spacing w:after="0" w:line="76" w:lineRule="exact"/>
        <w:rPr>
          <w:sz w:val="20"/>
          <w:szCs w:val="20"/>
          <w:color w:val="auto"/>
        </w:rPr>
      </w:pPr>
    </w:p>
    <w:p>
      <w:pPr>
        <w:jc w:val="both"/>
        <w:ind w:left="460" w:hanging="459"/>
        <w:spacing w:after="0" w:line="308" w:lineRule="auto"/>
        <w:tabs>
          <w:tab w:leader="none" w:pos="440" w:val="left"/>
        </w:tabs>
        <w:rPr>
          <w:sz w:val="20"/>
          <w:szCs w:val="20"/>
          <w:color w:val="auto"/>
        </w:rPr>
      </w:pPr>
      <w:r>
        <w:rPr>
          <w:rFonts w:ascii="Arial" w:cs="Arial" w:eastAsia="Arial" w:hAnsi="Arial"/>
          <w:sz w:val="17"/>
          <w:szCs w:val="17"/>
          <w:color w:val="auto"/>
        </w:rPr>
        <w:t>28–</w:t>
        <w:tab/>
        <w:t>Adjustment to reclassify Bear Stearns’ junior subordinated deferrable interest debentures from long-term debt into junior subordinated deferrable interest debentures held by trusts that issued guaranteed capital debt securities to conform to JPMorgan Chase’s classification.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Unaudited Pro Forma Adjustments</w:t>
      </w:r>
    </w:p>
    <w:p>
      <w:pPr>
        <w:spacing w:after="0" w:line="2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unaudited pro forma combined financial information reflects (1) the issuance of approximately 28,997,000 shares of JPMorgan Chase common stock with an aggregate value of $1.3 billion, which includes the exchange of 27,998,778 Bear Stearns employee stock awards with an estimated fair value of $274 million at February 29, 2008, for equivalent JPMorgan Chase stock awards which are expected to be fully vested immediately after the merger date; and</w:t>
      </w:r>
    </w:p>
    <w:p>
      <w:pPr>
        <w:spacing w:after="0" w:line="2" w:lineRule="exact"/>
        <w:rPr>
          <w:sz w:val="20"/>
          <w:szCs w:val="20"/>
          <w:color w:val="auto"/>
        </w:rPr>
      </w:pPr>
    </w:p>
    <w:p>
      <w:pPr>
        <w:jc w:val="both"/>
        <w:ind w:firstLine="8"/>
        <w:spacing w:after="0" w:line="254" w:lineRule="auto"/>
        <w:tabs>
          <w:tab w:leader="none" w:pos="266" w:val="left"/>
        </w:tabs>
        <w:numPr>
          <w:ilvl w:val="0"/>
          <w:numId w:val="1"/>
        </w:numPr>
        <w:rPr>
          <w:rFonts w:ascii="Arial" w:cs="Arial" w:eastAsia="Arial" w:hAnsi="Arial"/>
          <w:sz w:val="18"/>
          <w:szCs w:val="18"/>
          <w:color w:val="auto"/>
        </w:rPr>
      </w:pPr>
      <w:r>
        <w:rPr>
          <w:rFonts w:ascii="Arial" w:cs="Arial" w:eastAsia="Arial" w:hAnsi="Arial"/>
          <w:sz w:val="18"/>
          <w:szCs w:val="18"/>
          <w:color w:val="auto"/>
        </w:rPr>
        <w:t>12,368,342 shares of Bear Stearns common stock that JPMorgan Chase acquired with cash for $150 million in the open market before March 31, 2008. Bear Stearns vested employee stock options had no impact on the purchase price, as the weighted average exercise price of these options was $87.64, which significantly exceeds the closing price of Bear Stearns common stock on March 28, 2008. Given the extent to which these options are out-of-the-money, their fair value is expected to be zero upon conversion into JPMorgan Chase stock options.</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amendment to the merger agreement, JPMorgan Chase entered into a share exchange agreement under which JPMorgan Chase acquired 95,000,000 newly-issued shares of Bear Stearns common stock (or 39.5% of the outstanding common stock after giving effect to the issuance) at the same price as provided for the acquisition of other Bear Stearns common stock pursuant to the merger agreement. The following table provides a reconciliation of Bear Stearns’ common stock outstanding and in treasury to the shares of common stock that were converted into shares of JPMorgan Chase common stock as of the pro forma merger date.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7"/>
        </w:trPr>
        <w:tc>
          <w:tcPr>
            <w:tcW w:w="66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400" w:type="dxa"/>
            <w:vAlign w:val="bottom"/>
          </w:tcPr>
          <w:p>
            <w:pPr>
              <w:spacing w:after="0"/>
              <w:rPr>
                <w:sz w:val="14"/>
                <w:szCs w:val="14"/>
                <w:color w:val="auto"/>
              </w:rPr>
            </w:pPr>
          </w:p>
        </w:tc>
        <w:tc>
          <w:tcPr>
            <w:tcW w:w="2120" w:type="dxa"/>
            <w:vAlign w:val="bottom"/>
          </w:tcPr>
          <w:p>
            <w:pPr>
              <w:jc w:val="right"/>
              <w:ind w:right="48"/>
              <w:spacing w:after="0"/>
              <w:rPr>
                <w:sz w:val="20"/>
                <w:szCs w:val="20"/>
                <w:color w:val="auto"/>
              </w:rPr>
            </w:pPr>
            <w:r>
              <w:rPr>
                <w:rFonts w:ascii="Arial" w:cs="Arial" w:eastAsia="Arial" w:hAnsi="Arial"/>
                <w:sz w:val="14"/>
                <w:szCs w:val="14"/>
                <w:color w:val="auto"/>
              </w:rPr>
              <w:t>Bear Stearns Common Shares</w:t>
            </w:r>
          </w:p>
        </w:tc>
        <w:tc>
          <w:tcPr>
            <w:tcW w:w="124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6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Issued</w:t>
            </w:r>
          </w:p>
        </w:tc>
        <w:tc>
          <w:tcPr>
            <w:tcW w:w="2120" w:type="dxa"/>
            <w:vAlign w:val="bottom"/>
            <w:tcBorders>
              <w:top w:val="single" w:sz="8" w:color="auto"/>
            </w:tcBorders>
          </w:tcPr>
          <w:p>
            <w:pPr>
              <w:jc w:val="right"/>
              <w:ind w:right="768"/>
              <w:spacing w:after="0" w:line="155" w:lineRule="exact"/>
              <w:rPr>
                <w:sz w:val="20"/>
                <w:szCs w:val="20"/>
                <w:color w:val="auto"/>
              </w:rPr>
            </w:pPr>
            <w:r>
              <w:rPr>
                <w:rFonts w:ascii="Arial" w:cs="Arial" w:eastAsia="Arial" w:hAnsi="Arial"/>
                <w:sz w:val="14"/>
                <w:szCs w:val="14"/>
                <w:color w:val="auto"/>
              </w:rPr>
              <w:t>Treasury</w:t>
            </w:r>
          </w:p>
        </w:tc>
        <w:tc>
          <w:tcPr>
            <w:tcW w:w="124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Net Outstanding</w:t>
            </w: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and outstanding at February 29, 2008</w:t>
            </w:r>
          </w:p>
        </w:tc>
        <w:tc>
          <w:tcPr>
            <w:tcW w:w="14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184,806</w:t>
            </w:r>
          </w:p>
        </w:tc>
        <w:tc>
          <w:tcPr>
            <w:tcW w:w="2120" w:type="dxa"/>
            <w:vAlign w:val="bottom"/>
            <w:shd w:val="clear" w:color="auto" w:fill="CCEEFF"/>
          </w:tcPr>
          <w:p>
            <w:pPr>
              <w:jc w:val="right"/>
              <w:ind w:right="748"/>
              <w:spacing w:after="0" w:line="149" w:lineRule="exact"/>
              <w:rPr>
                <w:sz w:val="20"/>
                <w:szCs w:val="20"/>
                <w:color w:val="auto"/>
              </w:rPr>
            </w:pPr>
            <w:r>
              <w:rPr>
                <w:rFonts w:ascii="Arial" w:cs="Arial" w:eastAsia="Arial" w:hAnsi="Arial"/>
                <w:sz w:val="14"/>
                <w:szCs w:val="14"/>
                <w:color w:val="auto"/>
              </w:rPr>
              <w:t>(39,136)</w:t>
            </w:r>
          </w:p>
        </w:tc>
        <w:tc>
          <w:tcPr>
            <w:tcW w:w="124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145,670</w:t>
            </w:r>
          </w:p>
        </w:tc>
      </w:tr>
      <w:tr>
        <w:trPr>
          <w:trHeight w:val="304"/>
        </w:trPr>
        <w:tc>
          <w:tcPr>
            <w:tcW w:w="6660" w:type="dxa"/>
            <w:vAlign w:val="bottom"/>
            <w:gridSpan w:val="2"/>
          </w:tcPr>
          <w:p>
            <w:pPr>
              <w:spacing w:after="0"/>
              <w:rPr>
                <w:sz w:val="20"/>
                <w:szCs w:val="20"/>
                <w:color w:val="auto"/>
              </w:rPr>
            </w:pPr>
            <w:r>
              <w:rPr>
                <w:rFonts w:ascii="Arial" w:cs="Arial" w:eastAsia="Arial" w:hAnsi="Arial"/>
                <w:sz w:val="14"/>
                <w:szCs w:val="14"/>
                <w:color w:val="auto"/>
              </w:rPr>
              <w:t>Shares issued per the Share Exchange Agreement</w:t>
            </w:r>
            <w:r>
              <w:rPr>
                <w:rFonts w:ascii="Arial" w:cs="Arial" w:eastAsia="Arial" w:hAnsi="Arial"/>
                <w:sz w:val="12"/>
                <w:szCs w:val="12"/>
                <w:color w:val="auto"/>
              </w:rPr>
              <w:t>(1)</w:t>
            </w:r>
          </w:p>
        </w:tc>
        <w:tc>
          <w:tcPr>
            <w:tcW w:w="1400" w:type="dxa"/>
            <w:vAlign w:val="bottom"/>
          </w:tcPr>
          <w:p>
            <w:pPr>
              <w:jc w:val="right"/>
              <w:ind w:right="248"/>
              <w:spacing w:after="0"/>
              <w:rPr>
                <w:sz w:val="20"/>
                <w:szCs w:val="20"/>
                <w:color w:val="auto"/>
              </w:rPr>
            </w:pPr>
            <w:r>
              <w:rPr>
                <w:rFonts w:ascii="Arial" w:cs="Arial" w:eastAsia="Arial" w:hAnsi="Arial"/>
                <w:sz w:val="14"/>
                <w:szCs w:val="14"/>
                <w:color w:val="auto"/>
              </w:rPr>
              <w:t>95,000</w:t>
            </w:r>
          </w:p>
        </w:tc>
        <w:tc>
          <w:tcPr>
            <w:tcW w:w="212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28"/>
              <w:spacing w:after="0"/>
              <w:rPr>
                <w:sz w:val="20"/>
                <w:szCs w:val="20"/>
                <w:color w:val="auto"/>
              </w:rPr>
            </w:pPr>
            <w:r>
              <w:rPr>
                <w:rFonts w:ascii="Arial" w:cs="Arial" w:eastAsia="Arial" w:hAnsi="Arial"/>
                <w:sz w:val="14"/>
                <w:szCs w:val="14"/>
                <w:color w:val="auto"/>
              </w:rPr>
              <w:t>95,000</w:t>
            </w:r>
          </w:p>
        </w:tc>
      </w:tr>
      <w:tr>
        <w:trPr>
          <w:trHeight w:val="149"/>
        </w:trPr>
        <w:tc>
          <w:tcPr>
            <w:tcW w:w="20" w:type="dxa"/>
            <w:vAlign w:val="bottom"/>
          </w:tcPr>
          <w:p>
            <w:pPr>
              <w:spacing w:after="0"/>
              <w:rPr>
                <w:sz w:val="12"/>
                <w:szCs w:val="12"/>
                <w:color w:val="auto"/>
              </w:rPr>
            </w:pPr>
          </w:p>
        </w:tc>
        <w:tc>
          <w:tcPr>
            <w:tcW w:w="66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Shares issued and outstanding after the share exchange</w:t>
            </w:r>
          </w:p>
        </w:tc>
        <w:tc>
          <w:tcPr>
            <w:tcW w:w="1400" w:type="dxa"/>
            <w:vAlign w:val="bottom"/>
            <w:tcBorders>
              <w:top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279,806</w:t>
            </w:r>
          </w:p>
        </w:tc>
        <w:tc>
          <w:tcPr>
            <w:tcW w:w="2120" w:type="dxa"/>
            <w:vAlign w:val="bottom"/>
            <w:tcBorders>
              <w:top w:val="single" w:sz="8" w:color="auto"/>
            </w:tcBorders>
            <w:shd w:val="clear" w:color="auto" w:fill="CCEEFF"/>
          </w:tcPr>
          <w:p>
            <w:pPr>
              <w:jc w:val="right"/>
              <w:ind w:right="748"/>
              <w:spacing w:after="0" w:line="149" w:lineRule="exact"/>
              <w:rPr>
                <w:sz w:val="20"/>
                <w:szCs w:val="20"/>
                <w:color w:val="auto"/>
              </w:rPr>
            </w:pPr>
            <w:r>
              <w:rPr>
                <w:rFonts w:ascii="Arial" w:cs="Arial" w:eastAsia="Arial" w:hAnsi="Arial"/>
                <w:sz w:val="14"/>
                <w:szCs w:val="14"/>
                <w:color w:val="auto"/>
              </w:rPr>
              <w:t>(39,136)</w:t>
            </w:r>
          </w:p>
        </w:tc>
        <w:tc>
          <w:tcPr>
            <w:tcW w:w="1240" w:type="dxa"/>
            <w:vAlign w:val="bottom"/>
            <w:tcBorders>
              <w:top w:val="single" w:sz="8" w:color="auto"/>
            </w:tcBorders>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240,670</w:t>
            </w:r>
          </w:p>
        </w:tc>
      </w:tr>
      <w:tr>
        <w:trPr>
          <w:trHeight w:val="149"/>
        </w:trPr>
        <w:tc>
          <w:tcPr>
            <w:tcW w:w="20" w:type="dxa"/>
            <w:vAlign w:val="bottom"/>
          </w:tcPr>
          <w:p>
            <w:pPr>
              <w:spacing w:after="0"/>
              <w:rPr>
                <w:sz w:val="12"/>
                <w:szCs w:val="12"/>
                <w:color w:val="auto"/>
              </w:rPr>
            </w:pPr>
          </w:p>
        </w:tc>
        <w:tc>
          <w:tcPr>
            <w:tcW w:w="6640" w:type="dxa"/>
            <w:vAlign w:val="bottom"/>
          </w:tcPr>
          <w:p>
            <w:pPr>
              <w:spacing w:after="0" w:line="149" w:lineRule="exact"/>
              <w:rPr>
                <w:sz w:val="20"/>
                <w:szCs w:val="20"/>
                <w:color w:val="auto"/>
              </w:rPr>
            </w:pPr>
            <w:r>
              <w:rPr>
                <w:rFonts w:ascii="Arial" w:cs="Arial" w:eastAsia="Arial" w:hAnsi="Arial"/>
                <w:sz w:val="14"/>
                <w:szCs w:val="14"/>
                <w:color w:val="auto"/>
              </w:rPr>
              <w:t>Cancellation of shares issued to JPMorgan Chase in connection with the share exchange</w:t>
            </w:r>
          </w:p>
        </w:tc>
        <w:tc>
          <w:tcPr>
            <w:tcW w:w="14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(95,000)</w:t>
            </w:r>
          </w:p>
        </w:tc>
        <w:tc>
          <w:tcPr>
            <w:tcW w:w="2120" w:type="dxa"/>
            <w:vAlign w:val="bottom"/>
          </w:tcPr>
          <w:p>
            <w:pPr>
              <w:jc w:val="right"/>
              <w:ind w:right="788"/>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(95,000)</w:t>
            </w:r>
          </w:p>
        </w:tc>
      </w:tr>
      <w:tr>
        <w:trPr>
          <w:trHeight w:val="149"/>
        </w:trPr>
        <w:tc>
          <w:tcPr>
            <w:tcW w:w="20" w:type="dxa"/>
            <w:vAlign w:val="bottom"/>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Treasury shares cancelled in connection with the merger</w:t>
            </w:r>
          </w:p>
        </w:tc>
        <w:tc>
          <w:tcPr>
            <w:tcW w:w="140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(39,136)</w:t>
            </w:r>
          </w:p>
        </w:tc>
        <w:tc>
          <w:tcPr>
            <w:tcW w:w="2120" w:type="dxa"/>
            <w:vAlign w:val="bottom"/>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39,136</w:t>
            </w:r>
          </w:p>
        </w:tc>
        <w:tc>
          <w:tcPr>
            <w:tcW w:w="124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66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Cancellation of shares acquired by JPMorgan Chase for cash in the open market through March 31, 2008</w:t>
            </w:r>
          </w:p>
        </w:tc>
        <w:tc>
          <w:tcPr>
            <w:tcW w:w="1400" w:type="dxa"/>
            <w:vAlign w:val="bottom"/>
            <w:tcBorders>
              <w:bottom w:val="single" w:sz="8" w:color="auto"/>
            </w:tcBorders>
          </w:tcPr>
          <w:p>
            <w:pPr>
              <w:jc w:val="right"/>
              <w:ind w:right="188"/>
              <w:spacing w:after="0" w:line="149" w:lineRule="exact"/>
              <w:rPr>
                <w:sz w:val="20"/>
                <w:szCs w:val="20"/>
                <w:color w:val="auto"/>
              </w:rPr>
            </w:pPr>
            <w:r>
              <w:rPr>
                <w:rFonts w:ascii="Arial" w:cs="Arial" w:eastAsia="Arial" w:hAnsi="Arial"/>
                <w:sz w:val="14"/>
                <w:szCs w:val="14"/>
                <w:color w:val="auto"/>
              </w:rPr>
              <w:t>(12,368)</w:t>
            </w:r>
          </w:p>
        </w:tc>
        <w:tc>
          <w:tcPr>
            <w:tcW w:w="2120" w:type="dxa"/>
            <w:vAlign w:val="bottom"/>
            <w:tcBorders>
              <w:bottom w:val="single" w:sz="8" w:color="auto"/>
            </w:tcBorders>
          </w:tcPr>
          <w:p>
            <w:pPr>
              <w:jc w:val="right"/>
              <w:ind w:right="788"/>
              <w:spacing w:after="0" w:line="149"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8"/>
              <w:spacing w:after="0" w:line="149" w:lineRule="exact"/>
              <w:rPr>
                <w:sz w:val="20"/>
                <w:szCs w:val="20"/>
                <w:color w:val="auto"/>
              </w:rPr>
            </w:pPr>
            <w:r>
              <w:rPr>
                <w:rFonts w:ascii="Arial" w:cs="Arial" w:eastAsia="Arial" w:hAnsi="Arial"/>
                <w:sz w:val="14"/>
                <w:szCs w:val="14"/>
                <w:color w:val="auto"/>
              </w:rPr>
              <w:t>(12,368)</w:t>
            </w:r>
          </w:p>
        </w:tc>
      </w:tr>
      <w:tr>
        <w:trPr>
          <w:trHeight w:val="149"/>
        </w:trPr>
        <w:tc>
          <w:tcPr>
            <w:tcW w:w="20" w:type="dxa"/>
            <w:vAlign w:val="bottom"/>
          </w:tcPr>
          <w:p>
            <w:pPr>
              <w:spacing w:after="0"/>
              <w:rPr>
                <w:sz w:val="12"/>
                <w:szCs w:val="12"/>
                <w:color w:val="auto"/>
              </w:rPr>
            </w:pPr>
          </w:p>
        </w:tc>
        <w:tc>
          <w:tcPr>
            <w:tcW w:w="66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 xml:space="preserve">Shares to be converted into JPMorgan Chase common shares based on the exchange ratio of 0.21753 </w:t>
            </w:r>
            <w:r>
              <w:rPr>
                <w:rFonts w:ascii="Arial" w:cs="Arial" w:eastAsia="Arial" w:hAnsi="Arial"/>
                <w:sz w:val="12"/>
                <w:szCs w:val="12"/>
                <w:color w:val="auto"/>
              </w:rPr>
              <w:t>(2)</w:t>
            </w:r>
          </w:p>
        </w:tc>
        <w:tc>
          <w:tcPr>
            <w:tcW w:w="1400" w:type="dxa"/>
            <w:vAlign w:val="bottom"/>
            <w:tcBorders>
              <w:bottom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133,302</w:t>
            </w:r>
          </w:p>
        </w:tc>
        <w:tc>
          <w:tcPr>
            <w:tcW w:w="2120" w:type="dxa"/>
            <w:vAlign w:val="bottom"/>
            <w:tcBorders>
              <w:bottom w:val="single" w:sz="8" w:color="auto"/>
            </w:tcBorders>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133,302</w:t>
            </w:r>
          </w:p>
        </w:tc>
      </w:tr>
    </w:tbl>
    <w:p>
      <w:pPr>
        <w:spacing w:after="0" w:line="49" w:lineRule="exact"/>
        <w:rPr>
          <w:sz w:val="20"/>
          <w:szCs w:val="20"/>
          <w:color w:val="auto"/>
        </w:rPr>
      </w:pPr>
    </w:p>
    <w:p>
      <w:pPr>
        <w:ind w:left="460" w:hanging="452"/>
        <w:spacing w:after="0" w:line="253" w:lineRule="auto"/>
        <w:tabs>
          <w:tab w:leader="none" w:pos="460"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JPMorgan Chase’s acquisition on April 8, 2008, of a 39.5% interest by the exchange of 95 million Bear Stearns common shares for approximately 21 million JPMorgan Chase common shares under the share exchange agreement.</w:t>
      </w:r>
    </w:p>
    <w:p>
      <w:pPr>
        <w:spacing w:after="0" w:line="25" w:lineRule="exact"/>
        <w:rPr>
          <w:rFonts w:ascii="Arial" w:cs="Arial" w:eastAsia="Arial" w:hAnsi="Arial"/>
          <w:sz w:val="14"/>
          <w:szCs w:val="14"/>
          <w:i w:val="1"/>
          <w:iCs w:val="1"/>
          <w:color w:val="auto"/>
        </w:rPr>
      </w:pPr>
    </w:p>
    <w:p>
      <w:pPr>
        <w:ind w:left="460" w:hanging="452"/>
        <w:spacing w:after="0" w:line="253" w:lineRule="auto"/>
        <w:tabs>
          <w:tab w:leader="none" w:pos="460"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JPMorgan Chase’s acquisition of 100% of Bear Stearns’ common shares by the conversion of all outstanding shares (except for shares acquired by JPMorgan Chase for cash in the open market) into shares of JPMorgan Chase under the merger agreement.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80" w:type="dxa"/>
            <w:vAlign w:val="bottom"/>
            <w:gridSpan w:val="2"/>
          </w:tcPr>
          <w:p>
            <w:pPr>
              <w:spacing w:after="0"/>
              <w:rPr>
                <w:sz w:val="20"/>
                <w:szCs w:val="20"/>
                <w:color w:val="auto"/>
              </w:rPr>
            </w:pPr>
            <w:r>
              <w:rPr>
                <w:rFonts w:ascii="Arial" w:cs="Arial" w:eastAsia="Arial" w:hAnsi="Arial"/>
                <w:sz w:val="14"/>
                <w:szCs w:val="14"/>
                <w:color w:val="auto"/>
              </w:rPr>
              <w:t>(in millions, except per share amounts and where otherwise noted)</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March 31, 2008</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846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Purchase price</w:t>
            </w:r>
          </w:p>
        </w:tc>
        <w:tc>
          <w:tcPr>
            <w:tcW w:w="5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60" w:type="dxa"/>
            <w:vAlign w:val="bottom"/>
          </w:tcPr>
          <w:p>
            <w:pPr>
              <w:spacing w:after="0" w:line="149" w:lineRule="exact"/>
              <w:rPr>
                <w:sz w:val="20"/>
                <w:szCs w:val="20"/>
                <w:color w:val="auto"/>
              </w:rPr>
            </w:pPr>
            <w:r>
              <w:rPr>
                <w:rFonts w:ascii="Arial" w:cs="Arial" w:eastAsia="Arial" w:hAnsi="Arial"/>
                <w:sz w:val="14"/>
                <w:szCs w:val="14"/>
                <w:color w:val="auto"/>
              </w:rPr>
              <w:t>Bear Stearns common stock exchanged (in thousands)</w:t>
            </w:r>
          </w:p>
        </w:tc>
        <w:tc>
          <w:tcPr>
            <w:tcW w:w="560" w:type="dxa"/>
            <w:vAlign w:val="bottom"/>
          </w:tcPr>
          <w:p>
            <w:pPr>
              <w:spacing w:after="0"/>
              <w:rPr>
                <w:sz w:val="12"/>
                <w:szCs w:val="12"/>
                <w:color w:val="auto"/>
              </w:rPr>
            </w:pPr>
          </w:p>
        </w:tc>
        <w:tc>
          <w:tcPr>
            <w:tcW w:w="1640" w:type="dxa"/>
            <w:vAlign w:val="bottom"/>
            <w:gridSpan w:val="2"/>
          </w:tcPr>
          <w:p>
            <w:pPr>
              <w:jc w:val="right"/>
              <w:ind w:right="1088"/>
              <w:spacing w:after="0" w:line="149" w:lineRule="exact"/>
              <w:rPr>
                <w:sz w:val="20"/>
                <w:szCs w:val="20"/>
                <w:color w:val="auto"/>
              </w:rPr>
            </w:pPr>
            <w:r>
              <w:rPr>
                <w:rFonts w:ascii="Arial" w:cs="Arial" w:eastAsia="Arial" w:hAnsi="Arial"/>
                <w:sz w:val="14"/>
                <w:szCs w:val="14"/>
                <w:color w:val="auto"/>
                <w:w w:val="90"/>
              </w:rPr>
              <w:t>133,302</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Exchange ratio</w:t>
            </w:r>
          </w:p>
        </w:tc>
        <w:tc>
          <w:tcPr>
            <w:tcW w:w="5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1088"/>
              <w:spacing w:after="0" w:line="149" w:lineRule="exact"/>
              <w:rPr>
                <w:sz w:val="20"/>
                <w:szCs w:val="20"/>
                <w:color w:val="auto"/>
              </w:rPr>
            </w:pPr>
            <w:r>
              <w:rPr>
                <w:rFonts w:ascii="Arial" w:cs="Arial" w:eastAsia="Arial" w:hAnsi="Arial"/>
                <w:sz w:val="14"/>
                <w:szCs w:val="14"/>
                <w:color w:val="auto"/>
                <w:w w:val="90"/>
              </w:rPr>
              <w:t>0.</w:t>
            </w:r>
            <w:r>
              <w:rPr>
                <w:rFonts w:ascii="Arial" w:cs="Arial" w:eastAsia="Arial" w:hAnsi="Arial"/>
                <w:sz w:val="14"/>
                <w:szCs w:val="14"/>
                <w:u w:val="single" w:color="auto"/>
                <w:color w:val="auto"/>
                <w:w w:val="90"/>
              </w:rPr>
              <w:t>21753</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56"/>
        </w:trPr>
        <w:tc>
          <w:tcPr>
            <w:tcW w:w="8480" w:type="dxa"/>
            <w:vAlign w:val="bottom"/>
            <w:gridSpan w:val="2"/>
          </w:tcPr>
          <w:p>
            <w:pPr>
              <w:spacing w:after="0" w:line="155" w:lineRule="exact"/>
              <w:rPr>
                <w:sz w:val="20"/>
                <w:szCs w:val="20"/>
                <w:color w:val="auto"/>
              </w:rPr>
            </w:pPr>
            <w:r>
              <w:rPr>
                <w:rFonts w:ascii="Arial" w:cs="Arial" w:eastAsia="Arial" w:hAnsi="Arial"/>
                <w:sz w:val="14"/>
                <w:szCs w:val="14"/>
                <w:color w:val="auto"/>
              </w:rPr>
              <w:t>JPMorgan Chase common stock to be issued (in thousands)</w:t>
            </w:r>
          </w:p>
        </w:tc>
        <w:tc>
          <w:tcPr>
            <w:tcW w:w="56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28,997</w:t>
            </w:r>
          </w:p>
        </w:tc>
        <w:tc>
          <w:tcPr>
            <w:tcW w:w="1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purchase price per JPMorgan Chase common share</w:t>
            </w:r>
            <w:r>
              <w:rPr>
                <w:rFonts w:ascii="Arial" w:cs="Arial" w:eastAsia="Arial" w:hAnsi="Arial"/>
                <w:sz w:val="12"/>
                <w:szCs w:val="12"/>
                <w:color w:val="auto"/>
              </w:rPr>
              <w:t>(1)</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jc w:val="right"/>
              <w:ind w:right="1088"/>
              <w:spacing w:after="0" w:line="149" w:lineRule="exact"/>
              <w:rPr>
                <w:sz w:val="20"/>
                <w:szCs w:val="20"/>
                <w:color w:val="auto"/>
              </w:rPr>
            </w:pPr>
            <w:r>
              <w:rPr>
                <w:rFonts w:ascii="Arial" w:cs="Arial" w:eastAsia="Arial" w:hAnsi="Arial"/>
                <w:sz w:val="14"/>
                <w:szCs w:val="14"/>
                <w:color w:val="auto"/>
              </w:rPr>
              <w:t>45.26</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56"/>
        </w:trPr>
        <w:tc>
          <w:tcPr>
            <w:tcW w:w="8480" w:type="dxa"/>
            <w:vAlign w:val="bottom"/>
            <w:gridSpan w:val="2"/>
          </w:tcPr>
          <w:p>
            <w:pPr>
              <w:spacing w:after="0" w:line="155" w:lineRule="exact"/>
              <w:rPr>
                <w:sz w:val="20"/>
                <w:szCs w:val="20"/>
                <w:color w:val="auto"/>
              </w:rPr>
            </w:pPr>
            <w:r>
              <w:rPr>
                <w:rFonts w:ascii="Arial" w:cs="Arial" w:eastAsia="Arial" w:hAnsi="Arial"/>
                <w:sz w:val="14"/>
                <w:szCs w:val="14"/>
                <w:color w:val="auto"/>
              </w:rPr>
              <w:t>Total fair value of JPMorgan Chase common stock to be issued</w:t>
            </w:r>
          </w:p>
        </w:tc>
        <w:tc>
          <w:tcPr>
            <w:tcW w:w="56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1,312</w:t>
            </w:r>
          </w:p>
        </w:tc>
        <w:tc>
          <w:tcPr>
            <w:tcW w:w="320" w:type="dxa"/>
            <w:vAlign w:val="bottom"/>
          </w:tcPr>
          <w:p>
            <w:pPr>
              <w:spacing w:after="0"/>
              <w:rPr>
                <w:sz w:val="13"/>
                <w:szCs w:val="13"/>
                <w:color w:val="auto"/>
              </w:rPr>
            </w:pPr>
          </w:p>
        </w:tc>
      </w:tr>
      <w:tr>
        <w:trPr>
          <w:trHeight w:val="130"/>
        </w:trPr>
        <w:tc>
          <w:tcPr>
            <w:tcW w:w="20" w:type="dxa"/>
            <w:vAlign w:val="bottom"/>
          </w:tcPr>
          <w:p>
            <w:pPr>
              <w:spacing w:after="0"/>
              <w:rPr>
                <w:sz w:val="11"/>
                <w:szCs w:val="11"/>
                <w:color w:val="auto"/>
              </w:rPr>
            </w:pPr>
          </w:p>
        </w:tc>
        <w:tc>
          <w:tcPr>
            <w:tcW w:w="8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Bear Stearns common stock acquired for cash in the open market and held by JPMorgan Chase at March 31, 2008 (12,368,342 shares at an</w:t>
            </w: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average share price of $12.13 per share)</w:t>
            </w:r>
          </w:p>
        </w:tc>
        <w:tc>
          <w:tcPr>
            <w:tcW w:w="5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320" w:type="dxa"/>
            <w:vAlign w:val="bottom"/>
            <w:shd w:val="clear" w:color="auto" w:fill="CCEEFF"/>
          </w:tcPr>
          <w:p>
            <w:pPr>
              <w:spacing w:after="0"/>
              <w:rPr>
                <w:sz w:val="14"/>
                <w:szCs w:val="14"/>
                <w:color w:val="auto"/>
              </w:rPr>
            </w:pPr>
          </w:p>
        </w:tc>
      </w:tr>
      <w:tr>
        <w:trPr>
          <w:trHeight w:val="297"/>
        </w:trPr>
        <w:tc>
          <w:tcPr>
            <w:tcW w:w="8480" w:type="dxa"/>
            <w:vAlign w:val="bottom"/>
            <w:gridSpan w:val="2"/>
          </w:tcPr>
          <w:p>
            <w:pPr>
              <w:spacing w:after="0"/>
              <w:rPr>
                <w:sz w:val="20"/>
                <w:szCs w:val="20"/>
                <w:color w:val="auto"/>
              </w:rPr>
            </w:pPr>
            <w:r>
              <w:rPr>
                <w:rFonts w:ascii="Arial" w:cs="Arial" w:eastAsia="Arial" w:hAnsi="Arial"/>
                <w:sz w:val="14"/>
                <w:szCs w:val="14"/>
                <w:color w:val="auto"/>
              </w:rPr>
              <w:t>Fair value of employee stock awards (largely to be settled by shares held in the RSU Trust</w:t>
            </w:r>
            <w:r>
              <w:rPr>
                <w:rFonts w:ascii="Arial" w:cs="Arial" w:eastAsia="Arial" w:hAnsi="Arial"/>
                <w:sz w:val="12"/>
                <w:szCs w:val="12"/>
                <w:color w:val="auto"/>
              </w:rPr>
              <w:t>(3)</w:t>
            </w:r>
            <w:r>
              <w:rPr>
                <w:rFonts w:ascii="Arial" w:cs="Arial" w:eastAsia="Arial" w:hAnsi="Arial"/>
                <w:sz w:val="14"/>
                <w:szCs w:val="14"/>
                <w:color w:val="auto"/>
              </w:rPr>
              <w:t>)</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274</w:t>
            </w:r>
          </w:p>
        </w:tc>
        <w:tc>
          <w:tcPr>
            <w:tcW w:w="3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8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Fair value of Bear Stearns common stock held in an RSU Trust and included above in the exchange of common stock</w:t>
            </w:r>
          </w:p>
        </w:tc>
        <w:tc>
          <w:tcPr>
            <w:tcW w:w="5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(269)</w:t>
            </w:r>
            <w:r>
              <w:rPr>
                <w:rFonts w:ascii="Arial" w:cs="Arial" w:eastAsia="Arial" w:hAnsi="Arial"/>
                <w:sz w:val="12"/>
                <w:szCs w:val="12"/>
                <w:color w:val="auto"/>
              </w:rPr>
              <w:t>(3)</w:t>
            </w:r>
          </w:p>
        </w:tc>
      </w:tr>
      <w:tr>
        <w:trPr>
          <w:trHeight w:val="156"/>
        </w:trPr>
        <w:tc>
          <w:tcPr>
            <w:tcW w:w="8480" w:type="dxa"/>
            <w:vAlign w:val="bottom"/>
            <w:gridSpan w:val="2"/>
          </w:tcPr>
          <w:p>
            <w:pPr>
              <w:spacing w:after="0" w:line="155" w:lineRule="exact"/>
              <w:rPr>
                <w:sz w:val="20"/>
                <w:szCs w:val="20"/>
                <w:color w:val="auto"/>
              </w:rPr>
            </w:pPr>
            <w:r>
              <w:rPr>
                <w:rFonts w:ascii="Arial" w:cs="Arial" w:eastAsia="Arial" w:hAnsi="Arial"/>
                <w:sz w:val="14"/>
                <w:szCs w:val="14"/>
                <w:color w:val="auto"/>
              </w:rPr>
              <w:t>Total purchase price</w:t>
            </w: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1,467</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 to be acquired:</w:t>
            </w:r>
          </w:p>
        </w:tc>
        <w:tc>
          <w:tcPr>
            <w:tcW w:w="5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60" w:type="dxa"/>
            <w:vAlign w:val="bottom"/>
          </w:tcPr>
          <w:p>
            <w:pPr>
              <w:spacing w:after="0" w:line="149" w:lineRule="exact"/>
              <w:rPr>
                <w:sz w:val="20"/>
                <w:szCs w:val="20"/>
                <w:color w:val="auto"/>
              </w:rPr>
            </w:pPr>
            <w:r>
              <w:rPr>
                <w:rFonts w:ascii="Arial" w:cs="Arial" w:eastAsia="Arial" w:hAnsi="Arial"/>
                <w:sz w:val="14"/>
                <w:szCs w:val="14"/>
                <w:color w:val="auto"/>
              </w:rPr>
              <w:t>Bear Stearns common stockholders’ equity</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1088"/>
              <w:spacing w:after="0" w:line="149" w:lineRule="exact"/>
              <w:rPr>
                <w:sz w:val="20"/>
                <w:szCs w:val="20"/>
                <w:color w:val="auto"/>
              </w:rPr>
            </w:pPr>
            <w:r>
              <w:rPr>
                <w:rFonts w:ascii="Arial" w:cs="Arial" w:eastAsia="Arial" w:hAnsi="Arial"/>
                <w:sz w:val="14"/>
                <w:szCs w:val="14"/>
                <w:color w:val="auto"/>
              </w:rPr>
              <w:t>11,544</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Bear Stearns goodwill and other intangible assets</w:t>
            </w:r>
          </w:p>
        </w:tc>
        <w:tc>
          <w:tcPr>
            <w:tcW w:w="5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1048"/>
              <w:spacing w:after="0" w:line="149" w:lineRule="exact"/>
              <w:rPr>
                <w:sz w:val="20"/>
                <w:szCs w:val="20"/>
                <w:color w:val="auto"/>
              </w:rPr>
            </w:pPr>
            <w:r>
              <w:rPr>
                <w:rFonts w:ascii="Arial" w:cs="Arial" w:eastAsia="Arial" w:hAnsi="Arial"/>
                <w:sz w:val="14"/>
                <w:szCs w:val="14"/>
                <w:color w:val="auto"/>
              </w:rPr>
              <w:t>(89)</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60" w:type="dxa"/>
            <w:vAlign w:val="bottom"/>
          </w:tcPr>
          <w:p>
            <w:pPr>
              <w:spacing w:after="0" w:line="149" w:lineRule="exact"/>
              <w:rPr>
                <w:sz w:val="20"/>
                <w:szCs w:val="20"/>
                <w:color w:val="auto"/>
              </w:rPr>
            </w:pPr>
            <w:r>
              <w:rPr>
                <w:rFonts w:ascii="Arial" w:cs="Arial" w:eastAsia="Arial" w:hAnsi="Arial"/>
                <w:sz w:val="14"/>
                <w:szCs w:val="14"/>
                <w:b w:val="1"/>
                <w:bCs w:val="1"/>
                <w:color w:val="auto"/>
              </w:rPr>
              <w:t>Adjustments to reflect assets to be acquired at fair value:</w:t>
            </w: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5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1048"/>
              <w:spacing w:after="0" w:line="149" w:lineRule="exact"/>
              <w:rPr>
                <w:sz w:val="20"/>
                <w:szCs w:val="20"/>
                <w:color w:val="auto"/>
              </w:rPr>
            </w:pPr>
            <w:r>
              <w:rPr>
                <w:rFonts w:ascii="Arial" w:cs="Arial" w:eastAsia="Arial" w:hAnsi="Arial"/>
                <w:sz w:val="14"/>
                <w:szCs w:val="14"/>
                <w:color w:val="auto"/>
              </w:rPr>
              <w:t>(787)</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60" w:type="dxa"/>
            <w:vAlign w:val="bottom"/>
          </w:tcPr>
          <w:p>
            <w:pPr>
              <w:spacing w:after="0" w:line="149" w:lineRule="exact"/>
              <w:rPr>
                <w:sz w:val="20"/>
                <w:szCs w:val="20"/>
                <w:color w:val="auto"/>
              </w:rPr>
            </w:pPr>
            <w:r>
              <w:rPr>
                <w:rFonts w:ascii="Arial" w:cs="Arial" w:eastAsia="Arial" w:hAnsi="Arial"/>
                <w:sz w:val="14"/>
                <w:szCs w:val="14"/>
                <w:b w:val="1"/>
                <w:bCs w:val="1"/>
                <w:color w:val="auto"/>
              </w:rPr>
              <w:t>Amounts to reflect liabilities assumed at fair value:</w:t>
            </w: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Trading liabilities</w:t>
            </w:r>
          </w:p>
        </w:tc>
        <w:tc>
          <w:tcPr>
            <w:tcW w:w="5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1048"/>
              <w:spacing w:after="0" w:line="149" w:lineRule="exact"/>
              <w:rPr>
                <w:sz w:val="20"/>
                <w:szCs w:val="20"/>
                <w:color w:val="auto"/>
              </w:rPr>
            </w:pPr>
            <w:r>
              <w:rPr>
                <w:rFonts w:ascii="Arial" w:cs="Arial" w:eastAsia="Arial" w:hAnsi="Arial"/>
                <w:sz w:val="14"/>
                <w:szCs w:val="14"/>
                <w:color w:val="auto"/>
              </w:rPr>
              <w:t>(164)</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460" w:type="dxa"/>
            <w:vAlign w:val="bottom"/>
          </w:tcPr>
          <w:p>
            <w:pPr>
              <w:spacing w:after="0" w:line="149" w:lineRule="exact"/>
              <w:rPr>
                <w:sz w:val="20"/>
                <w:szCs w:val="20"/>
                <w:color w:val="auto"/>
              </w:rPr>
            </w:pPr>
            <w:r>
              <w:rPr>
                <w:rFonts w:ascii="Arial" w:cs="Arial" w:eastAsia="Arial" w:hAnsi="Arial"/>
                <w:sz w:val="14"/>
                <w:szCs w:val="14"/>
                <w:color w:val="auto"/>
              </w:rPr>
              <w:t>Long-term debt</w:t>
            </w:r>
          </w:p>
        </w:tc>
        <w:tc>
          <w:tcPr>
            <w:tcW w:w="560" w:type="dxa"/>
            <w:vAlign w:val="bottom"/>
          </w:tcPr>
          <w:p>
            <w:pPr>
              <w:spacing w:after="0"/>
              <w:rPr>
                <w:sz w:val="13"/>
                <w:szCs w:val="13"/>
                <w:color w:val="auto"/>
              </w:rPr>
            </w:pPr>
          </w:p>
        </w:tc>
        <w:tc>
          <w:tcPr>
            <w:tcW w:w="1640" w:type="dxa"/>
            <w:vAlign w:val="bottom"/>
            <w:gridSpan w:val="2"/>
          </w:tcPr>
          <w:p>
            <w:pPr>
              <w:jc w:val="right"/>
              <w:ind w:right="1048"/>
              <w:spacing w:after="0" w:line="149" w:lineRule="exact"/>
              <w:rPr>
                <w:sz w:val="20"/>
                <w:szCs w:val="20"/>
                <w:color w:val="auto"/>
              </w:rPr>
            </w:pPr>
            <w:r>
              <w:rPr>
                <w:rFonts w:ascii="Arial" w:cs="Arial" w:eastAsia="Arial" w:hAnsi="Arial"/>
                <w:sz w:val="14"/>
                <w:szCs w:val="14"/>
                <w:color w:val="auto"/>
              </w:rPr>
              <w:t>(170)</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Fair value of net assets acquired</w:t>
            </w:r>
          </w:p>
        </w:tc>
        <w:tc>
          <w:tcPr>
            <w:tcW w:w="56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10,334</w:t>
            </w:r>
          </w:p>
        </w:tc>
        <w:tc>
          <w:tcPr>
            <w:tcW w:w="320" w:type="dxa"/>
            <w:vAlign w:val="bottom"/>
            <w:shd w:val="clear" w:color="auto" w:fill="CCEEFF"/>
          </w:tcPr>
          <w:p>
            <w:pPr>
              <w:spacing w:after="0"/>
              <w:rPr>
                <w:sz w:val="12"/>
                <w:szCs w:val="12"/>
                <w:color w:val="auto"/>
              </w:rPr>
            </w:pPr>
          </w:p>
        </w:tc>
      </w:tr>
      <w:tr>
        <w:trPr>
          <w:trHeight w:val="156"/>
        </w:trPr>
        <w:tc>
          <w:tcPr>
            <w:tcW w:w="8480" w:type="dxa"/>
            <w:vAlign w:val="bottom"/>
            <w:gridSpan w:val="2"/>
          </w:tcPr>
          <w:p>
            <w:pPr>
              <w:spacing w:after="0" w:line="155" w:lineRule="exact"/>
              <w:rPr>
                <w:sz w:val="20"/>
                <w:szCs w:val="20"/>
                <w:color w:val="auto"/>
              </w:rPr>
            </w:pPr>
            <w:r>
              <w:rPr>
                <w:rFonts w:ascii="Arial" w:cs="Arial" w:eastAsia="Arial" w:hAnsi="Arial"/>
                <w:sz w:val="14"/>
                <w:szCs w:val="14"/>
                <w:color w:val="auto"/>
              </w:rPr>
              <w:t>Negative goodwill resulting from the merger</w:t>
            </w: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(8,867)</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Negative goodwill allocated to nonfinancial assets</w:t>
            </w:r>
            <w:r>
              <w:rPr>
                <w:rFonts w:ascii="Arial" w:cs="Arial" w:eastAsia="Arial" w:hAnsi="Arial"/>
                <w:sz w:val="12"/>
                <w:szCs w:val="12"/>
                <w:color w:val="auto"/>
              </w:rPr>
              <w:t>(2)</w:t>
            </w:r>
          </w:p>
        </w:tc>
        <w:tc>
          <w:tcPr>
            <w:tcW w:w="5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608</w:t>
            </w:r>
          </w:p>
        </w:tc>
        <w:tc>
          <w:tcPr>
            <w:tcW w:w="3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(8,259</w:t>
            </w:r>
          </w:p>
        </w:tc>
        <w:tc>
          <w:tcPr>
            <w:tcW w:w="3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92"/>
              </w:rPr>
              <w:t>)</w:t>
            </w:r>
            <w:r>
              <w:rPr>
                <w:rFonts w:ascii="Arial" w:cs="Arial" w:eastAsia="Arial" w:hAnsi="Arial"/>
                <w:sz w:val="12"/>
                <w:szCs w:val="12"/>
                <w:color w:val="auto"/>
                <w:w w:val="92"/>
              </w:rPr>
              <w:t>(4)</w:t>
            </w: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49" w:lineRule="exact"/>
        <w:rPr>
          <w:sz w:val="20"/>
          <w:szCs w:val="20"/>
          <w:color w:val="auto"/>
        </w:rPr>
      </w:pPr>
    </w:p>
    <w:p>
      <w:pPr>
        <w:ind w:left="460" w:hanging="452"/>
        <w:spacing w:after="0" w:line="253" w:lineRule="auto"/>
        <w:tabs>
          <w:tab w:leader="none" w:pos="4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The value of JPMorgan Chase common stock was determined by averaging the closing prices of JPMorgan Chase common stock for the four trading days during the period March 19, 2008, through March 25, 2008.</w:t>
      </w:r>
    </w:p>
    <w:p>
      <w:pPr>
        <w:spacing w:after="0" w:line="25" w:lineRule="exact"/>
        <w:rPr>
          <w:rFonts w:ascii="Arial" w:cs="Arial" w:eastAsia="Arial" w:hAnsi="Arial"/>
          <w:sz w:val="14"/>
          <w:szCs w:val="14"/>
          <w:i w:val="1"/>
          <w:iCs w:val="1"/>
          <w:color w:val="auto"/>
        </w:rPr>
      </w:pPr>
    </w:p>
    <w:p>
      <w:pPr>
        <w:ind w:left="460" w:hanging="452"/>
        <w:spacing w:after="0"/>
        <w:tabs>
          <w:tab w:leader="none" w:pos="4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Reflects the allocation of the excess of the fair value of net assets acquired over the purchase price which is first used to reduce nonfinancial assets as required by SFAS 141.</w:t>
      </w:r>
    </w:p>
    <w:p>
      <w:pPr>
        <w:spacing w:after="0" w:line="55" w:lineRule="exact"/>
        <w:rPr>
          <w:rFonts w:ascii="Arial" w:cs="Arial" w:eastAsia="Arial" w:hAnsi="Arial"/>
          <w:sz w:val="14"/>
          <w:szCs w:val="14"/>
          <w:i w:val="1"/>
          <w:iCs w:val="1"/>
          <w:color w:val="auto"/>
        </w:rPr>
      </w:pPr>
    </w:p>
    <w:p>
      <w:pPr>
        <w:jc w:val="both"/>
        <w:ind w:left="460" w:hanging="452"/>
        <w:spacing w:after="0" w:line="251" w:lineRule="auto"/>
        <w:tabs>
          <w:tab w:leader="none" w:pos="460" w:val="left"/>
        </w:tabs>
        <w:numPr>
          <w:ilvl w:val="0"/>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shares of Bear Stearns common stock held in an irrevocable grantor Trust (the “RSU Trust”) to be used for settlement of stock awards granted to selected employees and certain key executives under a restricted stock unit plan. Shares in the RSU Trust will be exchanged for 5.9 million shares of JPMorgan Chase common stock at the exchange ratio of 0.21753 per JPMorgan Chase common stock. Under Emerging Issues Task Force Issue No. 97-14, “Accounting for Deferred Compensation Arrangements where Amounts Earned Are Held in a Rabbi Trust and Invested,” the RSU Trust will be consolidated and the shares held by the RSU Trust will be recorded in equity in a manner similar to treasury stock with an offset to a deferred compensation obligation reported in stockholders’ equity. Accordingly, the ultimate settlement of this deferred compensation obligation will have no effect on the total purchase price.</w:t>
      </w:r>
    </w:p>
    <w:p>
      <w:pPr>
        <w:spacing w:after="0" w:line="28" w:lineRule="exact"/>
        <w:rPr>
          <w:rFonts w:ascii="Arial" w:cs="Arial" w:eastAsia="Arial" w:hAnsi="Arial"/>
          <w:sz w:val="13"/>
          <w:szCs w:val="13"/>
          <w:i w:val="1"/>
          <w:iCs w:val="1"/>
          <w:color w:val="auto"/>
        </w:rPr>
      </w:pPr>
    </w:p>
    <w:p>
      <w:pPr>
        <w:jc w:val="both"/>
        <w:ind w:left="460" w:hanging="452"/>
        <w:spacing w:after="0" w:line="238" w:lineRule="auto"/>
        <w:tabs>
          <w:tab w:leader="none" w:pos="4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JPMorgan Chase and Bear Stearns entered into an agreement to merge on March 16, 2008, and amended the agreement on March 24, 2008. Pursuant to the amended merger agreement each share of Bear Stearns common stock outstanding immediately prior to the Merger will be exchanged for 0.21753 shares of JPMorgan Chase common stock. The Merger was effected on May 30, 2008.</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0" w:right="239" w:bottom="1440" w:gutter="0" w:footer="0" w:header="0"/>
        </w:sectPr>
      </w:pPr>
    </w:p>
    <w:bookmarkStart w:id="17" w:name="page18"/>
    <w:bookmarkEnd w:id="17"/>
    <w:p>
      <w:pPr>
        <w:jc w:val="both"/>
        <w:ind w:left="460"/>
        <w:spacing w:after="0" w:line="249" w:lineRule="auto"/>
        <w:rPr>
          <w:sz w:val="20"/>
          <w:szCs w:val="20"/>
          <w:color w:val="auto"/>
        </w:rPr>
      </w:pPr>
      <w:r>
        <w:rPr>
          <w:rFonts w:ascii="Arial" w:cs="Arial" w:eastAsia="Arial" w:hAnsi="Arial"/>
          <w:sz w:val="13"/>
          <w:szCs w:val="13"/>
          <w:i w:val="1"/>
          <w:iCs w:val="1"/>
          <w:color w:val="auto"/>
        </w:rPr>
        <w:t>The purchase price allocation presented in the table above reflects valuations as of February 29, 2008, (Bear Stearns fiscal quarter-end). Such allocation does not reflect the effect on valuations caused by market disruptions and the liquidity crisis encountered by Bear Stearns subsequent to February 29, 2008, operating losses incurred by Bear Stearns subsequent to February 29, 2008, merger integration costs and restructuring actions that may be necessary as a result of the Merger, or other costs likely to be incurred by Bear Stearns in connection with the Merger. JPMorgan Chase expects that these items will significantly reduce the negative goodwill to be recognized at the merger date and will also decrease the combined stockholders’ equity of the two firms. JPMorgan Chase currently estimates the range of adjustments not reflected in the purchase price allocation presented above to be approximately $6 billion to $8 billion after-tax. The amounts realized at the merger date could differ materially from this estimate depending on market conditions.</w:t>
      </w:r>
    </w:p>
    <w:p>
      <w:pPr>
        <w:spacing w:after="0" w:line="28" w:lineRule="exact"/>
        <w:rPr>
          <w:sz w:val="20"/>
          <w:szCs w:val="20"/>
          <w:color w:val="auto"/>
        </w:rPr>
      </w:pPr>
    </w:p>
    <w:p>
      <w:pPr>
        <w:jc w:val="both"/>
        <w:ind w:left="460"/>
        <w:spacing w:after="0" w:line="249" w:lineRule="auto"/>
        <w:rPr>
          <w:sz w:val="20"/>
          <w:szCs w:val="20"/>
          <w:color w:val="auto"/>
        </w:rPr>
      </w:pPr>
      <w:r>
        <w:rPr>
          <w:rFonts w:ascii="Arial" w:cs="Arial" w:eastAsia="Arial" w:hAnsi="Arial"/>
          <w:sz w:val="13"/>
          <w:szCs w:val="13"/>
          <w:i w:val="1"/>
          <w:iCs w:val="1"/>
          <w:color w:val="auto"/>
        </w:rPr>
        <w:t>The purchase price allocation above does not include an allocation to intangible assets, such as customer relationship intangibles, that are normally recognized in similar transactions. Bear Stearns experienced a significant liquidity crisis during the end of the week of March 10, 2008, that seriously jeopardized its financial viability, and since the liquidity crisis Bear Stearns has experienced substantial deterioration of its earnings capacity. In addition, during this period and subsequent to the announcement of the Merger a substantial number of Bear Stearns clients have moved their accounts to other providers and customer business activity has declined precipitously. Because of the distressed nature of this transaction, JPMorgan Chase concluded that the value of identifiable intangible assets such as customer relationships was immaterial. In addition, under the circumstances, any allocation to intangible assets would result in additional negative goodwill that would first be used to eliminate the value of nonfinancial assets, including such intangibles, as required by SFAS 141.</w:t>
      </w:r>
    </w:p>
    <w:p>
      <w:pPr>
        <w:spacing w:after="0" w:line="7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pro forma adjustments included in the unaudited pro forma combined financial information for JPMorgan Chase and Bear Stearns as of and for the three months ended March 31, 2008, and February 29, 2008, and the year ended December 31, 2007, and November 30, 2007, respectively, are as follows:</w:t>
      </w:r>
    </w:p>
    <w:p>
      <w:pPr>
        <w:spacing w:after="0" w:line="16" w:lineRule="exact"/>
        <w:rPr>
          <w:sz w:val="20"/>
          <w:szCs w:val="20"/>
          <w:color w:val="auto"/>
        </w:rPr>
      </w:pPr>
    </w:p>
    <w:p>
      <w:pPr>
        <w:ind w:right="20" w:firstLine="8"/>
        <w:spacing w:after="0" w:line="277"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 to increase the fair value of certain Bear Stearns nonderivative energy contracts. The increase in fair value largely relates to tolling agreements with agreed upon sales prices.</w:t>
      </w:r>
    </w:p>
    <w:p>
      <w:pPr>
        <w:spacing w:after="0" w:line="62" w:lineRule="exact"/>
        <w:rPr>
          <w:rFonts w:ascii="Arial" w:cs="Arial" w:eastAsia="Arial" w:hAnsi="Arial"/>
          <w:sz w:val="18"/>
          <w:szCs w:val="18"/>
          <w:color w:val="auto"/>
        </w:rPr>
      </w:pPr>
    </w:p>
    <w:p>
      <w:pPr>
        <w:jc w:val="both"/>
        <w:ind w:firstLine="8"/>
        <w:spacing w:after="0" w:line="264" w:lineRule="auto"/>
        <w:tabs>
          <w:tab w:leader="none" w:pos="278"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 to decrease the fair value of Bear Stearns’ long-term debt. The adjustment will be recognized over the weighted average remaining life of the long-term debt instruments of 4.67 years as of the end of the first quarter of 2008. The impact of the adjustment was an increase in pro forma pretax interest expense of $132 million for the full-year 2007 and $33 million for the first quarter of 2008.</w:t>
      </w:r>
    </w:p>
    <w:p>
      <w:pPr>
        <w:spacing w:after="0" w:line="73" w:lineRule="exact"/>
        <w:rPr>
          <w:rFonts w:ascii="Arial" w:cs="Arial" w:eastAsia="Arial" w:hAnsi="Arial"/>
          <w:sz w:val="18"/>
          <w:szCs w:val="18"/>
          <w:color w:val="auto"/>
        </w:rPr>
      </w:pPr>
    </w:p>
    <w:p>
      <w:pPr>
        <w:ind w:firstLine="8"/>
        <w:spacing w:after="0" w:line="277" w:lineRule="auto"/>
        <w:tabs>
          <w:tab w:leader="none" w:pos="282"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 to reduce occupancy expense and technology, communications and equipment expense for depreciation related to nonfinancial assets written down by the allocation of negative goodwill.</w:t>
      </w:r>
    </w:p>
    <w:p>
      <w:pPr>
        <w:spacing w:after="0" w:line="62" w:lineRule="exact"/>
        <w:rPr>
          <w:rFonts w:ascii="Arial" w:cs="Arial" w:eastAsia="Arial" w:hAnsi="Arial"/>
          <w:sz w:val="18"/>
          <w:szCs w:val="18"/>
          <w:color w:val="auto"/>
        </w:rPr>
      </w:pPr>
    </w:p>
    <w:p>
      <w:pPr>
        <w:ind w:firstLine="8"/>
        <w:spacing w:after="0" w:line="277" w:lineRule="auto"/>
        <w:tabs>
          <w:tab w:leader="none" w:pos="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Assumes that Bear Stearns preferred stock will become preferred stock of a subsidiary of the combined Firm, and shown in other liabilities as minority interest. The related dividends on the preferred stock is recorded in other expense.</w:t>
      </w:r>
    </w:p>
    <w:p>
      <w:pPr>
        <w:spacing w:after="0" w:line="62" w:lineRule="exact"/>
        <w:rPr>
          <w:rFonts w:ascii="Arial" w:cs="Arial" w:eastAsia="Arial" w:hAnsi="Arial"/>
          <w:sz w:val="18"/>
          <w:szCs w:val="18"/>
          <w:color w:val="auto"/>
        </w:rPr>
      </w:pPr>
    </w:p>
    <w:p>
      <w:pPr>
        <w:ind w:right="20" w:firstLine="8"/>
        <w:spacing w:after="0" w:line="277" w:lineRule="auto"/>
        <w:tabs>
          <w:tab w:leader="none" w:pos="274"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 of $61 million for full-year 2007 and $4 million for the first quarter of 2008 to record the tax effect of the pro forma combined adjustments using a U.S. federal tax rate of 35%.</w:t>
      </w:r>
    </w:p>
    <w:p>
      <w:pPr>
        <w:spacing w:after="0" w:line="62" w:lineRule="exact"/>
        <w:rPr>
          <w:rFonts w:ascii="Arial" w:cs="Arial" w:eastAsia="Arial" w:hAnsi="Arial"/>
          <w:sz w:val="18"/>
          <w:szCs w:val="18"/>
          <w:color w:val="auto"/>
        </w:rPr>
      </w:pPr>
    </w:p>
    <w:p>
      <w:pPr>
        <w:jc w:val="both"/>
        <w:ind w:firstLine="8"/>
        <w:spacing w:after="0" w:line="259" w:lineRule="auto"/>
        <w:tabs>
          <w:tab w:leader="none" w:pos="276" w:val="left"/>
        </w:tabs>
        <w:numPr>
          <w:ilvl w:val="0"/>
          <w:numId w:val="4"/>
        </w:numPr>
        <w:rPr>
          <w:rFonts w:ascii="Arial" w:cs="Arial" w:eastAsia="Arial" w:hAnsi="Arial"/>
          <w:sz w:val="18"/>
          <w:szCs w:val="18"/>
          <w:color w:val="auto"/>
        </w:rPr>
      </w:pPr>
      <w:r>
        <w:rPr>
          <w:rFonts w:ascii="Arial" w:cs="Arial" w:eastAsia="Arial" w:hAnsi="Arial"/>
          <w:sz w:val="18"/>
          <w:szCs w:val="18"/>
          <w:color w:val="auto"/>
        </w:rPr>
        <w:t>Average shares were calculated using the historical weighted average shares outstanding of JPMorgan Chase and Bear Stearns for the quarters ended March 31, 2008, and February 29, 2008, and the years ended December 31, 2007, and November 30, 2007, respectively, adjusted using the exchange ratio. Earnings per share data has been computed based on the combined historical income of JPMorgan Chase and Bear Stearns, and the impact of purchase accounting adjustments.</w:t>
      </w:r>
    </w:p>
    <w:p>
      <w:pPr>
        <w:spacing w:after="0" w:line="78" w:lineRule="exact"/>
        <w:rPr>
          <w:rFonts w:ascii="Arial" w:cs="Arial" w:eastAsia="Arial" w:hAnsi="Arial"/>
          <w:sz w:val="18"/>
          <w:szCs w:val="18"/>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 to reverse Bear Stearns impairment charge related to goodwill and specialist rights.</w:t>
      </w:r>
    </w:p>
    <w:p>
      <w:pPr>
        <w:spacing w:after="0" w:line="117" w:lineRule="exact"/>
        <w:rPr>
          <w:rFonts w:ascii="Arial" w:cs="Arial" w:eastAsia="Arial" w:hAnsi="Arial"/>
          <w:sz w:val="18"/>
          <w:szCs w:val="18"/>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 to eliminate intercompany deposits.</w:t>
      </w:r>
    </w:p>
    <w:p>
      <w:pPr>
        <w:spacing w:after="0" w:line="117" w:lineRule="exact"/>
        <w:rPr>
          <w:rFonts w:ascii="Arial" w:cs="Arial" w:eastAsia="Arial" w:hAnsi="Arial"/>
          <w:sz w:val="18"/>
          <w:szCs w:val="18"/>
          <w:color w:val="auto"/>
        </w:rPr>
      </w:pPr>
    </w:p>
    <w:p>
      <w:pPr>
        <w:jc w:val="both"/>
        <w:ind w:firstLine="8"/>
        <w:spacing w:after="0" w:line="255" w:lineRule="auto"/>
        <w:tabs>
          <w:tab w:leader="none" w:pos="23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conjunction with the Merger, the Federal Reserve Bank of New York (the “FRBNY”) will take control, through a limited liability company (“LLC”) formed for this purpose, of a portfolio of $30 billion in assets of Bear Stearns, based on the value of the portfolio as of March 14, 2008. The assets of the LCC will be funded by a $29 billion term loan from the FRBNY, and a $1 billion subordinated note from JPMorgan Chase. The JPMorgan Chase note will be subordinated to the FRBNY loan and will bear the first $1 billion of any losses of the portfolio. Any remaining assets in the portfolio after repayment of the FRBNY loan, the JPMorgan Chase note and the expense of the LCC, will be for the account of the FRBNY. The financing arrangement is expected to close on or about June 26, 2008.</w:t>
      </w:r>
    </w:p>
    <w:p>
      <w:pPr>
        <w:spacing w:after="0" w:line="85" w:lineRule="exact"/>
        <w:rPr>
          <w:rFonts w:ascii="Arial" w:cs="Arial" w:eastAsia="Arial" w:hAnsi="Arial"/>
          <w:sz w:val="18"/>
          <w:szCs w:val="18"/>
          <w:color w:val="auto"/>
        </w:rPr>
      </w:pPr>
    </w:p>
    <w:p>
      <w:pPr>
        <w:jc w:val="both"/>
        <w:ind w:firstLine="8"/>
        <w:spacing w:after="0" w:line="276" w:lineRule="auto"/>
        <w:tabs>
          <w:tab w:leader="none" w:pos="258" w:val="left"/>
        </w:tabs>
        <w:numPr>
          <w:ilvl w:val="0"/>
          <w:numId w:val="4"/>
        </w:numPr>
        <w:rPr>
          <w:rFonts w:ascii="Arial" w:cs="Arial" w:eastAsia="Arial" w:hAnsi="Arial"/>
          <w:sz w:val="17"/>
          <w:szCs w:val="17"/>
          <w:color w:val="auto"/>
        </w:rPr>
      </w:pPr>
      <w:r>
        <w:rPr>
          <w:rFonts w:ascii="Arial" w:cs="Arial" w:eastAsia="Arial" w:hAnsi="Arial"/>
          <w:sz w:val="17"/>
          <w:szCs w:val="17"/>
          <w:color w:val="auto"/>
        </w:rPr>
        <w:t>Adjustment for the timing difference between Bear Stearns’ intercompany balances as of February 29, 2008, and JPMorgan Chase’s intercompany balances as of March 31, 2008. Subsequent to the merger announcement in March, JPMorgan Chase and Bear Stearns entered into a number of short-term market transactions including resale agreements, and securities borrowed and lending transactions. Given the difference in timing between each organization’s financial statements, the adjustment required to clear the intercompany timing difference in the first quarter pro forma financial statements principally represents the activity from the merger announcement date through the end of March on JPMorgan Chase’s balance sheet.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8" w:name="page19"/>
    <w:bookmarkEnd w:id="18"/>
    <w:p>
      <w:pPr>
        <w:ind w:left="292" w:hanging="292"/>
        <w:spacing w:after="0"/>
        <w:tabs>
          <w:tab w:leader="none" w:pos="292"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to eliminate intercompany securities purchased under resale agreements/securities sold under repurchase agreements.</w:t>
      </w:r>
    </w:p>
    <w:p>
      <w:pPr>
        <w:spacing w:after="0" w:line="117" w:lineRule="exact"/>
        <w:rPr>
          <w:rFonts w:ascii="Arial" w:cs="Arial" w:eastAsia="Arial" w:hAnsi="Arial"/>
          <w:sz w:val="18"/>
          <w:szCs w:val="18"/>
          <w:color w:val="auto"/>
        </w:rPr>
      </w:pPr>
    </w:p>
    <w:p>
      <w:pPr>
        <w:ind w:left="272" w:hanging="272"/>
        <w:spacing w:after="0"/>
        <w:tabs>
          <w:tab w:leader="none" w:pos="272"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to eliminate intercompany securities borrowed/securities loaned.</w:t>
      </w:r>
    </w:p>
    <w:p>
      <w:pPr>
        <w:spacing w:after="0" w:line="117" w:lineRule="exact"/>
        <w:rPr>
          <w:rFonts w:ascii="Arial" w:cs="Arial" w:eastAsia="Arial" w:hAnsi="Arial"/>
          <w:sz w:val="18"/>
          <w:szCs w:val="18"/>
          <w:color w:val="auto"/>
        </w:rPr>
      </w:pPr>
    </w:p>
    <w:p>
      <w:pPr>
        <w:ind w:left="312" w:hanging="312"/>
        <w:spacing w:after="0"/>
        <w:tabs>
          <w:tab w:leader="none" w:pos="312"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to eliminate intercompany derivatives used for trading purposes.</w:t>
      </w:r>
    </w:p>
    <w:p>
      <w:pPr>
        <w:spacing w:after="0" w:line="117" w:lineRule="exact"/>
        <w:rPr>
          <w:rFonts w:ascii="Arial" w:cs="Arial" w:eastAsia="Arial" w:hAnsi="Arial"/>
          <w:sz w:val="18"/>
          <w:szCs w:val="18"/>
          <w:color w:val="auto"/>
        </w:rPr>
      </w:pPr>
    </w:p>
    <w:p>
      <w:pPr>
        <w:ind w:left="-8" w:firstLine="8"/>
        <w:spacing w:after="0" w:line="277" w:lineRule="auto"/>
        <w:tabs>
          <w:tab w:leader="none" w:pos="316"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to eliminate Bear Stearns common stock acquired for cash by JPMorgan Chase in the open market and classified as trading assets by JPMorgan Chase.</w:t>
      </w:r>
    </w:p>
    <w:p>
      <w:pPr>
        <w:spacing w:after="0" w:line="62" w:lineRule="exact"/>
        <w:rPr>
          <w:rFonts w:ascii="Arial" w:cs="Arial" w:eastAsia="Arial" w:hAnsi="Arial"/>
          <w:sz w:val="18"/>
          <w:szCs w:val="18"/>
          <w:color w:val="auto"/>
        </w:rPr>
      </w:pPr>
    </w:p>
    <w:p>
      <w:pPr>
        <w:ind w:left="292" w:hanging="292"/>
        <w:spacing w:after="0"/>
        <w:tabs>
          <w:tab w:leader="none" w:pos="292"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to eliminate intercompany loans/borrowings.</w:t>
      </w:r>
    </w:p>
    <w:p>
      <w:pPr>
        <w:spacing w:after="0" w:line="117" w:lineRule="exact"/>
        <w:rPr>
          <w:rFonts w:ascii="Arial" w:cs="Arial" w:eastAsia="Arial" w:hAnsi="Arial"/>
          <w:sz w:val="18"/>
          <w:szCs w:val="18"/>
          <w:color w:val="auto"/>
        </w:rPr>
      </w:pPr>
    </w:p>
    <w:p>
      <w:pPr>
        <w:ind w:left="252" w:hanging="252"/>
        <w:spacing w:after="0"/>
        <w:tabs>
          <w:tab w:leader="none" w:pos="252"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to net JPMorgan Chase’s trade date payables with Bear Stearns trade date receivables.</w:t>
      </w:r>
    </w:p>
    <w:p>
      <w:pPr>
        <w:spacing w:after="0" w:line="117" w:lineRule="exact"/>
        <w:rPr>
          <w:rFonts w:ascii="Arial" w:cs="Arial" w:eastAsia="Arial" w:hAnsi="Arial"/>
          <w:sz w:val="18"/>
          <w:szCs w:val="18"/>
          <w:color w:val="auto"/>
        </w:rPr>
      </w:pPr>
    </w:p>
    <w:p>
      <w:pPr>
        <w:ind w:left="-8" w:right="20" w:firstLine="8"/>
        <w:spacing w:after="0" w:line="277" w:lineRule="auto"/>
        <w:tabs>
          <w:tab w:leader="none" w:pos="302"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to write-off Bear Stearns nonfinancial assets in accordance with SFAS 141, “Business Combinations,” as a result of allocating negative goodwill.</w:t>
      </w:r>
    </w:p>
    <w:p>
      <w:pPr>
        <w:spacing w:after="0" w:line="62" w:lineRule="exact"/>
        <w:rPr>
          <w:rFonts w:ascii="Arial" w:cs="Arial" w:eastAsia="Arial" w:hAnsi="Arial"/>
          <w:sz w:val="18"/>
          <w:szCs w:val="18"/>
          <w:color w:val="auto"/>
        </w:rPr>
      </w:pPr>
    </w:p>
    <w:p>
      <w:pPr>
        <w:ind w:left="272" w:hanging="272"/>
        <w:spacing w:after="0"/>
        <w:tabs>
          <w:tab w:leader="none" w:pos="272"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to write-off Bear Stearns’ historical goodwill and intangible assets.</w:t>
      </w:r>
    </w:p>
    <w:p>
      <w:pPr>
        <w:spacing w:after="0" w:line="117" w:lineRule="exact"/>
        <w:rPr>
          <w:rFonts w:ascii="Arial" w:cs="Arial" w:eastAsia="Arial" w:hAnsi="Arial"/>
          <w:sz w:val="18"/>
          <w:szCs w:val="18"/>
          <w:color w:val="auto"/>
        </w:rPr>
      </w:pPr>
    </w:p>
    <w:p>
      <w:pPr>
        <w:ind w:left="252" w:hanging="252"/>
        <w:spacing w:after="0"/>
        <w:tabs>
          <w:tab w:leader="none" w:pos="252"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to eliminate intercompany other assets and other liabilities.</w:t>
      </w:r>
    </w:p>
    <w:p>
      <w:pPr>
        <w:spacing w:after="0" w:line="117" w:lineRule="exact"/>
        <w:rPr>
          <w:rFonts w:ascii="Arial" w:cs="Arial" w:eastAsia="Arial" w:hAnsi="Arial"/>
          <w:sz w:val="18"/>
          <w:szCs w:val="18"/>
          <w:color w:val="auto"/>
        </w:rPr>
      </w:pPr>
    </w:p>
    <w:p>
      <w:pPr>
        <w:ind w:left="272" w:hanging="272"/>
        <w:spacing w:after="0"/>
        <w:tabs>
          <w:tab w:leader="none" w:pos="272"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to fair value Bear Stearns’ stock exchange memberships and seats.</w:t>
      </w:r>
    </w:p>
    <w:p>
      <w:pPr>
        <w:spacing w:after="0" w:line="117" w:lineRule="exact"/>
        <w:rPr>
          <w:rFonts w:ascii="Arial" w:cs="Arial" w:eastAsia="Arial" w:hAnsi="Arial"/>
          <w:sz w:val="18"/>
          <w:szCs w:val="18"/>
          <w:color w:val="auto"/>
        </w:rPr>
      </w:pPr>
    </w:p>
    <w:p>
      <w:pPr>
        <w:ind w:left="-8" w:firstLine="8"/>
        <w:spacing w:after="0" w:line="277" w:lineRule="auto"/>
        <w:tabs>
          <w:tab w:leader="none" w:pos="298"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to other assets to reflect a reduced net deferred tax asset of $367 million resulting from the pro forma adjustments. Deferred taxes were recorded using a U.S. federal rate of 35%.</w:t>
      </w:r>
    </w:p>
    <w:p>
      <w:pPr>
        <w:spacing w:after="0" w:line="62" w:lineRule="exact"/>
        <w:rPr>
          <w:rFonts w:ascii="Arial" w:cs="Arial" w:eastAsia="Arial" w:hAnsi="Arial"/>
          <w:sz w:val="18"/>
          <w:szCs w:val="18"/>
          <w:color w:val="auto"/>
        </w:rPr>
      </w:pPr>
    </w:p>
    <w:p>
      <w:pPr>
        <w:jc w:val="both"/>
        <w:ind w:left="-8" w:firstLine="8"/>
        <w:spacing w:after="0" w:line="264" w:lineRule="auto"/>
        <w:tabs>
          <w:tab w:leader="none" w:pos="308"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to Bear Stearns’ trading derivative liabilities and long-term structured notes that are recorded at fair value; the adjustment reflects the enhancement in credit quality resulting from applying JPMorgan Chase’s credit spread to Bear Stearns’ liabilities based upon credit quality as observed in the credit default swap market.</w:t>
      </w:r>
    </w:p>
    <w:p>
      <w:pPr>
        <w:spacing w:after="0" w:line="73" w:lineRule="exact"/>
        <w:rPr>
          <w:rFonts w:ascii="Arial" w:cs="Arial" w:eastAsia="Arial" w:hAnsi="Arial"/>
          <w:sz w:val="18"/>
          <w:szCs w:val="18"/>
          <w:color w:val="auto"/>
        </w:rPr>
      </w:pPr>
    </w:p>
    <w:p>
      <w:pPr>
        <w:ind w:left="332" w:hanging="332"/>
        <w:spacing w:after="0"/>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to eliminate Bear Stearns’ historical stockholders’ equity.</w:t>
      </w:r>
    </w:p>
    <w:p>
      <w:pPr>
        <w:spacing w:after="0" w:line="117" w:lineRule="exact"/>
        <w:rPr>
          <w:rFonts w:ascii="Arial" w:cs="Arial" w:eastAsia="Arial" w:hAnsi="Arial"/>
          <w:sz w:val="18"/>
          <w:szCs w:val="18"/>
          <w:color w:val="auto"/>
        </w:rPr>
      </w:pPr>
    </w:p>
    <w:p>
      <w:pPr>
        <w:ind w:left="-8" w:firstLine="8"/>
        <w:spacing w:after="0" w:line="277" w:lineRule="auto"/>
        <w:tabs>
          <w:tab w:leader="none" w:pos="287"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to reflect JPMorgan Chase common stock to be issued to Bear Stearns stockholders and the exchange of Bear Stearns vested stock options, vested restricted stock units and vested capital accumulation plan units for corresponding JPMorgan Chase awards.</w:t>
      </w:r>
    </w:p>
    <w:p>
      <w:pPr>
        <w:spacing w:after="0" w:line="62" w:lineRule="exact"/>
        <w:rPr>
          <w:rFonts w:ascii="Arial" w:cs="Arial" w:eastAsia="Arial" w:hAnsi="Arial"/>
          <w:sz w:val="18"/>
          <w:szCs w:val="18"/>
          <w:color w:val="auto"/>
        </w:rPr>
      </w:pPr>
    </w:p>
    <w:p>
      <w:pPr>
        <w:jc w:val="both"/>
        <w:ind w:left="-8" w:firstLine="8"/>
        <w:spacing w:after="0" w:line="272" w:lineRule="auto"/>
        <w:tabs>
          <w:tab w:leader="none" w:pos="283" w:val="left"/>
        </w:tabs>
        <w:numPr>
          <w:ilvl w:val="0"/>
          <w:numId w:val="5"/>
        </w:numPr>
        <w:rPr>
          <w:rFonts w:ascii="Arial" w:cs="Arial" w:eastAsia="Arial" w:hAnsi="Arial"/>
          <w:sz w:val="17"/>
          <w:szCs w:val="17"/>
          <w:color w:val="auto"/>
        </w:rPr>
      </w:pPr>
      <w:r>
        <w:rPr>
          <w:rFonts w:ascii="Arial" w:cs="Arial" w:eastAsia="Arial" w:hAnsi="Arial"/>
          <w:sz w:val="17"/>
          <w:szCs w:val="17"/>
          <w:color w:val="auto"/>
        </w:rPr>
        <w:t>Adjustment to record the extraordinary gain resulting from the Merger. The extraordinary gain does not reflect the effect on valuations caused by market disruptions and the liquidity crisis encountered by Bear Stearns subsequent to February 29, 2008, operating losses incurred by Bear Stearns subsequent to February 29, 2008, merger integration costs and restructuring actions that may be necessary as a result of the Merger, or other costs likely to be incurred by Bear Stearns in connection with the Merger. JPMorgan Chase expects that these items will significantly reduce the negative goodwill to be recognized at the merger date and the combined stockholders’ equity of the two firms. JPMorgan Chase currently estimates the range of adjustments not reflected in the purchase price allocation presented above to be approximately $6 billion to $8 billion after-tax. The amounts realized at the merger date could differ materially from this estimate depending on market conditions.</w:t>
      </w:r>
    </w:p>
    <w:p>
      <w:pPr>
        <w:spacing w:after="0" w:line="69" w:lineRule="exact"/>
        <w:rPr>
          <w:rFonts w:ascii="Arial" w:cs="Arial" w:eastAsia="Arial" w:hAnsi="Arial"/>
          <w:sz w:val="17"/>
          <w:szCs w:val="17"/>
          <w:color w:val="auto"/>
        </w:rPr>
      </w:pPr>
    </w:p>
    <w:p>
      <w:pPr>
        <w:ind w:left="272" w:hanging="272"/>
        <w:spacing w:after="0"/>
        <w:tabs>
          <w:tab w:leader="none" w:pos="272"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to reflect JPMorgan Chase common stock exchanged for Bear Stearns common stock held in an RSU trust.</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sectPr>
      <w:pgSz w:w="11900" w:h="16838" w:orient="portrait"/>
      <w:cols w:equalWidth="0" w:num="1">
        <w:col w:w="11412"/>
      </w:cols>
      <w:pgMar w:left="248"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upperLetter"/>
      <w:start w:val="1"/>
    </w:lvl>
  </w:abstractNum>
  <w:abstractNum w:abstractNumId="4">
    <w:nsid w:val="46E87CCD"/>
    <w:multiLevelType w:val="hybridMultilevel"/>
    <w:lvl w:ilvl="0">
      <w:lvlJc w:val="left"/>
      <w:lvlText w:val="(%1)"/>
      <w:numFmt w:val="upperLetter"/>
      <w:start w:val="1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2019-12-11T11:35:02Z</dcterms:created>
  <dcterms:modified xsi:type="dcterms:W3CDTF">2019-12-11T11:35:02Z</dcterms:modified>
</cp:coreProperties>
</file>