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299654-01_fwp.htm"/>
      <w:bookmarkStart w:id="1" w:name="ksea0299654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July 29,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MXEF Dual Directional Trigger PLUS</w:t>
      </w:r>
    </w:p>
    <w:p>
      <w:pPr>
        <w:pStyle w:val="TextBody"/>
        <w:bidi w:val="0"/>
        <w:spacing w:before="40" w:after="40"/>
        <w:ind w:left="140" w:right="0" w:hanging="0"/>
        <w:jc w:val="left"/>
        <w:rPr>
          <w:rFonts w:ascii="Arial;Helvetica;Sans-Serif" w:hAnsi="Arial;Helvetica;Sans-Serif"/>
          <w:b/>
          <w:i/>
          <w:caps w:val="false"/>
          <w:smallCaps w:val="false"/>
          <w:sz w:val="16"/>
        </w:rPr>
      </w:pPr>
      <w:r>
        <w:rPr>
          <w:rFonts w:ascii="Arial;Helvetica;Sans-Serif" w:hAnsi="Arial;Helvetica;Sans-Serif"/>
          <w:b/>
          <w:i/>
          <w:caps w:val="false"/>
          <w:smallCaps w:val="false"/>
          <w:sz w:val="16"/>
        </w:rPr>
        <w:t>This document provides a summary of the terms of the Dual Directional Trigger PLUS, which we refer to as the Trigger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743"/>
                              <w:gridCol w:w="8462"/>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74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462"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462" w:type="dxa"/>
                                  <w:tcBorders/>
                                  <w:shd w:fill="DCEBF4" w:val="clear"/>
                                  <w:vAlign w:val="center"/>
                                </w:tcPr>
                                <w:p>
                                  <w:pPr>
                                    <w:pStyle w:val="TableContents"/>
                                    <w:bidi w:val="0"/>
                                    <w:spacing w:before="0" w:after="283"/>
                                    <w:jc w:val="left"/>
                                    <w:rPr>
                                      <w:sz w:val="16"/>
                                    </w:rPr>
                                  </w:pPr>
                                  <w:r>
                                    <w:rPr>
                                      <w:sz w:val="16"/>
                                    </w:rPr>
                                    <w:t>JPMorgan Chase &amp; Co.</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8462" w:type="dxa"/>
                                  <w:tcBorders/>
                                  <w:vAlign w:val="center"/>
                                </w:tcPr>
                                <w:p>
                                  <w:pPr>
                                    <w:pStyle w:val="TableContents"/>
                                    <w:bidi w:val="0"/>
                                    <w:spacing w:before="0" w:after="283"/>
                                    <w:jc w:val="left"/>
                                    <w:rPr>
                                      <w:sz w:val="16"/>
                                    </w:rPr>
                                  </w:pPr>
                                  <w:r>
                                    <w:rPr>
                                      <w:sz w:val="16"/>
                                    </w:rPr>
                                    <w:t>MSCI Emerging Markets Index (Bloomberg ticker: MXEF Index)</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Payment at</w:t>
                                    <w:br/>
                                    <w:t xml:space="preserve">maturity: </w:t>
                                  </w:r>
                                </w:p>
                              </w:tc>
                              <w:tc>
                                <w:tcPr>
                                  <w:tcW w:w="8462" w:type="dxa"/>
                                  <w:tcBorders/>
                                  <w:shd w:fill="DCEBF4" w:val="clear"/>
                                  <w:vAlign w:val="center"/>
                                </w:tcPr>
                                <w:p>
                                  <w:pPr>
                                    <w:pStyle w:val="TableContents"/>
                                    <w:bidi w:val="0"/>
                                    <w:spacing w:before="30" w:after="30"/>
                                    <w:ind w:left="30" w:right="3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initial index value, for each $1,000 stated principal amount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leveraged upside payment</w:t>
                                  </w:r>
                                </w:p>
                                <w:p>
                                  <w:pPr>
                                    <w:pStyle w:val="TableContents"/>
                                    <w:bidi w:val="0"/>
                                    <w:spacing w:before="30" w:after="30"/>
                                    <w:ind w:left="30" w:right="3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Under these circumstances, in no event will the payment at maturity exceed the maximum upside payment at maturity.</w:t>
                                  </w:r>
                                </w:p>
                                <w:p>
                                  <w:pPr>
                                    <w:pStyle w:val="TableContents"/>
                                    <w:bidi w:val="0"/>
                                    <w:spacing w:before="30" w:after="30"/>
                                    <w:ind w:left="30" w:right="3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 or equal to</w:t>
                                  </w:r>
                                  <w:r>
                                    <w:rPr>
                                      <w:rFonts w:ascii="Arial;Helvetica;Sans-Serif" w:hAnsi="Arial;Helvetica;Sans-Serif"/>
                                      <w:b w:val="false"/>
                                      <w:i w:val="false"/>
                                      <w:caps w:val="false"/>
                                      <w:smallCaps w:val="false"/>
                                      <w:sz w:val="16"/>
                                    </w:rPr>
                                    <w:t xml:space="preserve"> the initial index value but is greater than or equal to the trigger level, for each $1,000 stated principal amount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absolute index return)</w:t>
                                  </w:r>
                                </w:p>
                                <w:p>
                                  <w:pPr>
                                    <w:pStyle w:val="TableContents"/>
                                    <w:bidi w:val="0"/>
                                    <w:spacing w:before="30" w:after="30"/>
                                    <w:ind w:left="30" w:right="3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this scenario, you will receive a 1% positive return on the Trigger PLUS for each 1% negative return on the underlying index. In no event will this amount exceed the stated principal amount plus $200.00. Accordingly, the maximum downside payment at maturity is $1,200.00 per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trigger level, for each $1,000 stated principal amount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index performance factor</w:t>
                                  </w:r>
                                </w:p>
                                <w:p>
                                  <w:pPr>
                                    <w:pStyle w:val="TableContents"/>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Trigger PLUS and will represent a loss of more than 20%, and possibly all, of your investment.</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462" w:type="dxa"/>
                                  <w:tcBorders/>
                                  <w:vAlign w:val="center"/>
                                </w:tcPr>
                                <w:p>
                                  <w:pPr>
                                    <w:pStyle w:val="TableContents"/>
                                    <w:bidi w:val="0"/>
                                    <w:spacing w:before="0" w:after="283"/>
                                    <w:jc w:val="left"/>
                                    <w:rPr>
                                      <w:sz w:val="16"/>
                                    </w:rPr>
                                  </w:pPr>
                                  <w:r>
                                    <w:rPr>
                                      <w:sz w:val="16"/>
                                    </w:rPr>
                                    <w:t>$1,000 × leverage factor × index percent change</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percent change:</w:t>
                                  </w:r>
                                </w:p>
                              </w:tc>
                              <w:tc>
                                <w:tcPr>
                                  <w:tcW w:w="8462" w:type="dxa"/>
                                  <w:tcBorders/>
                                  <w:shd w:fill="DCEBF4" w:val="clear"/>
                                  <w:vAlign w:val="center"/>
                                </w:tcPr>
                                <w:p>
                                  <w:pPr>
                                    <w:pStyle w:val="TableContents"/>
                                    <w:bidi w:val="0"/>
                                    <w:spacing w:before="0" w:after="283"/>
                                    <w:jc w:val="left"/>
                                    <w:rPr>
                                      <w:sz w:val="16"/>
                                    </w:rPr>
                                  </w:pPr>
                                  <w:r>
                                    <w:rPr>
                                      <w:sz w:val="16"/>
                                    </w:rPr>
                                    <w:t>(final index value – initial index value) / initial index value</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index return:</w:t>
                                  </w:r>
                                </w:p>
                              </w:tc>
                              <w:tc>
                                <w:tcPr>
                                  <w:tcW w:w="8462" w:type="dxa"/>
                                  <w:tcBorders/>
                                  <w:vAlign w:val="center"/>
                                </w:tcPr>
                                <w:p>
                                  <w:pPr>
                                    <w:pStyle w:val="TableContents"/>
                                    <w:bidi w:val="0"/>
                                    <w:spacing w:before="0" w:after="283"/>
                                    <w:jc w:val="left"/>
                                    <w:rPr>
                                      <w:sz w:val="16"/>
                                    </w:rPr>
                                  </w:pPr>
                                  <w:r>
                                    <w:rPr>
                                      <w:sz w:val="16"/>
                                    </w:rPr>
                                    <w:t>The absolute value of the index percent change.  For example, a -5% index percent change will result in a +5% absolute index return.  </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index value: </w:t>
                                  </w:r>
                                </w:p>
                              </w:tc>
                              <w:tc>
                                <w:tcPr>
                                  <w:tcW w:w="8462" w:type="dxa"/>
                                  <w:tcBorders/>
                                  <w:shd w:fill="DCEBF4" w:val="clear"/>
                                  <w:vAlign w:val="center"/>
                                </w:tcPr>
                                <w:p>
                                  <w:pPr>
                                    <w:pStyle w:val="TableContents"/>
                                    <w:bidi w:val="0"/>
                                    <w:spacing w:before="0" w:after="283"/>
                                    <w:jc w:val="left"/>
                                    <w:rPr>
                                      <w:sz w:val="16"/>
                                    </w:rPr>
                                  </w:pPr>
                                  <w:r>
                                    <w:rPr>
                                      <w:sz w:val="16"/>
                                    </w:rPr>
                                    <w:t>The closing level of the underlying index on the pricing date</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index value: </w:t>
                                  </w:r>
                                </w:p>
                              </w:tc>
                              <w:tc>
                                <w:tcPr>
                                  <w:tcW w:w="8462" w:type="dxa"/>
                                  <w:tcBorders/>
                                  <w:vAlign w:val="center"/>
                                </w:tcPr>
                                <w:p>
                                  <w:pPr>
                                    <w:pStyle w:val="TableContents"/>
                                    <w:bidi w:val="0"/>
                                    <w:spacing w:before="0" w:after="283"/>
                                    <w:jc w:val="left"/>
                                    <w:rPr>
                                      <w:sz w:val="16"/>
                                    </w:rPr>
                                  </w:pPr>
                                  <w:r>
                                    <w:rPr>
                                      <w:sz w:val="16"/>
                                    </w:rPr>
                                    <w:t>The closing level of the underlying index on the valuation date</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462" w:type="dxa"/>
                                  <w:tcBorders/>
                                  <w:shd w:fill="DCEBF4" w:val="clear"/>
                                  <w:vAlign w:val="center"/>
                                </w:tcPr>
                                <w:p>
                                  <w:pPr>
                                    <w:pStyle w:val="TableContents"/>
                                    <w:bidi w:val="0"/>
                                    <w:spacing w:before="0" w:after="283"/>
                                    <w:jc w:val="left"/>
                                    <w:rPr>
                                      <w:sz w:val="16"/>
                                    </w:rPr>
                                  </w:pPr>
                                  <w:r>
                                    <w:rPr>
                                      <w:sz w:val="16"/>
                                    </w:rPr>
                                    <w:t>80% of the initial index value</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462" w:type="dxa"/>
                                  <w:tcBorders/>
                                  <w:vAlign w:val="center"/>
                                </w:tcPr>
                                <w:p>
                                  <w:pPr>
                                    <w:pStyle w:val="TableContents"/>
                                    <w:bidi w:val="0"/>
                                    <w:spacing w:before="0" w:after="283"/>
                                    <w:jc w:val="left"/>
                                    <w:rPr>
                                      <w:sz w:val="16"/>
                                    </w:rPr>
                                  </w:pPr>
                                  <w:r>
                                    <w:rPr>
                                      <w:sz w:val="16"/>
                                    </w:rPr>
                                    <w:t>200%</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462" w:type="dxa"/>
                                  <w:tcBorders/>
                                  <w:shd w:fill="DCEBF4" w:val="clear"/>
                                  <w:vAlign w:val="center"/>
                                </w:tcPr>
                                <w:p>
                                  <w:pPr>
                                    <w:pStyle w:val="TableContents"/>
                                    <w:bidi w:val="0"/>
                                    <w:spacing w:before="0" w:after="283"/>
                                    <w:jc w:val="left"/>
                                    <w:rPr>
                                      <w:sz w:val="16"/>
                                    </w:rPr>
                                  </w:pPr>
                                  <w:r>
                                    <w:rPr>
                                      <w:sz w:val="16"/>
                                    </w:rPr>
                                    <w:t>final index value / initial index value</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Maximum upside payment at maturity:</w:t>
                                  </w:r>
                                </w:p>
                              </w:tc>
                              <w:tc>
                                <w:tcPr>
                                  <w:tcW w:w="8462" w:type="dxa"/>
                                  <w:tcBorders/>
                                  <w:vAlign w:val="center"/>
                                </w:tcPr>
                                <w:p>
                                  <w:pPr>
                                    <w:pStyle w:val="TableContents"/>
                                    <w:bidi w:val="0"/>
                                    <w:spacing w:before="0" w:after="283"/>
                                    <w:jc w:val="left"/>
                                    <w:rPr>
                                      <w:sz w:val="16"/>
                                    </w:rPr>
                                  </w:pPr>
                                  <w:r>
                                    <w:rPr>
                                      <w:sz w:val="16"/>
                                    </w:rPr>
                                    <w:t>At least $1,420.00 (at least 142.00% of the stated principal amount) per Trigger PLUS  </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462" w:type="dxa"/>
                                  <w:tcBorders/>
                                  <w:shd w:fill="DCEBF4" w:val="clear"/>
                                  <w:vAlign w:val="center"/>
                                </w:tcPr>
                                <w:p>
                                  <w:pPr>
                                    <w:pStyle w:val="TableContents"/>
                                    <w:bidi w:val="0"/>
                                    <w:spacing w:before="0" w:after="283"/>
                                    <w:jc w:val="left"/>
                                    <w:rPr>
                                      <w:sz w:val="16"/>
                                    </w:rPr>
                                  </w:pPr>
                                  <w:r>
                                    <w:rPr>
                                      <w:sz w:val="16"/>
                                    </w:rPr>
                                    <w:t>$1,000 per Trigger PLUS</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462" w:type="dxa"/>
                                  <w:tcBorders/>
                                  <w:vAlign w:val="center"/>
                                </w:tcPr>
                                <w:p>
                                  <w:pPr>
                                    <w:pStyle w:val="TableContents"/>
                                    <w:bidi w:val="0"/>
                                    <w:spacing w:before="0" w:after="283"/>
                                    <w:jc w:val="left"/>
                                    <w:rPr>
                                      <w:sz w:val="16"/>
                                    </w:rPr>
                                  </w:pPr>
                                  <w:r>
                                    <w:rPr>
                                      <w:sz w:val="16"/>
                                    </w:rPr>
                                    <w:t>$1,000 per Trigger PLUS</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462" w:type="dxa"/>
                                  <w:tcBorders/>
                                  <w:shd w:fill="DCEBF4" w:val="clear"/>
                                  <w:vAlign w:val="center"/>
                                </w:tcPr>
                                <w:p>
                                  <w:pPr>
                                    <w:pStyle w:val="TableContents"/>
                                    <w:bidi w:val="0"/>
                                    <w:spacing w:before="0" w:after="283"/>
                                    <w:jc w:val="left"/>
                                    <w:rPr>
                                      <w:sz w:val="16"/>
                                    </w:rPr>
                                  </w:pPr>
                                  <w:r>
                                    <w:rPr>
                                      <w:sz w:val="16"/>
                                    </w:rPr>
                                    <w:t>Expected to be July 31, 2026</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462" w:type="dxa"/>
                                  <w:tcBorders/>
                                  <w:vAlign w:val="center"/>
                                </w:tcPr>
                                <w:p>
                                  <w:pPr>
                                    <w:pStyle w:val="TableContents"/>
                                    <w:bidi w:val="0"/>
                                    <w:spacing w:before="0" w:after="283"/>
                                    <w:jc w:val="left"/>
                                    <w:rPr>
                                      <w:sz w:val="16"/>
                                    </w:rPr>
                                  </w:pPr>
                                  <w:r>
                                    <w:rPr>
                                      <w:sz w:val="16"/>
                                    </w:rPr>
                                    <w:t>3 business days after the pricing date</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462" w:type="dxa"/>
                                  <w:tcBorders/>
                                  <w:shd w:fill="DCEBF4" w:val="clear"/>
                                  <w:vAlign w:val="center"/>
                                </w:tcPr>
                                <w:p>
                                  <w:pPr>
                                    <w:pStyle w:val="TableContents"/>
                                    <w:bidi w:val="0"/>
                                    <w:spacing w:before="0" w:after="283"/>
                                    <w:jc w:val="left"/>
                                    <w:rPr>
                                      <w:sz w:val="16"/>
                                    </w:rPr>
                                  </w:pPr>
                                  <w:r>
                                    <w:rPr>
                                      <w:sz w:val="16"/>
                                    </w:rPr>
                                    <w:t>July 31, 2028</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462" w:type="dxa"/>
                                  <w:tcBorders/>
                                  <w:vAlign w:val="center"/>
                                </w:tcPr>
                                <w:p>
                                  <w:pPr>
                                    <w:pStyle w:val="TableContents"/>
                                    <w:bidi w:val="0"/>
                                    <w:spacing w:before="0" w:after="283"/>
                                    <w:jc w:val="left"/>
                                    <w:rPr>
                                      <w:sz w:val="16"/>
                                    </w:rPr>
                                  </w:pPr>
                                  <w:r>
                                    <w:rPr>
                                      <w:sz w:val="16"/>
                                    </w:rPr>
                                    <w:t>August 3, 2028</w:t>
                                  </w:r>
                                </w:p>
                              </w:tc>
                            </w:tr>
                            <w:tr>
                              <w:trPr/>
                              <w:tc>
                                <w:tcPr>
                                  <w:tcW w:w="1743"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462" w:type="dxa"/>
                                  <w:tcBorders/>
                                  <w:shd w:fill="DCEBF4" w:val="clear"/>
                                  <w:vAlign w:val="center"/>
                                </w:tcPr>
                                <w:p>
                                  <w:pPr>
                                    <w:pStyle w:val="TableContents"/>
                                    <w:bidi w:val="0"/>
                                    <w:spacing w:before="0" w:after="283"/>
                                    <w:jc w:val="left"/>
                                    <w:rPr>
                                      <w:sz w:val="16"/>
                                    </w:rPr>
                                  </w:pPr>
                                  <w:r>
                                    <w:rPr>
                                      <w:sz w:val="16"/>
                                    </w:rPr>
                                    <w:t>46661KZ76 / US46661KZ761</w:t>
                                  </w:r>
                                </w:p>
                              </w:tc>
                            </w:tr>
                            <w:tr>
                              <w:trPr/>
                              <w:tc>
                                <w:tcPr>
                                  <w:tcW w:w="1743"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462" w:type="dxa"/>
                                  <w:tcBorders/>
                                  <w:vAlign w:val="center"/>
                                </w:tcPr>
                                <w:p>
                                  <w:pPr>
                                    <w:pStyle w:val="TableContents"/>
                                    <w:bidi w:val="0"/>
                                    <w:spacing w:before="0" w:after="283"/>
                                    <w:jc w:val="left"/>
                                    <w:rPr/>
                                  </w:pPr>
                                  <w:hyperlink r:id="rId2">
                                    <w:r>
                                      <w:rPr>
                                        <w:rStyle w:val="InternetLink"/>
                                        <w:sz w:val="16"/>
                                      </w:rPr>
                                      <w:t>http://www.sec.gov/Archives/edgar/data/</w:t>
                                      <w:br/>
                                      <w:t>19617/000121390026082573/ea0299598-01_424b2.htm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4"/>
                              </w:rPr>
                              <w:t>Subject to postponement or early acceleration</w:t>
                            </w:r>
                          </w:p>
                          <w:p>
                            <w:pPr>
                              <w:pStyle w:val="TextBody"/>
                              <w:bidi w:val="0"/>
                              <w:spacing w:before="0" w:after="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Trigger PLUS on the pricing date will be provided in the pricing supplement and will not be less than $940.00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Trigger PLUS is subject to the credit risk of JPMorgan Financial, as issuer of the Trigger PLUS, and the credit risk of JPMorgan Chase &amp; Co., as guarantor of the Trigger PLUS.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743"/>
                        <w:gridCol w:w="8462"/>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74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462"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462" w:type="dxa"/>
                            <w:tcBorders/>
                            <w:shd w:fill="DCEBF4" w:val="clear"/>
                            <w:vAlign w:val="center"/>
                          </w:tcPr>
                          <w:p>
                            <w:pPr>
                              <w:pStyle w:val="TableContents"/>
                              <w:bidi w:val="0"/>
                              <w:spacing w:before="0" w:after="283"/>
                              <w:jc w:val="left"/>
                              <w:rPr>
                                <w:sz w:val="16"/>
                              </w:rPr>
                            </w:pPr>
                            <w:r>
                              <w:rPr>
                                <w:sz w:val="16"/>
                              </w:rPr>
                              <w:t>JPMorgan Chase &amp; Co.</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8462" w:type="dxa"/>
                            <w:tcBorders/>
                            <w:vAlign w:val="center"/>
                          </w:tcPr>
                          <w:p>
                            <w:pPr>
                              <w:pStyle w:val="TableContents"/>
                              <w:bidi w:val="0"/>
                              <w:spacing w:before="0" w:after="283"/>
                              <w:jc w:val="left"/>
                              <w:rPr>
                                <w:sz w:val="16"/>
                              </w:rPr>
                            </w:pPr>
                            <w:r>
                              <w:rPr>
                                <w:sz w:val="16"/>
                              </w:rPr>
                              <w:t>MSCI Emerging Markets Index (Bloomberg ticker: MXEF Index)</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Payment at</w:t>
                              <w:br/>
                              <w:t xml:space="preserve">maturity: </w:t>
                            </w:r>
                          </w:p>
                        </w:tc>
                        <w:tc>
                          <w:tcPr>
                            <w:tcW w:w="8462" w:type="dxa"/>
                            <w:tcBorders/>
                            <w:shd w:fill="DCEBF4" w:val="clear"/>
                            <w:vAlign w:val="center"/>
                          </w:tcPr>
                          <w:p>
                            <w:pPr>
                              <w:pStyle w:val="TableContents"/>
                              <w:bidi w:val="0"/>
                              <w:spacing w:before="30" w:after="30"/>
                              <w:ind w:left="30" w:right="3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initial index value, for each $1,000 stated principal amount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leveraged upside payment</w:t>
                            </w:r>
                          </w:p>
                          <w:p>
                            <w:pPr>
                              <w:pStyle w:val="TableContents"/>
                              <w:bidi w:val="0"/>
                              <w:spacing w:before="30" w:after="30"/>
                              <w:ind w:left="30" w:right="3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Under these circumstances, in no event will the payment at maturity exceed the maximum upside payment at maturity.</w:t>
                            </w:r>
                          </w:p>
                          <w:p>
                            <w:pPr>
                              <w:pStyle w:val="TableContents"/>
                              <w:bidi w:val="0"/>
                              <w:spacing w:before="30" w:after="30"/>
                              <w:ind w:left="30" w:right="3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 or equal to</w:t>
                            </w:r>
                            <w:r>
                              <w:rPr>
                                <w:rFonts w:ascii="Arial;Helvetica;Sans-Serif" w:hAnsi="Arial;Helvetica;Sans-Serif"/>
                                <w:b w:val="false"/>
                                <w:i w:val="false"/>
                                <w:caps w:val="false"/>
                                <w:smallCaps w:val="false"/>
                                <w:sz w:val="16"/>
                              </w:rPr>
                              <w:t xml:space="preserve"> the initial index value but is greater than or equal to the trigger level, for each $1,000 stated principal amount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absolute index return)</w:t>
                            </w:r>
                          </w:p>
                          <w:p>
                            <w:pPr>
                              <w:pStyle w:val="TableContents"/>
                              <w:bidi w:val="0"/>
                              <w:spacing w:before="30" w:after="30"/>
                              <w:ind w:left="30" w:right="3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this scenario, you will receive a 1% positive return on the Trigger PLUS for each 1% negative return on the underlying index. In no event will this amount exceed the stated principal amount plus $200.00. Accordingly, the maximum downside payment at maturity is $1,200.00 per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trigger level, for each $1,000 stated principal amount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index performance factor</w:t>
                            </w:r>
                          </w:p>
                          <w:p>
                            <w:pPr>
                              <w:pStyle w:val="TableContents"/>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Trigger PLUS and will represent a loss of more than 20%, and possibly all, of your investment.</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462" w:type="dxa"/>
                            <w:tcBorders/>
                            <w:vAlign w:val="center"/>
                          </w:tcPr>
                          <w:p>
                            <w:pPr>
                              <w:pStyle w:val="TableContents"/>
                              <w:bidi w:val="0"/>
                              <w:spacing w:before="0" w:after="283"/>
                              <w:jc w:val="left"/>
                              <w:rPr>
                                <w:sz w:val="16"/>
                              </w:rPr>
                            </w:pPr>
                            <w:r>
                              <w:rPr>
                                <w:sz w:val="16"/>
                              </w:rPr>
                              <w:t>$1,000 × leverage factor × index percent change</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percent change:</w:t>
                            </w:r>
                          </w:p>
                        </w:tc>
                        <w:tc>
                          <w:tcPr>
                            <w:tcW w:w="8462" w:type="dxa"/>
                            <w:tcBorders/>
                            <w:shd w:fill="DCEBF4" w:val="clear"/>
                            <w:vAlign w:val="center"/>
                          </w:tcPr>
                          <w:p>
                            <w:pPr>
                              <w:pStyle w:val="TableContents"/>
                              <w:bidi w:val="0"/>
                              <w:spacing w:before="0" w:after="283"/>
                              <w:jc w:val="left"/>
                              <w:rPr>
                                <w:sz w:val="16"/>
                              </w:rPr>
                            </w:pPr>
                            <w:r>
                              <w:rPr>
                                <w:sz w:val="16"/>
                              </w:rPr>
                              <w:t>(final index value – initial index value) / initial index value</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index return:</w:t>
                            </w:r>
                          </w:p>
                        </w:tc>
                        <w:tc>
                          <w:tcPr>
                            <w:tcW w:w="8462" w:type="dxa"/>
                            <w:tcBorders/>
                            <w:vAlign w:val="center"/>
                          </w:tcPr>
                          <w:p>
                            <w:pPr>
                              <w:pStyle w:val="TableContents"/>
                              <w:bidi w:val="0"/>
                              <w:spacing w:before="0" w:after="283"/>
                              <w:jc w:val="left"/>
                              <w:rPr>
                                <w:sz w:val="16"/>
                              </w:rPr>
                            </w:pPr>
                            <w:r>
                              <w:rPr>
                                <w:sz w:val="16"/>
                              </w:rPr>
                              <w:t>The absolute value of the index percent change.  For example, a -5% index percent change will result in a +5% absolute index return.  </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index value: </w:t>
                            </w:r>
                          </w:p>
                        </w:tc>
                        <w:tc>
                          <w:tcPr>
                            <w:tcW w:w="8462" w:type="dxa"/>
                            <w:tcBorders/>
                            <w:shd w:fill="DCEBF4" w:val="clear"/>
                            <w:vAlign w:val="center"/>
                          </w:tcPr>
                          <w:p>
                            <w:pPr>
                              <w:pStyle w:val="TableContents"/>
                              <w:bidi w:val="0"/>
                              <w:spacing w:before="0" w:after="283"/>
                              <w:jc w:val="left"/>
                              <w:rPr>
                                <w:sz w:val="16"/>
                              </w:rPr>
                            </w:pPr>
                            <w:r>
                              <w:rPr>
                                <w:sz w:val="16"/>
                              </w:rPr>
                              <w:t>The closing level of the underlying index on the pricing date</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index value: </w:t>
                            </w:r>
                          </w:p>
                        </w:tc>
                        <w:tc>
                          <w:tcPr>
                            <w:tcW w:w="8462" w:type="dxa"/>
                            <w:tcBorders/>
                            <w:vAlign w:val="center"/>
                          </w:tcPr>
                          <w:p>
                            <w:pPr>
                              <w:pStyle w:val="TableContents"/>
                              <w:bidi w:val="0"/>
                              <w:spacing w:before="0" w:after="283"/>
                              <w:jc w:val="left"/>
                              <w:rPr>
                                <w:sz w:val="16"/>
                              </w:rPr>
                            </w:pPr>
                            <w:r>
                              <w:rPr>
                                <w:sz w:val="16"/>
                              </w:rPr>
                              <w:t>The closing level of the underlying index on the valuation date</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462" w:type="dxa"/>
                            <w:tcBorders/>
                            <w:shd w:fill="DCEBF4" w:val="clear"/>
                            <w:vAlign w:val="center"/>
                          </w:tcPr>
                          <w:p>
                            <w:pPr>
                              <w:pStyle w:val="TableContents"/>
                              <w:bidi w:val="0"/>
                              <w:spacing w:before="0" w:after="283"/>
                              <w:jc w:val="left"/>
                              <w:rPr>
                                <w:sz w:val="16"/>
                              </w:rPr>
                            </w:pPr>
                            <w:r>
                              <w:rPr>
                                <w:sz w:val="16"/>
                              </w:rPr>
                              <w:t>80% of the initial index value</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462" w:type="dxa"/>
                            <w:tcBorders/>
                            <w:vAlign w:val="center"/>
                          </w:tcPr>
                          <w:p>
                            <w:pPr>
                              <w:pStyle w:val="TableContents"/>
                              <w:bidi w:val="0"/>
                              <w:spacing w:before="0" w:after="283"/>
                              <w:jc w:val="left"/>
                              <w:rPr>
                                <w:sz w:val="16"/>
                              </w:rPr>
                            </w:pPr>
                            <w:r>
                              <w:rPr>
                                <w:sz w:val="16"/>
                              </w:rPr>
                              <w:t>200%</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462" w:type="dxa"/>
                            <w:tcBorders/>
                            <w:shd w:fill="DCEBF4" w:val="clear"/>
                            <w:vAlign w:val="center"/>
                          </w:tcPr>
                          <w:p>
                            <w:pPr>
                              <w:pStyle w:val="TableContents"/>
                              <w:bidi w:val="0"/>
                              <w:spacing w:before="0" w:after="283"/>
                              <w:jc w:val="left"/>
                              <w:rPr>
                                <w:sz w:val="16"/>
                              </w:rPr>
                            </w:pPr>
                            <w:r>
                              <w:rPr>
                                <w:sz w:val="16"/>
                              </w:rPr>
                              <w:t>final index value / initial index value</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Maximum upside payment at maturity:</w:t>
                            </w:r>
                          </w:p>
                        </w:tc>
                        <w:tc>
                          <w:tcPr>
                            <w:tcW w:w="8462" w:type="dxa"/>
                            <w:tcBorders/>
                            <w:vAlign w:val="center"/>
                          </w:tcPr>
                          <w:p>
                            <w:pPr>
                              <w:pStyle w:val="TableContents"/>
                              <w:bidi w:val="0"/>
                              <w:spacing w:before="0" w:after="283"/>
                              <w:jc w:val="left"/>
                              <w:rPr>
                                <w:sz w:val="16"/>
                              </w:rPr>
                            </w:pPr>
                            <w:r>
                              <w:rPr>
                                <w:sz w:val="16"/>
                              </w:rPr>
                              <w:t>At least $1,420.00 (at least 142.00% of the stated principal amount) per Trigger PLUS  </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462" w:type="dxa"/>
                            <w:tcBorders/>
                            <w:shd w:fill="DCEBF4" w:val="clear"/>
                            <w:vAlign w:val="center"/>
                          </w:tcPr>
                          <w:p>
                            <w:pPr>
                              <w:pStyle w:val="TableContents"/>
                              <w:bidi w:val="0"/>
                              <w:spacing w:before="0" w:after="283"/>
                              <w:jc w:val="left"/>
                              <w:rPr>
                                <w:sz w:val="16"/>
                              </w:rPr>
                            </w:pPr>
                            <w:r>
                              <w:rPr>
                                <w:sz w:val="16"/>
                              </w:rPr>
                              <w:t>$1,000 per Trigger PLUS</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462" w:type="dxa"/>
                            <w:tcBorders/>
                            <w:vAlign w:val="center"/>
                          </w:tcPr>
                          <w:p>
                            <w:pPr>
                              <w:pStyle w:val="TableContents"/>
                              <w:bidi w:val="0"/>
                              <w:spacing w:before="0" w:after="283"/>
                              <w:jc w:val="left"/>
                              <w:rPr>
                                <w:sz w:val="16"/>
                              </w:rPr>
                            </w:pPr>
                            <w:r>
                              <w:rPr>
                                <w:sz w:val="16"/>
                              </w:rPr>
                              <w:t>$1,000 per Trigger PLUS</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462" w:type="dxa"/>
                            <w:tcBorders/>
                            <w:shd w:fill="DCEBF4" w:val="clear"/>
                            <w:vAlign w:val="center"/>
                          </w:tcPr>
                          <w:p>
                            <w:pPr>
                              <w:pStyle w:val="TableContents"/>
                              <w:bidi w:val="0"/>
                              <w:spacing w:before="0" w:after="283"/>
                              <w:jc w:val="left"/>
                              <w:rPr>
                                <w:sz w:val="16"/>
                              </w:rPr>
                            </w:pPr>
                            <w:r>
                              <w:rPr>
                                <w:sz w:val="16"/>
                              </w:rPr>
                              <w:t>Expected to be July 31, 2026</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462" w:type="dxa"/>
                            <w:tcBorders/>
                            <w:vAlign w:val="center"/>
                          </w:tcPr>
                          <w:p>
                            <w:pPr>
                              <w:pStyle w:val="TableContents"/>
                              <w:bidi w:val="0"/>
                              <w:spacing w:before="0" w:after="283"/>
                              <w:jc w:val="left"/>
                              <w:rPr>
                                <w:sz w:val="16"/>
                              </w:rPr>
                            </w:pPr>
                            <w:r>
                              <w:rPr>
                                <w:sz w:val="16"/>
                              </w:rPr>
                              <w:t>3 business days after the pricing date</w:t>
                            </w:r>
                          </w:p>
                        </w:tc>
                      </w:tr>
                      <w:tr>
                        <w:trPr/>
                        <w:tc>
                          <w:tcPr>
                            <w:tcW w:w="174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462" w:type="dxa"/>
                            <w:tcBorders/>
                            <w:shd w:fill="DCEBF4" w:val="clear"/>
                            <w:vAlign w:val="center"/>
                          </w:tcPr>
                          <w:p>
                            <w:pPr>
                              <w:pStyle w:val="TableContents"/>
                              <w:bidi w:val="0"/>
                              <w:spacing w:before="0" w:after="283"/>
                              <w:jc w:val="left"/>
                              <w:rPr>
                                <w:sz w:val="16"/>
                              </w:rPr>
                            </w:pPr>
                            <w:r>
                              <w:rPr>
                                <w:sz w:val="16"/>
                              </w:rPr>
                              <w:t>July 31, 2028</w:t>
                            </w:r>
                          </w:p>
                        </w:tc>
                      </w:tr>
                      <w:tr>
                        <w:trPr/>
                        <w:tc>
                          <w:tcPr>
                            <w:tcW w:w="174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462" w:type="dxa"/>
                            <w:tcBorders/>
                            <w:vAlign w:val="center"/>
                          </w:tcPr>
                          <w:p>
                            <w:pPr>
                              <w:pStyle w:val="TableContents"/>
                              <w:bidi w:val="0"/>
                              <w:spacing w:before="0" w:after="283"/>
                              <w:jc w:val="left"/>
                              <w:rPr>
                                <w:sz w:val="16"/>
                              </w:rPr>
                            </w:pPr>
                            <w:r>
                              <w:rPr>
                                <w:sz w:val="16"/>
                              </w:rPr>
                              <w:t>August 3, 2028</w:t>
                            </w:r>
                          </w:p>
                        </w:tc>
                      </w:tr>
                      <w:tr>
                        <w:trPr/>
                        <w:tc>
                          <w:tcPr>
                            <w:tcW w:w="1743"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462" w:type="dxa"/>
                            <w:tcBorders/>
                            <w:shd w:fill="DCEBF4" w:val="clear"/>
                            <w:vAlign w:val="center"/>
                          </w:tcPr>
                          <w:p>
                            <w:pPr>
                              <w:pStyle w:val="TableContents"/>
                              <w:bidi w:val="0"/>
                              <w:spacing w:before="0" w:after="283"/>
                              <w:jc w:val="left"/>
                              <w:rPr>
                                <w:sz w:val="16"/>
                              </w:rPr>
                            </w:pPr>
                            <w:r>
                              <w:rPr>
                                <w:sz w:val="16"/>
                              </w:rPr>
                              <w:t>46661KZ76 / US46661KZ761</w:t>
                            </w:r>
                          </w:p>
                        </w:tc>
                      </w:tr>
                      <w:tr>
                        <w:trPr/>
                        <w:tc>
                          <w:tcPr>
                            <w:tcW w:w="1743"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462" w:type="dxa"/>
                            <w:tcBorders/>
                            <w:vAlign w:val="center"/>
                          </w:tcPr>
                          <w:p>
                            <w:pPr>
                              <w:pStyle w:val="TableContents"/>
                              <w:bidi w:val="0"/>
                              <w:spacing w:before="0" w:after="283"/>
                              <w:jc w:val="left"/>
                              <w:rPr/>
                            </w:pPr>
                            <w:hyperlink r:id="rId3">
                              <w:r>
                                <w:rPr>
                                  <w:rStyle w:val="InternetLink"/>
                                  <w:sz w:val="16"/>
                                </w:rPr>
                                <w:t>http://www.sec.gov/Archives/edgar/data/</w:t>
                                <w:br/>
                                <w:t>19617/000121390026082573/ea0299598-01_424b2.htm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4"/>
                        </w:rPr>
                        <w:t>Subject to postponement or early acceleration</w:t>
                      </w:r>
                    </w:p>
                    <w:p>
                      <w:pPr>
                        <w:pStyle w:val="TextBody"/>
                        <w:bidi w:val="0"/>
                        <w:spacing w:before="0" w:after="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Trigger PLUS on the pricing date will be provided in the pricing supplement and will not be less than $940.00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Trigger PLUS is subject to the credit risk of JPMorgan Financial, as issuer of the Trigger PLUS, and the credit risk of JPMorgan Chase &amp; Co., as guarantor of the Trigger PLUS.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6435" w:type="dxa"/>
                              <w:jc w:val="left"/>
                              <w:tblInd w:w="0" w:type="dxa"/>
                              <w:tblLayout w:type="fixed"/>
                              <w:tblCellMar>
                                <w:top w:w="0" w:type="dxa"/>
                                <w:left w:w="0" w:type="dxa"/>
                                <w:bottom w:w="0" w:type="dxa"/>
                                <w:right w:w="0" w:type="dxa"/>
                              </w:tblCellMar>
                            </w:tblPr>
                            <w:tblGrid>
                              <w:gridCol w:w="6435"/>
                            </w:tblGrid>
                            <w:tr>
                              <w:trPr/>
                              <w:tc>
                                <w:tcPr>
                                  <w:tcW w:w="643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 xml:space="preserve">Dual Directional Trigger PLUS Payoff Diagram* </w:t>
                                  </w:r>
                                </w:p>
                              </w:tc>
                            </w:tr>
                            <w:tr>
                              <w:trPr/>
                              <w:tc>
                                <w:tcPr>
                                  <w:tcW w:w="6435" w:type="dxa"/>
                                  <w:tcBorders/>
                                  <w:vAlign w:val="center"/>
                                </w:tcPr>
                                <w:p>
                                  <w:pPr>
                                    <w:pStyle w:val="TableContents"/>
                                    <w:bidi w:val="0"/>
                                    <w:spacing w:before="0" w:after="283"/>
                                    <w:jc w:val="center"/>
                                    <w:rPr/>
                                  </w:pPr>
                                  <w:r>
                                    <w:rPr/>
                                    <w:drawing>
                                      <wp:inline distT="0" distB="0" distL="0" distR="0">
                                        <wp:extent cx="4067175" cy="28098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067175" cy="2809875"/>
                                                </a:xfrm>
                                                <a:prstGeom prst="rect">
                                                  <a:avLst/>
                                                </a:prstGeom>
                                              </pic:spPr>
                                            </pic:pic>
                                          </a:graphicData>
                                        </a:graphic>
                                      </wp:inline>
                                    </w:drawing>
                                  </w:r>
                                </w:p>
                              </w:tc>
                            </w:tr>
                          </w:tbl>
                          <w:p>
                            <w:pPr>
                              <w:pStyle w:val="TextBody"/>
                              <w:bidi w:val="0"/>
                              <w:spacing w:before="6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maximum upside payment at maturity will be provided in the pricing supplement and will not be less than $1,420.00 per Trigger PLUS.</w:t>
                            </w:r>
                          </w:p>
                          <w:tbl>
                            <w:tblPr>
                              <w:tblW w:w="6739" w:type="dxa"/>
                              <w:jc w:val="center"/>
                              <w:tblInd w:w="0" w:type="dxa"/>
                              <w:tblLayout w:type="fixed"/>
                              <w:tblCellMar>
                                <w:top w:w="0" w:type="dxa"/>
                                <w:left w:w="0" w:type="dxa"/>
                                <w:bottom w:w="0" w:type="dxa"/>
                                <w:right w:w="0" w:type="dxa"/>
                              </w:tblCellMar>
                            </w:tblPr>
                            <w:tblGrid>
                              <w:gridCol w:w="3309"/>
                              <w:gridCol w:w="3430"/>
                            </w:tblGrid>
                            <w:tr>
                              <w:trPr/>
                              <w:tc>
                                <w:tcPr>
                                  <w:tcW w:w="3309"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Underlying Index</w:t>
                                  </w:r>
                                </w:p>
                              </w:tc>
                              <w:tc>
                                <w:tcPr>
                                  <w:tcW w:w="343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Trigger PLUS*</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6739" w:type="dxa"/>
                                  <w:gridSpan w:val="2"/>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*Assumes a maximum upside payment at maturity of 142.00% of the stated principal amount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6435" w:type="dxa"/>
                        <w:jc w:val="left"/>
                        <w:tblInd w:w="0" w:type="dxa"/>
                        <w:tblLayout w:type="fixed"/>
                        <w:tblCellMar>
                          <w:top w:w="0" w:type="dxa"/>
                          <w:left w:w="0" w:type="dxa"/>
                          <w:bottom w:w="0" w:type="dxa"/>
                          <w:right w:w="0" w:type="dxa"/>
                        </w:tblCellMar>
                      </w:tblPr>
                      <w:tblGrid>
                        <w:gridCol w:w="6435"/>
                      </w:tblGrid>
                      <w:tr>
                        <w:trPr/>
                        <w:tc>
                          <w:tcPr>
                            <w:tcW w:w="643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 xml:space="preserve">Dual Directional Trigger PLUS Payoff Diagram* </w:t>
                            </w:r>
                          </w:p>
                        </w:tc>
                      </w:tr>
                      <w:tr>
                        <w:trPr/>
                        <w:tc>
                          <w:tcPr>
                            <w:tcW w:w="6435" w:type="dxa"/>
                            <w:tcBorders/>
                            <w:vAlign w:val="center"/>
                          </w:tcPr>
                          <w:p>
                            <w:pPr>
                              <w:pStyle w:val="TableContents"/>
                              <w:bidi w:val="0"/>
                              <w:spacing w:before="0" w:after="283"/>
                              <w:jc w:val="center"/>
                              <w:rPr/>
                            </w:pPr>
                            <w:r>
                              <w:rPr/>
                              <w:drawing>
                                <wp:inline distT="0" distB="0" distL="0" distR="0">
                                  <wp:extent cx="4067175" cy="28098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067175" cy="2809875"/>
                                          </a:xfrm>
                                          <a:prstGeom prst="rect">
                                            <a:avLst/>
                                          </a:prstGeom>
                                        </pic:spPr>
                                      </pic:pic>
                                    </a:graphicData>
                                  </a:graphic>
                                </wp:inline>
                              </w:drawing>
                            </w:r>
                          </w:p>
                        </w:tc>
                      </w:tr>
                    </w:tbl>
                    <w:p>
                      <w:pPr>
                        <w:pStyle w:val="TextBody"/>
                        <w:bidi w:val="0"/>
                        <w:spacing w:before="6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maximum upside payment at maturity will be provided in the pricing supplement and will not be less than $1,420.00 per Trigger PLUS.</w:t>
                      </w:r>
                    </w:p>
                    <w:tbl>
                      <w:tblPr>
                        <w:tblW w:w="6739" w:type="dxa"/>
                        <w:jc w:val="center"/>
                        <w:tblInd w:w="0" w:type="dxa"/>
                        <w:tblLayout w:type="fixed"/>
                        <w:tblCellMar>
                          <w:top w:w="0" w:type="dxa"/>
                          <w:left w:w="0" w:type="dxa"/>
                          <w:bottom w:w="0" w:type="dxa"/>
                          <w:right w:w="0" w:type="dxa"/>
                        </w:tblCellMar>
                      </w:tblPr>
                      <w:tblGrid>
                        <w:gridCol w:w="3309"/>
                        <w:gridCol w:w="3430"/>
                      </w:tblGrid>
                      <w:tr>
                        <w:trPr/>
                        <w:tc>
                          <w:tcPr>
                            <w:tcW w:w="3309"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Underlying Index</w:t>
                            </w:r>
                          </w:p>
                        </w:tc>
                        <w:tc>
                          <w:tcPr>
                            <w:tcW w:w="343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Trigger PLUS*</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330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3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330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3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6739" w:type="dxa"/>
                            <w:gridSpan w:val="2"/>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*Assumes a maximum upside payment at maturity of 142.00% of the stated principal amount</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MXEF Dual Directional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Index</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index, including historical performance information, see the accompanying preliminary pricing supplement.</w:t>
      </w:r>
    </w:p>
    <w:p>
      <w:pPr>
        <w:pStyle w:val="TextBody"/>
        <w:bidi w:val="0"/>
        <w:spacing w:before="40" w:after="40"/>
        <w:ind w:left="40" w:right="4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2" w:type="dxa"/>
            <w:tcBorders/>
            <w:vAlign w:val="center"/>
          </w:tcPr>
          <w:p>
            <w:pPr>
              <w:pStyle w:val="TableContents"/>
              <w:bidi w:val="0"/>
              <w:spacing w:before="0" w:after="283"/>
              <w:jc w:val="left"/>
              <w:rPr>
                <w:sz w:val="18"/>
              </w:rPr>
            </w:pPr>
            <w:r>
              <w:rPr>
                <w:sz w:val="18"/>
              </w:rPr>
              <w:t xml:space="preserve">The Trigger PLUS do not pay interest or guarantee the return of any principal and your investment in the Trigger PLUS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appreciation potential of the Trigger PLUS is limited by the maximum upside payment at maturity if the underlying index has appreciated. </w:t>
            </w:r>
          </w:p>
        </w:tc>
      </w:tr>
    </w:tbl>
    <w:tbl>
      <w:tblPr>
        <w:tblW w:w="5000" w:type="pct"/>
        <w:jc w:val="left"/>
        <w:tblInd w:w="0" w:type="dxa"/>
        <w:tblLayout w:type="fixed"/>
        <w:tblCellMar>
          <w:top w:w="0" w:type="dxa"/>
          <w:left w:w="0" w:type="dxa"/>
          <w:bottom w:w="0" w:type="dxa"/>
          <w:right w:w="0" w:type="dxa"/>
        </w:tblCellMar>
      </w:tblPr>
      <w:tblGrid>
        <w:gridCol w:w="63"/>
        <w:gridCol w:w="209"/>
        <w:gridCol w:w="9933"/>
      </w:tblGrid>
      <w:tr>
        <w:trPr/>
        <w:tc>
          <w:tcPr>
            <w:tcW w:w="6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33" w:type="dxa"/>
            <w:tcBorders/>
            <w:vAlign w:val="center"/>
          </w:tcPr>
          <w:p>
            <w:pPr>
              <w:pStyle w:val="TableContents"/>
              <w:bidi w:val="0"/>
              <w:spacing w:before="0" w:after="283"/>
              <w:jc w:val="left"/>
              <w:rPr>
                <w:sz w:val="18"/>
              </w:rPr>
            </w:pPr>
            <w:r>
              <w:rPr>
                <w:sz w:val="18"/>
              </w:rPr>
              <w:t xml:space="preserve">Your maximum downside gain on the Trigger PLUS is limited by the trigger level.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are subject to the credit risks of JPMorgan Financial and JPMorgan Chase &amp; Co., and any actual or anticipated changes to our or JPMorgan Chase &amp; Co.’s credit ratings or credit spreads may adversely affect the market value of the Trigger PLUS. </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Trigger PLUS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0" w:type="dxa"/>
            <w:tcBorders/>
            <w:vAlign w:val="center"/>
          </w:tcPr>
          <w:p>
            <w:pPr>
              <w:pStyle w:val="TableContents"/>
              <w:bidi w:val="0"/>
              <w:spacing w:before="0" w:after="283"/>
              <w:jc w:val="left"/>
              <w:rPr>
                <w:sz w:val="18"/>
              </w:rPr>
            </w:pPr>
            <w:r>
              <w:rPr>
                <w:sz w:val="18"/>
              </w:rPr>
              <w:t xml:space="preserve">The final terms and </w:t>
            </w:r>
            <w:r>
              <w:rPr>
                <w:rFonts w:ascii="Arial;Helvetica;Sans-Serif" w:hAnsi="Arial;Helvetica;Sans-Serif"/>
                <w:b w:val="false"/>
                <w:sz w:val="18"/>
              </w:rPr>
              <w:t xml:space="preserve">estimated </w:t>
            </w:r>
            <w:r>
              <w:rPr>
                <w:sz w:val="18"/>
              </w:rPr>
              <w:t xml:space="preserve">valuation of the Trigger PLUS will be provided in the pricing supplement. </w:t>
            </w:r>
          </w:p>
        </w:tc>
      </w:tr>
    </w:tbl>
    <w:tbl>
      <w:tblPr>
        <w:tblW w:w="5000" w:type="pct"/>
        <w:jc w:val="left"/>
        <w:tblInd w:w="0" w:type="dxa"/>
        <w:tblLayout w:type="fixed"/>
        <w:tblCellMar>
          <w:top w:w="0" w:type="dxa"/>
          <w:left w:w="0" w:type="dxa"/>
          <w:bottom w:w="0" w:type="dxa"/>
          <w:right w:w="0" w:type="dxa"/>
        </w:tblCellMar>
      </w:tblPr>
      <w:tblGrid>
        <w:gridCol w:w="70"/>
        <w:gridCol w:w="232"/>
        <w:gridCol w:w="9903"/>
      </w:tblGrid>
      <w:tr>
        <w:trPr/>
        <w:tc>
          <w:tcPr>
            <w:tcW w:w="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3" w:type="dxa"/>
            <w:tcBorders/>
            <w:vAlign w:val="center"/>
          </w:tcPr>
          <w:p>
            <w:pPr>
              <w:pStyle w:val="TableContents"/>
              <w:bidi w:val="0"/>
              <w:spacing w:before="0" w:after="283"/>
              <w:jc w:val="left"/>
              <w:rPr>
                <w:sz w:val="18"/>
              </w:rPr>
            </w:pPr>
            <w:r>
              <w:rPr>
                <w:sz w:val="18"/>
              </w:rPr>
              <w:t xml:space="preserve">The tax consequences of an investment in the Trigger PLUS are uncertain. </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3"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PLUS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PLUS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Trigger PLUS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PLUS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Index</w:t>
      </w:r>
    </w:p>
    <w:tbl>
      <w:tblPr>
        <w:tblW w:w="5000" w:type="pct"/>
        <w:jc w:val="left"/>
        <w:tblInd w:w="0" w:type="dxa"/>
        <w:tblLayout w:type="fixed"/>
        <w:tblCellMar>
          <w:top w:w="0" w:type="dxa"/>
          <w:left w:w="0" w:type="dxa"/>
          <w:bottom w:w="0" w:type="dxa"/>
          <w:right w:w="0" w:type="dxa"/>
        </w:tblCellMar>
      </w:tblPr>
      <w:tblGrid>
        <w:gridCol w:w="56"/>
        <w:gridCol w:w="188"/>
        <w:gridCol w:w="9961"/>
      </w:tblGrid>
      <w:tr>
        <w:trPr/>
        <w:tc>
          <w:tcPr>
            <w:tcW w:w="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61" w:type="dxa"/>
            <w:tcBorders/>
            <w:vAlign w:val="center"/>
          </w:tcPr>
          <w:p>
            <w:pPr>
              <w:pStyle w:val="TableContents"/>
              <w:bidi w:val="0"/>
              <w:spacing w:before="0" w:after="283"/>
              <w:jc w:val="left"/>
              <w:rPr/>
            </w:pPr>
            <w:r>
              <w:rPr>
                <w:rFonts w:ascii="Arial;Helvetica;Sans-Serif" w:hAnsi="Arial;Helvetica;Sans-Serif"/>
                <w:b w:val="false"/>
                <w:sz w:val="18"/>
              </w:rPr>
              <w:t xml:space="preserve">Investing in the </w:t>
            </w:r>
            <w:r>
              <w:rPr>
                <w:sz w:val="18"/>
              </w:rPr>
              <w:t xml:space="preserve">Trigger PLUS </w:t>
            </w:r>
            <w:r>
              <w:rPr>
                <w:rFonts w:ascii="Arial;Helvetica;Sans-Serif" w:hAnsi="Arial;Helvetica;Sans-Serif"/>
                <w:b w:val="false"/>
                <w:sz w:val="18"/>
              </w:rPr>
              <w:t>is not equivalent to investing in the underlying index.</w:t>
            </w:r>
          </w:p>
        </w:tc>
      </w:tr>
    </w:tbl>
    <w:tbl>
      <w:tblPr>
        <w:tblW w:w="5000" w:type="pct"/>
        <w:jc w:val="left"/>
        <w:tblInd w:w="0" w:type="dxa"/>
        <w:tblLayout w:type="fixed"/>
        <w:tblCellMar>
          <w:top w:w="0" w:type="dxa"/>
          <w:left w:w="0" w:type="dxa"/>
          <w:bottom w:w="0" w:type="dxa"/>
          <w:right w:w="0" w:type="dxa"/>
        </w:tblCellMar>
      </w:tblPr>
      <w:tblGrid>
        <w:gridCol w:w="52"/>
        <w:gridCol w:w="175"/>
        <w:gridCol w:w="9978"/>
      </w:tblGrid>
      <w:tr>
        <w:trPr/>
        <w:tc>
          <w:tcPr>
            <w:tcW w:w="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8" w:type="dxa"/>
            <w:tcBorders/>
            <w:vAlign w:val="center"/>
          </w:tcPr>
          <w:p>
            <w:pPr>
              <w:pStyle w:val="TableContents"/>
              <w:bidi w:val="0"/>
              <w:spacing w:before="0" w:after="283"/>
              <w:jc w:val="left"/>
              <w:rPr/>
            </w:pPr>
            <w:r>
              <w:rPr>
                <w:rFonts w:ascii="Arial;Helvetica;Sans-Serif" w:hAnsi="Arial;Helvetica;Sans-Serif"/>
                <w:b w:val="false"/>
                <w:sz w:val="18"/>
              </w:rPr>
              <w:t xml:space="preserve">Adjustments to the underlying index could adversely affect the value of the </w:t>
            </w:r>
            <w:r>
              <w:rPr>
                <w:sz w:val="18"/>
              </w:rPr>
              <w:t>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5"/>
        <w:gridCol w:w="182"/>
        <w:gridCol w:w="9968"/>
      </w:tblGrid>
      <w:tr>
        <w:trPr/>
        <w:tc>
          <w:tcPr>
            <w:tcW w:w="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8" w:type="dxa"/>
            <w:tcBorders/>
            <w:vAlign w:val="center"/>
          </w:tcPr>
          <w:p>
            <w:pPr>
              <w:pStyle w:val="TableContents"/>
              <w:bidi w:val="0"/>
              <w:spacing w:before="0" w:after="283"/>
              <w:jc w:val="left"/>
              <w:rPr>
                <w:sz w:val="18"/>
              </w:rPr>
            </w:pPr>
            <w:r>
              <w:rPr>
                <w:sz w:val="18"/>
              </w:rPr>
              <w:t xml:space="preserve">The </w:t>
            </w:r>
            <w:r>
              <w:rPr>
                <w:sz w:val="18"/>
                <w:shd w:fill="FFFFFF" w:val="clear"/>
              </w:rPr>
              <w:t xml:space="preserve">Trigger </w:t>
            </w:r>
            <w:r>
              <w:rPr>
                <w:sz w:val="18"/>
              </w:rPr>
              <w:t>PLUS are subject to risks associated with securities issued by non-U.S. companies.</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rP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6" w:type="dxa"/>
            <w:tcBorders/>
            <w:vAlign w:val="center"/>
          </w:tcPr>
          <w:p>
            <w:pPr>
              <w:pStyle w:val="TableContents"/>
              <w:bidi w:val="0"/>
              <w:spacing w:before="0" w:after="283"/>
              <w:jc w:val="left"/>
              <w:rPr>
                <w:sz w:val="18"/>
              </w:rPr>
            </w:pPr>
            <w:r>
              <w:rPr>
                <w:sz w:val="18"/>
              </w:rPr>
              <w:t xml:space="preserve">The </w:t>
            </w:r>
            <w:r>
              <w:rPr>
                <w:sz w:val="18"/>
                <w:shd w:fill="FFFFFF" w:val="clear"/>
              </w:rPr>
              <w:t xml:space="preserve">Trigger </w:t>
            </w:r>
            <w:r>
              <w:rPr>
                <w:sz w:val="18"/>
              </w:rPr>
              <w:t>PLUS are subject to risks associated with emerging markets.</w:t>
            </w:r>
          </w:p>
        </w:tc>
      </w:tr>
    </w:tbl>
    <w:tbl>
      <w:tblPr>
        <w:tblW w:w="5000" w:type="pct"/>
        <w:jc w:val="left"/>
        <w:tblInd w:w="0" w:type="dxa"/>
        <w:tblLayout w:type="fixed"/>
        <w:tblCellMar>
          <w:top w:w="0" w:type="dxa"/>
          <w:left w:w="0" w:type="dxa"/>
          <w:bottom w:w="0" w:type="dxa"/>
          <w:right w:w="0" w:type="dxa"/>
        </w:tblCellMar>
      </w:tblPr>
      <w:tblGrid>
        <w:gridCol w:w="91"/>
        <w:gridCol w:w="301"/>
        <w:gridCol w:w="9813"/>
      </w:tblGrid>
      <w:tr>
        <w:trPr/>
        <w:tc>
          <w:tcPr>
            <w:tcW w:w="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13" w:type="dxa"/>
            <w:tcBorders/>
            <w:vAlign w:val="center"/>
          </w:tcPr>
          <w:p>
            <w:pPr>
              <w:pStyle w:val="TableContents"/>
              <w:bidi w:val="0"/>
              <w:spacing w:before="0" w:after="283"/>
              <w:jc w:val="left"/>
              <w:rPr>
                <w:sz w:val="18"/>
              </w:rPr>
            </w:pPr>
            <w:r>
              <w:rPr>
                <w:sz w:val="18"/>
              </w:rPr>
              <w:t xml:space="preserve">The </w:t>
            </w:r>
            <w:r>
              <w:rPr>
                <w:sz w:val="18"/>
                <w:shd w:fill="FFFFFF" w:val="clear"/>
              </w:rPr>
              <w:t xml:space="preserve">Trigger </w:t>
            </w:r>
            <w:r>
              <w:rPr>
                <w:sz w:val="18"/>
              </w:rPr>
              <w:t>PLUS are subject to currency exchange risk.</w:t>
            </w:r>
          </w:p>
        </w:tc>
      </w:tr>
    </w:tbl>
    <w:tbl>
      <w:tblPr>
        <w:tblW w:w="5000" w:type="pct"/>
        <w:jc w:val="left"/>
        <w:tblInd w:w="0" w:type="dxa"/>
        <w:tblLayout w:type="fixed"/>
        <w:tblCellMar>
          <w:top w:w="0" w:type="dxa"/>
          <w:left w:w="0" w:type="dxa"/>
          <w:bottom w:w="0" w:type="dxa"/>
          <w:right w:w="0" w:type="dxa"/>
        </w:tblCellMar>
      </w:tblPr>
      <w:tblGrid>
        <w:gridCol w:w="61"/>
        <w:gridCol w:w="202"/>
        <w:gridCol w:w="9942"/>
      </w:tblGrid>
      <w:tr>
        <w:trPr/>
        <w:tc>
          <w:tcPr>
            <w:tcW w:w="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2" w:type="dxa"/>
            <w:tcBorders/>
            <w:vAlign w:val="center"/>
          </w:tcPr>
          <w:p>
            <w:pPr>
              <w:pStyle w:val="TableContents"/>
              <w:bidi w:val="0"/>
              <w:spacing w:before="0" w:after="283"/>
              <w:jc w:val="left"/>
              <w:rPr>
                <w:sz w:val="18"/>
              </w:rPr>
            </w:pPr>
            <w:r>
              <w:rPr>
                <w:sz w:val="18"/>
              </w:rPr>
              <w:t>Recent executive orders may adversely affect the performance of the underlying index.</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shd w:fill="FFFFFF" w:val="clear"/>
              </w:rPr>
            </w:pPr>
            <w:r>
              <w:rPr>
                <w:sz w:val="18"/>
                <w:shd w:fill="FFFFFF" w:val="clear"/>
              </w:rPr>
              <w:t>Governmental legislative and regulatory actions, including sanctions, could adversely affect your investment in the Trigger PLUS.</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bidi w:val="0"/>
        <w:ind w:left="120" w:right="120" w:hanging="0"/>
        <w:jc w:val="left"/>
        <w:rPr>
          <w:bdr w:val="single" w:sz="8" w:space="1" w:color="000000"/>
        </w:rPr>
      </w:pPr>
      <w:r>
        <w:rPr>
          <w:bdr w:val="single" w:sz="8" w:space="1" w:color="000000"/>
        </w:rPr>
        <w:t> </w:t>
      </w:r>
    </w:p>
    <w:p>
      <w:pPr>
        <w:pStyle w:val="TextBody"/>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ind w:left="0" w:right="0" w:hanging="0"/>
        <w:jc w:val="left"/>
        <w:rPr/>
      </w:pPr>
      <w:r>
        <w:rPr/>
        <w:t> </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17/000121390026082573/ea0299598-01_424b2.htm" TargetMode="External"/><Relationship Id="rId3" Type="http://schemas.openxmlformats.org/officeDocument/2006/relationships/hyperlink" Target="https://www.sec.gov/Archives/edgar/data/19617/000121390026082573/ea0299598-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1452</Words>
  <Characters>7785</Characters>
  <CharactersWithSpaces>9101</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