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28"/>
          <w:szCs w:val="28"/>
          <w:b w:val="1"/>
          <w:bCs w:val="1"/>
          <w:color w:val="BB0826"/>
        </w:rPr>
        <w:t>JPMorgan Chase Financial Company LLC</w:t>
      </w:r>
    </w:p>
    <w:p>
      <w:pPr>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2" w:lineRule="exact"/>
        <w:rPr>
          <w:sz w:val="24"/>
          <w:szCs w:val="24"/>
          <w:color w:val="auto"/>
        </w:rPr>
      </w:pPr>
    </w:p>
    <w:p>
      <w:pPr>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spacing w:after="0" w:line="233" w:lineRule="auto"/>
        <w:rPr>
          <w:sz w:val="20"/>
          <w:szCs w:val="20"/>
          <w:color w:val="auto"/>
        </w:rPr>
      </w:pPr>
      <w:r>
        <w:rPr>
          <w:rFonts w:ascii="Verdana" w:cs="Verdana" w:eastAsia="Verdana" w:hAnsi="Verdana"/>
          <w:sz w:val="13"/>
          <w:szCs w:val="13"/>
          <w:color w:val="auto"/>
        </w:rPr>
        <w:t>Filed Pursuant to Rule 433 Registration Statement Nos. 333-270004 and 333-270004-01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758825</wp:posOffset>
            </wp:positionH>
            <wp:positionV relativeFrom="paragraph">
              <wp:posOffset>233680</wp:posOffset>
            </wp:positionV>
            <wp:extent cx="1285875" cy="342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342900"/>
                    </a:xfrm>
                    <a:prstGeom prst="rect">
                      <a:avLst/>
                    </a:prstGeom>
                    <a:noFill/>
                  </pic:spPr>
                </pic:pic>
              </a:graphicData>
            </a:graphic>
          </wp:anchor>
        </w:drawing>
      </w:r>
    </w:p>
    <w:p>
      <w:pPr>
        <w:spacing w:after="0" w:line="564" w:lineRule="exact"/>
        <w:rPr>
          <w:sz w:val="24"/>
          <w:szCs w:val="24"/>
          <w:color w:val="auto"/>
        </w:rPr>
      </w:pPr>
    </w:p>
    <w:p>
      <w:pPr>
        <w:sectPr>
          <w:pgSz w:w="11900" w:h="16838" w:orient="portrait"/>
          <w:cols w:equalWidth="0" w:num="2">
            <w:col w:w="7300" w:space="720"/>
            <w:col w:w="3220"/>
          </w:cols>
          <w:pgMar w:left="320" w:top="239" w:right="339" w:bottom="1440" w:gutter="0" w:footer="0" w:header="0"/>
        </w:sectPr>
      </w:pPr>
    </w:p>
    <w:p>
      <w:pPr>
        <w:spacing w:after="0" w:line="379" w:lineRule="exact"/>
        <w:rPr>
          <w:sz w:val="24"/>
          <w:szCs w:val="24"/>
          <w:color w:val="auto"/>
        </w:rPr>
      </w:pPr>
    </w:p>
    <w:p>
      <w:pPr>
        <w:ind w:left="100" w:right="2400"/>
        <w:spacing w:after="0" w:line="256" w:lineRule="auto"/>
        <w:rPr>
          <w:sz w:val="20"/>
          <w:szCs w:val="20"/>
          <w:color w:val="auto"/>
        </w:rPr>
      </w:pPr>
      <w:r>
        <w:rPr>
          <w:rFonts w:ascii="Verdana" w:cs="Verdana" w:eastAsia="Verdana" w:hAnsi="Verdana"/>
          <w:sz w:val="18"/>
          <w:szCs w:val="18"/>
          <w:color w:val="FFFFFF"/>
        </w:rPr>
        <w:t>Market Linked Securities—Auto-Callable with Contingent Coupon and Contingent Downside Principal at Risk Securities Linked to the Common Stock of NVIDIA Corporation due July 3, 2026 Fact Sheet dated June 24, 2025 to Preliminary Pricing Supplement dated June 24, 2025</w:t>
      </w:r>
    </w:p>
    <w:p>
      <w:pPr>
        <w:spacing w:after="0" w:line="2" w:lineRule="exact"/>
        <w:rPr>
          <w:sz w:val="24"/>
          <w:szCs w:val="24"/>
          <w:color w:val="auto"/>
        </w:rPr>
      </w:pPr>
    </w:p>
    <w:p>
      <w:pPr>
        <w:ind w:left="80"/>
        <w:spacing w:after="0"/>
        <w:tabs>
          <w:tab w:leader="none" w:pos="5800" w:val="left"/>
        </w:tabs>
        <w:rPr>
          <w:sz w:val="20"/>
          <w:szCs w:val="20"/>
          <w:color w:val="auto"/>
        </w:rPr>
      </w:pPr>
      <w:r>
        <w:rPr>
          <w:rFonts w:ascii="Verdana" w:cs="Verdana" w:eastAsia="Verdana" w:hAnsi="Verdana"/>
          <w:sz w:val="23"/>
          <w:szCs w:val="23"/>
          <w:color w:val="8F8F8F"/>
        </w:rPr>
        <w:t>Summary of Terms</w:t>
      </w:r>
      <w:r>
        <w:rPr>
          <w:sz w:val="20"/>
          <w:szCs w:val="20"/>
          <w:color w:val="auto"/>
        </w:rPr>
        <w:tab/>
      </w:r>
      <w:r>
        <w:rPr>
          <w:rFonts w:ascii="Verdana" w:cs="Verdana" w:eastAsia="Verdana" w:hAnsi="Verdana"/>
          <w:sz w:val="23"/>
          <w:szCs w:val="23"/>
          <w:color w:val="8F8F8F"/>
        </w:rPr>
        <w:t>Summary of Terms (continued)</w:t>
      </w:r>
    </w:p>
    <w:p>
      <w:pPr>
        <w:sectPr>
          <w:pgSz w:w="11900" w:h="16838" w:orient="portrait"/>
          <w:cols w:equalWidth="0" w:num="1">
            <w:col w:w="11240"/>
          </w:cols>
          <w:pgMar w:left="320" w:top="239" w:right="339" w:bottom="1440" w:gutter="0" w:footer="0" w:header="0"/>
          <w:type w:val="continuous"/>
        </w:sectPr>
      </w:pP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155"/>
        </w:trPr>
        <w:tc>
          <w:tcPr>
            <w:tcW w:w="1960" w:type="dxa"/>
            <w:vAlign w:val="bottom"/>
            <w:tcBorders>
              <w:top w:val="single" w:sz="8" w:color="auto"/>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Issuer:</w:t>
            </w:r>
          </w:p>
        </w:tc>
        <w:tc>
          <w:tcPr>
            <w:tcW w:w="3540" w:type="dxa"/>
            <w:vAlign w:val="bottom"/>
            <w:tcBorders>
              <w:top w:val="single" w:sz="8" w:color="auto"/>
              <w:bottom w:val="single" w:sz="8" w:color="auto"/>
              <w:right w:val="single" w:sz="8" w:color="auto"/>
            </w:tcBorders>
          </w:tcPr>
          <w:p>
            <w:pPr>
              <w:ind w:left="80"/>
              <w:spacing w:after="0" w:line="156" w:lineRule="exact"/>
              <w:rPr>
                <w:sz w:val="20"/>
                <w:szCs w:val="20"/>
                <w:color w:val="auto"/>
              </w:rPr>
            </w:pPr>
            <w:r>
              <w:rPr>
                <w:rFonts w:ascii="Georgia" w:cs="Georgia" w:eastAsia="Georgia" w:hAnsi="Georgia"/>
                <w:sz w:val="14"/>
                <w:szCs w:val="14"/>
                <w:color w:val="auto"/>
              </w:rPr>
              <w:t>JPMorgan Chase Financial Company LLC</w:t>
            </w:r>
          </w:p>
        </w:tc>
      </w:tr>
      <w:tr>
        <w:trPr>
          <w:trHeight w:val="156"/>
        </w:trPr>
        <w:tc>
          <w:tcPr>
            <w:tcW w:w="19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Guarantor:</w:t>
            </w:r>
          </w:p>
        </w:tc>
        <w:tc>
          <w:tcPr>
            <w:tcW w:w="3540" w:type="dxa"/>
            <w:vAlign w:val="bottom"/>
            <w:tcBorders>
              <w:bottom w:val="single" w:sz="8" w:color="auto"/>
              <w:right w:val="single" w:sz="8" w:color="auto"/>
            </w:tcBorders>
          </w:tcPr>
          <w:p>
            <w:pPr>
              <w:ind w:left="80"/>
              <w:spacing w:after="0" w:line="156" w:lineRule="exact"/>
              <w:rPr>
                <w:sz w:val="20"/>
                <w:szCs w:val="20"/>
                <w:color w:val="auto"/>
              </w:rPr>
            </w:pPr>
            <w:r>
              <w:rPr>
                <w:rFonts w:ascii="Georgia" w:cs="Georgia" w:eastAsia="Georgia" w:hAnsi="Georgia"/>
                <w:sz w:val="14"/>
                <w:szCs w:val="14"/>
                <w:color w:val="auto"/>
              </w:rPr>
              <w:t>JPMorgan Chase &amp; C0.</w:t>
            </w:r>
          </w:p>
        </w:tc>
      </w:tr>
      <w:tr>
        <w:trPr>
          <w:trHeight w:val="158"/>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Underlying Stock:</w:t>
            </w: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The common stock of NVIDIA Corporation</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tcPr>
          <w:p>
            <w:pPr>
              <w:ind w:left="80"/>
              <w:spacing w:after="0"/>
              <w:rPr>
                <w:sz w:val="20"/>
                <w:szCs w:val="20"/>
                <w:color w:val="auto"/>
              </w:rPr>
            </w:pPr>
            <w:r>
              <w:rPr>
                <w:rFonts w:ascii="Georgia" w:cs="Georgia" w:eastAsia="Georgia" w:hAnsi="Georgia"/>
                <w:sz w:val="14"/>
                <w:szCs w:val="14"/>
                <w:color w:val="auto"/>
              </w:rPr>
              <w:t>(Bloomberg ticker: NVDA)</w:t>
            </w:r>
          </w:p>
        </w:tc>
      </w:tr>
      <w:tr>
        <w:trPr>
          <w:trHeight w:val="183"/>
        </w:trPr>
        <w:tc>
          <w:tcPr>
            <w:tcW w:w="19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tcPr>
          <w:p>
            <w:pPr>
              <w:ind w:left="80"/>
              <w:spacing w:after="0"/>
              <w:rPr>
                <w:sz w:val="20"/>
                <w:szCs w:val="20"/>
                <w:color w:val="auto"/>
              </w:rPr>
            </w:pPr>
            <w:r>
              <w:rPr>
                <w:rFonts w:ascii="Georgia" w:cs="Georgia" w:eastAsia="Georgia" w:hAnsi="Georgia"/>
                <w:sz w:val="14"/>
                <w:szCs w:val="14"/>
                <w:color w:val="auto"/>
              </w:rPr>
              <w:t>June 30, 2025</w:t>
            </w:r>
          </w:p>
        </w:tc>
      </w:tr>
      <w:tr>
        <w:trPr>
          <w:trHeight w:val="183"/>
        </w:trPr>
        <w:tc>
          <w:tcPr>
            <w:tcW w:w="19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1"/>
                <w:szCs w:val="21"/>
                <w:color w:val="auto"/>
                <w:vertAlign w:val="superscript"/>
              </w:rPr>
              <w:t>1</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tcPr>
          <w:p>
            <w:pPr>
              <w:ind w:left="80"/>
              <w:spacing w:after="0"/>
              <w:rPr>
                <w:sz w:val="20"/>
                <w:szCs w:val="20"/>
                <w:color w:val="auto"/>
              </w:rPr>
            </w:pPr>
            <w:r>
              <w:rPr>
                <w:rFonts w:ascii="Georgia" w:cs="Georgia" w:eastAsia="Georgia" w:hAnsi="Georgia"/>
                <w:sz w:val="14"/>
                <w:szCs w:val="14"/>
                <w:color w:val="auto"/>
              </w:rPr>
              <w:t>July 3, 2025</w:t>
            </w:r>
          </w:p>
        </w:tc>
      </w:tr>
      <w:tr>
        <w:trPr>
          <w:trHeight w:val="183"/>
        </w:trPr>
        <w:tc>
          <w:tcPr>
            <w:tcW w:w="19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tcPr>
          <w:p>
            <w:pPr>
              <w:ind w:left="80"/>
              <w:spacing w:after="0"/>
              <w:rPr>
                <w:sz w:val="20"/>
                <w:szCs w:val="20"/>
                <w:color w:val="auto"/>
              </w:rPr>
            </w:pPr>
            <w:r>
              <w:rPr>
                <w:rFonts w:ascii="Georgia" w:cs="Georgia" w:eastAsia="Georgia" w:hAnsi="Georgia"/>
                <w:sz w:val="14"/>
                <w:szCs w:val="14"/>
                <w:color w:val="auto"/>
              </w:rPr>
              <w:t>July 3, 2026</w:t>
            </w:r>
          </w:p>
        </w:tc>
      </w:tr>
      <w:tr>
        <w:trPr>
          <w:trHeight w:val="155"/>
        </w:trPr>
        <w:tc>
          <w:tcPr>
            <w:tcW w:w="19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Principal Amount:</w:t>
            </w:r>
          </w:p>
        </w:tc>
        <w:tc>
          <w:tcPr>
            <w:tcW w:w="3540" w:type="dxa"/>
            <w:vAlign w:val="bottom"/>
            <w:tcBorders>
              <w:bottom w:val="single" w:sz="8" w:color="auto"/>
              <w:right w:val="single" w:sz="8" w:color="auto"/>
            </w:tcBorders>
          </w:tcPr>
          <w:p>
            <w:pPr>
              <w:ind w:left="80"/>
              <w:spacing w:after="0" w:line="156" w:lineRule="exact"/>
              <w:rPr>
                <w:sz w:val="20"/>
                <w:szCs w:val="20"/>
                <w:color w:val="auto"/>
              </w:rPr>
            </w:pPr>
            <w:r>
              <w:rPr>
                <w:rFonts w:ascii="Georgia" w:cs="Georgia" w:eastAsia="Georgia" w:hAnsi="Georgia"/>
                <w:sz w:val="14"/>
                <w:szCs w:val="14"/>
                <w:color w:val="auto"/>
              </w:rPr>
              <w:t>$1,000 per security (100% of par)</w:t>
            </w:r>
          </w:p>
        </w:tc>
      </w:tr>
      <w:tr>
        <w:trPr>
          <w:trHeight w:val="172"/>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w:t>
            </w: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On each contingent coupon payment date, you will</w:t>
            </w:r>
          </w:p>
        </w:tc>
      </w:tr>
      <w:tr>
        <w:trPr>
          <w:trHeight w:val="162"/>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Payment:</w:t>
            </w: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receive a contingent coupon payment at a per</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annum rate equal to the contingent coupon rate if,</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b w:val="1"/>
                <w:bCs w:val="1"/>
                <w:color w:val="auto"/>
              </w:rPr>
              <w:t>and only if</w:t>
            </w:r>
            <w:r>
              <w:rPr>
                <w:rFonts w:ascii="Georgia" w:cs="Georgia" w:eastAsia="Georgia" w:hAnsi="Georgia"/>
                <w:sz w:val="14"/>
                <w:szCs w:val="14"/>
                <w:color w:val="auto"/>
              </w:rPr>
              <w:t>, the stock closing price of the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Underlying Stock on the related calculation day is</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greater than or equal to the threshold price. Each</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“contingent coupon payment,” if any, will be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calculated per security as follows:</w:t>
            </w:r>
          </w:p>
        </w:tc>
      </w:tr>
      <w:tr>
        <w:trPr>
          <w:trHeight w:val="186"/>
        </w:trPr>
        <w:tc>
          <w:tcPr>
            <w:tcW w:w="1960" w:type="dxa"/>
            <w:vAlign w:val="bottom"/>
            <w:tcBorders>
              <w:left w:val="single" w:sz="8" w:color="auto"/>
              <w:bottom w:val="single" w:sz="8" w:color="auto"/>
              <w:right w:val="single" w:sz="8" w:color="auto"/>
            </w:tcBorders>
          </w:tcPr>
          <w:p>
            <w:pPr>
              <w:spacing w:after="0"/>
              <w:rPr>
                <w:sz w:val="16"/>
                <w:szCs w:val="16"/>
                <w:color w:val="auto"/>
              </w:rPr>
            </w:pPr>
          </w:p>
        </w:tc>
        <w:tc>
          <w:tcPr>
            <w:tcW w:w="3540" w:type="dxa"/>
            <w:vAlign w:val="bottom"/>
            <w:tcBorders>
              <w:bottom w:val="single" w:sz="8" w:color="auto"/>
              <w:right w:val="single" w:sz="8" w:color="auto"/>
            </w:tcBorders>
          </w:tcPr>
          <w:p>
            <w:pPr>
              <w:ind w:left="520"/>
              <w:spacing w:after="0"/>
              <w:rPr>
                <w:sz w:val="20"/>
                <w:szCs w:val="20"/>
                <w:color w:val="auto"/>
              </w:rPr>
            </w:pPr>
            <w:r>
              <w:rPr>
                <w:rFonts w:ascii="Georgia" w:cs="Georgia" w:eastAsia="Georgia" w:hAnsi="Georgia"/>
                <w:sz w:val="14"/>
                <w:szCs w:val="14"/>
                <w:color w:val="auto"/>
              </w:rPr>
              <w:t>($1,000 × contingent coupon rate) / 12</w:t>
            </w:r>
          </w:p>
        </w:tc>
      </w:tr>
      <w:tr>
        <w:trPr>
          <w:trHeight w:val="159"/>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w:t>
            </w: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Monthly, on the third business day following each</w:t>
            </w:r>
          </w:p>
        </w:tc>
      </w:tr>
      <w:tr>
        <w:trPr>
          <w:trHeight w:val="172"/>
        </w:trPr>
        <w:tc>
          <w:tcPr>
            <w:tcW w:w="1960" w:type="dxa"/>
            <w:vAlign w:val="bottom"/>
            <w:tcBorders>
              <w:left w:val="single" w:sz="8" w:color="auto"/>
              <w:right w:val="single" w:sz="8" w:color="auto"/>
            </w:tcBorders>
          </w:tcPr>
          <w:p>
            <w:pPr>
              <w:ind w:left="120"/>
              <w:spacing w:after="0" w:line="173" w:lineRule="exact"/>
              <w:rPr>
                <w:sz w:val="20"/>
                <w:szCs w:val="20"/>
                <w:color w:val="auto"/>
              </w:rPr>
            </w:pPr>
            <w:r>
              <w:rPr>
                <w:rFonts w:ascii="Georgia" w:cs="Georgia" w:eastAsia="Georgia" w:hAnsi="Georgia"/>
                <w:sz w:val="13"/>
                <w:szCs w:val="13"/>
                <w:color w:val="auto"/>
              </w:rPr>
              <w:t>Payment Dates</w:t>
            </w:r>
            <w:r>
              <w:rPr>
                <w:rFonts w:ascii="Georgia" w:cs="Georgia" w:eastAsia="Georgia" w:hAnsi="Georgia"/>
                <w:sz w:val="20"/>
                <w:szCs w:val="20"/>
                <w:color w:val="auto"/>
                <w:vertAlign w:val="superscript"/>
              </w:rPr>
              <w:t>1, 2</w:t>
            </w:r>
            <w:r>
              <w:rPr>
                <w:rFonts w:ascii="Georgia" w:cs="Georgia" w:eastAsia="Georgia" w:hAnsi="Georgia"/>
                <w:sz w:val="13"/>
                <w:szCs w:val="13"/>
                <w:color w:val="auto"/>
              </w:rPr>
              <w:t>:</w:t>
            </w: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 xml:space="preserve">calculation day, </w:t>
            </w:r>
            <w:r>
              <w:rPr>
                <w:rFonts w:ascii="Georgia" w:cs="Georgia" w:eastAsia="Georgia" w:hAnsi="Georgia"/>
                <w:sz w:val="14"/>
                <w:szCs w:val="14"/>
                <w:i w:val="1"/>
                <w:iCs w:val="1"/>
                <w:color w:val="auto"/>
              </w:rPr>
              <w:t>provided</w:t>
            </w:r>
            <w:r>
              <w:rPr>
                <w:rFonts w:ascii="Georgia" w:cs="Georgia" w:eastAsia="Georgia" w:hAnsi="Georgia"/>
                <w:sz w:val="14"/>
                <w:szCs w:val="14"/>
                <w:color w:val="auto"/>
              </w:rPr>
              <w:t xml:space="preserve"> that the contingent</w:t>
            </w:r>
          </w:p>
        </w:tc>
      </w:tr>
      <w:tr>
        <w:trPr>
          <w:trHeight w:val="152"/>
        </w:trPr>
        <w:tc>
          <w:tcPr>
            <w:tcW w:w="1960" w:type="dxa"/>
            <w:vAlign w:val="bottom"/>
            <w:tcBorders>
              <w:left w:val="single" w:sz="8" w:color="auto"/>
              <w:right w:val="single" w:sz="8" w:color="auto"/>
            </w:tcBorders>
          </w:tcPr>
          <w:p>
            <w:pPr>
              <w:spacing w:after="0"/>
              <w:rPr>
                <w:sz w:val="13"/>
                <w:szCs w:val="13"/>
                <w:color w:val="auto"/>
              </w:rPr>
            </w:pPr>
          </w:p>
        </w:tc>
        <w:tc>
          <w:tcPr>
            <w:tcW w:w="3540" w:type="dxa"/>
            <w:vAlign w:val="bottom"/>
            <w:tcBorders>
              <w:right w:val="single" w:sz="8" w:color="auto"/>
            </w:tcBorders>
          </w:tcPr>
          <w:p>
            <w:pPr>
              <w:ind w:left="80"/>
              <w:spacing w:after="0" w:line="152" w:lineRule="exact"/>
              <w:rPr>
                <w:sz w:val="20"/>
                <w:szCs w:val="20"/>
                <w:color w:val="auto"/>
              </w:rPr>
            </w:pPr>
            <w:r>
              <w:rPr>
                <w:rFonts w:ascii="Georgia" w:cs="Georgia" w:eastAsia="Georgia" w:hAnsi="Georgia"/>
                <w:sz w:val="14"/>
                <w:szCs w:val="14"/>
                <w:color w:val="auto"/>
              </w:rPr>
              <w:t>coupon payment date with respect to the final</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tcPr>
          <w:p>
            <w:pPr>
              <w:ind w:left="80"/>
              <w:spacing w:after="0"/>
              <w:rPr>
                <w:sz w:val="20"/>
                <w:szCs w:val="20"/>
                <w:color w:val="auto"/>
              </w:rPr>
            </w:pPr>
            <w:r>
              <w:rPr>
                <w:rFonts w:ascii="Georgia" w:cs="Georgia" w:eastAsia="Georgia" w:hAnsi="Georgia"/>
                <w:sz w:val="14"/>
                <w:szCs w:val="14"/>
                <w:color w:val="auto"/>
              </w:rPr>
              <w:t>calculation day will be the stated maturity date</w:t>
            </w:r>
          </w:p>
        </w:tc>
      </w:tr>
      <w:tr>
        <w:trPr>
          <w:trHeight w:val="172"/>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Contingent Coupon Rate:</w:t>
            </w: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At least 16.40% per annum (to be provided in the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pricing supplement)</w:t>
            </w:r>
          </w:p>
        </w:tc>
      </w:tr>
      <w:tr>
        <w:trPr>
          <w:trHeight w:val="24"/>
        </w:trPr>
        <w:tc>
          <w:tcPr>
            <w:tcW w:w="19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r>
      <w:tr>
        <w:trPr>
          <w:trHeight w:val="159"/>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Automatic Call:</w:t>
            </w: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If the stock closing price of the Underlying Stock on</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any of the calculation days from December 2025 to</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May 2026, inclusive, is greater than or equal to the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starting price, the securities will be automatically</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called, and on the related call settlement date you</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will be entitled to receive a cash payment per</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security in U.S. dollars equal to the principal</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 xml:space="preserve">amount per security </w:t>
            </w:r>
            <w:r>
              <w:rPr>
                <w:rFonts w:ascii="Georgia" w:cs="Georgia" w:eastAsia="Georgia" w:hAnsi="Georgia"/>
                <w:sz w:val="14"/>
                <w:szCs w:val="14"/>
                <w:i w:val="1"/>
                <w:iCs w:val="1"/>
                <w:color w:val="auto"/>
              </w:rPr>
              <w:t>plus</w:t>
            </w:r>
            <w:r>
              <w:rPr>
                <w:rFonts w:ascii="Georgia" w:cs="Georgia" w:eastAsia="Georgia" w:hAnsi="Georgia"/>
                <w:sz w:val="14"/>
                <w:szCs w:val="14"/>
                <w:color w:val="auto"/>
              </w:rPr>
              <w:t xml:space="preserve"> a final contingent coupon</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tcPr>
          <w:p>
            <w:pPr>
              <w:ind w:left="80"/>
              <w:spacing w:after="0"/>
              <w:rPr>
                <w:sz w:val="20"/>
                <w:szCs w:val="20"/>
                <w:color w:val="auto"/>
              </w:rPr>
            </w:pPr>
            <w:r>
              <w:rPr>
                <w:rFonts w:ascii="Georgia" w:cs="Georgia" w:eastAsia="Georgia" w:hAnsi="Georgia"/>
                <w:sz w:val="14"/>
                <w:szCs w:val="14"/>
                <w:color w:val="auto"/>
              </w:rPr>
              <w:t>payment.</w:t>
            </w:r>
          </w:p>
        </w:tc>
      </w:tr>
      <w:tr>
        <w:trPr>
          <w:trHeight w:val="186"/>
        </w:trPr>
        <w:tc>
          <w:tcPr>
            <w:tcW w:w="1960" w:type="dxa"/>
            <w:vAlign w:val="bottom"/>
            <w:tcBorders>
              <w:left w:val="single" w:sz="8" w:color="auto"/>
              <w:right w:val="single" w:sz="8" w:color="auto"/>
            </w:tcBorders>
          </w:tcPr>
          <w:p>
            <w:pPr>
              <w:ind w:left="120"/>
              <w:spacing w:after="0" w:line="185" w:lineRule="exact"/>
              <w:rPr>
                <w:sz w:val="20"/>
                <w:szCs w:val="20"/>
                <w:color w:val="auto"/>
              </w:rPr>
            </w:pPr>
            <w:r>
              <w:rPr>
                <w:rFonts w:ascii="Georgia" w:cs="Georgia" w:eastAsia="Georgia" w:hAnsi="Georgia"/>
                <w:sz w:val="13"/>
                <w:szCs w:val="13"/>
                <w:color w:val="auto"/>
              </w:rPr>
              <w:t>Calculation Days</w:t>
            </w:r>
            <w:r>
              <w:rPr>
                <w:rFonts w:ascii="Georgia" w:cs="Georgia" w:eastAsia="Georgia" w:hAnsi="Georgia"/>
                <w:sz w:val="21"/>
                <w:szCs w:val="21"/>
                <w:color w:val="auto"/>
                <w:vertAlign w:val="superscript"/>
              </w:rPr>
              <w:t>1, 2</w:t>
            </w:r>
            <w:r>
              <w:rPr>
                <w:rFonts w:ascii="Georgia" w:cs="Georgia" w:eastAsia="Georgia" w:hAnsi="Georgia"/>
                <w:sz w:val="13"/>
                <w:szCs w:val="13"/>
                <w:color w:val="auto"/>
              </w:rPr>
              <w:t>:</w:t>
            </w:r>
          </w:p>
        </w:tc>
        <w:tc>
          <w:tcPr>
            <w:tcW w:w="3540" w:type="dxa"/>
            <w:vAlign w:val="bottom"/>
            <w:tcBorders>
              <w:right w:val="single" w:sz="8" w:color="auto"/>
            </w:tcBorders>
          </w:tcPr>
          <w:p>
            <w:pPr>
              <w:ind w:left="80"/>
              <w:spacing w:after="0" w:line="185" w:lineRule="exact"/>
              <w:rPr>
                <w:sz w:val="20"/>
                <w:szCs w:val="20"/>
                <w:color w:val="auto"/>
              </w:rPr>
            </w:pPr>
            <w:r>
              <w:rPr>
                <w:rFonts w:ascii="Georgia" w:cs="Georgia" w:eastAsia="Georgia" w:hAnsi="Georgia"/>
                <w:sz w:val="13"/>
                <w:szCs w:val="13"/>
                <w:color w:val="auto"/>
              </w:rPr>
              <w:t>Monthly, on the 28</w:t>
            </w:r>
            <w:r>
              <w:rPr>
                <w:rFonts w:ascii="Georgia" w:cs="Georgia" w:eastAsia="Georgia" w:hAnsi="Georgia"/>
                <w:sz w:val="21"/>
                <w:szCs w:val="21"/>
                <w:color w:val="auto"/>
                <w:vertAlign w:val="superscript"/>
              </w:rPr>
              <w:t>th</w:t>
            </w:r>
            <w:r>
              <w:rPr>
                <w:rFonts w:ascii="Georgia" w:cs="Georgia" w:eastAsia="Georgia" w:hAnsi="Georgia"/>
                <w:sz w:val="13"/>
                <w:szCs w:val="13"/>
                <w:color w:val="auto"/>
              </w:rPr>
              <w:t xml:space="preserve"> day of each month,</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commencing July 2025 and ending June 2026,</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i w:val="1"/>
                <w:iCs w:val="1"/>
                <w:color w:val="auto"/>
              </w:rPr>
              <w:t xml:space="preserve">provided </w:t>
            </w:r>
            <w:r>
              <w:rPr>
                <w:rFonts w:ascii="Georgia" w:cs="Georgia" w:eastAsia="Georgia" w:hAnsi="Georgia"/>
                <w:sz w:val="14"/>
                <w:szCs w:val="14"/>
                <w:color w:val="auto"/>
              </w:rPr>
              <w:t>that the June 2026 calculation day will be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June 30, 2026. We refer to June 30, 2026 as the</w:t>
            </w:r>
          </w:p>
        </w:tc>
      </w:tr>
      <w:tr>
        <w:trPr>
          <w:trHeight w:val="153"/>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tcPr>
          <w:p>
            <w:pPr>
              <w:ind w:left="80"/>
              <w:spacing w:after="0" w:line="146" w:lineRule="exact"/>
              <w:rPr>
                <w:sz w:val="20"/>
                <w:szCs w:val="20"/>
                <w:color w:val="auto"/>
              </w:rPr>
            </w:pPr>
            <w:r>
              <w:rPr>
                <w:rFonts w:ascii="Georgia" w:cs="Georgia" w:eastAsia="Georgia" w:hAnsi="Georgia"/>
                <w:sz w:val="14"/>
                <w:szCs w:val="14"/>
                <w:color w:val="auto"/>
              </w:rPr>
              <w:t>“final calculation day.”</w:t>
            </w:r>
          </w:p>
        </w:tc>
      </w:tr>
      <w:tr>
        <w:trPr>
          <w:trHeight w:val="175"/>
        </w:trPr>
        <w:tc>
          <w:tcPr>
            <w:tcW w:w="1960" w:type="dxa"/>
            <w:vAlign w:val="bottom"/>
            <w:tcBorders>
              <w:left w:val="single" w:sz="8" w:color="auto"/>
              <w:right w:val="single" w:sz="8" w:color="auto"/>
            </w:tcBorders>
          </w:tcPr>
          <w:p>
            <w:pPr>
              <w:ind w:left="120"/>
              <w:spacing w:after="0" w:line="176" w:lineRule="exact"/>
              <w:rPr>
                <w:sz w:val="20"/>
                <w:szCs w:val="20"/>
                <w:color w:val="auto"/>
              </w:rPr>
            </w:pPr>
            <w:r>
              <w:rPr>
                <w:rFonts w:ascii="Georgia" w:cs="Georgia" w:eastAsia="Georgia" w:hAnsi="Georgia"/>
                <w:sz w:val="13"/>
                <w:szCs w:val="13"/>
                <w:color w:val="auto"/>
              </w:rPr>
              <w:t>Call Settlement Date</w:t>
            </w:r>
            <w:r>
              <w:rPr>
                <w:rFonts w:ascii="Georgia" w:cs="Georgia" w:eastAsia="Georgia" w:hAnsi="Georgia"/>
                <w:sz w:val="20"/>
                <w:szCs w:val="20"/>
                <w:color w:val="auto"/>
                <w:vertAlign w:val="superscript"/>
              </w:rPr>
              <w:t>1, 2</w:t>
            </w:r>
            <w:r>
              <w:rPr>
                <w:rFonts w:ascii="Georgia" w:cs="Georgia" w:eastAsia="Georgia" w:hAnsi="Georgia"/>
                <w:sz w:val="13"/>
                <w:szCs w:val="13"/>
                <w:color w:val="auto"/>
              </w:rPr>
              <w:t>:</w:t>
            </w: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Three business days after the applicable calculation</w:t>
            </w:r>
          </w:p>
        </w:tc>
      </w:tr>
      <w:tr>
        <w:trPr>
          <w:trHeight w:val="148"/>
        </w:trPr>
        <w:tc>
          <w:tcPr>
            <w:tcW w:w="1960" w:type="dxa"/>
            <w:vAlign w:val="bottom"/>
            <w:tcBorders>
              <w:left w:val="single" w:sz="8" w:color="auto"/>
              <w:bottom w:val="single" w:sz="8" w:color="auto"/>
              <w:right w:val="single" w:sz="8" w:color="auto"/>
            </w:tcBorders>
          </w:tcPr>
          <w:p>
            <w:pPr>
              <w:spacing w:after="0"/>
              <w:rPr>
                <w:sz w:val="12"/>
                <w:szCs w:val="12"/>
                <w:color w:val="auto"/>
              </w:rPr>
            </w:pPr>
          </w:p>
        </w:tc>
        <w:tc>
          <w:tcPr>
            <w:tcW w:w="3540" w:type="dxa"/>
            <w:vAlign w:val="bottom"/>
            <w:tcBorders>
              <w:bottom w:val="single" w:sz="8" w:color="auto"/>
              <w:right w:val="single" w:sz="8" w:color="auto"/>
            </w:tcBorders>
          </w:tcPr>
          <w:p>
            <w:pPr>
              <w:ind w:left="80"/>
              <w:spacing w:after="0" w:line="149" w:lineRule="exact"/>
              <w:rPr>
                <w:sz w:val="20"/>
                <w:szCs w:val="20"/>
                <w:color w:val="auto"/>
              </w:rPr>
            </w:pPr>
            <w:r>
              <w:rPr>
                <w:rFonts w:ascii="Georgia" w:cs="Georgia" w:eastAsia="Georgia" w:hAnsi="Georgia"/>
                <w:sz w:val="14"/>
                <w:szCs w:val="14"/>
                <w:color w:val="auto"/>
              </w:rPr>
              <w:t>day</w:t>
            </w:r>
          </w:p>
        </w:tc>
      </w:tr>
      <w:tr>
        <w:trPr>
          <w:trHeight w:val="146"/>
        </w:trPr>
        <w:tc>
          <w:tcPr>
            <w:tcW w:w="1960" w:type="dxa"/>
            <w:vAlign w:val="bottom"/>
            <w:tcBorders>
              <w:left w:val="single" w:sz="8" w:color="auto"/>
              <w:right w:val="single" w:sz="8" w:color="auto"/>
            </w:tcBorders>
          </w:tcPr>
          <w:p>
            <w:pPr>
              <w:ind w:left="120"/>
              <w:spacing w:after="0" w:line="146" w:lineRule="exact"/>
              <w:rPr>
                <w:sz w:val="20"/>
                <w:szCs w:val="20"/>
                <w:color w:val="auto"/>
              </w:rPr>
            </w:pPr>
            <w:r>
              <w:rPr>
                <w:rFonts w:ascii="Georgia" w:cs="Georgia" w:eastAsia="Georgia" w:hAnsi="Georgia"/>
                <w:sz w:val="14"/>
                <w:szCs w:val="14"/>
                <w:color w:val="auto"/>
              </w:rPr>
              <w:t>Maturity Payment Amount</w:t>
            </w:r>
          </w:p>
        </w:tc>
        <w:tc>
          <w:tcPr>
            <w:tcW w:w="3540" w:type="dxa"/>
            <w:vAlign w:val="bottom"/>
            <w:tcBorders>
              <w:right w:val="single" w:sz="8" w:color="auto"/>
            </w:tcBorders>
          </w:tcPr>
          <w:p>
            <w:pPr>
              <w:ind w:left="80"/>
              <w:spacing w:after="0" w:line="146" w:lineRule="exact"/>
              <w:rPr>
                <w:sz w:val="20"/>
                <w:szCs w:val="20"/>
                <w:color w:val="auto"/>
              </w:rPr>
            </w:pPr>
            <w:r>
              <w:rPr>
                <w:rFonts w:ascii="Georgia" w:cs="Georgia" w:eastAsia="Georgia" w:hAnsi="Georgia"/>
                <w:sz w:val="14"/>
                <w:szCs w:val="14"/>
                <w:color w:val="auto"/>
              </w:rPr>
              <w:t>If the securities are not automatically called:</w:t>
            </w:r>
          </w:p>
        </w:tc>
      </w:tr>
      <w:tr>
        <w:trPr>
          <w:trHeight w:val="174"/>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(per security):</w:t>
            </w: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Georgia" w:cs="Georgia" w:eastAsia="Georgia" w:hAnsi="Georgia"/>
                <w:sz w:val="14"/>
                <w:szCs w:val="14"/>
                <w:color w:val="auto"/>
              </w:rPr>
              <w:t>If the ending price is greater than or equal to the</w:t>
            </w:r>
          </w:p>
        </w:tc>
      </w:tr>
      <w:tr>
        <w:trPr>
          <w:trHeight w:val="162"/>
        </w:trPr>
        <w:tc>
          <w:tcPr>
            <w:tcW w:w="1960" w:type="dxa"/>
            <w:vAlign w:val="bottom"/>
            <w:tcBorders>
              <w:left w:val="single" w:sz="8" w:color="auto"/>
              <w:right w:val="single" w:sz="8" w:color="auto"/>
            </w:tcBorders>
          </w:tcPr>
          <w:p>
            <w:pPr>
              <w:spacing w:after="0"/>
              <w:rPr>
                <w:sz w:val="14"/>
                <w:szCs w:val="14"/>
                <w:color w:val="auto"/>
              </w:rPr>
            </w:pPr>
          </w:p>
        </w:tc>
        <w:tc>
          <w:tcPr>
            <w:tcW w:w="3540" w:type="dxa"/>
            <w:vAlign w:val="bottom"/>
            <w:tcBorders>
              <w:right w:val="single" w:sz="8" w:color="auto"/>
            </w:tcBorders>
          </w:tcPr>
          <w:p>
            <w:pPr>
              <w:ind w:left="240"/>
              <w:spacing w:after="0"/>
              <w:rPr>
                <w:sz w:val="20"/>
                <w:szCs w:val="20"/>
                <w:color w:val="auto"/>
              </w:rPr>
            </w:pPr>
            <w:r>
              <w:rPr>
                <w:rFonts w:ascii="Georgia" w:cs="Georgia" w:eastAsia="Georgia" w:hAnsi="Georgia"/>
                <w:sz w:val="14"/>
                <w:szCs w:val="14"/>
                <w:color w:val="auto"/>
              </w:rPr>
              <w:t>threshold price: $1,000; or</w:t>
            </w:r>
          </w:p>
        </w:tc>
      </w:tr>
      <w:tr>
        <w:trPr>
          <w:trHeight w:val="230"/>
        </w:trPr>
        <w:tc>
          <w:tcPr>
            <w:tcW w:w="1960" w:type="dxa"/>
            <w:vAlign w:val="bottom"/>
            <w:tcBorders>
              <w:left w:val="single" w:sz="8" w:color="auto"/>
              <w:right w:val="single" w:sz="8" w:color="auto"/>
            </w:tcBorders>
          </w:tcPr>
          <w:p>
            <w:pPr>
              <w:spacing w:after="0"/>
              <w:rPr>
                <w:sz w:val="20"/>
                <w:szCs w:val="20"/>
                <w:color w:val="auto"/>
              </w:rPr>
            </w:pPr>
          </w:p>
        </w:tc>
        <w:tc>
          <w:tcPr>
            <w:tcW w:w="3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Georgia" w:cs="Georgia" w:eastAsia="Georgia" w:hAnsi="Georgia"/>
                <w:sz w:val="14"/>
                <w:szCs w:val="14"/>
                <w:color w:val="auto"/>
              </w:rPr>
              <w:t>If the ending price is less than the threshold price:</w:t>
            </w:r>
          </w:p>
        </w:tc>
      </w:tr>
      <w:tr>
        <w:trPr>
          <w:trHeight w:val="202"/>
        </w:trPr>
        <w:tc>
          <w:tcPr>
            <w:tcW w:w="1960" w:type="dxa"/>
            <w:vAlign w:val="bottom"/>
            <w:tcBorders>
              <w:left w:val="single" w:sz="8" w:color="auto"/>
              <w:right w:val="single" w:sz="8" w:color="auto"/>
            </w:tcBorders>
          </w:tcPr>
          <w:p>
            <w:pPr>
              <w:spacing w:after="0"/>
              <w:rPr>
                <w:sz w:val="17"/>
                <w:szCs w:val="17"/>
                <w:color w:val="auto"/>
              </w:rPr>
            </w:pPr>
          </w:p>
        </w:tc>
        <w:tc>
          <w:tcPr>
            <w:tcW w:w="3540" w:type="dxa"/>
            <w:vAlign w:val="bottom"/>
            <w:tcBorders>
              <w:right w:val="single" w:sz="8" w:color="auto"/>
            </w:tcBorders>
          </w:tcPr>
          <w:p>
            <w:pPr>
              <w:ind w:left="700"/>
              <w:spacing w:after="0"/>
              <w:rPr>
                <w:sz w:val="20"/>
                <w:szCs w:val="20"/>
                <w:color w:val="auto"/>
              </w:rPr>
            </w:pPr>
            <w:r>
              <w:rPr>
                <w:rFonts w:ascii="Georgia" w:cs="Georgia" w:eastAsia="Georgia" w:hAnsi="Georgia"/>
                <w:sz w:val="14"/>
                <w:szCs w:val="14"/>
                <w:color w:val="auto"/>
              </w:rPr>
              <w:t>$1,000 + ($1,000 × stock return)</w:t>
            </w:r>
          </w:p>
        </w:tc>
      </w:tr>
      <w:tr>
        <w:trPr>
          <w:trHeight w:val="38"/>
        </w:trPr>
        <w:tc>
          <w:tcPr>
            <w:tcW w:w="1960" w:type="dxa"/>
            <w:vAlign w:val="bottom"/>
            <w:tcBorders>
              <w:left w:val="single" w:sz="8" w:color="auto"/>
              <w:bottom w:val="single" w:sz="8" w:color="auto"/>
              <w:right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r>
      <w:tr>
        <w:trPr>
          <w:trHeight w:val="158"/>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Starting Price:</w:t>
            </w: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The stock closing price of the Underlying Stock on</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tcPr>
          <w:p>
            <w:pPr>
              <w:ind w:left="80"/>
              <w:spacing w:after="0"/>
              <w:rPr>
                <w:sz w:val="20"/>
                <w:szCs w:val="20"/>
                <w:color w:val="auto"/>
              </w:rPr>
            </w:pPr>
            <w:r>
              <w:rPr>
                <w:rFonts w:ascii="Georgia" w:cs="Georgia" w:eastAsia="Georgia" w:hAnsi="Georgia"/>
                <w:sz w:val="14"/>
                <w:szCs w:val="14"/>
                <w:color w:val="auto"/>
              </w:rPr>
              <w:t>the pricing date</w:t>
            </w:r>
          </w:p>
        </w:tc>
      </w:tr>
      <w:tr>
        <w:trPr>
          <w:trHeight w:val="158"/>
        </w:trPr>
        <w:tc>
          <w:tcPr>
            <w:tcW w:w="19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Ending Price:</w:t>
            </w:r>
          </w:p>
        </w:tc>
        <w:tc>
          <w:tcPr>
            <w:tcW w:w="3540" w:type="dxa"/>
            <w:vAlign w:val="bottom"/>
            <w:tcBorders>
              <w:right w:val="single" w:sz="8" w:color="auto"/>
            </w:tcBorders>
          </w:tcPr>
          <w:p>
            <w:pPr>
              <w:ind w:left="80"/>
              <w:spacing w:after="0"/>
              <w:rPr>
                <w:sz w:val="20"/>
                <w:szCs w:val="20"/>
                <w:color w:val="auto"/>
              </w:rPr>
            </w:pPr>
            <w:r>
              <w:rPr>
                <w:rFonts w:ascii="Georgia" w:cs="Georgia" w:eastAsia="Georgia" w:hAnsi="Georgia"/>
                <w:sz w:val="14"/>
                <w:szCs w:val="14"/>
                <w:color w:val="auto"/>
              </w:rPr>
              <w:t>The stock closing price of the Underlying Stock on</w:t>
            </w:r>
          </w:p>
        </w:tc>
      </w:tr>
      <w:tr>
        <w:trPr>
          <w:trHeight w:val="159"/>
        </w:trPr>
        <w:tc>
          <w:tcPr>
            <w:tcW w:w="19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tcPr>
          <w:p>
            <w:pPr>
              <w:ind w:left="80"/>
              <w:spacing w:after="0"/>
              <w:rPr>
                <w:sz w:val="20"/>
                <w:szCs w:val="20"/>
                <w:color w:val="auto"/>
              </w:rPr>
            </w:pPr>
            <w:r>
              <w:rPr>
                <w:rFonts w:ascii="Georgia" w:cs="Georgia" w:eastAsia="Georgia" w:hAnsi="Georgia"/>
                <w:sz w:val="14"/>
                <w:szCs w:val="14"/>
                <w:color w:val="auto"/>
              </w:rPr>
              <w:t>the final calculation day</w:t>
            </w:r>
          </w:p>
        </w:tc>
      </w:tr>
      <w:tr>
        <w:trPr>
          <w:trHeight w:val="155"/>
        </w:trPr>
        <w:tc>
          <w:tcPr>
            <w:tcW w:w="19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Stock Return:</w:t>
            </w:r>
          </w:p>
        </w:tc>
        <w:tc>
          <w:tcPr>
            <w:tcW w:w="3540" w:type="dxa"/>
            <w:vAlign w:val="bottom"/>
            <w:tcBorders>
              <w:bottom w:val="single" w:sz="8" w:color="auto"/>
              <w:right w:val="single" w:sz="8" w:color="auto"/>
            </w:tcBorders>
          </w:tcPr>
          <w:p>
            <w:pPr>
              <w:ind w:left="80"/>
              <w:spacing w:after="0" w:line="156" w:lineRule="exact"/>
              <w:rPr>
                <w:sz w:val="20"/>
                <w:szCs w:val="20"/>
                <w:color w:val="auto"/>
              </w:rPr>
            </w:pPr>
            <w:r>
              <w:rPr>
                <w:rFonts w:ascii="Georgia" w:cs="Georgia" w:eastAsia="Georgia" w:hAnsi="Georgia"/>
                <w:sz w:val="14"/>
                <w:szCs w:val="14"/>
                <w:color w:val="auto"/>
              </w:rPr>
              <w:t>(ending price – starting price) / starting price</w:t>
            </w:r>
          </w:p>
        </w:tc>
      </w:tr>
      <w:tr>
        <w:trPr>
          <w:trHeight w:val="155"/>
        </w:trPr>
        <w:tc>
          <w:tcPr>
            <w:tcW w:w="19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Threshold Price:</w:t>
            </w:r>
          </w:p>
        </w:tc>
        <w:tc>
          <w:tcPr>
            <w:tcW w:w="3540" w:type="dxa"/>
            <w:vAlign w:val="bottom"/>
            <w:tcBorders>
              <w:bottom w:val="single" w:sz="8" w:color="auto"/>
              <w:right w:val="single" w:sz="8" w:color="auto"/>
            </w:tcBorders>
          </w:tcPr>
          <w:p>
            <w:pPr>
              <w:ind w:left="80"/>
              <w:spacing w:after="0" w:line="156" w:lineRule="exact"/>
              <w:rPr>
                <w:sz w:val="20"/>
                <w:szCs w:val="20"/>
                <w:color w:val="auto"/>
              </w:rPr>
            </w:pPr>
            <w:r>
              <w:rPr>
                <w:rFonts w:ascii="Georgia" w:cs="Georgia" w:eastAsia="Georgia" w:hAnsi="Georgia"/>
                <w:sz w:val="14"/>
                <w:szCs w:val="14"/>
                <w:color w:val="auto"/>
              </w:rPr>
              <w:t>70% of the starting price</w:t>
            </w:r>
          </w:p>
        </w:tc>
      </w:tr>
      <w:tr>
        <w:trPr>
          <w:trHeight w:val="149"/>
        </w:trPr>
        <w:tc>
          <w:tcPr>
            <w:tcW w:w="19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Georgia" w:cs="Georgia" w:eastAsia="Georgia" w:hAnsi="Georgia"/>
                <w:sz w:val="14"/>
                <w:szCs w:val="14"/>
                <w:color w:val="auto"/>
              </w:rPr>
              <w:t>Calculation Agent:</w:t>
            </w:r>
          </w:p>
        </w:tc>
        <w:tc>
          <w:tcPr>
            <w:tcW w:w="3540" w:type="dxa"/>
            <w:vAlign w:val="bottom"/>
            <w:tcBorders>
              <w:bottom w:val="single" w:sz="8" w:color="auto"/>
              <w:right w:val="single" w:sz="8" w:color="auto"/>
            </w:tcBorders>
          </w:tcPr>
          <w:p>
            <w:pPr>
              <w:ind w:left="80"/>
              <w:spacing w:after="0" w:line="142" w:lineRule="exact"/>
              <w:rPr>
                <w:sz w:val="20"/>
                <w:szCs w:val="20"/>
                <w:color w:val="auto"/>
              </w:rPr>
            </w:pPr>
            <w:r>
              <w:rPr>
                <w:rFonts w:ascii="Georgia" w:cs="Georgia" w:eastAsia="Georgia" w:hAnsi="Georgia"/>
                <w:sz w:val="14"/>
                <w:szCs w:val="14"/>
                <w:color w:val="auto"/>
              </w:rPr>
              <w:t>J.P. Morgan Securities LLC (“JPMS”)</w:t>
            </w:r>
          </w:p>
        </w:tc>
      </w:tr>
      <w:tr>
        <w:trPr>
          <w:trHeight w:val="162"/>
        </w:trPr>
        <w:tc>
          <w:tcPr>
            <w:tcW w:w="19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4"/>
                <w:szCs w:val="14"/>
                <w:color w:val="auto"/>
              </w:rPr>
              <w:t>Denominations:</w:t>
            </w:r>
          </w:p>
        </w:tc>
        <w:tc>
          <w:tcPr>
            <w:tcW w:w="3540" w:type="dxa"/>
            <w:vAlign w:val="bottom"/>
            <w:tcBorders>
              <w:bottom w:val="single" w:sz="8" w:color="auto"/>
              <w:right w:val="single" w:sz="8" w:color="auto"/>
            </w:tcBorders>
          </w:tcPr>
          <w:p>
            <w:pPr>
              <w:ind w:left="80"/>
              <w:spacing w:after="0"/>
              <w:rPr>
                <w:sz w:val="20"/>
                <w:szCs w:val="20"/>
                <w:color w:val="auto"/>
              </w:rPr>
            </w:pPr>
            <w:r>
              <w:rPr>
                <w:rFonts w:ascii="Georgia" w:cs="Georgia" w:eastAsia="Georgia" w:hAnsi="Georgia"/>
                <w:sz w:val="14"/>
                <w:szCs w:val="14"/>
                <w:color w:val="auto"/>
              </w:rPr>
              <w:t>$1,000 and any integral multiple of $1,000</w:t>
            </w:r>
          </w:p>
        </w:tc>
      </w:tr>
      <w:tr>
        <w:trPr>
          <w:trHeight w:val="155"/>
        </w:trPr>
        <w:tc>
          <w:tcPr>
            <w:tcW w:w="1960" w:type="dxa"/>
            <w:vAlign w:val="bottom"/>
            <w:tcBorders>
              <w:left w:val="single" w:sz="8" w:color="auto"/>
              <w:bottom w:val="single" w:sz="8" w:color="auto"/>
              <w:right w:val="single" w:sz="8" w:color="auto"/>
            </w:tcBorders>
          </w:tcPr>
          <w:p>
            <w:pPr>
              <w:ind w:left="120"/>
              <w:spacing w:after="0" w:line="156" w:lineRule="exact"/>
              <w:rPr>
                <w:sz w:val="20"/>
                <w:szCs w:val="20"/>
                <w:color w:val="auto"/>
              </w:rPr>
            </w:pPr>
            <w:r>
              <w:rPr>
                <w:rFonts w:ascii="Georgia" w:cs="Georgia" w:eastAsia="Georgia" w:hAnsi="Georgia"/>
                <w:sz w:val="14"/>
                <w:szCs w:val="14"/>
                <w:color w:val="auto"/>
              </w:rPr>
              <w:t>CUSIP:</w:t>
            </w:r>
          </w:p>
        </w:tc>
        <w:tc>
          <w:tcPr>
            <w:tcW w:w="3540" w:type="dxa"/>
            <w:vAlign w:val="bottom"/>
            <w:tcBorders>
              <w:bottom w:val="single" w:sz="8" w:color="auto"/>
              <w:right w:val="single" w:sz="8" w:color="auto"/>
            </w:tcBorders>
          </w:tcPr>
          <w:p>
            <w:pPr>
              <w:ind w:left="80"/>
              <w:spacing w:after="0" w:line="156" w:lineRule="exact"/>
              <w:rPr>
                <w:sz w:val="20"/>
                <w:szCs w:val="20"/>
                <w:color w:val="auto"/>
              </w:rPr>
            </w:pPr>
            <w:r>
              <w:rPr>
                <w:rFonts w:ascii="Georgia" w:cs="Georgia" w:eastAsia="Georgia" w:hAnsi="Georgia"/>
                <w:sz w:val="14"/>
                <w:szCs w:val="14"/>
                <w:color w:val="auto"/>
              </w:rPr>
              <w:t>48136E4R3</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3"/>
        </w:trPr>
        <w:tc>
          <w:tcPr>
            <w:tcW w:w="1940" w:type="dxa"/>
            <w:vAlign w:val="bottom"/>
            <w:tcBorders>
              <w:top w:val="single" w:sz="8" w:color="auto"/>
              <w:left w:val="single" w:sz="8" w:color="auto"/>
              <w:right w:val="single" w:sz="8" w:color="auto"/>
            </w:tcBorders>
          </w:tcPr>
          <w:p>
            <w:pPr>
              <w:ind w:left="100"/>
              <w:spacing w:after="0"/>
              <w:rPr>
                <w:sz w:val="20"/>
                <w:szCs w:val="20"/>
                <w:color w:val="auto"/>
              </w:rPr>
            </w:pPr>
            <w:r>
              <w:rPr>
                <w:rFonts w:ascii="Georgia" w:cs="Georgia" w:eastAsia="Georgia" w:hAnsi="Georgia"/>
                <w:sz w:val="14"/>
                <w:szCs w:val="14"/>
                <w:color w:val="auto"/>
              </w:rPr>
              <w:t>Fees and Commissions:</w:t>
            </w:r>
          </w:p>
        </w:tc>
        <w:tc>
          <w:tcPr>
            <w:tcW w:w="3560" w:type="dxa"/>
            <w:vAlign w:val="bottom"/>
            <w:tcBorders>
              <w:top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Up to 1</w:t>
            </w:r>
            <w:r>
              <w:rPr>
                <w:rFonts w:ascii="Georgia" w:cs="Georgia" w:eastAsia="Georgia" w:hAnsi="Georgia"/>
                <w:sz w:val="16"/>
                <w:szCs w:val="16"/>
                <w:color w:val="auto"/>
              </w:rPr>
              <w:t>.57</w:t>
            </w:r>
            <w:r>
              <w:rPr>
                <w:rFonts w:ascii="Georgia" w:cs="Georgia" w:eastAsia="Georgia" w:hAnsi="Georgia"/>
                <w:sz w:val="14"/>
                <w:szCs w:val="14"/>
                <w:color w:val="auto"/>
              </w:rPr>
              <w:t>5% for Wells Fargo Securities, LLC</w:t>
            </w:r>
          </w:p>
        </w:tc>
      </w:tr>
      <w:tr>
        <w:trPr>
          <w:trHeight w:val="148"/>
        </w:trPr>
        <w:tc>
          <w:tcPr>
            <w:tcW w:w="194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gridSpan w:val="5"/>
          </w:tcPr>
          <w:p>
            <w:pPr>
              <w:ind w:left="100"/>
              <w:spacing w:after="0" w:line="148" w:lineRule="exact"/>
              <w:rPr>
                <w:sz w:val="20"/>
                <w:szCs w:val="20"/>
                <w:color w:val="auto"/>
              </w:rPr>
            </w:pPr>
            <w:r>
              <w:rPr>
                <w:rFonts w:ascii="Georgia" w:cs="Georgia" w:eastAsia="Georgia" w:hAnsi="Georgia"/>
                <w:sz w:val="14"/>
                <w:szCs w:val="14"/>
                <w:color w:val="auto"/>
              </w:rPr>
              <w:t>(“WFS”); WFS has advised us that dealers, including</w:t>
            </w:r>
          </w:p>
        </w:tc>
      </w:tr>
      <w:tr>
        <w:trPr>
          <w:trHeight w:val="20"/>
        </w:trPr>
        <w:tc>
          <w:tcPr>
            <w:tcW w:w="1940" w:type="dxa"/>
            <w:vAlign w:val="bottom"/>
            <w:tcBorders>
              <w:left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r>
      <w:tr>
        <w:trPr>
          <w:trHeight w:val="142"/>
        </w:trPr>
        <w:tc>
          <w:tcPr>
            <w:tcW w:w="1940" w:type="dxa"/>
            <w:vAlign w:val="bottom"/>
            <w:tcBorders>
              <w:left w:val="single" w:sz="8" w:color="auto"/>
              <w:right w:val="single" w:sz="8" w:color="auto"/>
            </w:tcBorders>
          </w:tcPr>
          <w:p>
            <w:pPr>
              <w:spacing w:after="0"/>
              <w:rPr>
                <w:sz w:val="12"/>
                <w:szCs w:val="12"/>
                <w:color w:val="auto"/>
              </w:rPr>
            </w:pPr>
          </w:p>
        </w:tc>
        <w:tc>
          <w:tcPr>
            <w:tcW w:w="3560" w:type="dxa"/>
            <w:vAlign w:val="bottom"/>
            <w:tcBorders>
              <w:right w:val="single" w:sz="8" w:color="auto"/>
            </w:tcBorders>
            <w:gridSpan w:val="5"/>
          </w:tcPr>
          <w:p>
            <w:pPr>
              <w:ind w:left="100"/>
              <w:spacing w:after="0" w:line="142" w:lineRule="exact"/>
              <w:rPr>
                <w:sz w:val="20"/>
                <w:szCs w:val="20"/>
                <w:color w:val="auto"/>
              </w:rPr>
            </w:pPr>
            <w:r>
              <w:rPr>
                <w:rFonts w:ascii="Georgia" w:cs="Georgia" w:eastAsia="Georgia" w:hAnsi="Georgia"/>
                <w:sz w:val="14"/>
                <w:szCs w:val="14"/>
                <w:color w:val="auto"/>
              </w:rPr>
              <w:t>Wells Fargo Advisors (“WFA”), may receive 1.00% of</w:t>
            </w:r>
          </w:p>
        </w:tc>
      </w:tr>
      <w:tr>
        <w:trPr>
          <w:trHeight w:val="20"/>
        </w:trPr>
        <w:tc>
          <w:tcPr>
            <w:tcW w:w="1940" w:type="dxa"/>
            <w:vAlign w:val="bottom"/>
            <w:tcBorders>
              <w:left w:val="single" w:sz="8" w:color="auto"/>
              <w:right w:val="single" w:sz="8" w:color="auto"/>
            </w:tcBorders>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r>
      <w:tr>
        <w:trPr>
          <w:trHeight w:val="159"/>
        </w:trPr>
        <w:tc>
          <w:tcPr>
            <w:tcW w:w="1940" w:type="dxa"/>
            <w:vAlign w:val="bottom"/>
            <w:tcBorders>
              <w:left w:val="single" w:sz="8" w:color="auto"/>
              <w:right w:val="single" w:sz="8" w:color="auto"/>
            </w:tcBorders>
          </w:tcPr>
          <w:p>
            <w:pPr>
              <w:spacing w:after="0"/>
              <w:rPr>
                <w:sz w:val="13"/>
                <w:szCs w:val="13"/>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WFS’s fee, and WFA may also receive a distribution</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expense fee of 0.075%. In addition, with respect of</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certain securities sold in this offering, JPMS may</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pay a fee of up to 0.20% to selected dealers in</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consideration for marketing and other services in</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3560" w:type="dxa"/>
            <w:vAlign w:val="bottom"/>
            <w:tcBorders>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connection with the distribution of the securities to</w:t>
            </w:r>
          </w:p>
        </w:tc>
      </w:tr>
      <w:tr>
        <w:trPr>
          <w:trHeight w:val="159"/>
        </w:trPr>
        <w:tc>
          <w:tcPr>
            <w:tcW w:w="1940" w:type="dxa"/>
            <w:vAlign w:val="bottom"/>
            <w:tcBorders>
              <w:left w:val="single" w:sz="8" w:color="auto"/>
              <w:bottom w:val="single" w:sz="8" w:color="auto"/>
              <w:right w:val="single" w:sz="8" w:color="auto"/>
            </w:tcBorders>
          </w:tcPr>
          <w:p>
            <w:pPr>
              <w:spacing w:after="0"/>
              <w:rPr>
                <w:sz w:val="13"/>
                <w:szCs w:val="13"/>
                <w:color w:val="auto"/>
              </w:rPr>
            </w:pPr>
          </w:p>
        </w:tc>
        <w:tc>
          <w:tcPr>
            <w:tcW w:w="3560" w:type="dxa"/>
            <w:vAlign w:val="bottom"/>
            <w:tcBorders>
              <w:bottom w:val="single" w:sz="8" w:color="auto"/>
              <w:right w:val="single" w:sz="8" w:color="auto"/>
            </w:tcBorders>
            <w:gridSpan w:val="5"/>
          </w:tcPr>
          <w:p>
            <w:pPr>
              <w:ind w:left="100"/>
              <w:spacing w:after="0"/>
              <w:rPr>
                <w:sz w:val="20"/>
                <w:szCs w:val="20"/>
                <w:color w:val="auto"/>
              </w:rPr>
            </w:pPr>
            <w:r>
              <w:rPr>
                <w:rFonts w:ascii="Georgia" w:cs="Georgia" w:eastAsia="Georgia" w:hAnsi="Georgia"/>
                <w:sz w:val="14"/>
                <w:szCs w:val="14"/>
                <w:color w:val="auto"/>
              </w:rPr>
              <w:t>other dealers.</w:t>
            </w:r>
          </w:p>
        </w:tc>
      </w:tr>
      <w:tr>
        <w:trPr>
          <w:trHeight w:val="156"/>
        </w:trPr>
        <w:tc>
          <w:tcPr>
            <w:tcW w:w="1940" w:type="dxa"/>
            <w:vAlign w:val="bottom"/>
            <w:tcBorders>
              <w:left w:val="single" w:sz="8" w:color="auto"/>
              <w:bottom w:val="single" w:sz="8" w:color="auto"/>
              <w:right w:val="single" w:sz="8" w:color="auto"/>
            </w:tcBorders>
          </w:tcPr>
          <w:p>
            <w:pPr>
              <w:ind w:left="100"/>
              <w:spacing w:after="0" w:line="156" w:lineRule="exact"/>
              <w:rPr>
                <w:sz w:val="20"/>
                <w:szCs w:val="20"/>
                <w:color w:val="auto"/>
              </w:rPr>
            </w:pPr>
            <w:r>
              <w:rPr>
                <w:rFonts w:ascii="Georgia" w:cs="Georgia" w:eastAsia="Georgia" w:hAnsi="Georgia"/>
                <w:sz w:val="14"/>
                <w:szCs w:val="14"/>
                <w:color w:val="auto"/>
              </w:rPr>
              <w:t>Tax Considerations:</w:t>
            </w:r>
          </w:p>
        </w:tc>
        <w:tc>
          <w:tcPr>
            <w:tcW w:w="3560" w:type="dxa"/>
            <w:vAlign w:val="bottom"/>
            <w:tcBorders>
              <w:bottom w:val="single" w:sz="8" w:color="auto"/>
              <w:right w:val="single" w:sz="8" w:color="auto"/>
            </w:tcBorders>
            <w:gridSpan w:val="5"/>
          </w:tcPr>
          <w:p>
            <w:pPr>
              <w:ind w:left="100"/>
              <w:spacing w:after="0" w:line="156" w:lineRule="exact"/>
              <w:rPr>
                <w:sz w:val="20"/>
                <w:szCs w:val="20"/>
                <w:color w:val="auto"/>
              </w:rPr>
            </w:pPr>
            <w:r>
              <w:rPr>
                <w:rFonts w:ascii="Georgia" w:cs="Georgia" w:eastAsia="Georgia" w:hAnsi="Georgia"/>
                <w:sz w:val="14"/>
                <w:szCs w:val="14"/>
                <w:color w:val="auto"/>
              </w:rPr>
              <w:t>See the preliminary pricing supplement.</w:t>
            </w:r>
          </w:p>
        </w:tc>
      </w:tr>
      <w:tr>
        <w:trPr>
          <w:trHeight w:val="201"/>
        </w:trPr>
        <w:tc>
          <w:tcPr>
            <w:tcW w:w="1940" w:type="dxa"/>
            <w:vAlign w:val="bottom"/>
            <w:tcBorders>
              <w:left w:val="single" w:sz="8" w:color="auto"/>
            </w:tcBorders>
          </w:tcPr>
          <w:p>
            <w:pPr>
              <w:ind w:left="100"/>
              <w:spacing w:after="0" w:line="20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r>
      <w:tr>
        <w:trPr>
          <w:trHeight w:val="184"/>
        </w:trPr>
        <w:tc>
          <w:tcPr>
            <w:tcW w:w="1940" w:type="dxa"/>
            <w:vAlign w:val="bottom"/>
            <w:tcBorders>
              <w:left w:val="single" w:sz="8" w:color="auto"/>
              <w:bottom w:val="single" w:sz="8" w:color="auto"/>
            </w:tcBorders>
          </w:tcPr>
          <w:p>
            <w:pPr>
              <w:ind w:left="100"/>
              <w:spacing w:after="0" w:line="184" w:lineRule="exact"/>
              <w:rPr>
                <w:sz w:val="20"/>
                <w:szCs w:val="20"/>
                <w:color w:val="auto"/>
              </w:rPr>
            </w:pPr>
            <w:r>
              <w:rPr>
                <w:rFonts w:ascii="Georgia" w:cs="Georgia" w:eastAsia="Georgia" w:hAnsi="Georgia"/>
                <w:sz w:val="21"/>
                <w:szCs w:val="21"/>
                <w:color w:val="auto"/>
                <w:vertAlign w:val="superscript"/>
              </w:rPr>
              <w:t>2</w:t>
            </w:r>
            <w:r>
              <w:rPr>
                <w:rFonts w:ascii="Georgia" w:cs="Georgia" w:eastAsia="Georgia" w:hAnsi="Georgia"/>
                <w:sz w:val="13"/>
                <w:szCs w:val="13"/>
                <w:color w:val="auto"/>
              </w:rPr>
              <w:t xml:space="preserve"> Subject to postponement</w:t>
            </w: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spacing w:after="0"/>
              <w:rPr>
                <w:sz w:val="16"/>
                <w:szCs w:val="16"/>
                <w:color w:val="auto"/>
              </w:rPr>
            </w:pPr>
          </w:p>
        </w:tc>
      </w:tr>
    </w:tbl>
    <w:p>
      <w:pPr>
        <w:spacing w:after="0" w:line="48" w:lineRule="exact"/>
        <w:rPr>
          <w:sz w:val="24"/>
          <w:szCs w:val="24"/>
          <w:color w:val="auto"/>
        </w:rPr>
      </w:pPr>
    </w:p>
    <w:p>
      <w:pPr>
        <w:ind w:left="40" w:right="40" w:hanging="10"/>
        <w:spacing w:after="0" w:line="265" w:lineRule="auto"/>
        <w:rPr>
          <w:sz w:val="20"/>
          <w:szCs w:val="20"/>
          <w:color w:val="auto"/>
        </w:rPr>
      </w:pPr>
      <w:r>
        <w:rPr>
          <w:rFonts w:ascii="Verdana" w:cs="Verdana" w:eastAsia="Verdana" w:hAnsi="Verdana"/>
          <w:sz w:val="23"/>
          <w:szCs w:val="23"/>
          <w:color w:val="8F8F8F"/>
        </w:rPr>
        <w:t>Hypothetical Payout Profile (Maturity Payment Amount)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509270</wp:posOffset>
            </wp:positionH>
            <wp:positionV relativeFrom="paragraph">
              <wp:posOffset>5715</wp:posOffset>
            </wp:positionV>
            <wp:extent cx="2468880" cy="1671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8880" cy="1671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20" w:right="260"/>
        <w:spacing w:after="0" w:line="245" w:lineRule="auto"/>
        <w:rPr>
          <w:sz w:val="20"/>
          <w:szCs w:val="20"/>
          <w:color w:val="auto"/>
        </w:rPr>
      </w:pPr>
      <w:r>
        <w:rPr>
          <w:rFonts w:ascii="Georgia" w:cs="Georgia" w:eastAsia="Georgia" w:hAnsi="Georgia"/>
          <w:sz w:val="14"/>
          <w:szCs w:val="14"/>
          <w:b w:val="1"/>
          <w:bCs w:val="1"/>
          <w:color w:val="auto"/>
        </w:rPr>
        <w:t>If the securities are not automatically called prior to maturity and the ending price is less than the threshold price, you will lose more than 30%, and possibly all, of the principal amount of your securities at maturity.</w:t>
      </w:r>
    </w:p>
    <w:p>
      <w:pPr>
        <w:spacing w:after="0" w:line="39" w:lineRule="exact"/>
        <w:rPr>
          <w:sz w:val="24"/>
          <w:szCs w:val="24"/>
          <w:color w:val="auto"/>
        </w:rPr>
      </w:pPr>
    </w:p>
    <w:p>
      <w:pPr>
        <w:ind w:left="120" w:right="20"/>
        <w:spacing w:after="0" w:line="245" w:lineRule="auto"/>
        <w:rPr>
          <w:sz w:val="20"/>
          <w:szCs w:val="20"/>
          <w:color w:val="auto"/>
        </w:rPr>
      </w:pPr>
      <w:r>
        <w:rPr>
          <w:rFonts w:ascii="Georgia" w:cs="Georgia" w:eastAsia="Georgia" w:hAnsi="Georgia"/>
          <w:sz w:val="14"/>
          <w:szCs w:val="14"/>
          <w:b w:val="1"/>
          <w:bCs w:val="1"/>
          <w:color w:val="auto"/>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spacing w:after="0" w:line="39" w:lineRule="exact"/>
        <w:rPr>
          <w:sz w:val="24"/>
          <w:szCs w:val="24"/>
          <w:color w:val="auto"/>
        </w:rPr>
      </w:pPr>
    </w:p>
    <w:p>
      <w:pPr>
        <w:ind w:left="120" w:right="120"/>
        <w:spacing w:after="0" w:line="245" w:lineRule="auto"/>
        <w:rPr>
          <w:sz w:val="20"/>
          <w:szCs w:val="20"/>
          <w:color w:val="auto"/>
        </w:rPr>
      </w:pPr>
      <w:r>
        <w:rPr>
          <w:rFonts w:ascii="Georgia" w:cs="Georgia" w:eastAsia="Georgia" w:hAnsi="Georgia"/>
          <w:sz w:val="14"/>
          <w:szCs w:val="14"/>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4"/>
          <w:szCs w:val="14"/>
          <w:b w:val="1"/>
          <w:bCs w:val="1"/>
          <w:color w:val="auto"/>
        </w:rPr>
        <w:t>Any</w:t>
      </w:r>
      <w:r>
        <w:rPr>
          <w:rFonts w:ascii="Georgia" w:cs="Georgia" w:eastAsia="Georgia" w:hAnsi="Georgia"/>
          <w:sz w:val="14"/>
          <w:szCs w:val="14"/>
          <w:color w:val="auto"/>
        </w:rPr>
        <w:t xml:space="preserve"> </w:t>
      </w:r>
      <w:r>
        <w:rPr>
          <w:rFonts w:ascii="Georgia" w:cs="Georgia" w:eastAsia="Georgia" w:hAnsi="Georgia"/>
          <w:sz w:val="14"/>
          <w:szCs w:val="14"/>
          <w:b w:val="1"/>
          <w:bCs w:val="1"/>
          <w:color w:val="auto"/>
        </w:rPr>
        <w:t>payment on the securities is subject to the credit risk of JPMorgan Financial, as issuer of the securities, and the credit risk of JPMorgan Chase &amp; Co., as guarantor of the securities.</w:t>
      </w:r>
    </w:p>
    <w:p>
      <w:pPr>
        <w:spacing w:after="0" w:line="25" w:lineRule="exact"/>
        <w:rPr>
          <w:sz w:val="24"/>
          <w:szCs w:val="24"/>
          <w:color w:val="auto"/>
        </w:rPr>
      </w:pPr>
    </w:p>
    <w:p>
      <w:pPr>
        <w:ind w:left="120" w:right="60"/>
        <w:spacing w:after="0" w:line="245" w:lineRule="auto"/>
        <w:rPr>
          <w:sz w:val="20"/>
          <w:szCs w:val="20"/>
          <w:color w:val="auto"/>
        </w:rPr>
      </w:pPr>
      <w:r>
        <w:rPr>
          <w:rFonts w:ascii="Georgia" w:cs="Georgia" w:eastAsia="Georgia" w:hAnsi="Georgia"/>
          <w:sz w:val="14"/>
          <w:szCs w:val="14"/>
          <w:color w:val="auto"/>
        </w:rPr>
        <w:t>If the securities priced on the date of the accompanying preliminary pricing supplement, the estimated value of the securities would be approximately $969.20 per security. The estimated value of the securities, when the terms of the securities are set, will be provided in the pricing supplement and will not be less than $940.00 per security. See “The Estimated Value of the Securities” in the preliminary pricing supplement for additional information.</w:t>
      </w:r>
    </w:p>
    <w:p>
      <w:pPr>
        <w:spacing w:after="0" w:line="38" w:lineRule="exact"/>
        <w:rPr>
          <w:sz w:val="24"/>
          <w:szCs w:val="24"/>
          <w:color w:val="auto"/>
        </w:rPr>
      </w:pPr>
    </w:p>
    <w:p>
      <w:pPr>
        <w:ind w:left="120" w:right="2180"/>
        <w:spacing w:after="0" w:line="246" w:lineRule="auto"/>
        <w:rPr>
          <w:rFonts w:ascii="Georgia" w:cs="Georgia" w:eastAsia="Georgia" w:hAnsi="Georgia"/>
          <w:sz w:val="14"/>
          <w:szCs w:val="14"/>
          <w:u w:val="single" w:color="auto"/>
          <w:color w:val="0000EE"/>
        </w:rPr>
      </w:pPr>
      <w:r>
        <w:rPr>
          <w:rFonts w:ascii="Georgia" w:cs="Georgia" w:eastAsia="Georgia" w:hAnsi="Georgia"/>
          <w:sz w:val="14"/>
          <w:szCs w:val="14"/>
          <w:color w:val="auto"/>
        </w:rPr>
        <w:t xml:space="preserve">Preliminary Pricing Supplement: </w:t>
      </w:r>
      <w:hyperlink r:id="rId11">
        <w:r>
          <w:rPr>
            <w:rFonts w:ascii="Georgia" w:cs="Georgia" w:eastAsia="Georgia" w:hAnsi="Georgia"/>
            <w:sz w:val="14"/>
            <w:szCs w:val="14"/>
            <w:u w:val="single" w:color="auto"/>
            <w:color w:val="0000EE"/>
          </w:rPr>
          <w:t>http://www.sec.gov/Archives/edgar/data/19617/</w:t>
        </w:r>
      </w:hyperlink>
      <w:r>
        <w:rPr>
          <w:rFonts w:ascii="Georgia" w:cs="Georgia" w:eastAsia="Georgia" w:hAnsi="Georgia"/>
          <w:sz w:val="14"/>
          <w:szCs w:val="14"/>
          <w:u w:val="single" w:color="auto"/>
          <w:color w:val="0000EE"/>
        </w:rPr>
        <w:t xml:space="preserve"> </w:t>
      </w:r>
      <w:hyperlink r:id="rId11">
        <w:r>
          <w:rPr>
            <w:rFonts w:ascii="Georgia" w:cs="Georgia" w:eastAsia="Georgia" w:hAnsi="Georgia"/>
            <w:sz w:val="14"/>
            <w:szCs w:val="14"/>
            <w:u w:val="single" w:color="auto"/>
            <w:color w:val="0000EE"/>
          </w:rPr>
          <w:t>000121390025057091/ea0246738-01_424b2.htm</w:t>
        </w:r>
      </w:hyperlink>
    </w:p>
    <w:p>
      <w:pPr>
        <w:spacing w:after="0" w:line="37" w:lineRule="exact"/>
        <w:rPr>
          <w:sz w:val="20"/>
          <w:szCs w:val="20"/>
          <w:color w:val="auto"/>
        </w:rPr>
      </w:pPr>
    </w:p>
    <w:p>
      <w:pPr>
        <w:sectPr>
          <w:pgSz w:w="11900" w:h="16838" w:orient="portrait"/>
          <w:cols w:equalWidth="0" w:num="2">
            <w:col w:w="5500" w:space="240"/>
            <w:col w:w="5500"/>
          </w:cols>
          <w:pgMar w:left="320" w:top="239" w:right="339" w:bottom="1440" w:gutter="0" w:footer="0" w:header="0"/>
          <w:type w:val="continuous"/>
        </w:sect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Annex A to the accompanying prospectus addendum and “Selected Risk Considerations” in the accompanying preliminary pricing supplement.</w:t>
      </w:r>
    </w:p>
    <w:p>
      <w:pPr>
        <w:spacing w:after="0" w:line="10" w:lineRule="exact"/>
        <w:rPr>
          <w:sz w:val="20"/>
          <w:szCs w:val="20"/>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0"/>
          <w:szCs w:val="20"/>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prospectus addendum and product supplement.</w:t>
      </w:r>
    </w:p>
    <w:p>
      <w:pPr>
        <w:sectPr>
          <w:pgSz w:w="11900" w:h="16838" w:orient="portrait"/>
          <w:cols w:equalWidth="0" w:num="1">
            <w:col w:w="11240"/>
          </w:cols>
          <w:pgMar w:left="320" w:top="239"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40"/>
        <w:spacing w:after="0" w:line="249"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the “Risk Factors” sections in the accompanying prospectus supplement and product supplement and Annex A to the accompanying prospectus addendum. Please review the risk disclosure carefully.</w:t>
      </w:r>
    </w:p>
    <w:p>
      <w:pPr>
        <w:sectPr>
          <w:pgSz w:w="11900" w:h="16838" w:orient="portrait"/>
          <w:cols w:equalWidth="0" w:num="1">
            <w:col w:w="11220"/>
          </w:cols>
          <w:pgMar w:left="320" w:top="543" w:right="359" w:bottom="1440" w:gutter="0" w:footer="0" w:header="0"/>
        </w:sectPr>
      </w:pPr>
    </w:p>
    <w:p>
      <w:pPr>
        <w:spacing w:after="0" w:line="109" w:lineRule="exact"/>
        <w:rPr>
          <w:sz w:val="20"/>
          <w:szCs w:val="20"/>
          <w:color w:val="auto"/>
        </w:rPr>
      </w:pPr>
    </w:p>
    <w:p>
      <w:pPr>
        <w:ind w:left="420" w:right="40" w:hanging="315"/>
        <w:spacing w:after="0" w:line="25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Securities Are Not Automatically Called and the Ending Price Is Less Than the Threshold Price, You Will Lose More Than 30%, and Possibly All, of the Principal Amount of Your Securities at Maturity.</w:t>
      </w:r>
    </w:p>
    <w:p>
      <w:pPr>
        <w:spacing w:after="0" w:line="24" w:lineRule="exact"/>
        <w:rPr>
          <w:rFonts w:ascii="Times New Roman" w:cs="Times New Roman" w:eastAsia="Times New Roman" w:hAnsi="Times New Roman"/>
          <w:sz w:val="16"/>
          <w:szCs w:val="16"/>
          <w:color w:val="auto"/>
        </w:rPr>
      </w:pPr>
    </w:p>
    <w:p>
      <w:pPr>
        <w:ind w:left="420" w:right="4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Do Not Guarantee the Payment of Interest and May Not Pay Any Interest at All.</w:t>
      </w:r>
    </w:p>
    <w:p>
      <w:pPr>
        <w:spacing w:after="0" w:line="29" w:lineRule="exact"/>
        <w:rPr>
          <w:rFonts w:ascii="Times New Roman" w:cs="Times New Roman" w:eastAsia="Times New Roman" w:hAnsi="Times New Roman"/>
          <w:sz w:val="16"/>
          <w:szCs w:val="16"/>
          <w:color w:val="auto"/>
        </w:rPr>
      </w:pPr>
    </w:p>
    <w:p>
      <w:pPr>
        <w:ind w:left="420" w:right="100" w:hanging="315"/>
        <w:spacing w:after="0" w:line="257"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Potential Return on the Securities Is Limited to the Sum of Any Contingent Coupon Payments and You Will Not Participate in Any Appreciation of the Underlying Stock.</w:t>
      </w:r>
    </w:p>
    <w:p>
      <w:pPr>
        <w:spacing w:after="0" w:line="32"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Reinvestment Risk.</w:t>
      </w:r>
    </w:p>
    <w:p>
      <w:pPr>
        <w:spacing w:after="0" w:line="46" w:lineRule="exact"/>
        <w:rPr>
          <w:rFonts w:ascii="Times New Roman" w:cs="Times New Roman" w:eastAsia="Times New Roman" w:hAnsi="Times New Roman"/>
          <w:sz w:val="16"/>
          <w:szCs w:val="16"/>
          <w:color w:val="auto"/>
        </w:rPr>
      </w:pPr>
    </w:p>
    <w:p>
      <w:pPr>
        <w:ind w:left="420" w:right="24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29" w:lineRule="exact"/>
        <w:rPr>
          <w:rFonts w:ascii="Times New Roman" w:cs="Times New Roman" w:eastAsia="Times New Roman" w:hAnsi="Times New Roman"/>
          <w:sz w:val="16"/>
          <w:szCs w:val="16"/>
          <w:color w:val="auto"/>
        </w:rPr>
      </w:pPr>
    </w:p>
    <w:p>
      <w:pPr>
        <w:ind w:left="420" w:right="70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Operations and Has Limited Assets.</w:t>
      </w:r>
    </w:p>
    <w:p>
      <w:pPr>
        <w:spacing w:after="0" w:line="29" w:lineRule="exact"/>
        <w:rPr>
          <w:rFonts w:ascii="Times New Roman" w:cs="Times New Roman" w:eastAsia="Times New Roman" w:hAnsi="Times New Roman"/>
          <w:sz w:val="16"/>
          <w:szCs w:val="16"/>
          <w:color w:val="auto"/>
        </w:rPr>
      </w:pPr>
    </w:p>
    <w:p>
      <w:pPr>
        <w:ind w:left="42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Higher Contingent Coupon Rates Are Associated with Greater Risk.</w:t>
      </w:r>
    </w:p>
    <w:p>
      <w:pPr>
        <w:spacing w:after="0" w:line="15" w:lineRule="exact"/>
        <w:rPr>
          <w:rFonts w:ascii="Times New Roman" w:cs="Times New Roman" w:eastAsia="Times New Roman" w:hAnsi="Times New Roman"/>
          <w:sz w:val="16"/>
          <w:szCs w:val="16"/>
          <w:color w:val="auto"/>
        </w:rPr>
      </w:pPr>
    </w:p>
    <w:p>
      <w:pPr>
        <w:ind w:left="420" w:right="14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Benefit Provided by the Threshold Price May Terminate on the Final Calculation Day.</w:t>
      </w:r>
    </w:p>
    <w:p>
      <w:pPr>
        <w:spacing w:after="0" w:line="27"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Dividend Payments or Voting Rights.</w:t>
      </w:r>
    </w:p>
    <w:p>
      <w:pPr>
        <w:spacing w:after="0" w:line="58"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46" w:lineRule="exact"/>
        <w:rPr>
          <w:rFonts w:ascii="Times New Roman" w:cs="Times New Roman" w:eastAsia="Times New Roman" w:hAnsi="Times New Roman"/>
          <w:sz w:val="16"/>
          <w:szCs w:val="16"/>
          <w:color w:val="auto"/>
        </w:rPr>
      </w:pPr>
    </w:p>
    <w:p>
      <w:pPr>
        <w:ind w:left="420" w:right="26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29" w:lineRule="exact"/>
        <w:rPr>
          <w:rFonts w:ascii="Times New Roman" w:cs="Times New Roman" w:eastAsia="Times New Roman" w:hAnsi="Times New Roman"/>
          <w:sz w:val="16"/>
          <w:szCs w:val="16"/>
          <w:color w:val="auto"/>
        </w:rPr>
      </w:pPr>
    </w:p>
    <w:p>
      <w:pPr>
        <w:ind w:left="420" w:right="4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13"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60" w:lineRule="exact"/>
        <w:rPr>
          <w:rFonts w:ascii="Times New Roman" w:cs="Times New Roman" w:eastAsia="Times New Roman" w:hAnsi="Times New Roman"/>
          <w:sz w:val="16"/>
          <w:szCs w:val="16"/>
          <w:color w:val="auto"/>
        </w:rPr>
      </w:pPr>
    </w:p>
    <w:p>
      <w:pPr>
        <w:ind w:left="42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319" w:right="220" w:hanging="319"/>
        <w:spacing w:after="0" w:line="257"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20" w:lineRule="exact"/>
        <w:rPr>
          <w:rFonts w:ascii="Times New Roman" w:cs="Times New Roman" w:eastAsia="Times New Roman" w:hAnsi="Times New Roman"/>
          <w:sz w:val="16"/>
          <w:szCs w:val="16"/>
          <w:color w:val="auto"/>
        </w:rPr>
      </w:pPr>
    </w:p>
    <w:p>
      <w:pPr>
        <w:ind w:left="319" w:right="100" w:hanging="319"/>
        <w:spacing w:after="0" w:line="264"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29" w:lineRule="exact"/>
        <w:rPr>
          <w:rFonts w:ascii="Times New Roman" w:cs="Times New Roman" w:eastAsia="Times New Roman" w:hAnsi="Times New Roman"/>
          <w:sz w:val="16"/>
          <w:szCs w:val="16"/>
          <w:color w:val="auto"/>
        </w:rPr>
      </w:pPr>
    </w:p>
    <w:p>
      <w:pPr>
        <w:ind w:left="319" w:right="120" w:hanging="319"/>
        <w:spacing w:after="0" w:line="254"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37" w:lineRule="exact"/>
        <w:rPr>
          <w:rFonts w:ascii="Times New Roman" w:cs="Times New Roman" w:eastAsia="Times New Roman" w:hAnsi="Times New Roman"/>
          <w:sz w:val="16"/>
          <w:szCs w:val="16"/>
          <w:color w:val="auto"/>
        </w:rPr>
      </w:pPr>
    </w:p>
    <w:p>
      <w:pPr>
        <w:ind w:left="319" w:right="560" w:hanging="319"/>
        <w:spacing w:after="0" w:line="264"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15" w:lineRule="exact"/>
        <w:rPr>
          <w:rFonts w:ascii="Times New Roman" w:cs="Times New Roman" w:eastAsia="Times New Roman" w:hAnsi="Times New Roman"/>
          <w:sz w:val="16"/>
          <w:szCs w:val="16"/>
          <w:color w:val="auto"/>
        </w:rPr>
      </w:pPr>
    </w:p>
    <w:p>
      <w:pPr>
        <w:ind w:left="319" w:right="160" w:hanging="319"/>
        <w:spacing w:after="0" w:line="264"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27" w:lineRule="exact"/>
        <w:rPr>
          <w:rFonts w:ascii="Times New Roman" w:cs="Times New Roman" w:eastAsia="Times New Roman" w:hAnsi="Times New Roman"/>
          <w:sz w:val="16"/>
          <w:szCs w:val="16"/>
          <w:color w:val="auto"/>
        </w:rPr>
      </w:pPr>
    </w:p>
    <w:p>
      <w:pPr>
        <w:ind w:left="279" w:hanging="279"/>
        <w:spacing w:after="0"/>
        <w:tabs>
          <w:tab w:leader="none" w:pos="27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Affiliation with the Underlying Stock Issuer.</w:t>
      </w:r>
    </w:p>
    <w:p>
      <w:pPr>
        <w:spacing w:after="0" w:line="60" w:lineRule="exact"/>
        <w:rPr>
          <w:rFonts w:ascii="Times New Roman" w:cs="Times New Roman" w:eastAsia="Times New Roman" w:hAnsi="Times New Roman"/>
          <w:sz w:val="16"/>
          <w:szCs w:val="16"/>
          <w:color w:val="auto"/>
        </w:rPr>
      </w:pPr>
    </w:p>
    <w:p>
      <w:pPr>
        <w:ind w:left="319" w:right="940" w:hanging="319"/>
        <w:spacing w:after="0" w:line="264"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Anti-Dilution Protection Is Limited and May Be Discretionary.</w:t>
      </w:r>
    </w:p>
    <w:p>
      <w:pPr>
        <w:spacing w:after="0" w:line="15" w:lineRule="exact"/>
        <w:rPr>
          <w:rFonts w:ascii="Times New Roman" w:cs="Times New Roman" w:eastAsia="Times New Roman" w:hAnsi="Times New Roman"/>
          <w:sz w:val="16"/>
          <w:szCs w:val="16"/>
          <w:color w:val="auto"/>
        </w:rPr>
      </w:pPr>
    </w:p>
    <w:p>
      <w:pPr>
        <w:ind w:left="319" w:right="300" w:hanging="319"/>
        <w:spacing w:after="0" w:line="253"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Any Payment on the Securities Will Depend upon the Performance of the Underlying Stock and Therefore the Securities Are Subject to the Risks Associated with the Underlying Stock, Each as Discussed in the Accompanying Preliminary Pricing Supplement and Product Supplement.</w:t>
      </w:r>
    </w:p>
    <w:p>
      <w:pPr>
        <w:spacing w:after="0" w:line="1639" w:lineRule="exact"/>
        <w:rPr>
          <w:sz w:val="20"/>
          <w:szCs w:val="20"/>
          <w:color w:val="auto"/>
        </w:rPr>
      </w:pPr>
    </w:p>
    <w:p>
      <w:pPr>
        <w:sectPr>
          <w:pgSz w:w="11900" w:h="16838" w:orient="portrait"/>
          <w:cols w:equalWidth="0" w:num="2">
            <w:col w:w="5500" w:space="221"/>
            <w:col w:w="5499"/>
          </w:cols>
          <w:pgMar w:left="320" w:top="543" w:right="35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pgSz w:w="11900" w:h="16838" w:orient="portrait"/>
      <w:cols w:equalWidth="0" w:num="1">
        <w:col w:w="11220"/>
      </w:cols>
      <w:pgMar w:left="320" w:top="54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9617/000121390025057091/ea0246738-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2025-06-25T05:14:47Z</dcterms:created>
  <dcterms:modified xsi:type="dcterms:W3CDTF">2025-06-25T05:14:47Z</dcterms:modified>
</cp:coreProperties>
</file>